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80B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80BBF" w:rsidP="00880BBF">
            <w:pPr>
              <w:jc w:val="right"/>
            </w:pPr>
            <w:r w:rsidRPr="00880BBF">
              <w:rPr>
                <w:sz w:val="40"/>
              </w:rPr>
              <w:t>ECE</w:t>
            </w:r>
            <w:r>
              <w:t>/TRANS/WP.15/2017/6</w:t>
            </w:r>
          </w:p>
        </w:tc>
      </w:tr>
      <w:tr w:rsidR="002D5AAC" w:rsidRPr="0022292B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8170434" wp14:editId="56093A2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80BBF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80BBF" w:rsidRDefault="00880BBF" w:rsidP="00880B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2017</w:t>
            </w:r>
          </w:p>
          <w:p w:rsidR="00880BBF" w:rsidRDefault="00880BBF" w:rsidP="00880B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80BBF" w:rsidRPr="00D62A45" w:rsidRDefault="00880BBF" w:rsidP="00880B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80BBF" w:rsidRPr="003D27E4" w:rsidRDefault="00880BBF" w:rsidP="003D27E4">
      <w:pPr>
        <w:spacing w:before="120"/>
        <w:rPr>
          <w:b/>
          <w:sz w:val="28"/>
          <w:szCs w:val="28"/>
        </w:rPr>
      </w:pPr>
      <w:r w:rsidRPr="003D27E4">
        <w:rPr>
          <w:b/>
          <w:sz w:val="28"/>
          <w:szCs w:val="28"/>
        </w:rPr>
        <w:t>Европейская экономическая комиссия</w:t>
      </w:r>
    </w:p>
    <w:p w:rsidR="00880BBF" w:rsidRPr="003D27E4" w:rsidRDefault="00880BBF" w:rsidP="003D27E4">
      <w:pPr>
        <w:spacing w:before="120"/>
        <w:rPr>
          <w:sz w:val="28"/>
          <w:szCs w:val="28"/>
        </w:rPr>
      </w:pPr>
      <w:r w:rsidRPr="003D27E4">
        <w:rPr>
          <w:sz w:val="28"/>
          <w:szCs w:val="28"/>
        </w:rPr>
        <w:t>Комитет по внутреннему транспорту</w:t>
      </w:r>
    </w:p>
    <w:p w:rsidR="00880BBF" w:rsidRPr="003D27E4" w:rsidRDefault="00880BBF" w:rsidP="003D27E4">
      <w:pPr>
        <w:spacing w:before="120"/>
        <w:rPr>
          <w:b/>
          <w:bCs/>
          <w:sz w:val="24"/>
          <w:szCs w:val="24"/>
        </w:rPr>
      </w:pPr>
      <w:r w:rsidRPr="003D27E4">
        <w:rPr>
          <w:b/>
          <w:bCs/>
          <w:sz w:val="24"/>
          <w:szCs w:val="24"/>
        </w:rPr>
        <w:t>Рабочая группа по перевозкам опасных грузов</w:t>
      </w:r>
    </w:p>
    <w:p w:rsidR="00880BBF" w:rsidRPr="00880BBF" w:rsidRDefault="00880BBF" w:rsidP="003D27E4">
      <w:pPr>
        <w:spacing w:before="120"/>
        <w:rPr>
          <w:b/>
        </w:rPr>
      </w:pPr>
      <w:r w:rsidRPr="00880BBF">
        <w:rPr>
          <w:b/>
        </w:rPr>
        <w:t xml:space="preserve">102-я сессия </w:t>
      </w:r>
    </w:p>
    <w:p w:rsidR="00880BBF" w:rsidRPr="00880BBF" w:rsidRDefault="00880BBF" w:rsidP="00880BBF">
      <w:r w:rsidRPr="00880BBF">
        <w:t xml:space="preserve">Женева, 8–12 мая 2017 года </w:t>
      </w:r>
    </w:p>
    <w:p w:rsidR="00880BBF" w:rsidRPr="00880BBF" w:rsidRDefault="00880BBF" w:rsidP="00880BBF">
      <w:r w:rsidRPr="00880BBF">
        <w:t xml:space="preserve">Пункт 5 </w:t>
      </w:r>
      <w:r w:rsidR="0022292B">
        <w:rPr>
          <w:lang w:val="en-US"/>
        </w:rPr>
        <w:t>a</w:t>
      </w:r>
      <w:r w:rsidRPr="00880BBF">
        <w:t>) предварительной повестки дня</w:t>
      </w:r>
    </w:p>
    <w:p w:rsidR="00880BBF" w:rsidRPr="00880BBF" w:rsidRDefault="00880BBF" w:rsidP="00880BBF">
      <w:pPr>
        <w:rPr>
          <w:b/>
        </w:rPr>
      </w:pPr>
      <w:r w:rsidRPr="00880BBF">
        <w:rPr>
          <w:b/>
          <w:bCs/>
        </w:rPr>
        <w:t xml:space="preserve">Предложения о внесении поправок в приложения А и В </w:t>
      </w:r>
      <w:r w:rsidR="00152E10" w:rsidRPr="00152E10">
        <w:rPr>
          <w:b/>
          <w:bCs/>
        </w:rPr>
        <w:br/>
      </w:r>
      <w:r w:rsidRPr="00880BBF">
        <w:rPr>
          <w:b/>
          <w:bCs/>
        </w:rPr>
        <w:t>к ДОПОГ:</w:t>
      </w:r>
      <w:r w:rsidR="00B53EB8" w:rsidRPr="00B53EB8">
        <w:rPr>
          <w:b/>
          <w:bCs/>
        </w:rPr>
        <w:t xml:space="preserve"> </w:t>
      </w:r>
      <w:r w:rsidRPr="00880BBF">
        <w:rPr>
          <w:b/>
        </w:rPr>
        <w:t xml:space="preserve">конструкция и допущение к перевозке </w:t>
      </w:r>
      <w:r w:rsidR="00152E10" w:rsidRPr="00152E10">
        <w:rPr>
          <w:b/>
        </w:rPr>
        <w:br/>
      </w:r>
      <w:r w:rsidRPr="00880BBF">
        <w:rPr>
          <w:b/>
        </w:rPr>
        <w:t>транспортных средств</w:t>
      </w:r>
    </w:p>
    <w:p w:rsidR="00880BBF" w:rsidRPr="00880BBF" w:rsidRDefault="00880BBF" w:rsidP="003D27E4">
      <w:pPr>
        <w:pStyle w:val="HChGR"/>
      </w:pPr>
      <w:r w:rsidRPr="00880BBF">
        <w:tab/>
      </w:r>
      <w:r w:rsidRPr="00880BBF">
        <w:tab/>
        <w:t>Электрооборудование – применение пункта 9.2.2.9.1</w:t>
      </w:r>
      <w:bookmarkStart w:id="1" w:name="OLE_LINK3"/>
      <w:bookmarkStart w:id="2" w:name="OLE_LINK4"/>
      <w:bookmarkEnd w:id="1"/>
      <w:bookmarkEnd w:id="2"/>
    </w:p>
    <w:p w:rsidR="00880BBF" w:rsidRPr="00152E10" w:rsidRDefault="00880BBF" w:rsidP="003D27E4">
      <w:pPr>
        <w:pStyle w:val="H1GR"/>
        <w:rPr>
          <w:vertAlign w:val="superscript"/>
        </w:rPr>
      </w:pPr>
      <w:r w:rsidRPr="00880BBF">
        <w:tab/>
      </w:r>
      <w:r w:rsidRPr="00880BBF">
        <w:tab/>
        <w:t>Передано правительством Франции</w:t>
      </w:r>
      <w:r w:rsidRPr="00B53EB8">
        <w:rPr>
          <w:b w:val="0"/>
          <w:sz w:val="20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3D27E4" w:rsidRPr="003D27E4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3D27E4" w:rsidRPr="003D27E4" w:rsidRDefault="003D27E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D27E4">
              <w:rPr>
                <w:rFonts w:cs="Times New Roman"/>
              </w:rPr>
              <w:tab/>
            </w:r>
            <w:r w:rsidRPr="003D27E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D27E4" w:rsidRPr="003D27E4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3D27E4" w:rsidRPr="003D27E4" w:rsidRDefault="003D27E4" w:rsidP="00B53EB8">
            <w:pPr>
              <w:pStyle w:val="SingleTxtGR"/>
              <w:ind w:left="3686" w:hanging="2552"/>
            </w:pPr>
            <w:r w:rsidRPr="00880BBF">
              <w:rPr>
                <w:b/>
              </w:rPr>
              <w:t>Существо предложения:</w:t>
            </w:r>
            <w:r w:rsidRPr="00880BBF">
              <w:tab/>
              <w:t xml:space="preserve">В пункте 9.2.2.9.1 ДОПОГ, касающемся электрических цепей, постоянно находящихся под напряжением, содержатся ссылки на определенные части стандарта </w:t>
            </w:r>
            <w:r w:rsidRPr="00880BBF">
              <w:rPr>
                <w:lang w:val="en-US"/>
              </w:rPr>
              <w:t>IEC</w:t>
            </w:r>
            <w:r w:rsidRPr="00880BBF">
              <w:t xml:space="preserve"> 60079, которым должно соответствовать оборудование. Вопрос заключается в том, может ли оборудование, предусмотренное частью 14 стандарта </w:t>
            </w:r>
            <w:r w:rsidRPr="00880BBF">
              <w:rPr>
                <w:lang w:val="en-US"/>
              </w:rPr>
              <w:t>IEC</w:t>
            </w:r>
            <w:r w:rsidRPr="00880BBF">
              <w:t xml:space="preserve"> 60079 и отвечающее требованиям части 26 или 28 данного стандарта, использоваться на транспортных средствах </w:t>
            </w:r>
            <w:r w:rsidRPr="00880BBF">
              <w:rPr>
                <w:lang w:val="en-US"/>
              </w:rPr>
              <w:t>FL</w:t>
            </w:r>
            <w:r w:rsidRPr="00880BBF">
              <w:t>.</w:t>
            </w:r>
          </w:p>
        </w:tc>
      </w:tr>
      <w:tr w:rsidR="003D27E4" w:rsidRPr="003D27E4" w:rsidTr="003D27E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3D27E4" w:rsidRPr="00880BBF" w:rsidRDefault="003D27E4" w:rsidP="00B53EB8">
            <w:pPr>
              <w:pStyle w:val="SingleTxtGR"/>
              <w:ind w:left="3686" w:hanging="2552"/>
            </w:pPr>
            <w:r w:rsidRPr="00880BBF">
              <w:rPr>
                <w:b/>
              </w:rPr>
              <w:t>Предлагаемое решение:</w:t>
            </w:r>
            <w:r w:rsidRPr="00880BBF">
              <w:tab/>
              <w:t>Внести изменения в пункты 9.2.2.9.1 и 9.7.8.2 ДОПОГ.</w:t>
            </w:r>
          </w:p>
        </w:tc>
      </w:tr>
      <w:tr w:rsidR="003D27E4" w:rsidRPr="003D27E4" w:rsidTr="003D27E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3D27E4" w:rsidRPr="003D27E4" w:rsidRDefault="003D27E4" w:rsidP="00B53EB8">
            <w:pPr>
              <w:pStyle w:val="SingleTxtGR"/>
              <w:ind w:left="3686" w:hanging="2552"/>
            </w:pPr>
            <w:r w:rsidRPr="00880BBF">
              <w:rPr>
                <w:b/>
              </w:rPr>
              <w:t>Справочные документы:</w:t>
            </w:r>
            <w:r w:rsidRPr="00880BBF">
              <w:tab/>
              <w:t>ECE/TRANS/257.</w:t>
            </w:r>
          </w:p>
        </w:tc>
      </w:tr>
      <w:tr w:rsidR="003D27E4" w:rsidRPr="003D27E4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3D27E4" w:rsidRPr="003D27E4" w:rsidRDefault="003D27E4" w:rsidP="00850215">
            <w:pPr>
              <w:rPr>
                <w:rFonts w:cs="Times New Roman"/>
              </w:rPr>
            </w:pPr>
          </w:p>
        </w:tc>
      </w:tr>
    </w:tbl>
    <w:p w:rsidR="00880BBF" w:rsidRPr="00880BBF" w:rsidRDefault="00880BBF" w:rsidP="003D27E4">
      <w:pPr>
        <w:pStyle w:val="HChGR"/>
      </w:pPr>
      <w:r w:rsidRPr="00880BBF">
        <w:tab/>
      </w:r>
      <w:r w:rsidRPr="00880BBF">
        <w:tab/>
        <w:t>Введение</w:t>
      </w:r>
    </w:p>
    <w:p w:rsidR="00880BBF" w:rsidRPr="00880BBF" w:rsidRDefault="00880BBF" w:rsidP="003D27E4">
      <w:pPr>
        <w:pStyle w:val="SingleTxtGR"/>
      </w:pPr>
      <w:r w:rsidRPr="00880BBF">
        <w:t>1.</w:t>
      </w:r>
      <w:r w:rsidRPr="00880BBF">
        <w:tab/>
        <w:t xml:space="preserve">В пункте 9.2.2.9.1 ДОПОГ, касающемся электрических цепей, постоянно находящихся под напряжением, содержатся ссылки на определенные части стандарта </w:t>
      </w:r>
      <w:r w:rsidRPr="00880BBF">
        <w:rPr>
          <w:lang w:val="en-US"/>
        </w:rPr>
        <w:t>IEC</w:t>
      </w:r>
      <w:r w:rsidRPr="00880BBF">
        <w:t xml:space="preserve"> 60079, которым должно соответствовать электрооборудование.</w:t>
      </w:r>
    </w:p>
    <w:p w:rsidR="00880BBF" w:rsidRPr="00880BBF" w:rsidRDefault="00880BBF" w:rsidP="003D27E4">
      <w:pPr>
        <w:pStyle w:val="SingleTxtGR"/>
      </w:pPr>
      <w:r w:rsidRPr="00880BBF">
        <w:lastRenderedPageBreak/>
        <w:t>2.</w:t>
      </w:r>
      <w:r w:rsidRPr="00880BBF">
        <w:tab/>
        <w:t xml:space="preserve">Стандарт </w:t>
      </w:r>
      <w:r w:rsidRPr="00880BBF">
        <w:rPr>
          <w:lang w:val="en-US"/>
        </w:rPr>
        <w:t>IEC</w:t>
      </w:r>
      <w:r w:rsidRPr="00880BBF">
        <w:t xml:space="preserve"> 60079 устанавливает в пункте 5.3 части 14 зависимость между у</w:t>
      </w:r>
      <w:r w:rsidRPr="00880BBF">
        <w:rPr>
          <w:bCs/>
        </w:rPr>
        <w:t>ровнями взрывозащиты электрооборудования (EPL) и зонами: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1304"/>
        <w:gridCol w:w="6066"/>
      </w:tblGrid>
      <w:tr w:rsidR="00B53EB8" w:rsidRPr="00B53EB8" w:rsidTr="00247E19">
        <w:trPr>
          <w:tblHeader/>
        </w:trPr>
        <w:tc>
          <w:tcPr>
            <w:tcW w:w="8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80BBF" w:rsidRPr="00B53EB8" w:rsidRDefault="00880BBF" w:rsidP="00B53EB8">
            <w:pPr>
              <w:spacing w:before="80" w:after="80" w:line="200" w:lineRule="exact"/>
              <w:rPr>
                <w:i/>
                <w:sz w:val="16"/>
              </w:rPr>
            </w:pPr>
            <w:r w:rsidRPr="00B53EB8">
              <w:rPr>
                <w:i/>
                <w:sz w:val="16"/>
              </w:rPr>
              <w:t>Зона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5" w:type="pct"/>
            <w:tcBorders>
              <w:bottom w:val="single" w:sz="12" w:space="0" w:color="auto"/>
            </w:tcBorders>
            <w:shd w:val="clear" w:color="auto" w:fill="auto"/>
          </w:tcPr>
          <w:p w:rsidR="00880BBF" w:rsidRPr="00B53EB8" w:rsidRDefault="00880BBF" w:rsidP="00B53EB8">
            <w:pPr>
              <w:spacing w:before="80" w:after="80" w:line="200" w:lineRule="exact"/>
              <w:rPr>
                <w:i/>
                <w:sz w:val="16"/>
              </w:rPr>
            </w:pPr>
            <w:r w:rsidRPr="00B53EB8">
              <w:rPr>
                <w:i/>
                <w:sz w:val="16"/>
              </w:rPr>
              <w:t>Уровни взрывозащиты электрооборудования (EPL)</w:t>
            </w:r>
          </w:p>
        </w:tc>
      </w:tr>
      <w:tr w:rsidR="00880BBF" w:rsidRPr="00B53EB8" w:rsidTr="00247E19">
        <w:tc>
          <w:tcPr>
            <w:tcW w:w="885" w:type="pct"/>
            <w:tcBorders>
              <w:top w:val="single" w:sz="12" w:space="0" w:color="auto"/>
            </w:tcBorders>
          </w:tcPr>
          <w:p w:rsidR="00880BBF" w:rsidRPr="00B53EB8" w:rsidRDefault="00880BBF" w:rsidP="00B53EB8">
            <w:r w:rsidRPr="00B53EB8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5" w:type="pct"/>
            <w:tcBorders>
              <w:top w:val="single" w:sz="12" w:space="0" w:color="auto"/>
            </w:tcBorders>
          </w:tcPr>
          <w:p w:rsidR="00880BBF" w:rsidRPr="00B53EB8" w:rsidRDefault="00880BBF" w:rsidP="00B53EB8">
            <w:r w:rsidRPr="00B53EB8">
              <w:t>Ga</w:t>
            </w:r>
          </w:p>
        </w:tc>
      </w:tr>
      <w:tr w:rsidR="00880BBF" w:rsidRPr="00B53EB8" w:rsidTr="00247E19">
        <w:tc>
          <w:tcPr>
            <w:tcW w:w="885" w:type="pct"/>
          </w:tcPr>
          <w:p w:rsidR="00880BBF" w:rsidRPr="00B53EB8" w:rsidRDefault="00880BBF" w:rsidP="00B53EB8">
            <w:r w:rsidRPr="00B53EB8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5" w:type="pct"/>
          </w:tcPr>
          <w:p w:rsidR="00880BBF" w:rsidRPr="00B53EB8" w:rsidRDefault="00880BBF" w:rsidP="00B53EB8">
            <w:r w:rsidRPr="00B53EB8">
              <w:t>Ga или Gb</w:t>
            </w:r>
          </w:p>
        </w:tc>
      </w:tr>
      <w:tr w:rsidR="00880BBF" w:rsidRPr="00B53EB8" w:rsidTr="00247E19">
        <w:tc>
          <w:tcPr>
            <w:tcW w:w="885" w:type="pct"/>
          </w:tcPr>
          <w:p w:rsidR="00880BBF" w:rsidRPr="00B53EB8" w:rsidRDefault="00880BBF" w:rsidP="00B53EB8">
            <w:r w:rsidRPr="00B53EB8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5" w:type="pct"/>
          </w:tcPr>
          <w:p w:rsidR="00880BBF" w:rsidRPr="00B53EB8" w:rsidRDefault="00880BBF" w:rsidP="00B53EB8">
            <w:r w:rsidRPr="00B53EB8">
              <w:t>Ga, Gb или Gc</w:t>
            </w:r>
          </w:p>
        </w:tc>
      </w:tr>
    </w:tbl>
    <w:p w:rsidR="00880BBF" w:rsidRPr="00880BBF" w:rsidRDefault="00880BBF" w:rsidP="00B53EB8">
      <w:pPr>
        <w:pStyle w:val="SingleTxtGR"/>
        <w:spacing w:before="120"/>
      </w:pPr>
      <w:r w:rsidRPr="00880BBF">
        <w:t>а в пункте 5.4.1 – зависимость между уровнями взрывозащиты (EPL) и видами взрывозащиты, как показано в нижеследующей выдержке из таблицы 2: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675"/>
        <w:gridCol w:w="3606"/>
        <w:gridCol w:w="1559"/>
        <w:gridCol w:w="1530"/>
      </w:tblGrid>
      <w:tr w:rsidR="002D00C6" w:rsidRPr="00B53EB8" w:rsidTr="002D00C6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80BBF" w:rsidRPr="00B53EB8" w:rsidRDefault="00880BBF" w:rsidP="00B53EB8">
            <w:pPr>
              <w:spacing w:before="80" w:after="80" w:line="200" w:lineRule="exact"/>
              <w:rPr>
                <w:i/>
                <w:sz w:val="16"/>
              </w:rPr>
            </w:pPr>
            <w:r w:rsidRPr="00B53EB8">
              <w:rPr>
                <w:i/>
                <w:sz w:val="16"/>
              </w:rPr>
              <w:t>EPL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80BBF" w:rsidRPr="00B53EB8" w:rsidRDefault="00880BBF" w:rsidP="00B53EB8">
            <w:pPr>
              <w:spacing w:before="80" w:after="80" w:line="200" w:lineRule="exact"/>
              <w:rPr>
                <w:i/>
                <w:sz w:val="16"/>
              </w:rPr>
            </w:pPr>
            <w:r w:rsidRPr="00B53EB8">
              <w:rPr>
                <w:i/>
                <w:sz w:val="16"/>
              </w:rPr>
              <w:t>Вид взрывозащиты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80BBF" w:rsidRPr="00B53EB8" w:rsidRDefault="00880BBF" w:rsidP="00B53EB8">
            <w:pPr>
              <w:spacing w:before="80" w:after="80" w:line="200" w:lineRule="exact"/>
              <w:rPr>
                <w:i/>
                <w:sz w:val="16"/>
              </w:rPr>
            </w:pPr>
            <w:r w:rsidRPr="00B53EB8">
              <w:rPr>
                <w:i/>
                <w:sz w:val="16"/>
              </w:rPr>
              <w:t>Обозначение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80BBF" w:rsidRPr="00B53EB8" w:rsidRDefault="00880BBF" w:rsidP="00B53EB8">
            <w:pPr>
              <w:spacing w:before="80" w:after="80" w:line="200" w:lineRule="exact"/>
              <w:rPr>
                <w:i/>
                <w:sz w:val="16"/>
              </w:rPr>
            </w:pPr>
            <w:r w:rsidRPr="00B53EB8">
              <w:rPr>
                <w:i/>
                <w:sz w:val="16"/>
              </w:rPr>
              <w:t>Соответствующий стандарт</w:t>
            </w:r>
          </w:p>
        </w:tc>
      </w:tr>
      <w:tr w:rsidR="00880BBF" w:rsidRPr="00B53EB8" w:rsidTr="002D00C6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880BBF" w:rsidRPr="00B53EB8" w:rsidRDefault="00880BBF" w:rsidP="00B53EB8">
            <w:r w:rsidRPr="00B53EB8">
              <w:t>Ga</w:t>
            </w:r>
          </w:p>
        </w:tc>
        <w:tc>
          <w:tcPr>
            <w:tcW w:w="3606" w:type="dxa"/>
            <w:tcBorders>
              <w:top w:val="single" w:sz="12" w:space="0" w:color="auto"/>
            </w:tcBorders>
          </w:tcPr>
          <w:p w:rsidR="00880BBF" w:rsidRPr="00B53EB8" w:rsidRDefault="00880BBF" w:rsidP="00B53EB8">
            <w:r w:rsidRPr="00B53EB8">
              <w:t>Искробезопасная электрическая цепь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80BBF" w:rsidRPr="00B53EB8" w:rsidRDefault="00880BBF" w:rsidP="00B53EB8">
            <w:r w:rsidRPr="00B53EB8">
              <w:t>“ia”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tcBorders>
              <w:top w:val="single" w:sz="12" w:space="0" w:color="auto"/>
            </w:tcBorders>
          </w:tcPr>
          <w:p w:rsidR="00880BBF" w:rsidRPr="002D00C6" w:rsidRDefault="00880BBF" w:rsidP="00B53EB8">
            <w:r w:rsidRPr="002D00C6">
              <w:t>IEC</w:t>
            </w:r>
            <w:hyperlink r:id="rId8" w:history="1">
              <w:r w:rsidRPr="002D00C6">
                <w:rPr>
                  <w:rStyle w:val="Hyperlink"/>
                  <w:color w:val="auto"/>
                </w:rPr>
                <w:t xml:space="preserve"> 60079-11</w:t>
              </w:r>
            </w:hyperlink>
            <w:r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Герметизация компаундом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“ma”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880BBF" w:rsidP="00B53EB8">
            <w:r w:rsidRPr="002D00C6">
              <w:t xml:space="preserve">IEC </w:t>
            </w:r>
            <w:hyperlink r:id="rId9" w:history="1">
              <w:r w:rsidRPr="002D00C6">
                <w:rPr>
                  <w:rStyle w:val="Hyperlink"/>
                  <w:color w:val="auto"/>
                </w:rPr>
                <w:t>60079-18</w:t>
              </w:r>
            </w:hyperlink>
            <w:r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Два независимых вида взрывозащиты, каждый отвечающий уровню взрывозащиты Gb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0" w:history="1">
              <w:r w:rsidR="00880BBF" w:rsidRPr="002D00C6">
                <w:rPr>
                  <w:rStyle w:val="Hyperlink"/>
                  <w:color w:val="auto"/>
                </w:rPr>
                <w:t>IEC 60079-26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Взрывозащита оборудования и передающих систем, использующих оптическое излучение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“op is”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1" w:history="1">
              <w:r w:rsidR="00880BBF" w:rsidRPr="002D00C6">
                <w:rPr>
                  <w:rStyle w:val="Hyperlink"/>
                  <w:color w:val="auto"/>
                </w:rPr>
                <w:t>IEC 60079-28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 w:val="restart"/>
          </w:tcPr>
          <w:p w:rsidR="00880BBF" w:rsidRPr="00B53EB8" w:rsidRDefault="00880BBF" w:rsidP="00B53EB8">
            <w:r w:rsidRPr="00B53EB8">
              <w:t>Gb</w:t>
            </w:r>
          </w:p>
        </w:tc>
        <w:tc>
          <w:tcPr>
            <w:tcW w:w="3606" w:type="dxa"/>
          </w:tcPr>
          <w:p w:rsidR="00880BBF" w:rsidRPr="00B53EB8" w:rsidRDefault="00880BBF" w:rsidP="00B53EB8">
            <w:r w:rsidRPr="00B53EB8">
              <w:t>Взрывонепроницаемые оболочки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“d”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2" w:history="1">
              <w:r w:rsidR="00880BBF" w:rsidRPr="002D00C6">
                <w:rPr>
                  <w:rStyle w:val="Hyperlink"/>
                  <w:color w:val="auto"/>
                </w:rPr>
                <w:t>IEC 60079-1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Повышенная защита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“e”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3" w:history="1">
              <w:r w:rsidR="00880BBF" w:rsidRPr="002D00C6">
                <w:rPr>
                  <w:rStyle w:val="Hyperlink"/>
                  <w:color w:val="auto"/>
                </w:rPr>
                <w:t>IEC 60079-7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Искробезопасная электрическая цепь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“ib”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4" w:history="1">
              <w:r w:rsidR="00880BBF" w:rsidRPr="002D00C6">
                <w:rPr>
                  <w:rStyle w:val="Hyperlink"/>
                  <w:color w:val="auto"/>
                </w:rPr>
                <w:t>IEC 60079-11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Герметизация компаундом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“m” “mb”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5" w:history="1">
              <w:r w:rsidR="00880BBF" w:rsidRPr="002D00C6">
                <w:rPr>
                  <w:rStyle w:val="Hyperlink"/>
                  <w:color w:val="auto"/>
                </w:rPr>
                <w:t>IEC 60079-18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Масляное заполнение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“o”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6" w:history="1">
              <w:r w:rsidR="00880BBF" w:rsidRPr="002D00C6">
                <w:rPr>
                  <w:rStyle w:val="Hyperlink"/>
                  <w:color w:val="auto"/>
                </w:rPr>
                <w:t>IEC 60079-6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Оболочки под избыточным давлением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“p”, “px”, “py”, “pxb” или “pyb”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7" w:history="1">
              <w:r w:rsidR="00880BBF" w:rsidRPr="002D00C6">
                <w:rPr>
                  <w:rStyle w:val="Hyperlink"/>
                  <w:color w:val="auto"/>
                </w:rPr>
                <w:t>IEC 60079-2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Кварцевое заполнение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“q”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8" w:history="1">
              <w:r w:rsidR="00880BBF" w:rsidRPr="002D00C6">
                <w:rPr>
                  <w:rStyle w:val="Hyperlink"/>
                  <w:color w:val="auto"/>
                </w:rPr>
                <w:t>IEC 60079-5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rPr>
          <w:trHeight w:val="693"/>
        </w:trPr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Взрывозащита оборудования и передающих систем, использующих оптическое излучение</w:t>
            </w:r>
          </w:p>
        </w:tc>
        <w:tc>
          <w:tcPr>
            <w:tcW w:w="1559" w:type="dxa"/>
          </w:tcPr>
          <w:p w:rsidR="00880BBF" w:rsidRPr="0022292B" w:rsidRDefault="00880BBF" w:rsidP="0001198A">
            <w:pPr>
              <w:rPr>
                <w:lang w:val="en-US"/>
              </w:rPr>
            </w:pPr>
            <w:r w:rsidRPr="0022292B">
              <w:rPr>
                <w:lang w:val="en-US"/>
              </w:rPr>
              <w:t>“op is”</w:t>
            </w:r>
            <w:r w:rsidR="0001198A" w:rsidRPr="0022292B">
              <w:rPr>
                <w:lang w:val="en-US"/>
              </w:rPr>
              <w:br/>
            </w:r>
            <w:r w:rsidRPr="0022292B">
              <w:rPr>
                <w:lang w:val="en-US"/>
              </w:rPr>
              <w:t>“op sh”</w:t>
            </w:r>
            <w:r w:rsidR="0001198A" w:rsidRPr="0022292B">
              <w:rPr>
                <w:lang w:val="en-US"/>
              </w:rPr>
              <w:br/>
            </w:r>
            <w:r w:rsidRPr="0022292B">
              <w:rPr>
                <w:lang w:val="en-US"/>
              </w:rPr>
              <w:t>“op pr”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19" w:history="1">
              <w:r w:rsidR="00880BBF" w:rsidRPr="002D00C6">
                <w:rPr>
                  <w:rStyle w:val="Hyperlink"/>
                  <w:color w:val="auto"/>
                </w:rPr>
                <w:t>IEC 60079-28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 w:val="restart"/>
          </w:tcPr>
          <w:p w:rsidR="00880BBF" w:rsidRPr="00B53EB8" w:rsidRDefault="00880BBF" w:rsidP="00B53EB8">
            <w:r w:rsidRPr="00B53EB8">
              <w:t>Gc</w:t>
            </w:r>
          </w:p>
        </w:tc>
        <w:tc>
          <w:tcPr>
            <w:tcW w:w="3606" w:type="dxa"/>
          </w:tcPr>
          <w:p w:rsidR="00880BBF" w:rsidRPr="00B53EB8" w:rsidRDefault="00880BBF" w:rsidP="00B53EB8">
            <w:r w:rsidRPr="00B53EB8">
              <w:t>Искробезопасная электрическая цепь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“ic”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20" w:history="1">
              <w:r w:rsidR="00880BBF" w:rsidRPr="002D00C6">
                <w:rPr>
                  <w:rStyle w:val="Hyperlink"/>
                  <w:color w:val="auto"/>
                </w:rPr>
                <w:t>IEC 60079-11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Герметизация компаундом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“mc”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21" w:history="1">
              <w:r w:rsidR="00880BBF" w:rsidRPr="002D00C6">
                <w:rPr>
                  <w:rStyle w:val="Hyperlink"/>
                  <w:color w:val="auto"/>
                </w:rPr>
                <w:t>IEC 60079-18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Неискрящее электрооборудование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“n” или “nA”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22" w:history="1">
              <w:r w:rsidR="00880BBF" w:rsidRPr="002D00C6">
                <w:rPr>
                  <w:rStyle w:val="Hyperlink"/>
                  <w:color w:val="auto"/>
                </w:rPr>
                <w:t>IEC 60079-15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Ограниченный пропуск газа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“nR”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23" w:history="1">
              <w:r w:rsidR="00880BBF" w:rsidRPr="002D00C6">
                <w:rPr>
                  <w:rStyle w:val="Hyperlink"/>
                  <w:color w:val="auto"/>
                </w:rPr>
                <w:t>IEC 60079-15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Искробезопасное оборудование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“nL”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24" w:history="1">
              <w:r w:rsidR="00880BBF" w:rsidRPr="002D00C6">
                <w:rPr>
                  <w:rStyle w:val="Hyperlink"/>
                  <w:color w:val="auto"/>
                </w:rPr>
                <w:t>IEC 60079-15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Искрящее оборудование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“nC”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25" w:history="1">
              <w:r w:rsidR="00880BBF" w:rsidRPr="002D00C6">
                <w:rPr>
                  <w:rStyle w:val="Hyperlink"/>
                  <w:color w:val="auto"/>
                </w:rPr>
                <w:t>IEC 60079-15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Оболочки под избыточным давлением</w:t>
            </w:r>
          </w:p>
        </w:tc>
        <w:tc>
          <w:tcPr>
            <w:tcW w:w="1559" w:type="dxa"/>
          </w:tcPr>
          <w:p w:rsidR="00880BBF" w:rsidRPr="00B53EB8" w:rsidRDefault="00880BBF" w:rsidP="00B53EB8">
            <w:r w:rsidRPr="00B53EB8">
              <w:t>“pz” или “pzc”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26" w:history="1">
              <w:r w:rsidR="00880BBF" w:rsidRPr="002D00C6">
                <w:rPr>
                  <w:rStyle w:val="Hyperlink"/>
                  <w:color w:val="auto"/>
                </w:rPr>
                <w:t>IEC 60079-2</w:t>
              </w:r>
            </w:hyperlink>
            <w:r w:rsidR="00880BBF" w:rsidRPr="002D00C6">
              <w:t xml:space="preserve"> </w:t>
            </w:r>
          </w:p>
        </w:tc>
      </w:tr>
      <w:tr w:rsidR="00880BBF" w:rsidRPr="00B53EB8" w:rsidTr="002D00C6">
        <w:trPr>
          <w:trHeight w:val="286"/>
        </w:trPr>
        <w:tc>
          <w:tcPr>
            <w:tcW w:w="675" w:type="dxa"/>
            <w:vMerge/>
          </w:tcPr>
          <w:p w:rsidR="00880BBF" w:rsidRPr="00B53EB8" w:rsidRDefault="00880BBF" w:rsidP="00B53EB8"/>
        </w:tc>
        <w:tc>
          <w:tcPr>
            <w:tcW w:w="3606" w:type="dxa"/>
          </w:tcPr>
          <w:p w:rsidR="00880BBF" w:rsidRPr="00B53EB8" w:rsidRDefault="00880BBF" w:rsidP="00B53EB8">
            <w:r w:rsidRPr="00B53EB8">
              <w:t>Взрывозащита оборудования и передающих систем, использующих оптическое излучение</w:t>
            </w:r>
          </w:p>
        </w:tc>
        <w:tc>
          <w:tcPr>
            <w:tcW w:w="1559" w:type="dxa"/>
          </w:tcPr>
          <w:p w:rsidR="00880BBF" w:rsidRPr="0022292B" w:rsidRDefault="00880BBF" w:rsidP="0001198A">
            <w:pPr>
              <w:rPr>
                <w:lang w:val="en-US"/>
              </w:rPr>
            </w:pPr>
            <w:r w:rsidRPr="0022292B">
              <w:rPr>
                <w:lang w:val="en-US"/>
              </w:rPr>
              <w:t>“op is”</w:t>
            </w:r>
            <w:r w:rsidR="0001198A" w:rsidRPr="0022292B">
              <w:rPr>
                <w:lang w:val="en-US"/>
              </w:rPr>
              <w:br/>
            </w:r>
            <w:r w:rsidRPr="0022292B">
              <w:rPr>
                <w:lang w:val="en-US"/>
              </w:rPr>
              <w:t>“op sh”</w:t>
            </w:r>
            <w:r w:rsidR="0001198A" w:rsidRPr="0022292B">
              <w:rPr>
                <w:lang w:val="en-US"/>
              </w:rPr>
              <w:br/>
            </w:r>
            <w:r w:rsidRPr="0022292B">
              <w:rPr>
                <w:lang w:val="en-US"/>
              </w:rPr>
              <w:t>“op pr”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:rsidR="00880BBF" w:rsidRPr="002D00C6" w:rsidRDefault="006A0D58" w:rsidP="00B53EB8">
            <w:hyperlink r:id="rId27" w:history="1">
              <w:r w:rsidR="00880BBF" w:rsidRPr="002D00C6">
                <w:rPr>
                  <w:rStyle w:val="Hyperlink"/>
                  <w:color w:val="auto"/>
                </w:rPr>
                <w:t>IEC 60079-28</w:t>
              </w:r>
            </w:hyperlink>
            <w:r w:rsidR="00880BBF" w:rsidRPr="002D00C6">
              <w:t xml:space="preserve"> </w:t>
            </w:r>
          </w:p>
        </w:tc>
      </w:tr>
    </w:tbl>
    <w:p w:rsidR="00880BBF" w:rsidRPr="00880BBF" w:rsidRDefault="00880BBF" w:rsidP="00880BBF">
      <w:pPr>
        <w:pStyle w:val="SingleTxtGR"/>
      </w:pPr>
      <w:r w:rsidRPr="00880BBF">
        <w:lastRenderedPageBreak/>
        <w:t>3.</w:t>
      </w:r>
      <w:r w:rsidRPr="00880BBF">
        <w:tab/>
        <w:t>В приведенной выше таблице упоминаются части стандарта IEC 60079, которые в настоящее время не указаны в пункте 9.2.2.9.1. Речь идет о частях 26 и 28.</w:t>
      </w:r>
    </w:p>
    <w:p w:rsidR="00880BBF" w:rsidRPr="00880BBF" w:rsidRDefault="00880BBF" w:rsidP="00880BBF">
      <w:pPr>
        <w:pStyle w:val="SingleTxtGR"/>
      </w:pPr>
      <w:r w:rsidRPr="00880BBF">
        <w:t>4.</w:t>
      </w:r>
      <w:r w:rsidRPr="00880BBF">
        <w:tab/>
        <w:t>Возникает вопрос в том, не было бы разумным добавить ссылки на эти части в пункт 9.2.2.9.1, а также в пункт 9.7.8.2, что позволило бы охватить такое оборудование, как зонды для защиты от переполнения.</w:t>
      </w:r>
    </w:p>
    <w:p w:rsidR="00880BBF" w:rsidRPr="00FC54A8" w:rsidRDefault="00880BBF" w:rsidP="00880BBF">
      <w:pPr>
        <w:pStyle w:val="SingleTxtGR"/>
      </w:pPr>
      <w:r w:rsidRPr="00880BBF">
        <w:t>5.</w:t>
      </w:r>
      <w:r w:rsidRPr="00880BBF">
        <w:tab/>
        <w:t>Если Рабочая группа сочтет, что части 26 и 28 стандарта IEC 60079 являются надлежащими, можно будет</w:t>
      </w:r>
      <w:r w:rsidR="00FC54A8">
        <w:t xml:space="preserve"> внести следующие изменения</w:t>
      </w:r>
      <w:r w:rsidR="00FC54A8" w:rsidRPr="00FC54A8">
        <w:t>.</w:t>
      </w:r>
    </w:p>
    <w:p w:rsidR="00880BBF" w:rsidRPr="00880BBF" w:rsidRDefault="003D2E0E" w:rsidP="003D2E0E">
      <w:pPr>
        <w:pStyle w:val="HChGR"/>
      </w:pPr>
      <w:r w:rsidRPr="00FC54A8">
        <w:tab/>
      </w:r>
      <w:r w:rsidRPr="00FC54A8">
        <w:tab/>
      </w:r>
      <w:r w:rsidR="00880BBF" w:rsidRPr="00880BBF">
        <w:t>Предложение</w:t>
      </w:r>
    </w:p>
    <w:p w:rsidR="00880BBF" w:rsidRPr="00880BBF" w:rsidRDefault="00880BBF" w:rsidP="00880BBF">
      <w:pPr>
        <w:pStyle w:val="SingleTxtGR"/>
      </w:pPr>
      <w:r w:rsidRPr="00880BBF">
        <w:t>6.</w:t>
      </w:r>
      <w:r w:rsidRPr="00880BBF">
        <w:tab/>
        <w:t xml:space="preserve">В пункте 9.2.2.9.1 </w:t>
      </w:r>
      <w:r w:rsidRPr="00880BBF">
        <w:rPr>
          <w:lang w:val="fr-FR"/>
        </w:rPr>
        <w:t>a</w:t>
      </w:r>
      <w:r w:rsidRPr="00880BBF">
        <w:t>) заменить «части 1, 2, 5, 6, 7, 11, 15 или 18» на «части</w:t>
      </w:r>
      <w:r w:rsidR="00FC54A8">
        <w:rPr>
          <w:lang w:val="en-US"/>
        </w:rPr>
        <w:t> </w:t>
      </w:r>
      <w:r w:rsidRPr="00880BBF">
        <w:t>1, 2, 5, 6, 7, 11, 15, 18, 26 или 28».</w:t>
      </w:r>
    </w:p>
    <w:p w:rsidR="00880BBF" w:rsidRPr="00880BBF" w:rsidRDefault="00880BBF" w:rsidP="00880BBF">
      <w:pPr>
        <w:pStyle w:val="SingleTxtGR"/>
      </w:pPr>
      <w:r w:rsidRPr="00880BBF">
        <w:t>7.</w:t>
      </w:r>
      <w:r w:rsidRPr="00880BBF">
        <w:tab/>
        <w:t>В пункте 9.7.8.2 заменить «части 1, 2, 5, 6, 7, 11 или 18» на «части 1, 2, 5, 6, 7, 11, 18, 26 или 28».</w:t>
      </w:r>
    </w:p>
    <w:p w:rsidR="00381C24" w:rsidRPr="003D2E0E" w:rsidRDefault="003D2E0E" w:rsidP="003D2E0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D2E0E" w:rsidSect="00880BBF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CA" w:rsidRPr="00A312BC" w:rsidRDefault="007F0FCA" w:rsidP="00A312BC"/>
  </w:endnote>
  <w:endnote w:type="continuationSeparator" w:id="0">
    <w:p w:rsidR="007F0FCA" w:rsidRPr="00A312BC" w:rsidRDefault="007F0FC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BF" w:rsidRPr="00880BBF" w:rsidRDefault="00880BBF">
    <w:pPr>
      <w:pStyle w:val="Footer"/>
    </w:pPr>
    <w:r w:rsidRPr="00880BBF">
      <w:rPr>
        <w:b/>
        <w:sz w:val="18"/>
      </w:rPr>
      <w:fldChar w:fldCharType="begin"/>
    </w:r>
    <w:r w:rsidRPr="00880BBF">
      <w:rPr>
        <w:b/>
        <w:sz w:val="18"/>
      </w:rPr>
      <w:instrText xml:space="preserve"> PAGE  \* MERGEFORMAT </w:instrText>
    </w:r>
    <w:r w:rsidRPr="00880BBF">
      <w:rPr>
        <w:b/>
        <w:sz w:val="18"/>
      </w:rPr>
      <w:fldChar w:fldCharType="separate"/>
    </w:r>
    <w:r w:rsidR="006A0D58">
      <w:rPr>
        <w:b/>
        <w:noProof/>
        <w:sz w:val="18"/>
      </w:rPr>
      <w:t>2</w:t>
    </w:r>
    <w:r w:rsidRPr="00880BBF">
      <w:rPr>
        <w:b/>
        <w:sz w:val="18"/>
      </w:rPr>
      <w:fldChar w:fldCharType="end"/>
    </w:r>
    <w:r>
      <w:rPr>
        <w:b/>
        <w:sz w:val="18"/>
      </w:rPr>
      <w:tab/>
    </w:r>
    <w:r>
      <w:t>GE.17-02687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BF" w:rsidRPr="00880BBF" w:rsidRDefault="00880BBF" w:rsidP="00880BBF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GE.17-02687</w:t>
    </w:r>
    <w:r>
      <w:tab/>
    </w:r>
    <w:r w:rsidRPr="00880BBF">
      <w:rPr>
        <w:b/>
        <w:sz w:val="18"/>
      </w:rPr>
      <w:fldChar w:fldCharType="begin"/>
    </w:r>
    <w:r w:rsidRPr="00880BBF">
      <w:rPr>
        <w:b/>
        <w:sz w:val="18"/>
      </w:rPr>
      <w:instrText xml:space="preserve"> PAGE  \* MERGEFORMAT </w:instrText>
    </w:r>
    <w:r w:rsidRPr="00880BBF">
      <w:rPr>
        <w:b/>
        <w:sz w:val="18"/>
      </w:rPr>
      <w:fldChar w:fldCharType="separate"/>
    </w:r>
    <w:r w:rsidR="006A0D58">
      <w:rPr>
        <w:b/>
        <w:noProof/>
        <w:sz w:val="18"/>
      </w:rPr>
      <w:t>3</w:t>
    </w:r>
    <w:r w:rsidRPr="00880B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80BBF" w:rsidRDefault="00880BBF" w:rsidP="00880BBF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31011512" wp14:editId="119215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17-02687  (R)</w:t>
    </w:r>
    <w:r w:rsidR="00B66930">
      <w:rPr>
        <w:lang w:val="en-US"/>
      </w:rPr>
      <w:t xml:space="preserve">  100317  100317</w:t>
    </w:r>
    <w:r>
      <w:br/>
    </w:r>
    <w:r w:rsidRPr="00880BBF">
      <w:rPr>
        <w:rFonts w:ascii="C39T30Lfz" w:hAnsi="C39T30Lfz"/>
        <w:spacing w:val="0"/>
        <w:w w:val="100"/>
        <w:sz w:val="56"/>
      </w:rPr>
      <w:t></w:t>
    </w:r>
    <w:r w:rsidRPr="00880BBF">
      <w:rPr>
        <w:rFonts w:ascii="C39T30Lfz" w:hAnsi="C39T30Lfz"/>
        <w:spacing w:val="0"/>
        <w:w w:val="100"/>
        <w:sz w:val="56"/>
      </w:rPr>
      <w:t></w:t>
    </w:r>
    <w:r w:rsidRPr="00880BBF">
      <w:rPr>
        <w:rFonts w:ascii="C39T30Lfz" w:hAnsi="C39T30Lfz"/>
        <w:spacing w:val="0"/>
        <w:w w:val="100"/>
        <w:sz w:val="56"/>
      </w:rPr>
      <w:t></w:t>
    </w:r>
    <w:r w:rsidRPr="00880BBF">
      <w:rPr>
        <w:rFonts w:ascii="C39T30Lfz" w:hAnsi="C39T30Lfz"/>
        <w:spacing w:val="0"/>
        <w:w w:val="100"/>
        <w:sz w:val="56"/>
      </w:rPr>
      <w:t></w:t>
    </w:r>
    <w:r w:rsidRPr="00880BBF">
      <w:rPr>
        <w:rFonts w:ascii="C39T30Lfz" w:hAnsi="C39T30Lfz"/>
        <w:spacing w:val="0"/>
        <w:w w:val="100"/>
        <w:sz w:val="56"/>
      </w:rPr>
      <w:t></w:t>
    </w:r>
    <w:r w:rsidRPr="00880BBF">
      <w:rPr>
        <w:rFonts w:ascii="C39T30Lfz" w:hAnsi="C39T30Lfz"/>
        <w:spacing w:val="0"/>
        <w:w w:val="100"/>
        <w:sz w:val="56"/>
      </w:rPr>
      <w:t></w:t>
    </w:r>
    <w:r w:rsidRPr="00880BBF">
      <w:rPr>
        <w:rFonts w:ascii="C39T30Lfz" w:hAnsi="C39T30Lfz"/>
        <w:spacing w:val="0"/>
        <w:w w:val="100"/>
        <w:sz w:val="56"/>
      </w:rPr>
      <w:t></w:t>
    </w:r>
    <w:r w:rsidRPr="00880BBF">
      <w:rPr>
        <w:rFonts w:ascii="C39T30Lfz" w:hAnsi="C39T30Lfz"/>
        <w:spacing w:val="0"/>
        <w:w w:val="100"/>
        <w:sz w:val="56"/>
      </w:rPr>
      <w:t></w:t>
    </w:r>
    <w:r w:rsidRPr="00880BB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15/2017/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CA" w:rsidRPr="001075E9" w:rsidRDefault="007F0FC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0FCA" w:rsidRDefault="007F0FC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80BBF" w:rsidRPr="0085045C" w:rsidRDefault="00880BBF" w:rsidP="00B53EB8">
      <w:pPr>
        <w:pStyle w:val="FootnoteText"/>
        <w:tabs>
          <w:tab w:val="clear" w:pos="1021"/>
        </w:tabs>
        <w:ind w:left="1418" w:right="1260" w:hanging="284"/>
        <w:rPr>
          <w:lang w:val="ru-RU"/>
        </w:rPr>
      </w:pPr>
      <w:r w:rsidRPr="00B53EB8">
        <w:rPr>
          <w:rStyle w:val="FootnoteReference"/>
          <w:sz w:val="20"/>
          <w:vertAlign w:val="baseline"/>
        </w:rPr>
        <w:sym w:font="Symbol" w:char="F02A"/>
      </w:r>
      <w:r w:rsidRPr="00843488">
        <w:rPr>
          <w:lang w:val="ru-RU"/>
        </w:rPr>
        <w:tab/>
      </w:r>
      <w:r w:rsidRPr="000D107A">
        <w:rPr>
          <w:lang w:val="ru-RU"/>
        </w:rPr>
        <w:t>В соответствии с программой работы Комитета по внутреннему транспорту на</w:t>
      </w:r>
      <w:r>
        <w:rPr>
          <w:lang w:val="ru-RU"/>
        </w:rPr>
        <w:t> </w:t>
      </w:r>
      <w:r w:rsidRPr="000D107A">
        <w:rPr>
          <w:lang w:val="ru-RU"/>
        </w:rPr>
        <w:t>2016−2017 годы (ECE/TRANS/2016/28/Add.1 (9.</w:t>
      </w:r>
      <w:r>
        <w:rPr>
          <w:lang w:val="ru-RU"/>
        </w:rPr>
        <w:t>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BF" w:rsidRPr="00880BBF" w:rsidRDefault="006A0D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20D2A">
      <w:t>ECE/TRANS/WP.15/2017/6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BF" w:rsidRPr="00880BBF" w:rsidRDefault="006A0D58" w:rsidP="00880BB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20D2A">
      <w:t>ECE/TRANS/WP.15/2017/6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CA"/>
    <w:rsid w:val="0001198A"/>
    <w:rsid w:val="00030BED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75E9"/>
    <w:rsid w:val="0014152F"/>
    <w:rsid w:val="00142F5E"/>
    <w:rsid w:val="00152E10"/>
    <w:rsid w:val="00180183"/>
    <w:rsid w:val="0018024D"/>
    <w:rsid w:val="0018649F"/>
    <w:rsid w:val="00196389"/>
    <w:rsid w:val="001B3EF6"/>
    <w:rsid w:val="001C7A89"/>
    <w:rsid w:val="001D5C5A"/>
    <w:rsid w:val="0022292B"/>
    <w:rsid w:val="00247E19"/>
    <w:rsid w:val="002979E2"/>
    <w:rsid w:val="002A2EFC"/>
    <w:rsid w:val="002B74B1"/>
    <w:rsid w:val="002C0E18"/>
    <w:rsid w:val="002D00C6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3D27E4"/>
    <w:rsid w:val="003D2E0E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82951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876E8"/>
    <w:rsid w:val="006A0D58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0FCA"/>
    <w:rsid w:val="00806737"/>
    <w:rsid w:val="00811570"/>
    <w:rsid w:val="00825F8D"/>
    <w:rsid w:val="00834B71"/>
    <w:rsid w:val="0086445C"/>
    <w:rsid w:val="00880BBF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36DF7"/>
    <w:rsid w:val="00B539E7"/>
    <w:rsid w:val="00B53EB8"/>
    <w:rsid w:val="00B62458"/>
    <w:rsid w:val="00B66930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20D2A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C54A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4988813-7CB2-4719-9445-42BE1CC2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ewer.afnor.org/Html/Display/_q3yyBRjTGw1/chapter/5/" TargetMode="External"/><Relationship Id="rId18" Type="http://schemas.openxmlformats.org/officeDocument/2006/relationships/hyperlink" Target="http://viewer.afnor.org/Html/Display/_q3yyBRjTGw1/chapter/5/" TargetMode="External"/><Relationship Id="rId26" Type="http://schemas.openxmlformats.org/officeDocument/2006/relationships/hyperlink" Target="http://viewer.afnor.org/Html/Display/_q3yyBRjTGw1/chapter/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ewer.afnor.org/Html/Display/_q3yyBRjTGw1/chapter/5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viewer.afnor.org/Html/Display/_q3yyBRjTGw1/chapter/5/" TargetMode="External"/><Relationship Id="rId17" Type="http://schemas.openxmlformats.org/officeDocument/2006/relationships/hyperlink" Target="http://viewer.afnor.org/Html/Display/_q3yyBRjTGw1/chapter/5/" TargetMode="External"/><Relationship Id="rId25" Type="http://schemas.openxmlformats.org/officeDocument/2006/relationships/hyperlink" Target="http://viewer.afnor.org/Html/Display/_q3yyBRjTGw1/chapter/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ewer.afnor.org/Html/Display/_q3yyBRjTGw1/chapter/5/" TargetMode="External"/><Relationship Id="rId20" Type="http://schemas.openxmlformats.org/officeDocument/2006/relationships/hyperlink" Target="http://viewer.afnor.org/Html/Display/_q3yyBRjTGw1/chapter/5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ewer.afnor.org/Html/Display/_q3yyBRjTGw1/chapter/5/" TargetMode="External"/><Relationship Id="rId24" Type="http://schemas.openxmlformats.org/officeDocument/2006/relationships/hyperlink" Target="http://viewer.afnor.org/Html/Display/_q3yyBRjTGw1/chapter/5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viewer.afnor.org/Html/Display/_q3yyBRjTGw1/chapter/5/" TargetMode="External"/><Relationship Id="rId23" Type="http://schemas.openxmlformats.org/officeDocument/2006/relationships/hyperlink" Target="http://viewer.afnor.org/Html/Display/_q3yyBRjTGw1/chapter/5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viewer.afnor.org/Html/Display/_q3yyBRjTGw1/chapter/5/" TargetMode="External"/><Relationship Id="rId19" Type="http://schemas.openxmlformats.org/officeDocument/2006/relationships/hyperlink" Target="http://viewer.afnor.org/Html/Display/_q3yyBRjTGw1/chapter/5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viewer.afnor.org/Html/Display/_q3yyBRjTGw1/chapter/5/" TargetMode="External"/><Relationship Id="rId14" Type="http://schemas.openxmlformats.org/officeDocument/2006/relationships/hyperlink" Target="http://viewer.afnor.org/Html/Display/_q3yyBRjTGw1/chapter/5/" TargetMode="External"/><Relationship Id="rId22" Type="http://schemas.openxmlformats.org/officeDocument/2006/relationships/hyperlink" Target="http://viewer.afnor.org/Html/Display/_q3yyBRjTGw1/chapter/5/" TargetMode="External"/><Relationship Id="rId27" Type="http://schemas.openxmlformats.org/officeDocument/2006/relationships/hyperlink" Target="http://viewer.afnor.org/Html/Display/_q3yyBRjTGw1/chapter/5/" TargetMode="External"/><Relationship Id="rId30" Type="http://schemas.openxmlformats.org/officeDocument/2006/relationships/footer" Target="footer1.xml"/><Relationship Id="rId8" Type="http://schemas.openxmlformats.org/officeDocument/2006/relationships/hyperlink" Target="http://viewer.afnor.org/Html/Display/_q3yyBRjTGw1/chapter/5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4417</Characters>
  <Application>Microsoft Office Word</Application>
  <DocSecurity>0</DocSecurity>
  <Lines>276</Lines>
  <Paragraphs>229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ECE/TRANS/WP.15/2017/6</vt:lpstr>
      <vt:lpstr>ECE/TRANS/WP.15/2017/6</vt:lpstr>
      <vt:lpstr>A/</vt:lpstr>
    </vt:vector>
  </TitlesOfParts>
  <Company>DCM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ECE/TRANS/WP.15/2017/6</dc:title>
  <dc:creator>Sharkina</dc:creator>
  <cp:lastModifiedBy>Christine Barrio-Champeau</cp:lastModifiedBy>
  <cp:revision>2</cp:revision>
  <cp:lastPrinted>2017-03-10T13:59:00Z</cp:lastPrinted>
  <dcterms:created xsi:type="dcterms:W3CDTF">2017-03-13T09:56:00Z</dcterms:created>
  <dcterms:modified xsi:type="dcterms:W3CDTF">2017-03-13T09:56:00Z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