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1748C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01748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01748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01748C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01748C">
              <w:rPr>
                <w:b/>
                <w:sz w:val="40"/>
                <w:szCs w:val="40"/>
              </w:rPr>
              <w:t>UN/SCETDG/</w:t>
            </w:r>
            <w:r w:rsidR="00733FA4" w:rsidRPr="0001748C">
              <w:rPr>
                <w:b/>
                <w:sz w:val="40"/>
                <w:szCs w:val="40"/>
              </w:rPr>
              <w:t>5</w:t>
            </w:r>
            <w:r w:rsidR="000E23BE" w:rsidRPr="0001748C">
              <w:rPr>
                <w:b/>
                <w:sz w:val="40"/>
                <w:szCs w:val="40"/>
              </w:rPr>
              <w:t>2</w:t>
            </w:r>
            <w:r w:rsidRPr="0001748C">
              <w:rPr>
                <w:b/>
                <w:sz w:val="40"/>
                <w:szCs w:val="40"/>
              </w:rPr>
              <w:t>/INF.</w:t>
            </w:r>
            <w:r w:rsidR="0001748C" w:rsidRPr="0001748C">
              <w:rPr>
                <w:b/>
                <w:sz w:val="40"/>
                <w:szCs w:val="40"/>
              </w:rPr>
              <w:t>1</w:t>
            </w:r>
            <w:r w:rsidR="000E23BE" w:rsidRPr="0001748C">
              <w:rPr>
                <w:b/>
                <w:sz w:val="40"/>
                <w:szCs w:val="40"/>
              </w:rPr>
              <w:t>3</w:t>
            </w:r>
          </w:p>
          <w:p w:rsidR="00FC215C" w:rsidRPr="0001748C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01748C">
              <w:rPr>
                <w:b/>
                <w:sz w:val="40"/>
                <w:szCs w:val="40"/>
              </w:rPr>
              <w:t>UN/SCEGHS/</w:t>
            </w:r>
            <w:r w:rsidR="00F64C95" w:rsidRPr="0001748C">
              <w:rPr>
                <w:b/>
                <w:sz w:val="40"/>
                <w:szCs w:val="40"/>
              </w:rPr>
              <w:t>3</w:t>
            </w:r>
            <w:r w:rsidR="000E23BE" w:rsidRPr="0001748C">
              <w:rPr>
                <w:b/>
                <w:sz w:val="40"/>
                <w:szCs w:val="40"/>
              </w:rPr>
              <w:t>4</w:t>
            </w:r>
            <w:r w:rsidRPr="0001748C">
              <w:rPr>
                <w:b/>
                <w:sz w:val="40"/>
                <w:szCs w:val="40"/>
              </w:rPr>
              <w:t>/INF.</w:t>
            </w:r>
            <w:r w:rsidR="0001748C" w:rsidRPr="0001748C">
              <w:rPr>
                <w:b/>
                <w:sz w:val="40"/>
                <w:szCs w:val="40"/>
              </w:rPr>
              <w:t>7</w:t>
            </w:r>
          </w:p>
          <w:p w:rsidR="000216CC" w:rsidRPr="0001748C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p w:rsidR="000019B8" w:rsidRPr="0001748C" w:rsidRDefault="00006D38" w:rsidP="000019B8">
      <w:pPr>
        <w:rPr>
          <w:vanish/>
        </w:rPr>
      </w:pPr>
      <w:r w:rsidRPr="0001748C">
        <w:rPr>
          <w:vanish/>
        </w:rPr>
        <w:t>/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1748C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01748C" w:rsidRDefault="00645A0B" w:rsidP="0001748C">
            <w:pPr>
              <w:tabs>
                <w:tab w:val="right" w:pos="9214"/>
              </w:tabs>
            </w:pPr>
            <w:r w:rsidRPr="0001748C">
              <w:rPr>
                <w:b/>
                <w:sz w:val="24"/>
                <w:szCs w:val="24"/>
              </w:rPr>
              <w:t>Committee of Experts on the Transport of Dangerous Goods</w:t>
            </w:r>
            <w:r w:rsidRPr="0001748C">
              <w:rPr>
                <w:b/>
                <w:sz w:val="24"/>
                <w:szCs w:val="24"/>
              </w:rPr>
              <w:tab/>
            </w:r>
            <w:r w:rsidRPr="0001748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1748C">
              <w:rPr>
                <w:b/>
                <w:sz w:val="24"/>
                <w:szCs w:val="24"/>
              </w:rPr>
              <w:br/>
              <w:t>and Labelling of Chemicals</w:t>
            </w:r>
            <w:r w:rsidRPr="0001748C">
              <w:rPr>
                <w:b/>
              </w:rPr>
              <w:tab/>
            </w:r>
            <w:r w:rsidR="0001748C" w:rsidRPr="0001748C">
              <w:rPr>
                <w:b/>
              </w:rPr>
              <w:t>9</w:t>
            </w:r>
            <w:r w:rsidR="000E23BE" w:rsidRPr="0001748C">
              <w:rPr>
                <w:b/>
              </w:rPr>
              <w:t xml:space="preserve"> </w:t>
            </w:r>
            <w:r w:rsidR="0001748C" w:rsidRPr="0001748C">
              <w:rPr>
                <w:b/>
              </w:rPr>
              <w:t xml:space="preserve">November </w:t>
            </w:r>
            <w:r w:rsidR="000E23BE" w:rsidRPr="0001748C">
              <w:rPr>
                <w:b/>
              </w:rPr>
              <w:t>2017</w:t>
            </w:r>
          </w:p>
        </w:tc>
      </w:tr>
      <w:tr w:rsidR="00645A0B" w:rsidRPr="0001748C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01748C" w:rsidRDefault="00645A0B" w:rsidP="00165735">
            <w:pPr>
              <w:spacing w:before="120"/>
              <w:rPr>
                <w:b/>
              </w:rPr>
            </w:pPr>
            <w:r w:rsidRPr="0001748C">
              <w:rPr>
                <w:b/>
              </w:rPr>
              <w:t xml:space="preserve">Sub-Committee of Experts on the </w:t>
            </w:r>
            <w:r w:rsidRPr="0001748C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01748C" w:rsidRDefault="00645A0B" w:rsidP="00165735">
            <w:pPr>
              <w:spacing w:before="120"/>
              <w:rPr>
                <w:b/>
              </w:rPr>
            </w:pPr>
            <w:r w:rsidRPr="0001748C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01748C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01748C" w:rsidRDefault="00EA48C4" w:rsidP="000E23BE">
            <w:pPr>
              <w:spacing w:before="120"/>
              <w:ind w:left="34" w:hanging="34"/>
              <w:rPr>
                <w:b/>
              </w:rPr>
            </w:pPr>
            <w:r w:rsidRPr="0001748C">
              <w:rPr>
                <w:b/>
              </w:rPr>
              <w:t>F</w:t>
            </w:r>
            <w:r w:rsidR="004E1665" w:rsidRPr="0001748C">
              <w:rPr>
                <w:b/>
              </w:rPr>
              <w:t>ift</w:t>
            </w:r>
            <w:r w:rsidR="002921EA" w:rsidRPr="0001748C">
              <w:rPr>
                <w:b/>
              </w:rPr>
              <w:t>y-</w:t>
            </w:r>
            <w:r w:rsidR="000E23BE" w:rsidRPr="0001748C">
              <w:rPr>
                <w:b/>
              </w:rPr>
              <w:t>second</w:t>
            </w:r>
            <w:r w:rsidR="00645A0B" w:rsidRPr="0001748C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01748C" w:rsidRDefault="00F64C95" w:rsidP="000E23BE">
            <w:pPr>
              <w:spacing w:before="120"/>
              <w:rPr>
                <w:b/>
                <w:highlight w:val="yellow"/>
              </w:rPr>
            </w:pPr>
            <w:r w:rsidRPr="0001748C">
              <w:rPr>
                <w:b/>
              </w:rPr>
              <w:t>Thirty-</w:t>
            </w:r>
            <w:r w:rsidR="000E23BE" w:rsidRPr="0001748C">
              <w:rPr>
                <w:b/>
              </w:rPr>
              <w:t>fourth</w:t>
            </w:r>
            <w:r w:rsidR="00645A0B" w:rsidRPr="0001748C">
              <w:rPr>
                <w:b/>
              </w:rPr>
              <w:t xml:space="preserve"> session</w:t>
            </w:r>
          </w:p>
        </w:tc>
      </w:tr>
      <w:tr w:rsidR="00645A0B" w:rsidRPr="0001748C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01748C" w:rsidRDefault="00833EC7" w:rsidP="00833EC7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01748C">
              <w:rPr>
                <w:bCs/>
              </w:rPr>
              <w:t xml:space="preserve">Geneva, </w:t>
            </w:r>
            <w:r w:rsidR="000E23BE" w:rsidRPr="0001748C">
              <w:rPr>
                <w:bCs/>
              </w:rPr>
              <w:t>26 November</w:t>
            </w:r>
            <w:r w:rsidR="00D636B4" w:rsidRPr="0001748C">
              <w:rPr>
                <w:bCs/>
              </w:rPr>
              <w:t xml:space="preserve"> </w:t>
            </w:r>
            <w:r w:rsidR="000E23BE" w:rsidRPr="0001748C">
              <w:rPr>
                <w:bCs/>
              </w:rPr>
              <w:t>-</w:t>
            </w:r>
            <w:r w:rsidR="00D636B4" w:rsidRPr="0001748C">
              <w:rPr>
                <w:bCs/>
              </w:rPr>
              <w:t xml:space="preserve"> </w:t>
            </w:r>
            <w:r w:rsidR="000E23BE" w:rsidRPr="0001748C">
              <w:rPr>
                <w:bCs/>
              </w:rPr>
              <w:t>6</w:t>
            </w:r>
            <w:r w:rsidR="003063E9" w:rsidRPr="0001748C">
              <w:rPr>
                <w:bCs/>
              </w:rPr>
              <w:t xml:space="preserve"> </w:t>
            </w:r>
            <w:r w:rsidR="000E23BE" w:rsidRPr="0001748C">
              <w:rPr>
                <w:bCs/>
              </w:rPr>
              <w:t>December 2017</w:t>
            </w:r>
          </w:p>
          <w:p w:rsidR="003A4561" w:rsidRPr="0001748C" w:rsidRDefault="003A4561" w:rsidP="003A4561">
            <w:pPr>
              <w:tabs>
                <w:tab w:val="left" w:pos="-10"/>
              </w:tabs>
              <w:spacing w:before="40"/>
              <w:ind w:left="34" w:hanging="34"/>
            </w:pPr>
            <w:r w:rsidRPr="0001748C">
              <w:t>Item 10 (d) of the provisional agenda</w:t>
            </w:r>
          </w:p>
          <w:p w:rsidR="00645A0B" w:rsidRPr="0001748C" w:rsidRDefault="003A4561" w:rsidP="003A4561">
            <w:pPr>
              <w:spacing w:before="40"/>
              <w:ind w:left="34" w:hanging="34"/>
              <w:rPr>
                <w:b/>
                <w:bCs/>
              </w:rPr>
            </w:pPr>
            <w:r w:rsidRPr="0001748C">
              <w:rPr>
                <w:b/>
              </w:rPr>
              <w:t>Issues relating to the Globally Harmonized System of Classification and Labelling of Chemicals:</w:t>
            </w:r>
            <w:r w:rsidRPr="0001748C">
              <w:rPr>
                <w:b/>
              </w:rPr>
              <w:br/>
              <w:t>Use of the Manual of Tests and Criteria in the context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01748C" w:rsidRDefault="00833EC7" w:rsidP="00833EC7">
            <w:pPr>
              <w:jc w:val="both"/>
            </w:pPr>
            <w:r w:rsidRPr="0001748C">
              <w:t xml:space="preserve">Geneva, </w:t>
            </w:r>
            <w:r w:rsidR="000E23BE" w:rsidRPr="0001748C">
              <w:t>6-8 December 2017</w:t>
            </w:r>
          </w:p>
          <w:p w:rsidR="003A4561" w:rsidRPr="0001748C" w:rsidRDefault="003A4561" w:rsidP="003A4561">
            <w:pPr>
              <w:spacing w:before="40"/>
            </w:pPr>
            <w:r w:rsidRPr="0001748C">
              <w:t>Item 2 (a) of the provisional agenda</w:t>
            </w:r>
          </w:p>
          <w:p w:rsidR="00645A0B" w:rsidRPr="0001748C" w:rsidRDefault="003A4561" w:rsidP="003A4561">
            <w:pPr>
              <w:spacing w:before="40"/>
              <w:rPr>
                <w:b/>
                <w:bCs/>
              </w:rPr>
            </w:pPr>
            <w:r w:rsidRPr="0001748C">
              <w:rPr>
                <w:b/>
              </w:rPr>
              <w:t>Classification criteria and related hazard communication:</w:t>
            </w:r>
            <w:r w:rsidRPr="0001748C">
              <w:rPr>
                <w:b/>
              </w:rPr>
              <w:br/>
              <w:t>Work of the Sub-Committee of Experts on the Transport of Dangerous Goods (TDG) on matters of interest to the GHS Sub-Committee</w:t>
            </w:r>
          </w:p>
        </w:tc>
      </w:tr>
    </w:tbl>
    <w:p w:rsidR="0001748C" w:rsidRPr="0001748C" w:rsidRDefault="000E23BE" w:rsidP="0001748C">
      <w:pPr>
        <w:pStyle w:val="HChG"/>
        <w:rPr>
          <w:lang w:val="en-GB"/>
        </w:rPr>
      </w:pPr>
      <w:r w:rsidRPr="0001748C">
        <w:rPr>
          <w:lang w:val="en-GB"/>
        </w:rPr>
        <w:tab/>
      </w:r>
      <w:r w:rsidRPr="0001748C">
        <w:rPr>
          <w:lang w:val="en-GB"/>
        </w:rPr>
        <w:tab/>
      </w:r>
      <w:r w:rsidR="0001748C" w:rsidRPr="0001748C">
        <w:rPr>
          <w:lang w:val="en-GB"/>
        </w:rPr>
        <w:t>Comments on INF.3/Add.1, figures 10.1 and 10.4</w:t>
      </w:r>
    </w:p>
    <w:p w:rsidR="000E23BE" w:rsidRPr="0001748C" w:rsidRDefault="000E23BE" w:rsidP="0001748C">
      <w:pPr>
        <w:pStyle w:val="H1G"/>
      </w:pPr>
      <w:r w:rsidRPr="0001748C">
        <w:tab/>
      </w:r>
      <w:r w:rsidRPr="0001748C">
        <w:tab/>
        <w:t xml:space="preserve">Transmitted by </w:t>
      </w:r>
      <w:r w:rsidR="0001748C" w:rsidRPr="0001748C">
        <w:t>Australian Explosives Industry and Safety Group Incorporated (AEISG)</w:t>
      </w:r>
    </w:p>
    <w:p w:rsidR="0001748C" w:rsidRPr="0001748C" w:rsidRDefault="0001748C" w:rsidP="0001748C">
      <w:pPr>
        <w:pStyle w:val="H1G"/>
        <w:rPr>
          <w:rStyle w:val="H1GChar"/>
          <w:b/>
        </w:rPr>
      </w:pPr>
      <w:r w:rsidRPr="0001748C">
        <w:rPr>
          <w:rStyle w:val="H1GChar"/>
          <w:b/>
        </w:rPr>
        <w:tab/>
      </w:r>
      <w:r w:rsidRPr="0001748C">
        <w:rPr>
          <w:rStyle w:val="H1GChar"/>
          <w:b/>
        </w:rPr>
        <w:tab/>
        <w:t>Alternative figure 10.1</w:t>
      </w:r>
    </w:p>
    <w:p w:rsidR="0001748C" w:rsidRPr="0001748C" w:rsidRDefault="0001748C" w:rsidP="0001748C">
      <w:pPr>
        <w:pStyle w:val="SingleTxtG"/>
        <w:rPr>
          <w:rStyle w:val="SingleTxtGChar"/>
          <w:lang w:val="en-GB"/>
        </w:rPr>
      </w:pPr>
      <w:r w:rsidRPr="0001748C">
        <w:rPr>
          <w:rStyle w:val="SingleTxtGChar"/>
          <w:lang w:val="en-GB"/>
        </w:rPr>
        <w:t>The term “unstable” as applied to explosives in the context of GHS generates confusion and can be avoided in Table 10.1 as shown below.</w:t>
      </w:r>
    </w:p>
    <w:p w:rsidR="0001748C" w:rsidRPr="0001748C" w:rsidRDefault="0001748C" w:rsidP="0001748C">
      <w:pPr>
        <w:pStyle w:val="H1G"/>
        <w:rPr>
          <w:rStyle w:val="H1GChar"/>
          <w:b/>
        </w:rPr>
      </w:pPr>
      <w:r w:rsidRPr="0001748C">
        <w:tab/>
      </w:r>
      <w:r w:rsidRPr="0001748C">
        <w:tab/>
        <w:t xml:space="preserve">Alternative </w:t>
      </w:r>
      <w:r w:rsidR="00A714AE">
        <w:t>f</w:t>
      </w:r>
      <w:r w:rsidRPr="0001748C">
        <w:t>igure 10.4</w:t>
      </w:r>
    </w:p>
    <w:p w:rsidR="0001748C" w:rsidRPr="0001748C" w:rsidRDefault="0001748C" w:rsidP="0001748C">
      <w:pPr>
        <w:pStyle w:val="SingleTxtG"/>
        <w:rPr>
          <w:lang w:val="en-GB"/>
        </w:rPr>
      </w:pPr>
      <w:r w:rsidRPr="0001748C">
        <w:rPr>
          <w:lang w:val="en-GB"/>
        </w:rPr>
        <w:t xml:space="preserve">AEISG believes that Figure 10.4 needs a rethink given it is now relevant to GHS. </w:t>
      </w:r>
    </w:p>
    <w:p w:rsidR="0001748C" w:rsidRPr="0001748C" w:rsidRDefault="0001748C" w:rsidP="0001748C">
      <w:pPr>
        <w:pStyle w:val="SingleTxtG"/>
        <w:rPr>
          <w:lang w:val="en-GB"/>
        </w:rPr>
      </w:pPr>
      <w:r w:rsidRPr="0001748C">
        <w:rPr>
          <w:lang w:val="en-GB"/>
        </w:rPr>
        <w:t>It is the opinion of AEISG that boxes 7 and 8 should never have been different.</w:t>
      </w:r>
    </w:p>
    <w:p w:rsidR="0001748C" w:rsidRPr="0001748C" w:rsidRDefault="0001748C" w:rsidP="0001748C">
      <w:pPr>
        <w:pStyle w:val="SingleTxtG"/>
        <w:rPr>
          <w:lang w:val="en-GB"/>
        </w:rPr>
      </w:pPr>
      <w:r w:rsidRPr="0001748C">
        <w:rPr>
          <w:lang w:val="en-GB"/>
        </w:rPr>
        <w:t>An ANE which fails either of these tests, 8(b) or (c), is a candidate for Division 1.5:</w:t>
      </w:r>
    </w:p>
    <w:p w:rsidR="0001748C" w:rsidRPr="0001748C" w:rsidRDefault="0001748C" w:rsidP="0001748C">
      <w:pPr>
        <w:pStyle w:val="Bullet1G"/>
      </w:pPr>
      <w:r w:rsidRPr="0001748C">
        <w:t xml:space="preserve">If it passes TS5, it is Division 1.5. </w:t>
      </w:r>
    </w:p>
    <w:p w:rsidR="0001748C" w:rsidRPr="0001748C" w:rsidRDefault="0001748C" w:rsidP="0001748C">
      <w:pPr>
        <w:pStyle w:val="Bullet1G"/>
      </w:pPr>
      <w:r w:rsidRPr="0001748C">
        <w:t>If it fails TS5, it is Division 1.1.</w:t>
      </w:r>
    </w:p>
    <w:p w:rsidR="0001748C" w:rsidRPr="0001748C" w:rsidRDefault="0001748C" w:rsidP="0001748C">
      <w:pPr>
        <w:pStyle w:val="SingleTxtG"/>
        <w:rPr>
          <w:lang w:val="en-GB"/>
        </w:rPr>
      </w:pPr>
      <w:r w:rsidRPr="0001748C">
        <w:rPr>
          <w:lang w:val="en-GB"/>
        </w:rPr>
        <w:t>The issue which complicates things is an ANE product which fails Test 8(a) – refer Box 2. It is then EITHER an unstable Explosive OR an unstable Oxidising substance, depending on the results of TS8(b) and (c).</w:t>
      </w:r>
    </w:p>
    <w:p w:rsidR="0001748C" w:rsidRPr="0001748C" w:rsidRDefault="0001748C" w:rsidP="0001748C">
      <w:pPr>
        <w:pStyle w:val="SingleTxtG"/>
        <w:rPr>
          <w:lang w:val="en-GB"/>
        </w:rPr>
      </w:pPr>
      <w:r w:rsidRPr="0001748C">
        <w:rPr>
          <w:lang w:val="en-GB"/>
        </w:rPr>
        <w:t>The diagram for Figure 10.4 then becomes overly complex.</w:t>
      </w:r>
    </w:p>
    <w:p w:rsidR="0001748C" w:rsidRPr="0001748C" w:rsidRDefault="0001748C" w:rsidP="0001748C">
      <w:pPr>
        <w:pStyle w:val="SingleTxtG"/>
        <w:rPr>
          <w:lang w:val="en-GB"/>
        </w:rPr>
      </w:pPr>
      <w:r w:rsidRPr="0001748C">
        <w:rPr>
          <w:lang w:val="en-GB"/>
        </w:rPr>
        <w:t xml:space="preserve">AEISG proposes an alternative Figure 10.4 with a </w:t>
      </w:r>
      <w:r>
        <w:rPr>
          <w:lang w:val="en-GB"/>
        </w:rPr>
        <w:t>“</w:t>
      </w:r>
      <w:r w:rsidRPr="0001748C">
        <w:rPr>
          <w:lang w:val="en-GB"/>
        </w:rPr>
        <w:t xml:space="preserve">Results </w:t>
      </w:r>
      <w:r>
        <w:rPr>
          <w:lang w:val="en-GB"/>
        </w:rPr>
        <w:t>t</w:t>
      </w:r>
      <w:r w:rsidRPr="0001748C">
        <w:rPr>
          <w:lang w:val="en-GB"/>
        </w:rPr>
        <w:t>able</w:t>
      </w:r>
      <w:r>
        <w:rPr>
          <w:lang w:val="en-GB"/>
        </w:rPr>
        <w:t>”</w:t>
      </w:r>
      <w:r w:rsidRPr="0001748C">
        <w:rPr>
          <w:lang w:val="en-GB"/>
        </w:rPr>
        <w:t xml:space="preserve"> included which we believe is far simpler to interpret.</w:t>
      </w:r>
    </w:p>
    <w:p w:rsidR="000E23BE" w:rsidRPr="0001748C" w:rsidRDefault="000E23BE">
      <w:pPr>
        <w:suppressAutoHyphens w:val="0"/>
        <w:spacing w:line="240" w:lineRule="auto"/>
      </w:pPr>
      <w:r w:rsidRPr="0001748C">
        <w:br w:type="page"/>
      </w:r>
    </w:p>
    <w:p w:rsidR="0001748C" w:rsidRDefault="0001748C" w:rsidP="0001748C">
      <w:pPr>
        <w:pStyle w:val="H1G"/>
        <w:jc w:val="center"/>
      </w:pPr>
      <w:r>
        <w:lastRenderedPageBreak/>
        <w:t>AEISG alternative figure 10.1</w:t>
      </w:r>
    </w:p>
    <w:p w:rsidR="00B84944" w:rsidRPr="0001748C" w:rsidRDefault="00B84944" w:rsidP="00B84944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both"/>
        <w:rPr>
          <w:b/>
          <w:bCs/>
          <w:szCs w:val="22"/>
        </w:rPr>
      </w:pPr>
      <w:r w:rsidRPr="0001748C">
        <w:rPr>
          <w:b/>
          <w:bCs/>
          <w:szCs w:val="22"/>
        </w:rPr>
        <w:t>Figure 10.1:</w:t>
      </w:r>
      <w:r w:rsidRPr="0001748C">
        <w:rPr>
          <w:b/>
          <w:bCs/>
          <w:szCs w:val="22"/>
        </w:rPr>
        <w:tab/>
        <w:t>OVERALL SCHEME OF THE PROCEDURE FOR CLASSIFYING A SUBSTANCE</w:t>
      </w:r>
    </w:p>
    <w:p w:rsidR="00B84944" w:rsidRPr="0001748C" w:rsidRDefault="00B84944" w:rsidP="00627A45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center"/>
        <w:rPr>
          <w:szCs w:val="22"/>
        </w:rPr>
      </w:pPr>
      <w:r w:rsidRPr="0001748C">
        <w:rPr>
          <w:b/>
          <w:bCs/>
          <w:szCs w:val="22"/>
        </w:rPr>
        <w:t xml:space="preserve">OR ARTICLE IN </w:t>
      </w:r>
      <w:r w:rsidR="0001748C">
        <w:rPr>
          <w:b/>
          <w:bCs/>
          <w:szCs w:val="22"/>
        </w:rPr>
        <w:t>THE CLASS OF EXPLOSIVES</w:t>
      </w:r>
    </w:p>
    <w:p w:rsidR="00B84944" w:rsidRPr="0001748C" w:rsidRDefault="00B84944" w:rsidP="00B84944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both"/>
        <w:rPr>
          <w:szCs w:val="22"/>
        </w:rPr>
      </w:pPr>
    </w:p>
    <w:p w:rsidR="00B84944" w:rsidRPr="0001748C" w:rsidRDefault="00B84944" w:rsidP="00B84944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both"/>
        <w:rPr>
          <w:sz w:val="22"/>
          <w:szCs w:val="22"/>
        </w:rPr>
      </w:pPr>
    </w:p>
    <w:p w:rsidR="00B84944" w:rsidRDefault="00B84944" w:rsidP="00B84944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center"/>
      </w:pPr>
    </w:p>
    <w:p w:rsidR="00D202CC" w:rsidRDefault="00627A45" w:rsidP="00B84944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center"/>
      </w:pPr>
      <w:r>
        <w:object w:dxaOrig="8176" w:dyaOrig="7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382.95pt" o:ole="">
            <v:imagedata r:id="rId8" o:title=""/>
          </v:shape>
          <o:OLEObject Type="Embed" ProgID="Visio.Drawing.15" ShapeID="_x0000_i1025" DrawAspect="Content" ObjectID="_1571727793" r:id="rId9"/>
        </w:object>
      </w:r>
    </w:p>
    <w:p w:rsidR="00D202CC" w:rsidRDefault="00D202CC" w:rsidP="00B84944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center"/>
      </w:pPr>
    </w:p>
    <w:p w:rsidR="00B84944" w:rsidRPr="0001748C" w:rsidRDefault="00B84944" w:rsidP="00B84944">
      <w:pPr>
        <w:numPr>
          <w:ilvl w:val="12"/>
          <w:numId w:val="0"/>
        </w:numPr>
        <w:tabs>
          <w:tab w:val="left" w:pos="849"/>
          <w:tab w:val="left" w:pos="1473"/>
          <w:tab w:val="left" w:pos="1700"/>
          <w:tab w:val="left" w:pos="2266"/>
          <w:tab w:val="left" w:leader="dot" w:pos="8956"/>
          <w:tab w:val="center" w:pos="9410"/>
        </w:tabs>
        <w:jc w:val="both"/>
        <w:rPr>
          <w:b/>
          <w:bCs/>
          <w:sz w:val="22"/>
          <w:szCs w:val="22"/>
        </w:rPr>
      </w:pPr>
    </w:p>
    <w:p w:rsidR="00627A45" w:rsidRDefault="00B84944" w:rsidP="00627A45">
      <w:pPr>
        <w:pStyle w:val="H1G"/>
        <w:jc w:val="center"/>
      </w:pPr>
      <w:r w:rsidRPr="0001748C">
        <w:rPr>
          <w:szCs w:val="24"/>
        </w:rPr>
        <w:br w:type="page"/>
      </w:r>
      <w:r w:rsidR="0001748C" w:rsidRPr="0001748C">
        <w:rPr>
          <w:szCs w:val="24"/>
        </w:rPr>
        <w:lastRenderedPageBreak/>
        <w:t xml:space="preserve"> </w:t>
      </w:r>
      <w:r w:rsidR="00627A45">
        <w:t>AEISG alternative figure 10.4</w:t>
      </w:r>
    </w:p>
    <w:p w:rsidR="00B84944" w:rsidRPr="0001748C" w:rsidRDefault="00B84944" w:rsidP="00A714AE">
      <w:pPr>
        <w:pStyle w:val="SingleTxtG"/>
        <w:tabs>
          <w:tab w:val="left" w:pos="0"/>
        </w:tabs>
        <w:spacing w:after="240"/>
        <w:ind w:left="0" w:right="140"/>
        <w:jc w:val="center"/>
        <w:rPr>
          <w:rFonts w:eastAsia="Times New Roman"/>
          <w:b/>
          <w:bCs/>
          <w:sz w:val="22"/>
          <w:szCs w:val="22"/>
          <w:lang w:val="en-GB" w:eastAsia="fr-FR"/>
        </w:rPr>
      </w:pPr>
      <w:r w:rsidRPr="0001748C">
        <w:rPr>
          <w:rFonts w:eastAsia="Times New Roman"/>
          <w:b/>
          <w:bCs/>
          <w:sz w:val="22"/>
          <w:szCs w:val="22"/>
          <w:lang w:val="en-GB" w:eastAsia="fr-FR"/>
        </w:rPr>
        <w:t>Figure 10.4:</w:t>
      </w:r>
      <w:r w:rsidR="00A714AE">
        <w:rPr>
          <w:rFonts w:eastAsia="Times New Roman"/>
          <w:b/>
          <w:bCs/>
          <w:sz w:val="22"/>
          <w:szCs w:val="22"/>
          <w:lang w:val="en-GB" w:eastAsia="fr-FR"/>
        </w:rPr>
        <w:t xml:space="preserve"> </w:t>
      </w:r>
      <w:r w:rsidRPr="0001748C">
        <w:rPr>
          <w:rFonts w:eastAsia="Times New Roman"/>
          <w:b/>
          <w:bCs/>
          <w:sz w:val="22"/>
          <w:szCs w:val="22"/>
          <w:lang w:val="en-GB" w:eastAsia="fr-FR"/>
        </w:rPr>
        <w:t>PROCEDURE FOR AMMONIUM NITRATE EMULSION, SUSPENSION OR GEL, INTERMEDIATE FOR BLASTING EXPLOSIVES</w:t>
      </w:r>
    </w:p>
    <w:p w:rsidR="00B84944" w:rsidRPr="0001748C" w:rsidRDefault="00B84944" w:rsidP="00B84944">
      <w:pPr>
        <w:numPr>
          <w:ilvl w:val="12"/>
          <w:numId w:val="0"/>
        </w:numPr>
        <w:tabs>
          <w:tab w:val="left" w:pos="1418"/>
        </w:tabs>
        <w:jc w:val="center"/>
        <w:rPr>
          <w:sz w:val="22"/>
          <w:szCs w:val="24"/>
        </w:rPr>
      </w:pPr>
    </w:p>
    <w:p w:rsidR="00E7545A" w:rsidRPr="0001748C" w:rsidRDefault="00DC7D59" w:rsidP="00E7545A">
      <w:pPr>
        <w:suppressAutoHyphens w:val="0"/>
        <w:spacing w:line="240" w:lineRule="auto"/>
        <w:jc w:val="center"/>
      </w:pPr>
      <w:r>
        <w:object w:dxaOrig="5596" w:dyaOrig="5520">
          <v:shape id="_x0000_i1028" type="#_x0000_t75" style="width:279.65pt;height:276.5pt" o:ole="">
            <v:imagedata r:id="rId10" o:title=""/>
          </v:shape>
          <o:OLEObject Type="Embed" ProgID="Visio.Drawing.15" ShapeID="_x0000_i1028" DrawAspect="Content" ObjectID="_1571727794" r:id="rId11"/>
        </w:object>
      </w:r>
      <w:bookmarkStart w:id="0" w:name="_GoBack"/>
      <w:bookmarkEnd w:id="0"/>
    </w:p>
    <w:p w:rsidR="00E7545A" w:rsidRDefault="00E7545A" w:rsidP="00E7545A">
      <w:pPr>
        <w:suppressAutoHyphens w:val="0"/>
        <w:spacing w:line="240" w:lineRule="auto"/>
        <w:jc w:val="center"/>
      </w:pPr>
    </w:p>
    <w:p w:rsidR="00E16FF3" w:rsidRDefault="00E16FF3" w:rsidP="00E7545A">
      <w:pPr>
        <w:suppressAutoHyphens w:val="0"/>
        <w:spacing w:line="240" w:lineRule="auto"/>
        <w:jc w:val="center"/>
      </w:pP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E16FF3" w:rsidTr="00E16FF3">
        <w:tc>
          <w:tcPr>
            <w:tcW w:w="2412" w:type="dxa"/>
            <w:vAlign w:val="center"/>
          </w:tcPr>
          <w:p w:rsidR="00E16FF3" w:rsidRPr="003B073D" w:rsidRDefault="00E16FF3" w:rsidP="00E16FF3">
            <w:pPr>
              <w:rPr>
                <w:b/>
                <w:sz w:val="18"/>
                <w:szCs w:val="18"/>
              </w:rPr>
            </w:pPr>
            <w:r w:rsidRPr="003B073D">
              <w:rPr>
                <w:b/>
                <w:sz w:val="18"/>
                <w:szCs w:val="18"/>
              </w:rPr>
              <w:t>Test 8 (a)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b/>
                <w:sz w:val="18"/>
                <w:szCs w:val="18"/>
              </w:rPr>
              <w:t>Test 8 (b)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b/>
                <w:sz w:val="18"/>
                <w:szCs w:val="18"/>
              </w:rPr>
              <w:t>Test (c)</w:t>
            </w:r>
          </w:p>
        </w:tc>
        <w:tc>
          <w:tcPr>
            <w:tcW w:w="2412" w:type="dxa"/>
            <w:vAlign w:val="center"/>
          </w:tcPr>
          <w:p w:rsidR="00E16FF3" w:rsidRPr="003B073D" w:rsidRDefault="00E16FF3" w:rsidP="00E16FF3">
            <w:pPr>
              <w:ind w:left="-3"/>
              <w:rPr>
                <w:b/>
                <w:sz w:val="18"/>
                <w:szCs w:val="18"/>
              </w:rPr>
            </w:pPr>
            <w:r w:rsidRPr="003B073D">
              <w:rPr>
                <w:b/>
                <w:sz w:val="18"/>
                <w:szCs w:val="18"/>
              </w:rPr>
              <w:t>CLASSIFICATION</w:t>
            </w:r>
          </w:p>
        </w:tc>
      </w:tr>
      <w:tr w:rsidR="00E16FF3" w:rsidTr="00E16FF3"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  <w:vMerge w:val="restart"/>
          </w:tcPr>
          <w:p w:rsidR="00E16FF3" w:rsidRPr="003B073D" w:rsidRDefault="00E16FF3" w:rsidP="00E16FF3">
            <w:pPr>
              <w:ind w:left="-3"/>
              <w:rPr>
                <w:sz w:val="18"/>
                <w:szCs w:val="18"/>
              </w:rPr>
            </w:pPr>
            <w:r w:rsidRPr="003B073D">
              <w:rPr>
                <w:sz w:val="18"/>
                <w:szCs w:val="18"/>
              </w:rPr>
              <w:t>Classify as an explosive</w:t>
            </w:r>
          </w:p>
          <w:p w:rsidR="00E16FF3" w:rsidRDefault="00E16FF3" w:rsidP="00E16FF3">
            <w:pPr>
              <w:suppressAutoHyphens w:val="0"/>
              <w:spacing w:line="240" w:lineRule="auto"/>
              <w:ind w:left="-3"/>
            </w:pPr>
            <w:r w:rsidRPr="003B073D">
              <w:rPr>
                <w:sz w:val="18"/>
                <w:szCs w:val="18"/>
              </w:rPr>
              <w:t>Proceed to Test Series 5 to determine hazard division</w:t>
            </w:r>
          </w:p>
        </w:tc>
      </w:tr>
      <w:tr w:rsidR="00E16FF3" w:rsidTr="00E16FF3"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  <w:vMerge/>
          </w:tcPr>
          <w:p w:rsidR="00E16FF3" w:rsidRDefault="00E16FF3" w:rsidP="00E16FF3">
            <w:pPr>
              <w:suppressAutoHyphens w:val="0"/>
              <w:spacing w:line="240" w:lineRule="auto"/>
              <w:ind w:left="-3"/>
            </w:pPr>
          </w:p>
        </w:tc>
      </w:tr>
      <w:tr w:rsidR="00E16FF3" w:rsidTr="00E16FF3"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  <w:vMerge/>
          </w:tcPr>
          <w:p w:rsidR="00E16FF3" w:rsidRDefault="00E16FF3" w:rsidP="00E16FF3">
            <w:pPr>
              <w:suppressAutoHyphens w:val="0"/>
              <w:spacing w:line="240" w:lineRule="auto"/>
              <w:ind w:left="-3"/>
            </w:pPr>
          </w:p>
        </w:tc>
      </w:tr>
      <w:tr w:rsidR="00E16FF3" w:rsidTr="00E16FF3"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  <w:vMerge w:val="restart"/>
          </w:tcPr>
          <w:p w:rsidR="00E16FF3" w:rsidRDefault="00E16FF3" w:rsidP="00E16FF3">
            <w:pPr>
              <w:suppressAutoHyphens w:val="0"/>
              <w:spacing w:line="240" w:lineRule="auto"/>
              <w:ind w:left="-3"/>
            </w:pPr>
            <w:r w:rsidRPr="003B073D">
              <w:rPr>
                <w:sz w:val="18"/>
                <w:szCs w:val="18"/>
              </w:rPr>
              <w:t>Classify as an unstable explosive (not suitable for transport)</w:t>
            </w:r>
          </w:p>
        </w:tc>
      </w:tr>
      <w:tr w:rsidR="00E16FF3" w:rsidTr="00E16FF3"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  <w:vMerge/>
          </w:tcPr>
          <w:p w:rsidR="00E16FF3" w:rsidRDefault="00E16FF3" w:rsidP="00E16FF3">
            <w:pPr>
              <w:suppressAutoHyphens w:val="0"/>
              <w:spacing w:line="240" w:lineRule="auto"/>
              <w:ind w:left="-3"/>
            </w:pPr>
          </w:p>
        </w:tc>
      </w:tr>
      <w:tr w:rsidR="00E16FF3" w:rsidTr="00E16FF3">
        <w:tc>
          <w:tcPr>
            <w:tcW w:w="2412" w:type="dxa"/>
          </w:tcPr>
          <w:p w:rsidR="00E16FF3" w:rsidRPr="003B073D" w:rsidRDefault="00E16FF3" w:rsidP="00E16FF3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</w:tcPr>
          <w:p w:rsidR="00E16FF3" w:rsidRPr="003B073D" w:rsidRDefault="00E16FF3" w:rsidP="00E16FF3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  <w:vAlign w:val="center"/>
          </w:tcPr>
          <w:p w:rsidR="00E16FF3" w:rsidRPr="003B073D" w:rsidRDefault="00E16FF3" w:rsidP="00E16FF3">
            <w:pPr>
              <w:rPr>
                <w:sz w:val="18"/>
                <w:szCs w:val="18"/>
              </w:rPr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  <w:vMerge/>
          </w:tcPr>
          <w:p w:rsidR="00E16FF3" w:rsidRDefault="00E16FF3" w:rsidP="00E16FF3">
            <w:pPr>
              <w:suppressAutoHyphens w:val="0"/>
              <w:spacing w:line="240" w:lineRule="auto"/>
              <w:ind w:left="-3"/>
            </w:pPr>
          </w:p>
        </w:tc>
      </w:tr>
      <w:tr w:rsidR="00E16FF3" w:rsidTr="00E16FF3">
        <w:tc>
          <w:tcPr>
            <w:tcW w:w="2412" w:type="dxa"/>
          </w:tcPr>
          <w:p w:rsidR="00E16FF3" w:rsidRPr="003B073D" w:rsidRDefault="00E16FF3" w:rsidP="00E16FF3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B073D">
              <w:rPr>
                <w:sz w:val="18"/>
                <w:szCs w:val="18"/>
              </w:rPr>
              <w:t>Fail ( + )</w:t>
            </w:r>
          </w:p>
        </w:tc>
        <w:tc>
          <w:tcPr>
            <w:tcW w:w="2412" w:type="dxa"/>
          </w:tcPr>
          <w:p w:rsidR="00E16FF3" w:rsidRPr="003B073D" w:rsidRDefault="00E16FF3" w:rsidP="00E16FF3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  <w:vAlign w:val="center"/>
          </w:tcPr>
          <w:p w:rsidR="00E16FF3" w:rsidRPr="003B073D" w:rsidRDefault="00E16FF3" w:rsidP="00E16FF3">
            <w:pPr>
              <w:rPr>
                <w:sz w:val="18"/>
                <w:szCs w:val="18"/>
              </w:rPr>
            </w:pPr>
            <w:r w:rsidRPr="003B073D">
              <w:rPr>
                <w:sz w:val="18"/>
                <w:szCs w:val="18"/>
              </w:rPr>
              <w:t>Pass ( - )</w:t>
            </w:r>
          </w:p>
        </w:tc>
        <w:tc>
          <w:tcPr>
            <w:tcW w:w="2412" w:type="dxa"/>
          </w:tcPr>
          <w:p w:rsidR="00E16FF3" w:rsidRDefault="00E16FF3" w:rsidP="00E16FF3">
            <w:pPr>
              <w:suppressAutoHyphens w:val="0"/>
              <w:spacing w:line="240" w:lineRule="auto"/>
              <w:ind w:left="-3"/>
            </w:pPr>
            <w:r w:rsidRPr="003B073D">
              <w:rPr>
                <w:sz w:val="18"/>
                <w:szCs w:val="18"/>
              </w:rPr>
              <w:t>Classify as an oxidizing solid or liquid, not suitable for transport</w:t>
            </w:r>
          </w:p>
        </w:tc>
      </w:tr>
    </w:tbl>
    <w:p w:rsidR="00E16FF3" w:rsidRPr="00E16FF3" w:rsidRDefault="00E16FF3" w:rsidP="00E16FF3">
      <w:pPr>
        <w:spacing w:before="240"/>
        <w:ind w:left="1134" w:right="113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z w:val="22"/>
          <w:szCs w:val="22"/>
          <w:u w:val="single"/>
        </w:rPr>
        <w:tab/>
      </w:r>
    </w:p>
    <w:sectPr w:rsidR="00E16FF3" w:rsidRPr="00E16FF3" w:rsidSect="009F22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85" w:rsidRDefault="00094F85"/>
  </w:endnote>
  <w:endnote w:type="continuationSeparator" w:id="0">
    <w:p w:rsidR="00094F85" w:rsidRDefault="00094F85"/>
  </w:endnote>
  <w:endnote w:type="continuationNotice" w:id="1">
    <w:p w:rsidR="00094F85" w:rsidRDefault="00094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85" w:rsidRPr="009F228E" w:rsidRDefault="00094F85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DC7D59">
          <w:rPr>
            <w:b/>
            <w:noProof/>
            <w:sz w:val="18"/>
            <w:szCs w:val="18"/>
          </w:rPr>
          <w:t>2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85" w:rsidRPr="009F228E" w:rsidRDefault="00094F85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DC7D59">
          <w:rPr>
            <w:b/>
            <w:noProof/>
            <w:sz w:val="18"/>
            <w:szCs w:val="18"/>
          </w:rPr>
          <w:t>3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85" w:rsidRPr="00667788" w:rsidRDefault="00094F85" w:rsidP="009F228E">
    <w:pPr>
      <w:pStyle w:val="Footer"/>
      <w:jc w:val="right"/>
      <w:rPr>
        <w:b/>
        <w:sz w:val="22"/>
      </w:rPr>
    </w:pPr>
    <w:r w:rsidRPr="00667788">
      <w:rPr>
        <w:b/>
        <w:sz w:val="18"/>
      </w:rPr>
      <w:fldChar w:fldCharType="begin"/>
    </w:r>
    <w:r w:rsidRPr="00667788">
      <w:rPr>
        <w:b/>
        <w:sz w:val="18"/>
      </w:rPr>
      <w:instrText xml:space="preserve"> PAGE   \* MERGEFORMAT </w:instrText>
    </w:r>
    <w:r w:rsidRPr="00667788">
      <w:rPr>
        <w:b/>
        <w:sz w:val="18"/>
      </w:rPr>
      <w:fldChar w:fldCharType="separate"/>
    </w:r>
    <w:r w:rsidR="00DC7D59">
      <w:rPr>
        <w:b/>
        <w:noProof/>
        <w:sz w:val="18"/>
      </w:rPr>
      <w:t>1</w:t>
    </w:r>
    <w:r w:rsidRPr="00667788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85" w:rsidRPr="000B175B" w:rsidRDefault="00094F8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4F85" w:rsidRPr="00FC68B7" w:rsidRDefault="00094F8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94F85" w:rsidRDefault="00094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85" w:rsidRPr="00364F88" w:rsidRDefault="00094F85" w:rsidP="00364F88">
    <w:pPr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UN/SCETDG/52/INF.</w:t>
    </w:r>
    <w:r w:rsidR="0001748C">
      <w:rPr>
        <w:b/>
        <w:sz w:val="18"/>
        <w:szCs w:val="18"/>
        <w:lang w:val="fr-CH"/>
      </w:rPr>
      <w:t>13</w:t>
    </w:r>
  </w:p>
  <w:p w:rsidR="00094F85" w:rsidRPr="00364F88" w:rsidRDefault="00094F85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UN/SCEGHS/34/INF.</w:t>
    </w:r>
    <w:r w:rsidR="0001748C">
      <w:rPr>
        <w:b/>
        <w:sz w:val="18"/>
        <w:szCs w:val="18"/>
        <w:lang w:val="fr-CH"/>
      </w:rPr>
      <w:t>7</w:t>
    </w:r>
  </w:p>
  <w:p w:rsidR="00094F85" w:rsidRPr="00364F88" w:rsidRDefault="00094F85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85" w:rsidRPr="00364F88" w:rsidRDefault="00094F85" w:rsidP="00364F88">
    <w:pPr>
      <w:jc w:val="right"/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UN/SCETDG/52/INF.</w:t>
    </w:r>
    <w:r w:rsidR="0001748C">
      <w:rPr>
        <w:b/>
        <w:sz w:val="18"/>
        <w:szCs w:val="18"/>
        <w:lang w:val="fr-CH"/>
      </w:rPr>
      <w:t>1</w:t>
    </w:r>
    <w:r w:rsidRPr="00364F88">
      <w:rPr>
        <w:b/>
        <w:sz w:val="18"/>
        <w:szCs w:val="18"/>
        <w:lang w:val="fr-CH"/>
      </w:rPr>
      <w:t>3</w:t>
    </w:r>
  </w:p>
  <w:p w:rsidR="00094F85" w:rsidRPr="00364F88" w:rsidRDefault="00094F85" w:rsidP="00364F88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 w:rsidRPr="00364F88">
      <w:rPr>
        <w:b/>
        <w:sz w:val="18"/>
        <w:szCs w:val="18"/>
        <w:lang w:val="fr-CH"/>
      </w:rPr>
      <w:t>UN/SCEGHS/34/INF.</w:t>
    </w:r>
    <w:r w:rsidR="0001748C">
      <w:rPr>
        <w:b/>
        <w:sz w:val="18"/>
        <w:szCs w:val="18"/>
        <w:lang w:val="fr-CH"/>
      </w:rPr>
      <w:t>7</w:t>
    </w:r>
  </w:p>
  <w:p w:rsidR="00094F85" w:rsidRDefault="00094F85" w:rsidP="00ED64BE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85" w:rsidRPr="0001748C" w:rsidRDefault="00094F85" w:rsidP="000174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14C32"/>
    <w:multiLevelType w:val="hybridMultilevel"/>
    <w:tmpl w:val="E18A1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748C"/>
    <w:rsid w:val="00017D24"/>
    <w:rsid w:val="000216CC"/>
    <w:rsid w:val="00026BCF"/>
    <w:rsid w:val="00043180"/>
    <w:rsid w:val="00046A06"/>
    <w:rsid w:val="000504CE"/>
    <w:rsid w:val="00050922"/>
    <w:rsid w:val="00050F6B"/>
    <w:rsid w:val="0005281B"/>
    <w:rsid w:val="0005317C"/>
    <w:rsid w:val="00053492"/>
    <w:rsid w:val="00055A0A"/>
    <w:rsid w:val="00056084"/>
    <w:rsid w:val="0005710C"/>
    <w:rsid w:val="00064402"/>
    <w:rsid w:val="00067E6D"/>
    <w:rsid w:val="000701F4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0DD"/>
    <w:rsid w:val="00092776"/>
    <w:rsid w:val="000931C0"/>
    <w:rsid w:val="00094F85"/>
    <w:rsid w:val="000A2236"/>
    <w:rsid w:val="000A35F2"/>
    <w:rsid w:val="000A3A48"/>
    <w:rsid w:val="000A4C3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0E6A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27C32"/>
    <w:rsid w:val="00131B10"/>
    <w:rsid w:val="00131D42"/>
    <w:rsid w:val="00133C50"/>
    <w:rsid w:val="001374FC"/>
    <w:rsid w:val="001406F4"/>
    <w:rsid w:val="00142117"/>
    <w:rsid w:val="00143116"/>
    <w:rsid w:val="00153065"/>
    <w:rsid w:val="001532D8"/>
    <w:rsid w:val="001633FB"/>
    <w:rsid w:val="00163A1B"/>
    <w:rsid w:val="00165735"/>
    <w:rsid w:val="00167786"/>
    <w:rsid w:val="00181019"/>
    <w:rsid w:val="001835BF"/>
    <w:rsid w:val="00184B86"/>
    <w:rsid w:val="001A02A4"/>
    <w:rsid w:val="001A24C9"/>
    <w:rsid w:val="001B0DD8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3804"/>
    <w:rsid w:val="002440E7"/>
    <w:rsid w:val="00247570"/>
    <w:rsid w:val="002565E2"/>
    <w:rsid w:val="00256979"/>
    <w:rsid w:val="00257C1E"/>
    <w:rsid w:val="00261B2A"/>
    <w:rsid w:val="00261B71"/>
    <w:rsid w:val="002621F5"/>
    <w:rsid w:val="002708B5"/>
    <w:rsid w:val="00270DDB"/>
    <w:rsid w:val="00271EF4"/>
    <w:rsid w:val="002725CA"/>
    <w:rsid w:val="00273A92"/>
    <w:rsid w:val="00277896"/>
    <w:rsid w:val="00277A09"/>
    <w:rsid w:val="00277E2F"/>
    <w:rsid w:val="00280EB7"/>
    <w:rsid w:val="00285189"/>
    <w:rsid w:val="00285676"/>
    <w:rsid w:val="002921EA"/>
    <w:rsid w:val="002976CF"/>
    <w:rsid w:val="002A0BD2"/>
    <w:rsid w:val="002A5B17"/>
    <w:rsid w:val="002B0609"/>
    <w:rsid w:val="002B067A"/>
    <w:rsid w:val="002B1514"/>
    <w:rsid w:val="002B1CDA"/>
    <w:rsid w:val="002C7F25"/>
    <w:rsid w:val="002D5A85"/>
    <w:rsid w:val="002D5C7D"/>
    <w:rsid w:val="002D6CD7"/>
    <w:rsid w:val="002E35BB"/>
    <w:rsid w:val="002E63B5"/>
    <w:rsid w:val="002F323F"/>
    <w:rsid w:val="002F68FD"/>
    <w:rsid w:val="002F7870"/>
    <w:rsid w:val="003063E9"/>
    <w:rsid w:val="003107FA"/>
    <w:rsid w:val="0031227E"/>
    <w:rsid w:val="00315D73"/>
    <w:rsid w:val="00316FF9"/>
    <w:rsid w:val="00321716"/>
    <w:rsid w:val="003229D8"/>
    <w:rsid w:val="00327D0A"/>
    <w:rsid w:val="00330180"/>
    <w:rsid w:val="003517C3"/>
    <w:rsid w:val="00355502"/>
    <w:rsid w:val="00356BC7"/>
    <w:rsid w:val="00357A20"/>
    <w:rsid w:val="00364F88"/>
    <w:rsid w:val="00372F06"/>
    <w:rsid w:val="00391647"/>
    <w:rsid w:val="003921E6"/>
    <w:rsid w:val="0039277A"/>
    <w:rsid w:val="00395FD7"/>
    <w:rsid w:val="00396F6A"/>
    <w:rsid w:val="003972E0"/>
    <w:rsid w:val="003A1EC2"/>
    <w:rsid w:val="003A4561"/>
    <w:rsid w:val="003A52D7"/>
    <w:rsid w:val="003A5A16"/>
    <w:rsid w:val="003B62FE"/>
    <w:rsid w:val="003B73AC"/>
    <w:rsid w:val="003C0657"/>
    <w:rsid w:val="003C18C9"/>
    <w:rsid w:val="003C2CC4"/>
    <w:rsid w:val="003C655D"/>
    <w:rsid w:val="003D4B23"/>
    <w:rsid w:val="003D5245"/>
    <w:rsid w:val="003F23A4"/>
    <w:rsid w:val="003F3127"/>
    <w:rsid w:val="003F5B52"/>
    <w:rsid w:val="00403EC6"/>
    <w:rsid w:val="00406CD4"/>
    <w:rsid w:val="00407DB1"/>
    <w:rsid w:val="004207CF"/>
    <w:rsid w:val="00430086"/>
    <w:rsid w:val="00430918"/>
    <w:rsid w:val="004325CB"/>
    <w:rsid w:val="004337AA"/>
    <w:rsid w:val="004354EE"/>
    <w:rsid w:val="00437F3F"/>
    <w:rsid w:val="00440C1E"/>
    <w:rsid w:val="00442365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A9B"/>
    <w:rsid w:val="00490889"/>
    <w:rsid w:val="00492AF9"/>
    <w:rsid w:val="00494C77"/>
    <w:rsid w:val="00496A1D"/>
    <w:rsid w:val="00497711"/>
    <w:rsid w:val="004B2C9D"/>
    <w:rsid w:val="004B54B0"/>
    <w:rsid w:val="004B5939"/>
    <w:rsid w:val="004B5C97"/>
    <w:rsid w:val="004B73D6"/>
    <w:rsid w:val="004C39D0"/>
    <w:rsid w:val="004C4F1A"/>
    <w:rsid w:val="004C6D6D"/>
    <w:rsid w:val="004D6FC1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5946"/>
    <w:rsid w:val="005F37AA"/>
    <w:rsid w:val="005F3A39"/>
    <w:rsid w:val="005F3E24"/>
    <w:rsid w:val="005F589C"/>
    <w:rsid w:val="005F5C2F"/>
    <w:rsid w:val="005F5C79"/>
    <w:rsid w:val="005F78C7"/>
    <w:rsid w:val="005F7BB1"/>
    <w:rsid w:val="00602490"/>
    <w:rsid w:val="00603E3C"/>
    <w:rsid w:val="0060539D"/>
    <w:rsid w:val="00611FC4"/>
    <w:rsid w:val="00612812"/>
    <w:rsid w:val="006176FB"/>
    <w:rsid w:val="00626B06"/>
    <w:rsid w:val="00626B77"/>
    <w:rsid w:val="00626DE3"/>
    <w:rsid w:val="006279AC"/>
    <w:rsid w:val="00627A45"/>
    <w:rsid w:val="0063419C"/>
    <w:rsid w:val="00635381"/>
    <w:rsid w:val="00636986"/>
    <w:rsid w:val="00636E9C"/>
    <w:rsid w:val="00637542"/>
    <w:rsid w:val="00640B26"/>
    <w:rsid w:val="00641194"/>
    <w:rsid w:val="00645A0B"/>
    <w:rsid w:val="006500BA"/>
    <w:rsid w:val="006506DB"/>
    <w:rsid w:val="00662121"/>
    <w:rsid w:val="00662E09"/>
    <w:rsid w:val="00667788"/>
    <w:rsid w:val="006678CB"/>
    <w:rsid w:val="00667C6B"/>
    <w:rsid w:val="00670CF0"/>
    <w:rsid w:val="00675F87"/>
    <w:rsid w:val="00690CD6"/>
    <w:rsid w:val="006937F4"/>
    <w:rsid w:val="0069386C"/>
    <w:rsid w:val="006A3932"/>
    <w:rsid w:val="006A5B6B"/>
    <w:rsid w:val="006A63E3"/>
    <w:rsid w:val="006A7392"/>
    <w:rsid w:val="006B1C55"/>
    <w:rsid w:val="006C0D34"/>
    <w:rsid w:val="006C251B"/>
    <w:rsid w:val="006C2F7E"/>
    <w:rsid w:val="006D3560"/>
    <w:rsid w:val="006D3FCD"/>
    <w:rsid w:val="006D6ED0"/>
    <w:rsid w:val="006E36E7"/>
    <w:rsid w:val="006E3B65"/>
    <w:rsid w:val="006E4FFE"/>
    <w:rsid w:val="006E564B"/>
    <w:rsid w:val="0070032B"/>
    <w:rsid w:val="007025C0"/>
    <w:rsid w:val="00707F04"/>
    <w:rsid w:val="00711637"/>
    <w:rsid w:val="00714F4F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6107D"/>
    <w:rsid w:val="00864251"/>
    <w:rsid w:val="00865914"/>
    <w:rsid w:val="00867E90"/>
    <w:rsid w:val="00871FD5"/>
    <w:rsid w:val="0087494C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26D41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6797E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1DEE"/>
    <w:rsid w:val="009D2246"/>
    <w:rsid w:val="009D634E"/>
    <w:rsid w:val="009E1560"/>
    <w:rsid w:val="009E47FC"/>
    <w:rsid w:val="009F0F06"/>
    <w:rsid w:val="009F228E"/>
    <w:rsid w:val="009F369A"/>
    <w:rsid w:val="009F4FC5"/>
    <w:rsid w:val="00A06982"/>
    <w:rsid w:val="00A06F1A"/>
    <w:rsid w:val="00A11695"/>
    <w:rsid w:val="00A1427D"/>
    <w:rsid w:val="00A235F1"/>
    <w:rsid w:val="00A34B00"/>
    <w:rsid w:val="00A3777A"/>
    <w:rsid w:val="00A50077"/>
    <w:rsid w:val="00A505AA"/>
    <w:rsid w:val="00A54CA8"/>
    <w:rsid w:val="00A60196"/>
    <w:rsid w:val="00A60CAE"/>
    <w:rsid w:val="00A6199C"/>
    <w:rsid w:val="00A622AF"/>
    <w:rsid w:val="00A65F4A"/>
    <w:rsid w:val="00A66636"/>
    <w:rsid w:val="00A67B16"/>
    <w:rsid w:val="00A71119"/>
    <w:rsid w:val="00A714AE"/>
    <w:rsid w:val="00A721CE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B75AE"/>
    <w:rsid w:val="00AC7E37"/>
    <w:rsid w:val="00AD0165"/>
    <w:rsid w:val="00AD34EE"/>
    <w:rsid w:val="00AD5A2F"/>
    <w:rsid w:val="00AD7C88"/>
    <w:rsid w:val="00AE271D"/>
    <w:rsid w:val="00AE45DE"/>
    <w:rsid w:val="00AF0846"/>
    <w:rsid w:val="00AF0878"/>
    <w:rsid w:val="00AF2F9D"/>
    <w:rsid w:val="00AF6710"/>
    <w:rsid w:val="00B013E6"/>
    <w:rsid w:val="00B04866"/>
    <w:rsid w:val="00B04D66"/>
    <w:rsid w:val="00B10C19"/>
    <w:rsid w:val="00B1157C"/>
    <w:rsid w:val="00B1501F"/>
    <w:rsid w:val="00B15454"/>
    <w:rsid w:val="00B23B4A"/>
    <w:rsid w:val="00B26710"/>
    <w:rsid w:val="00B26B3C"/>
    <w:rsid w:val="00B30179"/>
    <w:rsid w:val="00B314CB"/>
    <w:rsid w:val="00B3317B"/>
    <w:rsid w:val="00B35D5F"/>
    <w:rsid w:val="00B36C43"/>
    <w:rsid w:val="00B3742B"/>
    <w:rsid w:val="00B41384"/>
    <w:rsid w:val="00B4398E"/>
    <w:rsid w:val="00B535B3"/>
    <w:rsid w:val="00B5392B"/>
    <w:rsid w:val="00B65556"/>
    <w:rsid w:val="00B71E2B"/>
    <w:rsid w:val="00B73DA8"/>
    <w:rsid w:val="00B74F7C"/>
    <w:rsid w:val="00B75E05"/>
    <w:rsid w:val="00B81E12"/>
    <w:rsid w:val="00B84944"/>
    <w:rsid w:val="00B84AAC"/>
    <w:rsid w:val="00B90F54"/>
    <w:rsid w:val="00B91CC3"/>
    <w:rsid w:val="00B92A0C"/>
    <w:rsid w:val="00B93068"/>
    <w:rsid w:val="00B95488"/>
    <w:rsid w:val="00BB176D"/>
    <w:rsid w:val="00BB1E7F"/>
    <w:rsid w:val="00BB3B28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3609"/>
    <w:rsid w:val="00BE50CA"/>
    <w:rsid w:val="00BE618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30546"/>
    <w:rsid w:val="00C36D37"/>
    <w:rsid w:val="00C4087B"/>
    <w:rsid w:val="00C430B5"/>
    <w:rsid w:val="00C463DD"/>
    <w:rsid w:val="00C46D5B"/>
    <w:rsid w:val="00C530B1"/>
    <w:rsid w:val="00C537D5"/>
    <w:rsid w:val="00C62F76"/>
    <w:rsid w:val="00C63A69"/>
    <w:rsid w:val="00C66D78"/>
    <w:rsid w:val="00C745C3"/>
    <w:rsid w:val="00C8038E"/>
    <w:rsid w:val="00C81212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6380"/>
    <w:rsid w:val="00CC4CA6"/>
    <w:rsid w:val="00CD0009"/>
    <w:rsid w:val="00CD158A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64BA"/>
    <w:rsid w:val="00D202CC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8FA"/>
    <w:rsid w:val="00D67CDD"/>
    <w:rsid w:val="00D730E3"/>
    <w:rsid w:val="00D753D8"/>
    <w:rsid w:val="00D76D45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655F"/>
    <w:rsid w:val="00DC581A"/>
    <w:rsid w:val="00DC7D59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783"/>
    <w:rsid w:val="00E130AB"/>
    <w:rsid w:val="00E1679E"/>
    <w:rsid w:val="00E16FF3"/>
    <w:rsid w:val="00E239A0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644E"/>
    <w:rsid w:val="00E5691C"/>
    <w:rsid w:val="00E631BA"/>
    <w:rsid w:val="00E6448B"/>
    <w:rsid w:val="00E6613A"/>
    <w:rsid w:val="00E67F31"/>
    <w:rsid w:val="00E7260F"/>
    <w:rsid w:val="00E730D8"/>
    <w:rsid w:val="00E73EB3"/>
    <w:rsid w:val="00E7545A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128B"/>
    <w:rsid w:val="00ED3508"/>
    <w:rsid w:val="00ED3F6F"/>
    <w:rsid w:val="00ED64BE"/>
    <w:rsid w:val="00ED7A2A"/>
    <w:rsid w:val="00EE4D59"/>
    <w:rsid w:val="00EE4E42"/>
    <w:rsid w:val="00EE73C3"/>
    <w:rsid w:val="00EF18D3"/>
    <w:rsid w:val="00EF1D7F"/>
    <w:rsid w:val="00EF4AAC"/>
    <w:rsid w:val="00EF6FCD"/>
    <w:rsid w:val="00F01C57"/>
    <w:rsid w:val="00F03FA2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44E3"/>
    <w:rsid w:val="00F44619"/>
    <w:rsid w:val="00F5039C"/>
    <w:rsid w:val="00F5087E"/>
    <w:rsid w:val="00F519D1"/>
    <w:rsid w:val="00F51BAB"/>
    <w:rsid w:val="00F5233F"/>
    <w:rsid w:val="00F52DB2"/>
    <w:rsid w:val="00F535BE"/>
    <w:rsid w:val="00F54674"/>
    <w:rsid w:val="00F64C95"/>
    <w:rsid w:val="00F72514"/>
    <w:rsid w:val="00F736C5"/>
    <w:rsid w:val="00F75E96"/>
    <w:rsid w:val="00F80C07"/>
    <w:rsid w:val="00F940FF"/>
    <w:rsid w:val="00FA00A0"/>
    <w:rsid w:val="00FA3FB7"/>
    <w:rsid w:val="00FB5A37"/>
    <w:rsid w:val="00FB7793"/>
    <w:rsid w:val="00FC18A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1C4309C1-818F-4971-A9E7-36D6EA3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table" w:customStyle="1" w:styleId="TableGrid10">
    <w:name w:val="Table Grid1"/>
    <w:basedOn w:val="TableNormal"/>
    <w:next w:val="TableGrid"/>
    <w:uiPriority w:val="39"/>
    <w:rsid w:val="00E16F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EAFD-23CC-4660-8BFC-7660D1FE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26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Garcia-Couto</cp:lastModifiedBy>
  <cp:revision>6</cp:revision>
  <cp:lastPrinted>2017-09-27T10:12:00Z</cp:lastPrinted>
  <dcterms:created xsi:type="dcterms:W3CDTF">2017-10-17T07:13:00Z</dcterms:created>
  <dcterms:modified xsi:type="dcterms:W3CDTF">2017-11-09T09:17:00Z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