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457287">
            <w:pPr>
              <w:jc w:val="right"/>
              <w:rPr>
                <w:b/>
                <w:sz w:val="40"/>
                <w:szCs w:val="40"/>
              </w:rPr>
            </w:pPr>
            <w:r w:rsidRPr="0099001C">
              <w:rPr>
                <w:b/>
                <w:sz w:val="40"/>
                <w:szCs w:val="40"/>
              </w:rPr>
              <w:t>UN/SCEGHS/</w:t>
            </w:r>
            <w:r w:rsidR="001B06A5">
              <w:rPr>
                <w:b/>
                <w:sz w:val="40"/>
                <w:szCs w:val="40"/>
              </w:rPr>
              <w:t>33</w:t>
            </w:r>
            <w:r w:rsidRPr="0099001C">
              <w:rPr>
                <w:b/>
                <w:sz w:val="40"/>
                <w:szCs w:val="40"/>
              </w:rPr>
              <w:t>/INF.</w:t>
            </w:r>
            <w:r w:rsidR="00457287">
              <w:rPr>
                <w:b/>
                <w:sz w:val="40"/>
                <w:szCs w:val="40"/>
              </w:rPr>
              <w:t>15</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C00ACE">
              <w:rPr>
                <w:b/>
                <w:lang w:val="en-US"/>
              </w:rPr>
              <w:t>7 July</w:t>
            </w:r>
            <w:r w:rsidRPr="001B03EA">
              <w:rPr>
                <w:b/>
                <w:lang w:val="en-US"/>
              </w:rPr>
              <w:t xml:space="preserve"> 201</w:t>
            </w:r>
            <w:r w:rsidR="001B06A5">
              <w:rPr>
                <w:b/>
                <w:lang w:val="en-US"/>
              </w:rPr>
              <w:t>7</w:t>
            </w:r>
          </w:p>
          <w:p w:rsidR="00965932" w:rsidRPr="00265243" w:rsidRDefault="00965932" w:rsidP="00965932">
            <w:pPr>
              <w:jc w:val="both"/>
              <w:rPr>
                <w:b/>
                <w:lang w:val="en-US"/>
              </w:rPr>
            </w:pPr>
          </w:p>
          <w:p w:rsidR="00965932" w:rsidRPr="001B03EA" w:rsidRDefault="00965932" w:rsidP="00965932">
            <w:pPr>
              <w:jc w:val="both"/>
            </w:pPr>
            <w:r w:rsidRPr="001B03EA">
              <w:rPr>
                <w:b/>
              </w:rPr>
              <w:t>Thirty-</w:t>
            </w:r>
            <w:r w:rsidR="001B06A5">
              <w:rPr>
                <w:b/>
              </w:rPr>
              <w:t>third</w:t>
            </w:r>
            <w:r w:rsidRPr="001B03EA">
              <w:rPr>
                <w:b/>
              </w:rPr>
              <w:t xml:space="preserve"> session</w:t>
            </w:r>
            <w:r w:rsidRPr="001B03EA">
              <w:t xml:space="preserve"> </w:t>
            </w:r>
          </w:p>
          <w:p w:rsidR="001B06A5" w:rsidRPr="00457287" w:rsidRDefault="001B06A5" w:rsidP="001B06A5">
            <w:pPr>
              <w:jc w:val="both"/>
            </w:pPr>
            <w:r w:rsidRPr="00457287">
              <w:t>Geneva, 10-12 July 2017</w:t>
            </w:r>
          </w:p>
          <w:p w:rsidR="0099001C" w:rsidRDefault="001B06A5" w:rsidP="00126F98">
            <w:pPr>
              <w:spacing w:before="40"/>
            </w:pPr>
            <w:r w:rsidRPr="00457287">
              <w:t>Item</w:t>
            </w:r>
            <w:r w:rsidR="00265243" w:rsidRPr="00457287">
              <w:t>s</w:t>
            </w:r>
            <w:r w:rsidRPr="00457287">
              <w:t xml:space="preserve"> </w:t>
            </w:r>
            <w:r w:rsidR="00265243" w:rsidRPr="00457287">
              <w:t>2 and 4 (a)</w:t>
            </w:r>
            <w:r w:rsidRPr="00457287">
              <w:t xml:space="preserve"> of the provisional agenda</w:t>
            </w:r>
          </w:p>
        </w:tc>
      </w:tr>
    </w:tbl>
    <w:p w:rsidR="00C00ACE" w:rsidRPr="00C00ACE" w:rsidRDefault="00965932" w:rsidP="00126F98">
      <w:pPr>
        <w:pStyle w:val="HChG"/>
        <w:spacing w:before="0"/>
      </w:pPr>
      <w:r w:rsidRPr="009E7ABD">
        <w:rPr>
          <w:rFonts w:eastAsia="MS Mincho"/>
          <w:lang w:val="en-US" w:eastAsia="ja-JP"/>
        </w:rPr>
        <w:tab/>
      </w:r>
      <w:r w:rsidR="00C00ACE">
        <w:rPr>
          <w:rFonts w:eastAsia="MS Mincho"/>
          <w:lang w:val="en-US" w:eastAsia="ja-JP"/>
        </w:rPr>
        <w:tab/>
      </w:r>
      <w:r w:rsidR="00C00ACE" w:rsidRPr="00C00ACE">
        <w:t>Work of the Sub-Committee of Experts on the Transport of Dangerous Goods on its fifty-first session on matters of interest to the GHS Sub-Committee</w:t>
      </w:r>
    </w:p>
    <w:p w:rsidR="00C00ACE" w:rsidRDefault="00C00ACE" w:rsidP="00C00ACE">
      <w:pPr>
        <w:pStyle w:val="H1G"/>
      </w:pPr>
      <w:r>
        <w:tab/>
      </w:r>
      <w:r>
        <w:tab/>
        <w:t>Note by the secretariat</w:t>
      </w:r>
    </w:p>
    <w:p w:rsidR="00E27CDD" w:rsidRDefault="00C00ACE" w:rsidP="00C00ACE">
      <w:pPr>
        <w:pStyle w:val="SingleTxtG"/>
      </w:pPr>
      <w:r w:rsidRPr="001A5EFA">
        <w:t xml:space="preserve">1. </w:t>
      </w:r>
      <w:r w:rsidRPr="001A5EFA">
        <w:tab/>
        <w:t>At its fifty-first session, the Sub-Committee of Experts on the Transport of Dangerous Goods (TDG Sub-Committee) considered matters o</w:t>
      </w:r>
      <w:r w:rsidR="007229DF">
        <w:t>f</w:t>
      </w:r>
      <w:r w:rsidRPr="001A5EFA">
        <w:t xml:space="preserve"> interest to the GHS Sub-Committee under items 2 and 10 of its agenda</w:t>
      </w:r>
      <w:r w:rsidR="00E30EE8">
        <w:rPr>
          <w:rStyle w:val="FootnoteReference"/>
        </w:rPr>
        <w:footnoteReference w:id="2"/>
      </w:r>
      <w:r w:rsidRPr="001A5EFA">
        <w:t>.</w:t>
      </w:r>
      <w:r w:rsidR="00E27CDD">
        <w:t xml:space="preserve"> These included:</w:t>
      </w:r>
    </w:p>
    <w:p w:rsidR="00E27CDD" w:rsidRDefault="00E27CDD" w:rsidP="00126F98">
      <w:pPr>
        <w:pStyle w:val="SingleTxtG"/>
        <w:spacing w:after="80" w:line="240" w:lineRule="auto"/>
        <w:ind w:left="2268" w:hanging="567"/>
      </w:pPr>
      <w:r>
        <w:t>(a)</w:t>
      </w:r>
      <w:r>
        <w:tab/>
        <w:t>Explosives and related matters</w:t>
      </w:r>
      <w:r w:rsidR="00A0275E">
        <w:t>;</w:t>
      </w:r>
    </w:p>
    <w:p w:rsidR="00E27CDD" w:rsidRDefault="00E27CDD" w:rsidP="00126F98">
      <w:pPr>
        <w:pStyle w:val="SingleTxtG"/>
        <w:spacing w:after="80" w:line="240" w:lineRule="auto"/>
        <w:ind w:left="2268" w:hanging="567"/>
      </w:pPr>
      <w:r>
        <w:t>(b)</w:t>
      </w:r>
      <w:r>
        <w:tab/>
        <w:t>Testing of oxidizing substances</w:t>
      </w:r>
      <w:r w:rsidR="00A0275E">
        <w:t>;</w:t>
      </w:r>
    </w:p>
    <w:p w:rsidR="00E27CDD" w:rsidRDefault="00E27CDD" w:rsidP="00126F98">
      <w:pPr>
        <w:pStyle w:val="SingleTxtG"/>
        <w:spacing w:after="80" w:line="240" w:lineRule="auto"/>
        <w:ind w:left="2268" w:hanging="567"/>
      </w:pPr>
      <w:r>
        <w:t>(c)</w:t>
      </w:r>
      <w:r>
        <w:tab/>
        <w:t>Use of the Manual of Tests and Criteria in the context of the GHS</w:t>
      </w:r>
      <w:r w:rsidR="00A0275E">
        <w:t>; and</w:t>
      </w:r>
    </w:p>
    <w:p w:rsidR="00E27CDD" w:rsidRDefault="00E27CDD" w:rsidP="00E27CDD">
      <w:pPr>
        <w:pStyle w:val="SingleTxtG"/>
        <w:ind w:left="2268" w:hanging="567"/>
      </w:pPr>
      <w:r>
        <w:t>(d)</w:t>
      </w:r>
      <w:r>
        <w:tab/>
        <w:t>Assessing the potential development of a global list of chemicals classified in accordance with the GHS</w:t>
      </w:r>
    </w:p>
    <w:p w:rsidR="00C00ACE" w:rsidRPr="001A5EFA" w:rsidRDefault="001A5EFA" w:rsidP="00C00ACE">
      <w:pPr>
        <w:pStyle w:val="SingleTxtG"/>
      </w:pPr>
      <w:r>
        <w:t>3</w:t>
      </w:r>
      <w:r w:rsidR="00C00ACE" w:rsidRPr="001A5EFA">
        <w:t xml:space="preserve">. </w:t>
      </w:r>
      <w:r w:rsidR="00C00ACE" w:rsidRPr="001A5EFA">
        <w:tab/>
        <w:t xml:space="preserve">After preliminary consideration in plenary, </w:t>
      </w:r>
      <w:r w:rsidRPr="001A5EFA">
        <w:t>t</w:t>
      </w:r>
      <w:r w:rsidR="00C00ACE" w:rsidRPr="001A5EFA">
        <w:t>he Sub-Committee referred to the Working Group on Explosives the discussions on:</w:t>
      </w:r>
    </w:p>
    <w:p w:rsidR="00C00ACE" w:rsidRDefault="001A5EFA" w:rsidP="00126F98">
      <w:pPr>
        <w:pStyle w:val="SingleTxtG"/>
        <w:spacing w:after="80" w:line="240" w:lineRule="auto"/>
        <w:ind w:left="2268" w:hanging="567"/>
      </w:pPr>
      <w:r>
        <w:t>(a)</w:t>
      </w:r>
      <w:r>
        <w:tab/>
      </w:r>
      <w:r w:rsidR="00E30EE8">
        <w:t>E</w:t>
      </w:r>
      <w:r w:rsidR="00C00ACE" w:rsidRPr="001A5EFA">
        <w:t>xplosives and related matters (</w:t>
      </w:r>
      <w:r w:rsidRPr="001A5EFA">
        <w:t xml:space="preserve">agenda </w:t>
      </w:r>
      <w:r w:rsidR="00C00ACE" w:rsidRPr="001A5EFA">
        <w:t>item 2</w:t>
      </w:r>
      <w:r w:rsidRPr="001A5EFA">
        <w:t>)</w:t>
      </w:r>
      <w:r w:rsidR="0015786F">
        <w:t>, including:</w:t>
      </w:r>
    </w:p>
    <w:p w:rsidR="00E30EE8" w:rsidRDefault="0015786F" w:rsidP="00126F98">
      <w:pPr>
        <w:pStyle w:val="Bullet1G"/>
        <w:numPr>
          <w:ilvl w:val="0"/>
          <w:numId w:val="0"/>
        </w:numPr>
        <w:spacing w:after="80" w:line="240" w:lineRule="auto"/>
        <w:ind w:left="2126" w:hanging="596"/>
      </w:pPr>
      <w:r>
        <w:tab/>
        <w:t>(i)</w:t>
      </w:r>
      <w:r>
        <w:tab/>
        <w:t xml:space="preserve">Amendment of section 10.3.3.4 of the </w:t>
      </w:r>
      <w:r w:rsidR="00E30EE8">
        <w:t>Manual of Tests and Criteria</w:t>
      </w:r>
    </w:p>
    <w:p w:rsidR="00E30EE8" w:rsidRDefault="00E30EE8" w:rsidP="00126F98">
      <w:pPr>
        <w:pStyle w:val="Bullet1G"/>
        <w:numPr>
          <w:ilvl w:val="0"/>
          <w:numId w:val="0"/>
        </w:numPr>
        <w:spacing w:after="80" w:line="240" w:lineRule="auto"/>
        <w:ind w:left="2126" w:hanging="596"/>
      </w:pPr>
      <w:r>
        <w:tab/>
        <w:t>(ii)</w:t>
      </w:r>
      <w:r>
        <w:tab/>
        <w:t>Improvement of the 8 (c) Koenen Test;</w:t>
      </w:r>
    </w:p>
    <w:p w:rsidR="00E30EE8" w:rsidRDefault="00E30EE8" w:rsidP="00126F98">
      <w:pPr>
        <w:pStyle w:val="Bullet1G"/>
        <w:numPr>
          <w:ilvl w:val="0"/>
          <w:numId w:val="0"/>
        </w:numPr>
        <w:spacing w:after="80" w:line="240" w:lineRule="auto"/>
        <w:ind w:left="2126" w:hanging="596"/>
      </w:pPr>
      <w:r>
        <w:tab/>
        <w:t>(iii)</w:t>
      </w:r>
      <w:r>
        <w:tab/>
        <w:t>Standard detonators;</w:t>
      </w:r>
    </w:p>
    <w:p w:rsidR="00E30EE8" w:rsidRDefault="00E30EE8" w:rsidP="00126F98">
      <w:pPr>
        <w:pStyle w:val="Bullet1G"/>
        <w:numPr>
          <w:ilvl w:val="0"/>
          <w:numId w:val="0"/>
        </w:numPr>
        <w:spacing w:after="80" w:line="240" w:lineRule="auto"/>
        <w:ind w:left="2126" w:hanging="596"/>
      </w:pPr>
      <w:r>
        <w:tab/>
        <w:t>(iv)</w:t>
      </w:r>
      <w:r>
        <w:tab/>
        <w:t>Electronic detonators;</w:t>
      </w:r>
    </w:p>
    <w:p w:rsidR="00E30EE8" w:rsidRDefault="00E30EE8" w:rsidP="00126F98">
      <w:pPr>
        <w:pStyle w:val="Bullet1G"/>
        <w:numPr>
          <w:ilvl w:val="0"/>
          <w:numId w:val="0"/>
        </w:numPr>
        <w:spacing w:after="80" w:line="240" w:lineRule="auto"/>
        <w:ind w:left="2126" w:hanging="596"/>
      </w:pPr>
      <w:r>
        <w:tab/>
        <w:t>(v)</w:t>
      </w:r>
      <w:r>
        <w:tab/>
        <w:t>Stability tests for industrial nitrocellulose;</w:t>
      </w:r>
    </w:p>
    <w:p w:rsidR="00E30EE8" w:rsidRDefault="00E30EE8" w:rsidP="00126F98">
      <w:pPr>
        <w:pStyle w:val="Bullet1G"/>
        <w:numPr>
          <w:ilvl w:val="0"/>
          <w:numId w:val="0"/>
        </w:numPr>
        <w:spacing w:after="80" w:line="240" w:lineRule="auto"/>
        <w:ind w:left="2126"/>
      </w:pPr>
      <w:r>
        <w:t>(vi)</w:t>
      </w:r>
      <w:r>
        <w:tab/>
        <w:t>Classification of desensitized explosives</w:t>
      </w:r>
      <w:r w:rsidR="00A0275E">
        <w:t>;</w:t>
      </w:r>
    </w:p>
    <w:p w:rsidR="00E30EE8" w:rsidRDefault="00E30EE8" w:rsidP="00126F98">
      <w:pPr>
        <w:pStyle w:val="Bullet1G"/>
        <w:numPr>
          <w:ilvl w:val="0"/>
          <w:numId w:val="0"/>
        </w:numPr>
        <w:spacing w:after="80" w:line="240" w:lineRule="auto"/>
        <w:ind w:left="2126" w:hanging="596"/>
      </w:pPr>
      <w:r>
        <w:tab/>
        <w:t>(vii)</w:t>
      </w:r>
      <w:r>
        <w:tab/>
        <w:t>Security provisions for explosives</w:t>
      </w:r>
      <w:r w:rsidR="00A0275E">
        <w:t>;</w:t>
      </w:r>
    </w:p>
    <w:p w:rsidR="00E30EE8" w:rsidRDefault="00E30EE8" w:rsidP="00126F98">
      <w:pPr>
        <w:pStyle w:val="Bullet1G"/>
        <w:numPr>
          <w:ilvl w:val="0"/>
          <w:numId w:val="0"/>
        </w:numPr>
        <w:spacing w:after="80" w:line="240" w:lineRule="auto"/>
        <w:ind w:left="2126" w:hanging="595"/>
      </w:pPr>
      <w:r>
        <w:tab/>
        <w:t>(viii)</w:t>
      </w:r>
      <w:r>
        <w:tab/>
        <w:t>Transport of fireworks in small quantities</w:t>
      </w:r>
      <w:r w:rsidR="00A0275E">
        <w:t>;</w:t>
      </w:r>
    </w:p>
    <w:p w:rsidR="00E30EE8" w:rsidRDefault="00E30EE8" w:rsidP="00E30EE8">
      <w:pPr>
        <w:pStyle w:val="Bullet1G"/>
        <w:numPr>
          <w:ilvl w:val="0"/>
          <w:numId w:val="0"/>
        </w:numPr>
        <w:ind w:left="2127" w:hanging="596"/>
      </w:pPr>
      <w:r>
        <w:tab/>
        <w:t>(ix)</w:t>
      </w:r>
      <w:r>
        <w:tab/>
        <w:t>Tests for oxidizing liquids and solids;</w:t>
      </w:r>
    </w:p>
    <w:p w:rsidR="00C00ACE" w:rsidRPr="001A5EFA" w:rsidRDefault="001A5EFA" w:rsidP="001A5EFA">
      <w:pPr>
        <w:pStyle w:val="Bullet1G"/>
        <w:numPr>
          <w:ilvl w:val="0"/>
          <w:numId w:val="0"/>
        </w:numPr>
        <w:ind w:left="2127" w:hanging="596"/>
      </w:pPr>
      <w:r>
        <w:t>(b)</w:t>
      </w:r>
      <w:r>
        <w:tab/>
      </w:r>
      <w:r w:rsidR="00E30EE8">
        <w:t>U</w:t>
      </w:r>
      <w:r w:rsidR="00C00ACE" w:rsidRPr="001A5EFA">
        <w:t>se of the Manual of Tests and Criteria in the context of GHS (</w:t>
      </w:r>
      <w:r w:rsidRPr="001A5EFA">
        <w:t xml:space="preserve">agenda </w:t>
      </w:r>
      <w:r>
        <w:br/>
      </w:r>
      <w:r w:rsidRPr="001A5EFA">
        <w:t>sub-</w:t>
      </w:r>
      <w:r>
        <w:t>item </w:t>
      </w:r>
      <w:r w:rsidR="00C00ACE" w:rsidRPr="001A5EFA">
        <w:t>10 (d))</w:t>
      </w:r>
      <w:r w:rsidR="0015786F">
        <w:t>;</w:t>
      </w:r>
    </w:p>
    <w:p w:rsidR="00970988" w:rsidRDefault="001A5EFA" w:rsidP="00970988">
      <w:pPr>
        <w:pStyle w:val="SingleTxtG"/>
      </w:pPr>
      <w:r>
        <w:lastRenderedPageBreak/>
        <w:t>4.</w:t>
      </w:r>
      <w:r>
        <w:tab/>
      </w:r>
      <w:r w:rsidR="00C00ACE" w:rsidRPr="001A5EFA">
        <w:t xml:space="preserve">The Working Group met </w:t>
      </w:r>
      <w:r w:rsidRPr="001A5EFA">
        <w:t xml:space="preserve">from 3 to 6 July under the chairmanship of </w:t>
      </w:r>
      <w:r>
        <w:br/>
      </w:r>
      <w:r w:rsidRPr="001A5EFA">
        <w:t xml:space="preserve">Mr. De Jong (Netherlands). </w:t>
      </w:r>
      <w:r w:rsidR="00E27CDD">
        <w:t xml:space="preserve">The </w:t>
      </w:r>
      <w:r w:rsidR="007229DF">
        <w:t xml:space="preserve">full report of the Working Group </w:t>
      </w:r>
      <w:r w:rsidR="00727BE5">
        <w:t>is available in</w:t>
      </w:r>
      <w:r w:rsidR="007229DF">
        <w:t xml:space="preserve"> </w:t>
      </w:r>
      <w:r w:rsidR="00E27CDD">
        <w:t>INF.38 (51</w:t>
      </w:r>
      <w:r w:rsidR="00E27CDD" w:rsidRPr="00BE02AE">
        <w:rPr>
          <w:vertAlign w:val="superscript"/>
        </w:rPr>
        <w:t>st</w:t>
      </w:r>
      <w:r w:rsidR="00E27CDD">
        <w:t xml:space="preserve"> session of the </w:t>
      </w:r>
      <w:r w:rsidR="00E27CDD" w:rsidRPr="001A5EFA">
        <w:t>TDG Sub-Committee</w:t>
      </w:r>
      <w:r w:rsidR="00E27CDD">
        <w:t>)</w:t>
      </w:r>
      <w:r w:rsidR="00E27CDD" w:rsidRPr="001A5EFA">
        <w:rPr>
          <w:rStyle w:val="FootnoteReference"/>
        </w:rPr>
        <w:footnoteReference w:id="3"/>
      </w:r>
      <w:r w:rsidR="00E27CDD">
        <w:t>.</w:t>
      </w:r>
      <w:r w:rsidR="00970988">
        <w:t xml:space="preserve"> </w:t>
      </w:r>
    </w:p>
    <w:p w:rsidR="00727BE5" w:rsidRDefault="00727BE5" w:rsidP="00727BE5">
      <w:pPr>
        <w:pStyle w:val="SingleTxtG"/>
      </w:pPr>
      <w:r>
        <w:t>5.</w:t>
      </w:r>
      <w:r>
        <w:tab/>
        <w:t xml:space="preserve">For the outcome of the discussions on the amendment of section 10.3.3.4 of the Manual of Tests and Criteria; the improvement of the 8 (c) Koenen Test; standard and electronic detonators; security provisions for explosives; and transport of fireworks in small quantities, refer to the report of the Working Group on Explosives (INF.38, paragraphs 4, 5, 6, 7, 10 and 12). </w:t>
      </w:r>
    </w:p>
    <w:p w:rsidR="00727BE5" w:rsidRDefault="00727BE5" w:rsidP="00970988">
      <w:pPr>
        <w:pStyle w:val="SingleTxtG"/>
      </w:pPr>
      <w:r>
        <w:t>6.</w:t>
      </w:r>
      <w:r>
        <w:tab/>
        <w:t xml:space="preserve">The outcome of the discussions </w:t>
      </w:r>
      <w:r w:rsidR="00457287">
        <w:t>of the TDG Sub-Committee on</w:t>
      </w:r>
      <w:r>
        <w:t xml:space="preserve"> </w:t>
      </w:r>
      <w:r w:rsidR="00DB1726">
        <w:t xml:space="preserve">matters of interest to </w:t>
      </w:r>
      <w:r w:rsidR="00DB1726" w:rsidRPr="00DB1726">
        <w:t>the GHS Sub-Committee</w:t>
      </w:r>
      <w:r w:rsidR="00DB1726">
        <w:t xml:space="preserve"> is summarized below. </w:t>
      </w:r>
    </w:p>
    <w:p w:rsidR="00970988" w:rsidRDefault="00DB1726" w:rsidP="00970988">
      <w:pPr>
        <w:pStyle w:val="H1G"/>
      </w:pPr>
      <w:r>
        <w:tab/>
      </w:r>
      <w:r w:rsidR="00970988">
        <w:tab/>
      </w:r>
      <w:r w:rsidR="007229DF">
        <w:t>Outcome of the discussions on matters</w:t>
      </w:r>
      <w:r w:rsidR="00970988">
        <w:t xml:space="preserve"> </w:t>
      </w:r>
      <w:r w:rsidR="007229DF">
        <w:t>i</w:t>
      </w:r>
      <w:r w:rsidR="00970988">
        <w:t>n the agenda for the thirty-third session of the GHS Sub-Committee</w:t>
      </w:r>
    </w:p>
    <w:p w:rsidR="00970988" w:rsidRPr="00126807" w:rsidRDefault="00126807" w:rsidP="00970988">
      <w:pPr>
        <w:pStyle w:val="H23G"/>
      </w:pPr>
      <w:r>
        <w:t>Item 1</w:t>
      </w:r>
      <w:r w:rsidR="00970988">
        <w:tab/>
      </w:r>
      <w:r w:rsidR="00011433">
        <w:tab/>
      </w:r>
      <w:r w:rsidR="00970988">
        <w:t>Use of the Manual of Tests and Criteria in the context of the GHS</w:t>
      </w:r>
      <w:r w:rsidR="007229DF">
        <w:t xml:space="preserve"> </w:t>
      </w:r>
      <w:r>
        <w:br/>
      </w:r>
      <w:r w:rsidR="007229DF" w:rsidRPr="00126807">
        <w:t xml:space="preserve">(GHS Sub-Committee agenda item 2 (a)) </w:t>
      </w:r>
    </w:p>
    <w:p w:rsidR="00970988" w:rsidRDefault="00970988" w:rsidP="006E36AF">
      <w:pPr>
        <w:tabs>
          <w:tab w:val="left" w:pos="1134"/>
          <w:tab w:val="left" w:pos="2977"/>
        </w:tabs>
      </w:pPr>
      <w:r>
        <w:tab/>
      </w:r>
      <w:r w:rsidRPr="00970988">
        <w:t xml:space="preserve">Informal documents: </w:t>
      </w:r>
      <w:r>
        <w:tab/>
      </w:r>
      <w:r w:rsidRPr="00970988">
        <w:t xml:space="preserve">TDG/51/INF.7 - </w:t>
      </w:r>
      <w:r>
        <w:t>GHS/33/INF.3</w:t>
      </w:r>
      <w:r w:rsidR="006E36AF">
        <w:t xml:space="preserve"> </w:t>
      </w:r>
    </w:p>
    <w:p w:rsidR="00970988" w:rsidRDefault="00970988" w:rsidP="006E36AF">
      <w:pPr>
        <w:tabs>
          <w:tab w:val="left" w:pos="1134"/>
          <w:tab w:val="left" w:pos="2977"/>
        </w:tabs>
      </w:pPr>
      <w:r>
        <w:tab/>
      </w:r>
      <w:r>
        <w:tab/>
      </w:r>
      <w:r w:rsidRPr="00970988">
        <w:t xml:space="preserve">TDG/51/INF.7/Add.1- GHS/33/INF.3/Add.1 </w:t>
      </w:r>
    </w:p>
    <w:p w:rsidR="00970988" w:rsidRDefault="00970988" w:rsidP="006E36AF">
      <w:pPr>
        <w:tabs>
          <w:tab w:val="left" w:pos="1134"/>
          <w:tab w:val="left" w:pos="2977"/>
        </w:tabs>
      </w:pPr>
      <w:r>
        <w:tab/>
      </w:r>
      <w:r>
        <w:tab/>
      </w:r>
      <w:r w:rsidRPr="00970988">
        <w:t>TDG/51/INF.7/Add.2- GHS/33/INF.3/Add.2</w:t>
      </w:r>
    </w:p>
    <w:p w:rsidR="00970988" w:rsidRDefault="00126807" w:rsidP="007229DF">
      <w:pPr>
        <w:pStyle w:val="SingleTxtG"/>
        <w:spacing w:before="240"/>
      </w:pPr>
      <w:r w:rsidRPr="00126807">
        <w:rPr>
          <w:u w:val="single"/>
        </w:rPr>
        <w:t>Discussion</w:t>
      </w:r>
      <w:r w:rsidRPr="00126807">
        <w:t xml:space="preserve">: </w:t>
      </w:r>
      <w:r w:rsidR="00970988">
        <w:t xml:space="preserve">The </w:t>
      </w:r>
      <w:r w:rsidR="007229DF">
        <w:t>W</w:t>
      </w:r>
      <w:r w:rsidR="00970988">
        <w:t xml:space="preserve">orking </w:t>
      </w:r>
      <w:r w:rsidR="007229DF">
        <w:t>G</w:t>
      </w:r>
      <w:r w:rsidR="00970988">
        <w:t xml:space="preserve">roup </w:t>
      </w:r>
      <w:r w:rsidR="00D5565C">
        <w:t xml:space="preserve">on Explosives </w:t>
      </w:r>
      <w:r w:rsidR="00970988">
        <w:t>noted</w:t>
      </w:r>
      <w:r w:rsidR="00D5565C">
        <w:t xml:space="preserve"> that</w:t>
      </w:r>
      <w:r w:rsidR="00970988">
        <w:t xml:space="preserve">: </w:t>
      </w:r>
    </w:p>
    <w:p w:rsidR="00970988" w:rsidRPr="00394612" w:rsidRDefault="00D5565C" w:rsidP="00970988">
      <w:pPr>
        <w:pStyle w:val="Bullet1G"/>
      </w:pPr>
      <w:r>
        <w:t>c</w:t>
      </w:r>
      <w:r w:rsidR="00970988">
        <w:t>larification is needed to explain that, in appropriate places, T</w:t>
      </w:r>
      <w:r w:rsidR="00011433">
        <w:t xml:space="preserve">est </w:t>
      </w:r>
      <w:r w:rsidR="00970988">
        <w:t>S</w:t>
      </w:r>
      <w:r w:rsidR="00011433">
        <w:t>eries</w:t>
      </w:r>
      <w:r w:rsidR="00970988">
        <w:t xml:space="preserve"> 4 and 6 are intended only to be performed on goods in transport configuration. Also, clarification is needed to explain that, in certain instan</w:t>
      </w:r>
      <w:r w:rsidR="00011433">
        <w:t xml:space="preserve">ces, the results of Test </w:t>
      </w:r>
      <w:r w:rsidR="00011433" w:rsidRPr="00394612">
        <w:t>Series </w:t>
      </w:r>
      <w:r w:rsidR="00970988" w:rsidRPr="00394612">
        <w:t xml:space="preserve">1, though not required for classification, may be needed for hazard assessment and hazard communication. </w:t>
      </w:r>
    </w:p>
    <w:p w:rsidR="00970988" w:rsidRPr="00911EB1" w:rsidRDefault="00D5565C" w:rsidP="00970988">
      <w:pPr>
        <w:pStyle w:val="Bullet1G"/>
      </w:pPr>
      <w:r w:rsidRPr="00911EB1">
        <w:t>t</w:t>
      </w:r>
      <w:r w:rsidR="00970988" w:rsidRPr="00911EB1">
        <w:t xml:space="preserve">here is certain text in the </w:t>
      </w:r>
      <w:r w:rsidR="00011433" w:rsidRPr="00911EB1">
        <w:t>Manual of Tests and Criteria</w:t>
      </w:r>
      <w:r w:rsidR="00970988" w:rsidRPr="00911EB1">
        <w:t xml:space="preserve"> that is recommended for revision and the same text also appears in the Model Regulations and/or the GHS document. It is unclear to the working group whether, if the </w:t>
      </w:r>
      <w:r w:rsidR="00011433" w:rsidRPr="00911EB1">
        <w:t>changes to the Manual of Tests and Criteria a</w:t>
      </w:r>
      <w:r w:rsidR="00970988" w:rsidRPr="00911EB1">
        <w:t xml:space="preserve">re approved, the same changes would be necessary where the text also appears in the Model Regulations and/or the GHS document. The working group is seeking guidance </w:t>
      </w:r>
      <w:r w:rsidR="00011433" w:rsidRPr="00911EB1">
        <w:t>from the S</w:t>
      </w:r>
      <w:r w:rsidR="00970988" w:rsidRPr="00911EB1">
        <w:t>ub-</w:t>
      </w:r>
      <w:r w:rsidR="00011433" w:rsidRPr="00911EB1">
        <w:t>C</w:t>
      </w:r>
      <w:r w:rsidR="00970988" w:rsidRPr="00911EB1">
        <w:t xml:space="preserve">ommittee as to how this should be addressed. </w:t>
      </w:r>
      <w:bookmarkStart w:id="0" w:name="_GoBack"/>
      <w:bookmarkEnd w:id="0"/>
    </w:p>
    <w:p w:rsidR="00D5565C" w:rsidRDefault="00970988" w:rsidP="00970988">
      <w:pPr>
        <w:pStyle w:val="Bullet1G"/>
      </w:pPr>
      <w:r>
        <w:t xml:space="preserve">there are numerous references to “product” in the Model Regulations and the </w:t>
      </w:r>
      <w:r w:rsidR="00011433">
        <w:t>Manual of Tests and Criteria</w:t>
      </w:r>
      <w:r>
        <w:t xml:space="preserve">. However, due to the sheer volume of revisions that would be required and the potential for unintended consequences, it is not recommended to replace these occurrences with “substance or article”. </w:t>
      </w:r>
    </w:p>
    <w:p w:rsidR="00970988" w:rsidRDefault="00BC30B2" w:rsidP="00970988">
      <w:pPr>
        <w:pStyle w:val="Bullet1G"/>
      </w:pPr>
      <w:r>
        <w:t>t</w:t>
      </w:r>
      <w:r w:rsidR="00970988">
        <w:t xml:space="preserve">he review of Sections 20 – 28 (INF.7/Add.2) will take place at a later session. </w:t>
      </w:r>
    </w:p>
    <w:p w:rsidR="00970988" w:rsidRDefault="00970988" w:rsidP="00011433">
      <w:pPr>
        <w:pStyle w:val="SingleTxtG"/>
      </w:pPr>
      <w:r w:rsidRPr="006E36AF">
        <w:rPr>
          <w:u w:val="single"/>
        </w:rPr>
        <w:t>Conclusion</w:t>
      </w:r>
      <w:r w:rsidRPr="006E36AF">
        <w:t>:</w:t>
      </w:r>
      <w:r>
        <w:t xml:space="preserve"> The </w:t>
      </w:r>
      <w:r w:rsidR="006E36AF">
        <w:t xml:space="preserve">Chairman of the </w:t>
      </w:r>
      <w:r>
        <w:t>working group will consolidate the comments and suggestions from the working group into new working documents and will distribute them to the working group for verification and further review.</w:t>
      </w:r>
    </w:p>
    <w:p w:rsidR="00126807" w:rsidRPr="00126F98" w:rsidRDefault="00911EB1" w:rsidP="00126807">
      <w:pPr>
        <w:pStyle w:val="SingleTxtG"/>
      </w:pPr>
      <w:r w:rsidRPr="00126F98">
        <w:t>The TDG Sub-Committee endorsed the conclusion of the Working Group.</w:t>
      </w:r>
    </w:p>
    <w:p w:rsidR="00011433" w:rsidRPr="00011433" w:rsidRDefault="00011433" w:rsidP="00126807">
      <w:pPr>
        <w:pStyle w:val="SingleTxtG"/>
        <w:rPr>
          <w:i/>
        </w:rPr>
      </w:pPr>
      <w:r w:rsidRPr="00911EB1">
        <w:rPr>
          <w:i/>
        </w:rPr>
        <w:t>(</w:t>
      </w:r>
      <w:r w:rsidR="00263054" w:rsidRPr="00911EB1">
        <w:rPr>
          <w:i/>
        </w:rPr>
        <w:t>Ref</w:t>
      </w:r>
      <w:r w:rsidR="00126F98">
        <w:rPr>
          <w:i/>
        </w:rPr>
        <w:t>.Doc</w:t>
      </w:r>
      <w:r w:rsidR="00263054" w:rsidRPr="00911EB1">
        <w:rPr>
          <w:i/>
        </w:rPr>
        <w:t>:</w:t>
      </w:r>
      <w:r w:rsidRPr="00911EB1">
        <w:rPr>
          <w:i/>
        </w:rPr>
        <w:t xml:space="preserve"> TDG/51/INF.38</w:t>
      </w:r>
      <w:r w:rsidR="00D5565C" w:rsidRPr="00911EB1">
        <w:rPr>
          <w:i/>
        </w:rPr>
        <w:t>, paragraph 14</w:t>
      </w:r>
      <w:r w:rsidRPr="00911EB1">
        <w:rPr>
          <w:i/>
        </w:rPr>
        <w:t xml:space="preserve"> and draft report of the TDG Sub-Committee on its 51</w:t>
      </w:r>
      <w:r w:rsidRPr="00911EB1">
        <w:rPr>
          <w:i/>
          <w:vertAlign w:val="superscript"/>
        </w:rPr>
        <w:t>st</w:t>
      </w:r>
      <w:r w:rsidRPr="00911EB1">
        <w:rPr>
          <w:i/>
        </w:rPr>
        <w:t xml:space="preserve"> session: ST/SG/AC.10/C.3/2017/CRP.</w:t>
      </w:r>
      <w:r w:rsidR="00911EB1" w:rsidRPr="00911EB1">
        <w:rPr>
          <w:i/>
        </w:rPr>
        <w:t>1/Add.8</w:t>
      </w:r>
      <w:r w:rsidRPr="00911EB1">
        <w:rPr>
          <w:i/>
        </w:rPr>
        <w:t>, para</w:t>
      </w:r>
      <w:r w:rsidR="00911EB1" w:rsidRPr="00911EB1">
        <w:rPr>
          <w:i/>
        </w:rPr>
        <w:t xml:space="preserve">graph </w:t>
      </w:r>
      <w:r w:rsidR="00126F98">
        <w:rPr>
          <w:i/>
        </w:rPr>
        <w:t>71</w:t>
      </w:r>
      <w:r w:rsidRPr="00911EB1">
        <w:rPr>
          <w:i/>
        </w:rPr>
        <w:t>)</w:t>
      </w:r>
    </w:p>
    <w:p w:rsidR="00126807" w:rsidRDefault="00D5565C" w:rsidP="00126807">
      <w:pPr>
        <w:pStyle w:val="H23G"/>
      </w:pPr>
      <w:r>
        <w:lastRenderedPageBreak/>
        <w:t>Item 2</w:t>
      </w:r>
      <w:r w:rsidR="00263054">
        <w:tab/>
      </w:r>
      <w:r w:rsidR="00263054">
        <w:tab/>
      </w:r>
      <w:r w:rsidR="00011433">
        <w:t xml:space="preserve">Classification of desensitized explosives </w:t>
      </w:r>
      <w:r w:rsidR="00126807">
        <w:t xml:space="preserve">(GHS Sub-Committee agenda item 2 (a)) </w:t>
      </w:r>
    </w:p>
    <w:p w:rsidR="00011433" w:rsidRPr="00911EB1" w:rsidRDefault="00011433" w:rsidP="00263054">
      <w:pPr>
        <w:ind w:left="567" w:firstLine="567"/>
      </w:pPr>
      <w:r w:rsidRPr="00911EB1">
        <w:t xml:space="preserve">Informal document: </w:t>
      </w:r>
      <w:r w:rsidR="00263054" w:rsidRPr="00911EB1">
        <w:tab/>
      </w:r>
      <w:r w:rsidRPr="00911EB1">
        <w:t>TDG/51/INF.10 – GHS/33/INF.4</w:t>
      </w:r>
      <w:r w:rsidR="006E36AF" w:rsidRPr="00911EB1">
        <w:t xml:space="preserve"> (CEFIC, WONIPA)</w:t>
      </w:r>
    </w:p>
    <w:p w:rsidR="00263054" w:rsidRDefault="00D5565C" w:rsidP="00D5565C">
      <w:pPr>
        <w:pStyle w:val="SingleTxtG"/>
        <w:spacing w:before="240"/>
      </w:pPr>
      <w:r w:rsidRPr="00126807">
        <w:rPr>
          <w:u w:val="single"/>
        </w:rPr>
        <w:t>Discussion</w:t>
      </w:r>
      <w:r w:rsidRPr="00126807">
        <w:t>:</w:t>
      </w:r>
      <w:r>
        <w:t xml:space="preserve"> </w:t>
      </w:r>
      <w:r w:rsidR="00011433">
        <w:t xml:space="preserve">The </w:t>
      </w:r>
      <w:r w:rsidR="007229DF">
        <w:t xml:space="preserve">Working Group on Explosives </w:t>
      </w:r>
      <w:r w:rsidR="00011433">
        <w:t xml:space="preserve">considered the proposal to use the test results (SprengLR011) already achieved by the German competent authority BAM over the past 30 years for the classification of industrial nitrocellulose products according to the new GHS chapter 2.17 desensitized explosives and concluded that the data was useful and how to include it in the GHS should be addressed by the intersessional group discussed above. </w:t>
      </w:r>
    </w:p>
    <w:p w:rsidR="00970988" w:rsidRDefault="00011433" w:rsidP="00263054">
      <w:pPr>
        <w:pStyle w:val="SingleTxtG"/>
      </w:pPr>
      <w:r w:rsidRPr="006E36AF">
        <w:rPr>
          <w:u w:val="single"/>
        </w:rPr>
        <w:t>Conclusion</w:t>
      </w:r>
      <w:r w:rsidRPr="006E36AF">
        <w:t>:</w:t>
      </w:r>
      <w:r>
        <w:t xml:space="preserve"> Referred to </w:t>
      </w:r>
      <w:r w:rsidR="00263054">
        <w:t>an</w:t>
      </w:r>
      <w:r>
        <w:t xml:space="preserve"> intersessional group</w:t>
      </w:r>
      <w:r w:rsidR="00D563D8">
        <w:rPr>
          <w:rStyle w:val="FootnoteReference"/>
        </w:rPr>
        <w:footnoteReference w:id="4"/>
      </w:r>
      <w:r>
        <w:t xml:space="preserve"> for further consideration.</w:t>
      </w:r>
    </w:p>
    <w:p w:rsidR="00D5565C" w:rsidRPr="00126F98" w:rsidRDefault="00D5565C" w:rsidP="00D5565C">
      <w:pPr>
        <w:pStyle w:val="SingleTxtG"/>
      </w:pPr>
      <w:r w:rsidRPr="00126F98">
        <w:t xml:space="preserve">The </w:t>
      </w:r>
      <w:r w:rsidR="00394612" w:rsidRPr="00126F98">
        <w:t xml:space="preserve">TDG </w:t>
      </w:r>
      <w:r w:rsidRPr="00126F98">
        <w:t xml:space="preserve">Sub-Committee </w:t>
      </w:r>
      <w:r w:rsidR="00911EB1" w:rsidRPr="00126F98">
        <w:t>endorsed the conclusion</w:t>
      </w:r>
      <w:r w:rsidRPr="00126F98">
        <w:t xml:space="preserve"> of the Working Group.</w:t>
      </w:r>
    </w:p>
    <w:p w:rsidR="00263054" w:rsidRDefault="00263054" w:rsidP="00263054">
      <w:pPr>
        <w:pStyle w:val="SingleTxtG"/>
        <w:rPr>
          <w:i/>
        </w:rPr>
      </w:pPr>
      <w:r w:rsidRPr="00126F98">
        <w:rPr>
          <w:i/>
        </w:rPr>
        <w:t>(</w:t>
      </w:r>
      <w:r w:rsidR="00126F98">
        <w:rPr>
          <w:i/>
        </w:rPr>
        <w:t>Ref.Doc:</w:t>
      </w:r>
      <w:r w:rsidRPr="00126F98">
        <w:rPr>
          <w:i/>
        </w:rPr>
        <w:t xml:space="preserve"> TDG/51/INF.38</w:t>
      </w:r>
      <w:r w:rsidR="00126807" w:rsidRPr="00126F98">
        <w:rPr>
          <w:i/>
        </w:rPr>
        <w:t>, paragraph 9,</w:t>
      </w:r>
      <w:r w:rsidRPr="00126F98">
        <w:rPr>
          <w:i/>
        </w:rPr>
        <w:t xml:space="preserve"> and draft report of the TDG Sub-Committee on its 51</w:t>
      </w:r>
      <w:r w:rsidRPr="00126F98">
        <w:rPr>
          <w:i/>
          <w:vertAlign w:val="superscript"/>
        </w:rPr>
        <w:t>st</w:t>
      </w:r>
      <w:r w:rsidRPr="00126F98">
        <w:rPr>
          <w:i/>
        </w:rPr>
        <w:t xml:space="preserve"> session: ST/SG/AC.10/C.3/2017/CRP.</w:t>
      </w:r>
      <w:r w:rsidR="00911EB1" w:rsidRPr="00126F98">
        <w:rPr>
          <w:i/>
        </w:rPr>
        <w:t>1/Add.8</w:t>
      </w:r>
      <w:r w:rsidRPr="00126F98">
        <w:rPr>
          <w:i/>
        </w:rPr>
        <w:t>, para</w:t>
      </w:r>
      <w:r w:rsidR="00911EB1" w:rsidRPr="00126F98">
        <w:rPr>
          <w:i/>
        </w:rPr>
        <w:t>graph 71</w:t>
      </w:r>
      <w:r w:rsidRPr="00126F98">
        <w:rPr>
          <w:i/>
        </w:rPr>
        <w:t>)</w:t>
      </w:r>
    </w:p>
    <w:p w:rsidR="00D563D8" w:rsidRPr="00911EB1" w:rsidRDefault="00D563D8" w:rsidP="00D563D8">
      <w:pPr>
        <w:pStyle w:val="H23G"/>
      </w:pPr>
      <w:r w:rsidRPr="00911EB1">
        <w:t>Item 3</w:t>
      </w:r>
      <w:r w:rsidRPr="00911EB1">
        <w:tab/>
      </w:r>
      <w:r w:rsidRPr="00911EB1">
        <w:tab/>
        <w:t>Review of Chapter 2.1 of the GHS (GHS Sub-Committee agenda item 2 (</w:t>
      </w:r>
      <w:r w:rsidR="00144F53" w:rsidRPr="00911EB1">
        <w:t>b</w:t>
      </w:r>
      <w:r w:rsidRPr="00911EB1">
        <w:t xml:space="preserve">)) </w:t>
      </w:r>
    </w:p>
    <w:p w:rsidR="00144F53" w:rsidRPr="006E36AF" w:rsidRDefault="00144F53" w:rsidP="006E36AF">
      <w:pPr>
        <w:pStyle w:val="SingleTxtG"/>
        <w:spacing w:after="0"/>
      </w:pPr>
      <w:r w:rsidRPr="006E36AF">
        <w:t>Informal documen</w:t>
      </w:r>
      <w:r w:rsidR="006E36AF" w:rsidRPr="006E36AF">
        <w:t>ts: TDG/51/INF.15 - GHS/33/INF.</w:t>
      </w:r>
      <w:r w:rsidRPr="006E36AF">
        <w:t xml:space="preserve">7 (Sweden) </w:t>
      </w:r>
    </w:p>
    <w:p w:rsidR="006E36AF" w:rsidRPr="006E36AF" w:rsidRDefault="006E36AF" w:rsidP="006E36AF">
      <w:pPr>
        <w:pStyle w:val="SingleTxtG"/>
        <w:ind w:left="2268" w:firstLine="567"/>
      </w:pPr>
      <w:r w:rsidRPr="006E36AF">
        <w:t>TDG/51/INF.</w:t>
      </w:r>
      <w:r>
        <w:t>44</w:t>
      </w:r>
      <w:r w:rsidRPr="006E36AF">
        <w:t xml:space="preserve"> - GHS/33/INF.</w:t>
      </w:r>
      <w:r>
        <w:t xml:space="preserve">13 </w:t>
      </w:r>
      <w:r w:rsidRPr="006E36AF">
        <w:t>(Sweden)</w:t>
      </w:r>
    </w:p>
    <w:p w:rsidR="00D563D8" w:rsidRPr="00126F98" w:rsidRDefault="00911EB1" w:rsidP="00144F53">
      <w:pPr>
        <w:pStyle w:val="SingleTxtG"/>
      </w:pPr>
      <w:r w:rsidRPr="00126F98">
        <w:t xml:space="preserve">The Sub-Committee took note of the </w:t>
      </w:r>
      <w:r w:rsidR="00126F98" w:rsidRPr="00126F98">
        <w:t>amended</w:t>
      </w:r>
      <w:r w:rsidRPr="00126F98">
        <w:t xml:space="preserve"> programme of work for the revision of Chapter 2.1</w:t>
      </w:r>
      <w:r w:rsidR="00126F98" w:rsidRPr="00126F98">
        <w:t xml:space="preserve"> and the hopefulness that the expert from Sweden expressed in progressing the work.</w:t>
      </w:r>
    </w:p>
    <w:p w:rsidR="00144F53" w:rsidRDefault="00144F53" w:rsidP="00144F53">
      <w:pPr>
        <w:pStyle w:val="SingleTxtG"/>
        <w:rPr>
          <w:i/>
        </w:rPr>
      </w:pPr>
      <w:r w:rsidRPr="00911EB1">
        <w:rPr>
          <w:i/>
        </w:rPr>
        <w:t>(Ref</w:t>
      </w:r>
      <w:r w:rsidR="00911EB1" w:rsidRPr="00911EB1">
        <w:rPr>
          <w:i/>
        </w:rPr>
        <w:t>.D</w:t>
      </w:r>
      <w:r w:rsidRPr="00911EB1">
        <w:rPr>
          <w:i/>
        </w:rPr>
        <w:t>oc: draft report of the TDG Sub-Committee on its 51</w:t>
      </w:r>
      <w:r w:rsidRPr="00911EB1">
        <w:rPr>
          <w:i/>
          <w:vertAlign w:val="superscript"/>
        </w:rPr>
        <w:t>st</w:t>
      </w:r>
      <w:r w:rsidRPr="00911EB1">
        <w:rPr>
          <w:i/>
        </w:rPr>
        <w:t xml:space="preserve"> session: ST/SG/AC.10/C.3/2017/CRP.</w:t>
      </w:r>
      <w:r w:rsidR="00911EB1" w:rsidRPr="00911EB1">
        <w:rPr>
          <w:i/>
        </w:rPr>
        <w:t>1/Add.8</w:t>
      </w:r>
      <w:r w:rsidRPr="00911EB1">
        <w:rPr>
          <w:i/>
        </w:rPr>
        <w:t xml:space="preserve">, </w:t>
      </w:r>
      <w:r w:rsidR="00911EB1" w:rsidRPr="00911EB1">
        <w:rPr>
          <w:i/>
        </w:rPr>
        <w:t>paragraph 72</w:t>
      </w:r>
      <w:r w:rsidR="00126F98">
        <w:rPr>
          <w:i/>
        </w:rPr>
        <w:t xml:space="preserve"> as amended</w:t>
      </w:r>
      <w:r w:rsidRPr="00911EB1">
        <w:rPr>
          <w:i/>
        </w:rPr>
        <w:t>)</w:t>
      </w:r>
    </w:p>
    <w:p w:rsidR="00126807" w:rsidRPr="00911EB1" w:rsidRDefault="00D5565C" w:rsidP="00126807">
      <w:pPr>
        <w:pStyle w:val="H23G"/>
      </w:pPr>
      <w:r w:rsidRPr="00911EB1">
        <w:t xml:space="preserve">Item </w:t>
      </w:r>
      <w:r w:rsidR="00144F53" w:rsidRPr="00911EB1">
        <w:t>4</w:t>
      </w:r>
      <w:r w:rsidR="00126807" w:rsidRPr="00911EB1">
        <w:tab/>
      </w:r>
      <w:r w:rsidR="00126807" w:rsidRPr="00911EB1">
        <w:tab/>
        <w:t>Assessing the potential development of a global list of chemicals classified in accordance with the GHS (GHS Sub-Committee agenda item 4 (a))</w:t>
      </w:r>
    </w:p>
    <w:p w:rsidR="00126807" w:rsidRDefault="00126807" w:rsidP="00126807">
      <w:pPr>
        <w:ind w:left="567" w:firstLine="567"/>
      </w:pPr>
      <w:r w:rsidRPr="006E36AF">
        <w:t xml:space="preserve">Document: </w:t>
      </w:r>
      <w:r w:rsidRPr="006E36AF">
        <w:tab/>
        <w:t>ST/SG/AC.10/C.3/2017/7- ST/SG/AC.10/C.4/2017/1</w:t>
      </w:r>
      <w:r w:rsidR="006E36AF" w:rsidRPr="006E36AF">
        <w:t xml:space="preserve"> (USA)</w:t>
      </w:r>
    </w:p>
    <w:p w:rsidR="00911EB1" w:rsidRDefault="00911EB1" w:rsidP="00126807">
      <w:pPr>
        <w:ind w:left="567" w:firstLine="567"/>
      </w:pPr>
    </w:p>
    <w:p w:rsidR="00911EB1" w:rsidRDefault="00911EB1" w:rsidP="00911EB1">
      <w:pPr>
        <w:pStyle w:val="SingleTxtG"/>
        <w:rPr>
          <w:color w:val="000000"/>
        </w:rPr>
      </w:pPr>
      <w:r>
        <w:t>The Sub-Committee e</w:t>
      </w:r>
      <w:r>
        <w:rPr>
          <w:color w:val="000000"/>
        </w:rPr>
        <w:t>xpressed gratitude for the work done so far and support for continuing work in this area. It recommended pursuing harmonised classifications recognizing that there are multiple lists worldwide applying to different sectors with conflicting classification results in some cases. It recognised the amount of resources needed, and suggested that the work could perhaps start with a comparison of classification results to identify discrepancies. It underlined that this Sub-Committee had a procedure for updating classification based on data that can be used.</w:t>
      </w:r>
    </w:p>
    <w:p w:rsidR="00126807" w:rsidRDefault="00126807" w:rsidP="00126807">
      <w:pPr>
        <w:pStyle w:val="SingleTxtG"/>
        <w:rPr>
          <w:i/>
        </w:rPr>
      </w:pPr>
      <w:r w:rsidRPr="00911EB1">
        <w:rPr>
          <w:i/>
        </w:rPr>
        <w:t>(Ref</w:t>
      </w:r>
      <w:r w:rsidR="00394612" w:rsidRPr="00911EB1">
        <w:rPr>
          <w:i/>
        </w:rPr>
        <w:t>.D</w:t>
      </w:r>
      <w:r w:rsidRPr="00911EB1">
        <w:rPr>
          <w:i/>
        </w:rPr>
        <w:t>oc</w:t>
      </w:r>
      <w:r w:rsidR="00394612" w:rsidRPr="00911EB1">
        <w:rPr>
          <w:i/>
        </w:rPr>
        <w:t>:</w:t>
      </w:r>
      <w:r w:rsidRPr="00911EB1">
        <w:rPr>
          <w:i/>
        </w:rPr>
        <w:t xml:space="preserve"> Draft report of the TDG Sub-Committee on its 51</w:t>
      </w:r>
      <w:r w:rsidRPr="00911EB1">
        <w:rPr>
          <w:i/>
          <w:vertAlign w:val="superscript"/>
        </w:rPr>
        <w:t>st</w:t>
      </w:r>
      <w:r w:rsidRPr="00911EB1">
        <w:rPr>
          <w:i/>
        </w:rPr>
        <w:t xml:space="preserve"> session: ST/SG/AC.10/C.3/2017/CRP.</w:t>
      </w:r>
      <w:r w:rsidR="00911EB1" w:rsidRPr="00911EB1">
        <w:rPr>
          <w:i/>
        </w:rPr>
        <w:t>1/Add.8</w:t>
      </w:r>
      <w:r w:rsidRPr="00911EB1">
        <w:rPr>
          <w:i/>
        </w:rPr>
        <w:t>, par</w:t>
      </w:r>
      <w:r w:rsidR="00911EB1" w:rsidRPr="00911EB1">
        <w:rPr>
          <w:i/>
        </w:rPr>
        <w:t>agraph 70</w:t>
      </w:r>
      <w:r w:rsidRPr="00911EB1">
        <w:rPr>
          <w:i/>
        </w:rPr>
        <w:t>)</w:t>
      </w:r>
    </w:p>
    <w:p w:rsidR="00126807" w:rsidRDefault="00126807" w:rsidP="00126807">
      <w:pPr>
        <w:pStyle w:val="H1G"/>
      </w:pPr>
      <w:r w:rsidRPr="00126807">
        <w:tab/>
      </w:r>
      <w:r w:rsidRPr="00126807">
        <w:tab/>
      </w:r>
      <w:r>
        <w:t>Outcome of the discussions on other matters of interest to the GHS Sub-Committee</w:t>
      </w:r>
    </w:p>
    <w:p w:rsidR="00D563D8" w:rsidRDefault="00D563D8" w:rsidP="00D563D8">
      <w:pPr>
        <w:pStyle w:val="H23G"/>
      </w:pPr>
      <w:r>
        <w:t xml:space="preserve">Item </w:t>
      </w:r>
      <w:r w:rsidR="00144F53">
        <w:t>5</w:t>
      </w:r>
      <w:r>
        <w:tab/>
      </w:r>
      <w:r>
        <w:tab/>
        <w:t>Stability tests for industrial nitrocellulose</w:t>
      </w:r>
    </w:p>
    <w:p w:rsidR="00D563D8" w:rsidRDefault="00D563D8" w:rsidP="00D563D8">
      <w:pPr>
        <w:pStyle w:val="SingleTxtG"/>
      </w:pPr>
      <w:r>
        <w:t xml:space="preserve">Document: </w:t>
      </w:r>
      <w:r>
        <w:tab/>
      </w:r>
      <w:r>
        <w:tab/>
        <w:t xml:space="preserve">ST/SG/AC.10/C.3/2017/3 (Germany) </w:t>
      </w:r>
    </w:p>
    <w:p w:rsidR="00D563D8" w:rsidRDefault="00D563D8" w:rsidP="006E36AF">
      <w:pPr>
        <w:pStyle w:val="SingleTxtG"/>
        <w:spacing w:after="0"/>
      </w:pPr>
      <w:r w:rsidRPr="00D563D8">
        <w:t xml:space="preserve">Informal documents: </w:t>
      </w:r>
      <w:r>
        <w:t xml:space="preserve">TDG/51/INF.9 (CEFIC, WONIPA) </w:t>
      </w:r>
    </w:p>
    <w:p w:rsidR="00D563D8" w:rsidRDefault="00D563D8" w:rsidP="00D563D8">
      <w:pPr>
        <w:pStyle w:val="SingleTxtG"/>
        <w:ind w:left="2268" w:firstLine="567"/>
      </w:pPr>
      <w:r>
        <w:t xml:space="preserve">TDG/51/INF.24 (SAAMI) </w:t>
      </w:r>
    </w:p>
    <w:p w:rsidR="00D563D8" w:rsidRDefault="00D563D8" w:rsidP="00D563D8">
      <w:pPr>
        <w:pStyle w:val="SingleTxtG"/>
      </w:pPr>
      <w:r w:rsidRPr="00D563D8">
        <w:rPr>
          <w:u w:val="single"/>
        </w:rPr>
        <w:lastRenderedPageBreak/>
        <w:t>Discussion:</w:t>
      </w:r>
      <w:r>
        <w:t xml:space="preserve"> The Working Group on Explosives considered the issues raised by Germany related to stabilization of nitrocellulose (NC) mixtures even if the mixture becomes completely dry and agreed that additional tests to confirm stability of NC mixtures were needed. Much of the discussion concerned the issue of stabilization of NC and the need for such, especially once the NC is dried. The working group agreed that stabilization was required to ensure safe handling of NC but also determined that the 3(c) thermal stability test was not suited for evaluating NC stabilization. The working group unanimously concluded that the Bergmann Junk test and the Methyl Violet Paper tests were suitable tests for such assessment and recommended their performance in place of the 3(c) test when classifying NC. However, the working group decided that the auto-ignition temperature test was not beneficial. </w:t>
      </w:r>
    </w:p>
    <w:p w:rsidR="00D563D8" w:rsidRDefault="00D563D8" w:rsidP="00D563D8">
      <w:pPr>
        <w:pStyle w:val="SingleTxtG"/>
      </w:pPr>
      <w:r w:rsidRPr="006E36AF">
        <w:rPr>
          <w:u w:val="single"/>
        </w:rPr>
        <w:t>Conclusion</w:t>
      </w:r>
      <w:r>
        <w:t>: CEFIC will lead an intersessional group to work out details of implementation, test procedures, placement of the Bergmann Junk test and the Methyl Violet Paper test in the Model Regulations and the Manual of Tests and Criteria, and will consider some allowance for grandfathering currently existing NC approvals and prepare a new proposal for the next session.</w:t>
      </w:r>
    </w:p>
    <w:p w:rsidR="00D563D8" w:rsidRPr="00126F98" w:rsidRDefault="00D563D8" w:rsidP="00D563D8">
      <w:pPr>
        <w:pStyle w:val="SingleTxtG"/>
        <w:rPr>
          <w:b/>
        </w:rPr>
      </w:pPr>
      <w:r w:rsidRPr="00126F98">
        <w:rPr>
          <w:b/>
        </w:rPr>
        <w:t xml:space="preserve">The Sub-Committee endorsed the </w:t>
      </w:r>
      <w:r w:rsidR="00126F98" w:rsidRPr="00126F98">
        <w:rPr>
          <w:b/>
        </w:rPr>
        <w:t>conclusions</w:t>
      </w:r>
      <w:r w:rsidRPr="00126F98">
        <w:rPr>
          <w:b/>
        </w:rPr>
        <w:t xml:space="preserve"> of the Working Group.</w:t>
      </w:r>
    </w:p>
    <w:p w:rsidR="00D563D8" w:rsidRDefault="00D563D8" w:rsidP="00D563D8">
      <w:pPr>
        <w:pStyle w:val="SingleTxtG"/>
        <w:rPr>
          <w:i/>
        </w:rPr>
      </w:pPr>
      <w:r w:rsidRPr="00126F98">
        <w:rPr>
          <w:i/>
        </w:rPr>
        <w:t>(Ref.Doc: TDG/51/INF.38, paragraph 8, and draft report of the TDG Sub-Committee on its 51</w:t>
      </w:r>
      <w:r w:rsidRPr="00126F98">
        <w:rPr>
          <w:i/>
          <w:vertAlign w:val="superscript"/>
        </w:rPr>
        <w:t>st</w:t>
      </w:r>
      <w:r w:rsidRPr="00126F98">
        <w:rPr>
          <w:i/>
        </w:rPr>
        <w:t xml:space="preserve"> session: ST/SG/AC.10/C.3/2017/CRP.</w:t>
      </w:r>
      <w:r w:rsidR="00126F98" w:rsidRPr="00126F98">
        <w:rPr>
          <w:i/>
        </w:rPr>
        <w:t>1/Add.8</w:t>
      </w:r>
      <w:r w:rsidRPr="00126F98">
        <w:rPr>
          <w:i/>
        </w:rPr>
        <w:t xml:space="preserve">, </w:t>
      </w:r>
      <w:r w:rsidR="00126F98" w:rsidRPr="00126F98">
        <w:rPr>
          <w:i/>
        </w:rPr>
        <w:t>paragraph 71</w:t>
      </w:r>
      <w:r w:rsidRPr="00126F98">
        <w:rPr>
          <w:i/>
        </w:rPr>
        <w:t>)</w:t>
      </w:r>
    </w:p>
    <w:p w:rsidR="00144F53" w:rsidRDefault="00144F53" w:rsidP="00144F53">
      <w:pPr>
        <w:pStyle w:val="H23G"/>
      </w:pPr>
      <w:r>
        <w:t>Item 6</w:t>
      </w:r>
      <w:r>
        <w:tab/>
      </w:r>
      <w:r>
        <w:tab/>
        <w:t>Testing of oxidizing substances</w:t>
      </w:r>
    </w:p>
    <w:p w:rsidR="00144F53" w:rsidRDefault="00144F53" w:rsidP="00144F53">
      <w:pPr>
        <w:pStyle w:val="SingleTxtG"/>
      </w:pPr>
      <w:r>
        <w:t xml:space="preserve">Documents: ST/SG/AC.10/C.3/2017/28 </w:t>
      </w:r>
    </w:p>
    <w:p w:rsidR="00144F53" w:rsidRDefault="00144F53" w:rsidP="00144F53">
      <w:pPr>
        <w:pStyle w:val="SingleTxtG"/>
      </w:pPr>
      <w:r>
        <w:t xml:space="preserve">Informal document: TDG/51/INF.12 </w:t>
      </w:r>
    </w:p>
    <w:p w:rsidR="00911EB1" w:rsidRDefault="00911EB1" w:rsidP="00911EB1">
      <w:pPr>
        <w:pStyle w:val="SingleTxtG"/>
      </w:pPr>
      <w:r>
        <w:t xml:space="preserve">The Sub-Committee thanked the expert from France for the progress report on </w:t>
      </w:r>
      <w:r>
        <w:rPr>
          <w:color w:val="000000"/>
        </w:rPr>
        <w:t>on-going work on addressing the issues raised by the replacement of the cellulose used as reference material for testing of oxidizing substances, as listed in INF.12. The expert from France invited interested experts and laboratories to provide comments to address these issues.</w:t>
      </w:r>
    </w:p>
    <w:p w:rsidR="00144F53" w:rsidRDefault="00144F53" w:rsidP="00144F53">
      <w:pPr>
        <w:pStyle w:val="SingleTxtG"/>
        <w:rPr>
          <w:i/>
        </w:rPr>
      </w:pPr>
      <w:r w:rsidRPr="00911EB1">
        <w:rPr>
          <w:i/>
        </w:rPr>
        <w:t>(Ref.Doc.: Draft report of the TDG Sub-Committee on its 51</w:t>
      </w:r>
      <w:r w:rsidRPr="00911EB1">
        <w:rPr>
          <w:i/>
          <w:vertAlign w:val="superscript"/>
        </w:rPr>
        <w:t>st</w:t>
      </w:r>
      <w:r w:rsidRPr="00911EB1">
        <w:rPr>
          <w:i/>
        </w:rPr>
        <w:t xml:space="preserve"> session: ST/SG/AC.10/C.3/2017/CRP.</w:t>
      </w:r>
      <w:r w:rsidR="00911EB1" w:rsidRPr="00911EB1">
        <w:rPr>
          <w:i/>
        </w:rPr>
        <w:t>1/Add.8</w:t>
      </w:r>
      <w:r w:rsidRPr="00911EB1">
        <w:rPr>
          <w:i/>
        </w:rPr>
        <w:t xml:space="preserve">, </w:t>
      </w:r>
      <w:r w:rsidR="00911EB1" w:rsidRPr="00911EB1">
        <w:rPr>
          <w:i/>
        </w:rPr>
        <w:t>paragraph 69</w:t>
      </w:r>
      <w:r w:rsidR="00126F98">
        <w:rPr>
          <w:i/>
        </w:rPr>
        <w:t xml:space="preserve"> as amended</w:t>
      </w:r>
      <w:r w:rsidRPr="00911EB1">
        <w:rPr>
          <w:i/>
        </w:rPr>
        <w:t>)</w:t>
      </w:r>
    </w:p>
    <w:p w:rsidR="00DB1726" w:rsidRDefault="00DB1726" w:rsidP="00DB1726">
      <w:pPr>
        <w:pStyle w:val="SingleTxtG"/>
        <w:jc w:val="center"/>
        <w:rPr>
          <w:i/>
        </w:rPr>
      </w:pPr>
      <w:r>
        <w:rPr>
          <w:i/>
        </w:rPr>
        <w:t>________________</w:t>
      </w:r>
    </w:p>
    <w:p w:rsidR="00144F53" w:rsidRDefault="00144F53" w:rsidP="00144F53">
      <w:pPr>
        <w:pStyle w:val="SingleTxtG"/>
      </w:pPr>
    </w:p>
    <w:p w:rsidR="00263054" w:rsidRPr="00263054" w:rsidRDefault="00263054" w:rsidP="00144F53">
      <w:pPr>
        <w:pStyle w:val="SingleTxtG"/>
      </w:pPr>
    </w:p>
    <w:p w:rsidR="00263054" w:rsidRPr="00970988" w:rsidRDefault="00263054" w:rsidP="00263054">
      <w:pPr>
        <w:pStyle w:val="SingleTxtG"/>
      </w:pPr>
    </w:p>
    <w:sectPr w:rsidR="00263054" w:rsidRPr="00970988" w:rsidSect="0099001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457287">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457287">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45728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 w:id="2">
    <w:p w:rsidR="00E30EE8" w:rsidRPr="00E30EE8" w:rsidRDefault="00E30EE8">
      <w:pPr>
        <w:pStyle w:val="FootnoteText"/>
      </w:pPr>
      <w:r>
        <w:tab/>
      </w:r>
      <w:r>
        <w:rPr>
          <w:rStyle w:val="FootnoteReference"/>
        </w:rPr>
        <w:footnoteRef/>
      </w:r>
      <w:r>
        <w:t xml:space="preserve"> </w:t>
      </w:r>
      <w:r>
        <w:tab/>
      </w:r>
      <w:r w:rsidRPr="001A5EFA">
        <w:t>The final version of the report of the TDG Sub-Committee will be circulated as document ST/SG/AC.10/C.3/102</w:t>
      </w:r>
      <w:r>
        <w:t xml:space="preserve"> (</w:t>
      </w:r>
      <w:r w:rsidRPr="001A5EFA">
        <w:t>http://www.unece.org/trans/main/dgdb/dgsubc3/c3rep.html</w:t>
      </w:r>
      <w:r>
        <w:t>)</w:t>
      </w:r>
    </w:p>
  </w:footnote>
  <w:footnote w:id="3">
    <w:p w:rsidR="00E27CDD" w:rsidRPr="001A5EFA" w:rsidRDefault="00E27CDD" w:rsidP="00E27CDD">
      <w:pPr>
        <w:pStyle w:val="FootnoteText"/>
      </w:pPr>
      <w:r>
        <w:tab/>
      </w:r>
      <w:r>
        <w:rPr>
          <w:rStyle w:val="FootnoteReference"/>
        </w:rPr>
        <w:footnoteRef/>
      </w:r>
      <w:r>
        <w:t xml:space="preserve"> </w:t>
      </w:r>
      <w:r>
        <w:tab/>
      </w:r>
      <w:r w:rsidRPr="001A5EFA">
        <w:t>http://www.unece.org/trans/main/dgdb/dgsubc3/c3inf51.html</w:t>
      </w:r>
    </w:p>
  </w:footnote>
  <w:footnote w:id="4">
    <w:p w:rsidR="00D563D8" w:rsidRPr="00D563D8" w:rsidRDefault="00D563D8">
      <w:pPr>
        <w:pStyle w:val="FootnoteText"/>
      </w:pPr>
      <w:r>
        <w:tab/>
      </w:r>
      <w:r w:rsidRPr="00DB1726">
        <w:rPr>
          <w:rStyle w:val="FootnoteReference"/>
        </w:rPr>
        <w:footnoteRef/>
      </w:r>
      <w:r w:rsidRPr="00DB1726">
        <w:t xml:space="preserve"> </w:t>
      </w:r>
      <w:r w:rsidRPr="00DB1726">
        <w:tab/>
        <w:t xml:space="preserve">Refer to the conclusion by the Explosives Working Group under item </w:t>
      </w:r>
      <w:r w:rsidR="00144F53" w:rsidRPr="00DB1726">
        <w:t>5</w:t>
      </w:r>
      <w:r w:rsidRPr="00DB1726">
        <w:t xml:space="preserve"> of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366CA7">
    <w:pPr>
      <w:pStyle w:val="Header"/>
    </w:pPr>
    <w:r w:rsidRPr="00457287">
      <w:t>UN/SCEGHS/</w:t>
    </w:r>
    <w:r w:rsidR="00E27CDD" w:rsidRPr="00457287">
      <w:t>33</w:t>
    </w:r>
    <w:r w:rsidRPr="00457287">
      <w:t>/INF.</w:t>
    </w:r>
    <w:r w:rsidR="00457287" w:rsidRPr="00457287">
      <w:t>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7" w:rsidRPr="0099001C" w:rsidRDefault="006A7757" w:rsidP="0099001C">
    <w:pPr>
      <w:pStyle w:val="Header"/>
      <w:jc w:val="right"/>
    </w:pPr>
    <w:r>
      <w:t>UN/SCEGHS/</w:t>
    </w:r>
    <w:r w:rsidR="00E86024">
      <w:t>33</w:t>
    </w:r>
    <w:r>
      <w:t>/INF.</w:t>
    </w:r>
    <w:r w:rsidR="00457287">
      <w:t>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0"/>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11433"/>
    <w:rsid w:val="00033B3D"/>
    <w:rsid w:val="00050F6B"/>
    <w:rsid w:val="00072C8C"/>
    <w:rsid w:val="00081647"/>
    <w:rsid w:val="000931C0"/>
    <w:rsid w:val="000B175B"/>
    <w:rsid w:val="000B3A0F"/>
    <w:rsid w:val="000C6544"/>
    <w:rsid w:val="000D10AA"/>
    <w:rsid w:val="000E0415"/>
    <w:rsid w:val="001220B8"/>
    <w:rsid w:val="00126807"/>
    <w:rsid w:val="00126F98"/>
    <w:rsid w:val="00144F53"/>
    <w:rsid w:val="00156F3C"/>
    <w:rsid w:val="0015786F"/>
    <w:rsid w:val="00162BF7"/>
    <w:rsid w:val="00190AEA"/>
    <w:rsid w:val="001A5EFA"/>
    <w:rsid w:val="001B06A5"/>
    <w:rsid w:val="001B4B04"/>
    <w:rsid w:val="001C6663"/>
    <w:rsid w:val="001C7895"/>
    <w:rsid w:val="001D26DF"/>
    <w:rsid w:val="001E47FD"/>
    <w:rsid w:val="00211E0B"/>
    <w:rsid w:val="002405A7"/>
    <w:rsid w:val="0025322D"/>
    <w:rsid w:val="00257E45"/>
    <w:rsid w:val="00262488"/>
    <w:rsid w:val="00263054"/>
    <w:rsid w:val="00265243"/>
    <w:rsid w:val="002D59D3"/>
    <w:rsid w:val="003107FA"/>
    <w:rsid w:val="003127A2"/>
    <w:rsid w:val="003229D8"/>
    <w:rsid w:val="0032550E"/>
    <w:rsid w:val="0033745A"/>
    <w:rsid w:val="003642AF"/>
    <w:rsid w:val="00366CA7"/>
    <w:rsid w:val="0039277A"/>
    <w:rsid w:val="00394612"/>
    <w:rsid w:val="003972E0"/>
    <w:rsid w:val="003B3A99"/>
    <w:rsid w:val="003C2CC4"/>
    <w:rsid w:val="003C3936"/>
    <w:rsid w:val="003D4B23"/>
    <w:rsid w:val="003F1ED3"/>
    <w:rsid w:val="00421612"/>
    <w:rsid w:val="004325CB"/>
    <w:rsid w:val="00446DE4"/>
    <w:rsid w:val="00457287"/>
    <w:rsid w:val="00460DD9"/>
    <w:rsid w:val="00467F71"/>
    <w:rsid w:val="004A41CA"/>
    <w:rsid w:val="004E7ED6"/>
    <w:rsid w:val="00503228"/>
    <w:rsid w:val="00505384"/>
    <w:rsid w:val="00532EF8"/>
    <w:rsid w:val="005420F2"/>
    <w:rsid w:val="005B2C89"/>
    <w:rsid w:val="005B3DB3"/>
    <w:rsid w:val="005E22FE"/>
    <w:rsid w:val="00611FC4"/>
    <w:rsid w:val="006176FB"/>
    <w:rsid w:val="00627ED0"/>
    <w:rsid w:val="00640B26"/>
    <w:rsid w:val="00665595"/>
    <w:rsid w:val="00691F20"/>
    <w:rsid w:val="00693543"/>
    <w:rsid w:val="006A7392"/>
    <w:rsid w:val="006A7757"/>
    <w:rsid w:val="006E36AF"/>
    <w:rsid w:val="006E564B"/>
    <w:rsid w:val="0071349F"/>
    <w:rsid w:val="00720DEB"/>
    <w:rsid w:val="007229DF"/>
    <w:rsid w:val="0072632A"/>
    <w:rsid w:val="00727BE5"/>
    <w:rsid w:val="00733AAE"/>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11EB1"/>
    <w:rsid w:val="00963CBA"/>
    <w:rsid w:val="009650E6"/>
    <w:rsid w:val="00965932"/>
    <w:rsid w:val="00970988"/>
    <w:rsid w:val="00974A8D"/>
    <w:rsid w:val="0099001C"/>
    <w:rsid w:val="00991261"/>
    <w:rsid w:val="009F3A17"/>
    <w:rsid w:val="009F3D53"/>
    <w:rsid w:val="00A0275E"/>
    <w:rsid w:val="00A1427D"/>
    <w:rsid w:val="00A426FB"/>
    <w:rsid w:val="00A55FB2"/>
    <w:rsid w:val="00A72F22"/>
    <w:rsid w:val="00A748A6"/>
    <w:rsid w:val="00A80459"/>
    <w:rsid w:val="00A805EB"/>
    <w:rsid w:val="00A8760B"/>
    <w:rsid w:val="00A879A4"/>
    <w:rsid w:val="00AA496B"/>
    <w:rsid w:val="00AE71F3"/>
    <w:rsid w:val="00B30179"/>
    <w:rsid w:val="00B30E8F"/>
    <w:rsid w:val="00B33EC0"/>
    <w:rsid w:val="00B6064F"/>
    <w:rsid w:val="00B81E12"/>
    <w:rsid w:val="00B97D28"/>
    <w:rsid w:val="00BC30B2"/>
    <w:rsid w:val="00BC74E9"/>
    <w:rsid w:val="00BD2146"/>
    <w:rsid w:val="00BE02AE"/>
    <w:rsid w:val="00BE4F74"/>
    <w:rsid w:val="00BE618E"/>
    <w:rsid w:val="00C00ACE"/>
    <w:rsid w:val="00C17699"/>
    <w:rsid w:val="00C1778D"/>
    <w:rsid w:val="00C41A28"/>
    <w:rsid w:val="00C463DD"/>
    <w:rsid w:val="00C6210B"/>
    <w:rsid w:val="00C745C3"/>
    <w:rsid w:val="00C945EB"/>
    <w:rsid w:val="00CC65B7"/>
    <w:rsid w:val="00CE4A8F"/>
    <w:rsid w:val="00D055EB"/>
    <w:rsid w:val="00D2031B"/>
    <w:rsid w:val="00D25FE2"/>
    <w:rsid w:val="00D317BB"/>
    <w:rsid w:val="00D35D8F"/>
    <w:rsid w:val="00D43252"/>
    <w:rsid w:val="00D5565C"/>
    <w:rsid w:val="00D563D8"/>
    <w:rsid w:val="00D63881"/>
    <w:rsid w:val="00D7387D"/>
    <w:rsid w:val="00D978C6"/>
    <w:rsid w:val="00DA67AD"/>
    <w:rsid w:val="00DB1726"/>
    <w:rsid w:val="00DB5D0F"/>
    <w:rsid w:val="00DC3242"/>
    <w:rsid w:val="00DE7F20"/>
    <w:rsid w:val="00DF12F7"/>
    <w:rsid w:val="00DF2C64"/>
    <w:rsid w:val="00E02C81"/>
    <w:rsid w:val="00E04A75"/>
    <w:rsid w:val="00E06EAB"/>
    <w:rsid w:val="00E130AB"/>
    <w:rsid w:val="00E27CDD"/>
    <w:rsid w:val="00E30EE8"/>
    <w:rsid w:val="00E31C87"/>
    <w:rsid w:val="00E677EC"/>
    <w:rsid w:val="00E70DF5"/>
    <w:rsid w:val="00E7260F"/>
    <w:rsid w:val="00E80F5F"/>
    <w:rsid w:val="00E86024"/>
    <w:rsid w:val="00E87921"/>
    <w:rsid w:val="00E96630"/>
    <w:rsid w:val="00EA264E"/>
    <w:rsid w:val="00EA3A41"/>
    <w:rsid w:val="00ED1541"/>
    <w:rsid w:val="00ED71D9"/>
    <w:rsid w:val="00ED7A2A"/>
    <w:rsid w:val="00EF1D7F"/>
    <w:rsid w:val="00EF358F"/>
    <w:rsid w:val="00F124A0"/>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CC6FFA"/>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5843-1974-4700-A0E5-56D6FA15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278</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20</cp:revision>
  <cp:lastPrinted>2017-07-06T17:18:00Z</cp:lastPrinted>
  <dcterms:created xsi:type="dcterms:W3CDTF">2015-06-23T07:37:00Z</dcterms:created>
  <dcterms:modified xsi:type="dcterms:W3CDTF">2017-07-07T15:17:00Z</dcterms:modified>
</cp:coreProperties>
</file>