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14:paraId="0A8F90BE" w14:textId="77777777" w:rsidTr="00691F20">
        <w:trPr>
          <w:cantSplit/>
          <w:trHeight w:hRule="exact" w:val="851"/>
        </w:trPr>
        <w:tc>
          <w:tcPr>
            <w:tcW w:w="9639" w:type="dxa"/>
            <w:tcBorders>
              <w:bottom w:val="single" w:sz="4" w:space="0" w:color="auto"/>
            </w:tcBorders>
            <w:vAlign w:val="bottom"/>
          </w:tcPr>
          <w:p w14:paraId="55932F6F" w14:textId="653BA6C8" w:rsidR="0099001C" w:rsidRPr="0099001C" w:rsidRDefault="0099001C" w:rsidP="00C3123E">
            <w:pPr>
              <w:jc w:val="right"/>
              <w:rPr>
                <w:b/>
                <w:sz w:val="40"/>
                <w:szCs w:val="40"/>
              </w:rPr>
            </w:pPr>
            <w:r w:rsidRPr="0099001C">
              <w:rPr>
                <w:b/>
                <w:sz w:val="40"/>
                <w:szCs w:val="40"/>
              </w:rPr>
              <w:t>UN/SCEGHS/</w:t>
            </w:r>
            <w:r w:rsidR="001B06A5">
              <w:rPr>
                <w:b/>
                <w:sz w:val="40"/>
                <w:szCs w:val="40"/>
              </w:rPr>
              <w:t>33</w:t>
            </w:r>
            <w:r w:rsidRPr="0099001C">
              <w:rPr>
                <w:b/>
                <w:sz w:val="40"/>
                <w:szCs w:val="40"/>
              </w:rPr>
              <w:t>/INF.</w:t>
            </w:r>
            <w:r w:rsidR="00C3123E">
              <w:rPr>
                <w:b/>
                <w:sz w:val="40"/>
                <w:szCs w:val="40"/>
              </w:rPr>
              <w:t>14</w:t>
            </w:r>
          </w:p>
        </w:tc>
      </w:tr>
      <w:tr w:rsidR="0099001C" w14:paraId="5620AC69" w14:textId="77777777" w:rsidTr="008B6E26">
        <w:trPr>
          <w:cantSplit/>
          <w:trHeight w:hRule="exact" w:val="3114"/>
        </w:trPr>
        <w:tc>
          <w:tcPr>
            <w:tcW w:w="9639" w:type="dxa"/>
            <w:tcBorders>
              <w:top w:val="single" w:sz="4" w:space="0" w:color="auto"/>
            </w:tcBorders>
          </w:tcPr>
          <w:p w14:paraId="40B06D37" w14:textId="77777777"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14:paraId="4B5AA68E" w14:textId="5F235EFA" w:rsidR="00965932" w:rsidRPr="001B03EA" w:rsidRDefault="00965932" w:rsidP="00965932">
            <w:pPr>
              <w:tabs>
                <w:tab w:val="left" w:pos="7230"/>
                <w:tab w:val="right" w:pos="9300"/>
              </w:tabs>
              <w:spacing w:before="120"/>
              <w:rPr>
                <w:rFonts w:ascii="Helv" w:hAnsi="Helv" w:cs="Helv"/>
                <w:b/>
                <w:color w:val="000000"/>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sidR="001B06A5">
              <w:rPr>
                <w:b/>
                <w:lang w:val="en-US"/>
              </w:rPr>
              <w:tab/>
            </w:r>
            <w:r w:rsidR="00C3123E">
              <w:rPr>
                <w:b/>
                <w:lang w:val="en-US"/>
              </w:rPr>
              <w:t>7 July</w:t>
            </w:r>
            <w:r w:rsidRPr="001B03EA">
              <w:rPr>
                <w:b/>
                <w:lang w:val="en-US"/>
              </w:rPr>
              <w:t xml:space="preserve"> 201</w:t>
            </w:r>
            <w:r w:rsidR="001B06A5">
              <w:rPr>
                <w:b/>
                <w:lang w:val="en-US"/>
              </w:rPr>
              <w:t>7</w:t>
            </w:r>
          </w:p>
          <w:p w14:paraId="6FB46BAD" w14:textId="77777777" w:rsidR="00965932" w:rsidRPr="001B03EA" w:rsidRDefault="00965932" w:rsidP="00965932">
            <w:pPr>
              <w:jc w:val="both"/>
              <w:rPr>
                <w:b/>
              </w:rPr>
            </w:pPr>
          </w:p>
          <w:p w14:paraId="7793C0BC" w14:textId="77777777" w:rsidR="00965932" w:rsidRPr="001B03EA" w:rsidRDefault="00965932" w:rsidP="00965932">
            <w:pPr>
              <w:jc w:val="both"/>
            </w:pPr>
            <w:r w:rsidRPr="001B03EA">
              <w:rPr>
                <w:b/>
              </w:rPr>
              <w:t>Thirty-</w:t>
            </w:r>
            <w:r w:rsidR="001B06A5">
              <w:rPr>
                <w:b/>
              </w:rPr>
              <w:t>third</w:t>
            </w:r>
            <w:r w:rsidRPr="001B03EA">
              <w:rPr>
                <w:b/>
              </w:rPr>
              <w:t xml:space="preserve"> session</w:t>
            </w:r>
            <w:r w:rsidRPr="001B03EA">
              <w:t xml:space="preserve"> </w:t>
            </w:r>
          </w:p>
          <w:p w14:paraId="7A55D3EB" w14:textId="77777777" w:rsidR="001B06A5" w:rsidRPr="000B4919" w:rsidRDefault="001B06A5" w:rsidP="001B06A5">
            <w:pPr>
              <w:jc w:val="both"/>
            </w:pPr>
            <w:r w:rsidRPr="00283442">
              <w:t xml:space="preserve">Geneva, </w:t>
            </w:r>
            <w:r>
              <w:t>10-12 July 2017</w:t>
            </w:r>
          </w:p>
          <w:p w14:paraId="49AFE6AA" w14:textId="77777777" w:rsidR="001B06A5" w:rsidRPr="00FA63B2" w:rsidRDefault="001B06A5" w:rsidP="001B06A5">
            <w:pPr>
              <w:spacing w:before="40"/>
            </w:pPr>
            <w:r w:rsidRPr="00FA63B2">
              <w:t xml:space="preserve">Item </w:t>
            </w:r>
            <w:r w:rsidR="007D14A0" w:rsidRPr="007D14A0">
              <w:t>4 (a)</w:t>
            </w:r>
            <w:r w:rsidR="007D14A0">
              <w:t xml:space="preserve"> </w:t>
            </w:r>
            <w:r w:rsidRPr="00FA63B2">
              <w:t>of the provisional agenda</w:t>
            </w:r>
          </w:p>
          <w:p w14:paraId="7C30F12E" w14:textId="77777777" w:rsidR="007D14A0" w:rsidRPr="007D14A0" w:rsidRDefault="007D14A0" w:rsidP="007D14A0">
            <w:pPr>
              <w:spacing w:line="240" w:lineRule="exact"/>
              <w:rPr>
                <w:b/>
              </w:rPr>
            </w:pPr>
            <w:r w:rsidRPr="007D14A0">
              <w:rPr>
                <w:b/>
              </w:rPr>
              <w:t xml:space="preserve">Implementation of the GHS: Development of a list of chemicals </w:t>
            </w:r>
          </w:p>
          <w:p w14:paraId="7CA1615A" w14:textId="77777777" w:rsidR="0099001C" w:rsidRDefault="007D14A0" w:rsidP="007D14A0">
            <w:pPr>
              <w:spacing w:line="240" w:lineRule="exact"/>
            </w:pPr>
            <w:r w:rsidRPr="007D14A0">
              <w:rPr>
                <w:b/>
              </w:rPr>
              <w:t>classified in accordance with the GHS</w:t>
            </w:r>
          </w:p>
        </w:tc>
      </w:tr>
    </w:tbl>
    <w:p w14:paraId="3E831595" w14:textId="77777777" w:rsidR="001B67A1" w:rsidRPr="001B67A1" w:rsidRDefault="00965932" w:rsidP="001B67A1">
      <w:pPr>
        <w:pStyle w:val="HChG"/>
      </w:pPr>
      <w:r w:rsidRPr="009E7ABD">
        <w:rPr>
          <w:rFonts w:eastAsia="MS Mincho"/>
          <w:lang w:val="en-US" w:eastAsia="ja-JP"/>
        </w:rPr>
        <w:tab/>
      </w:r>
      <w:r>
        <w:rPr>
          <w:rFonts w:eastAsia="MS Mincho"/>
          <w:lang w:val="en-US" w:eastAsia="ja-JP"/>
        </w:rPr>
        <w:tab/>
      </w:r>
      <w:r w:rsidR="001B67A1" w:rsidRPr="001B67A1">
        <w:rPr>
          <w:rFonts w:eastAsia="MS Mincho"/>
        </w:rPr>
        <w:t>Assessing the potential development of a global list of classified chemicals</w:t>
      </w:r>
    </w:p>
    <w:p w14:paraId="45DFBC03" w14:textId="77777777" w:rsidR="001B67A1" w:rsidRPr="001B67A1" w:rsidRDefault="001B67A1" w:rsidP="001B67A1">
      <w:pPr>
        <w:keepNext/>
        <w:keepLines/>
        <w:tabs>
          <w:tab w:val="right" w:pos="851"/>
        </w:tabs>
        <w:spacing w:before="360" w:after="240" w:line="270" w:lineRule="exact"/>
        <w:ind w:left="1134" w:right="1134" w:hanging="1134"/>
        <w:rPr>
          <w:b/>
          <w:sz w:val="24"/>
        </w:rPr>
      </w:pPr>
      <w:r w:rsidRPr="001B67A1">
        <w:rPr>
          <w:rFonts w:eastAsia="MS Mincho"/>
          <w:b/>
          <w:sz w:val="24"/>
        </w:rPr>
        <w:tab/>
      </w:r>
      <w:r w:rsidRPr="001B67A1">
        <w:rPr>
          <w:rFonts w:eastAsia="MS Mincho"/>
          <w:b/>
          <w:sz w:val="24"/>
        </w:rPr>
        <w:tab/>
        <w:t xml:space="preserve">Transmitted by </w:t>
      </w:r>
      <w:r w:rsidRPr="001B67A1">
        <w:rPr>
          <w:b/>
          <w:sz w:val="24"/>
        </w:rPr>
        <w:t>the expert from the United States of America on behalf of the informal correspondence group</w:t>
      </w:r>
    </w:p>
    <w:p w14:paraId="333C927C" w14:textId="77777777" w:rsidR="001B67A1" w:rsidRPr="001B67A1" w:rsidRDefault="001B67A1" w:rsidP="001B67A1">
      <w:pPr>
        <w:keepNext/>
        <w:keepLines/>
        <w:tabs>
          <w:tab w:val="right" w:pos="851"/>
        </w:tabs>
        <w:spacing w:before="360" w:after="240" w:line="300" w:lineRule="exact"/>
        <w:ind w:left="1134" w:right="1134" w:hanging="1134"/>
        <w:rPr>
          <w:b/>
          <w:sz w:val="28"/>
        </w:rPr>
      </w:pPr>
      <w:r w:rsidRPr="001B67A1">
        <w:rPr>
          <w:b/>
          <w:sz w:val="28"/>
        </w:rPr>
        <w:tab/>
      </w:r>
      <w:r w:rsidRPr="001B67A1">
        <w:rPr>
          <w:b/>
          <w:sz w:val="28"/>
        </w:rPr>
        <w:tab/>
        <w:t>Purpose</w:t>
      </w:r>
    </w:p>
    <w:p w14:paraId="35CC7F41" w14:textId="77777777" w:rsidR="001B67A1" w:rsidRPr="001B67A1" w:rsidRDefault="001B67A1" w:rsidP="001B67A1">
      <w:pPr>
        <w:spacing w:after="120"/>
        <w:ind w:left="1134" w:right="1134"/>
        <w:jc w:val="both"/>
        <w:rPr>
          <w:rFonts w:eastAsia="MS Mincho"/>
        </w:rPr>
      </w:pPr>
      <w:r w:rsidRPr="001B67A1">
        <w:rPr>
          <w:rFonts w:eastAsia="MS Mincho"/>
        </w:rPr>
        <w:t>1.</w:t>
      </w:r>
      <w:r w:rsidRPr="001B67A1">
        <w:rPr>
          <w:rFonts w:eastAsia="MS Mincho"/>
        </w:rPr>
        <w:tab/>
        <w:t>The purpose of this document is to provide an update on the work undertaken by the informal correspondence group assessing the potential development of a global list of classified chemicals, and an agenda f</w:t>
      </w:r>
      <w:r>
        <w:rPr>
          <w:rFonts w:eastAsia="MS Mincho"/>
        </w:rPr>
        <w:t>or the group’s meeting at the 33r</w:t>
      </w:r>
      <w:r w:rsidRPr="001B67A1">
        <w:rPr>
          <w:rFonts w:eastAsia="MS Mincho"/>
        </w:rPr>
        <w:t>d Session.</w:t>
      </w:r>
    </w:p>
    <w:p w14:paraId="013AC326" w14:textId="17FF41FA" w:rsidR="006560F1" w:rsidRPr="008457C1" w:rsidRDefault="006560F1" w:rsidP="001B67A1">
      <w:pPr>
        <w:pStyle w:val="HChG"/>
        <w:ind w:left="1138" w:right="1138" w:hanging="1138"/>
        <w:rPr>
          <w:b w:val="0"/>
          <w:szCs w:val="28"/>
        </w:rPr>
      </w:pPr>
      <w:r>
        <w:rPr>
          <w:szCs w:val="28"/>
        </w:rPr>
        <w:tab/>
      </w:r>
      <w:r>
        <w:rPr>
          <w:szCs w:val="28"/>
        </w:rPr>
        <w:tab/>
      </w:r>
      <w:r w:rsidRPr="008457C1">
        <w:rPr>
          <w:szCs w:val="28"/>
        </w:rPr>
        <w:t>Background</w:t>
      </w:r>
      <w:r w:rsidR="0025764E">
        <w:rPr>
          <w:szCs w:val="28"/>
        </w:rPr>
        <w:t xml:space="preserve"> and u</w:t>
      </w:r>
      <w:r w:rsidR="00205335">
        <w:rPr>
          <w:szCs w:val="28"/>
        </w:rPr>
        <w:t>pdate</w:t>
      </w:r>
    </w:p>
    <w:p w14:paraId="465D36D0" w14:textId="77777777" w:rsidR="00205335" w:rsidRDefault="00205335" w:rsidP="00205335">
      <w:pPr>
        <w:pStyle w:val="SingleTxtG"/>
        <w:rPr>
          <w:rFonts w:eastAsia="MS Mincho"/>
        </w:rPr>
      </w:pPr>
      <w:r w:rsidRPr="00F95A59">
        <w:rPr>
          <w:rFonts w:eastAsia="MS Mincho"/>
        </w:rPr>
        <w:t>2.</w:t>
      </w:r>
      <w:r w:rsidRPr="00F95A59">
        <w:rPr>
          <w:rFonts w:eastAsia="MS Mincho"/>
        </w:rPr>
        <w:tab/>
      </w:r>
      <w:r>
        <w:rPr>
          <w:rFonts w:eastAsia="MS Mincho"/>
        </w:rPr>
        <w:t>For the coming biennium, the Subcommitte</w:t>
      </w:r>
      <w:r w:rsidR="00C21E3D">
        <w:rPr>
          <w:rFonts w:eastAsia="MS Mincho"/>
        </w:rPr>
        <w:t>e</w:t>
      </w:r>
      <w:r>
        <w:rPr>
          <w:rFonts w:eastAsia="MS Mincho"/>
        </w:rPr>
        <w:t xml:space="preserve"> agreed to the following scope of work for the global list correspondence group:</w:t>
      </w:r>
    </w:p>
    <w:p w14:paraId="010C9146" w14:textId="4AC47A7A" w:rsidR="00205335" w:rsidRDefault="00C3123E" w:rsidP="00205335">
      <w:pPr>
        <w:pStyle w:val="SingleTxtG"/>
        <w:ind w:left="1701"/>
        <w:rPr>
          <w:rFonts w:eastAsia="MS Mincho"/>
        </w:rPr>
      </w:pPr>
      <w:r>
        <w:rPr>
          <w:rFonts w:eastAsia="MS Mincho"/>
        </w:rPr>
        <w:t>(a)</w:t>
      </w:r>
      <w:r>
        <w:rPr>
          <w:rFonts w:eastAsia="MS Mincho"/>
        </w:rPr>
        <w:tab/>
      </w:r>
      <w:r w:rsidR="00205335">
        <w:rPr>
          <w:rFonts w:eastAsia="MS Mincho"/>
        </w:rPr>
        <w:t>Complete the chemical classification project</w:t>
      </w:r>
    </w:p>
    <w:p w14:paraId="5A2DE2D9" w14:textId="18B3B060" w:rsidR="00205335" w:rsidRDefault="00C3123E" w:rsidP="00205335">
      <w:pPr>
        <w:pStyle w:val="SingleTxtG"/>
        <w:ind w:left="1701"/>
        <w:rPr>
          <w:rFonts w:eastAsia="MS Mincho"/>
        </w:rPr>
      </w:pPr>
      <w:r>
        <w:rPr>
          <w:rFonts w:eastAsia="MS Mincho"/>
        </w:rPr>
        <w:t>(b)</w:t>
      </w:r>
      <w:r>
        <w:rPr>
          <w:rFonts w:eastAsia="MS Mincho"/>
        </w:rPr>
        <w:tab/>
      </w:r>
      <w:r w:rsidR="00205335">
        <w:rPr>
          <w:rFonts w:eastAsia="MS Mincho"/>
        </w:rPr>
        <w:t>Complete the proposed list comparison, looking for endpoints in which the EU and Japan classifications agree</w:t>
      </w:r>
    </w:p>
    <w:p w14:paraId="2D64966C" w14:textId="1F1C0BD3" w:rsidR="00205335" w:rsidRDefault="00C3123E" w:rsidP="00205335">
      <w:pPr>
        <w:pStyle w:val="SingleTxtG"/>
        <w:ind w:left="1701"/>
        <w:rPr>
          <w:rFonts w:eastAsia="MS Mincho"/>
        </w:rPr>
      </w:pPr>
      <w:r>
        <w:rPr>
          <w:rFonts w:eastAsia="MS Mincho"/>
        </w:rPr>
        <w:t>(c)</w:t>
      </w:r>
      <w:r>
        <w:rPr>
          <w:rFonts w:eastAsia="MS Mincho"/>
        </w:rPr>
        <w:tab/>
      </w:r>
      <w:r w:rsidR="00205335">
        <w:rPr>
          <w:rFonts w:eastAsia="MS Mincho"/>
        </w:rPr>
        <w:t xml:space="preserve">Consider whether there is sufficient interested to warrant additional work at this time on the Global List project, or whether the work of the correspondence group </w:t>
      </w:r>
      <w:proofErr w:type="spellStart"/>
      <w:r w:rsidR="00205335">
        <w:rPr>
          <w:rFonts w:eastAsia="MS Mincho"/>
        </w:rPr>
        <w:t>group</w:t>
      </w:r>
      <w:proofErr w:type="spellEnd"/>
      <w:r w:rsidR="00205335">
        <w:rPr>
          <w:rFonts w:eastAsia="MS Mincho"/>
        </w:rPr>
        <w:t xml:space="preserve"> should be put on hold until additional interest develops</w:t>
      </w:r>
    </w:p>
    <w:p w14:paraId="06EB6848" w14:textId="7B324C48" w:rsidR="00205335" w:rsidRDefault="00205335" w:rsidP="00205335">
      <w:pPr>
        <w:pStyle w:val="SingleTxtG"/>
        <w:ind w:left="1701"/>
        <w:rPr>
          <w:rFonts w:eastAsia="MS Mincho"/>
        </w:rPr>
      </w:pPr>
      <w:r>
        <w:rPr>
          <w:rFonts w:eastAsia="MS Mincho"/>
        </w:rPr>
        <w:t>(d)</w:t>
      </w:r>
      <w:r w:rsidR="00C3123E">
        <w:rPr>
          <w:rFonts w:eastAsia="MS Mincho"/>
        </w:rPr>
        <w:tab/>
      </w:r>
      <w:r>
        <w:rPr>
          <w:rFonts w:eastAsia="MS Mincho"/>
        </w:rPr>
        <w:t>If the work moves ahead, consider the proper role of the GHS Sub-Committee in that effort.</w:t>
      </w:r>
    </w:p>
    <w:p w14:paraId="100C4ABB" w14:textId="4CC533A8" w:rsidR="00205335" w:rsidRDefault="00C3123E" w:rsidP="00205335">
      <w:pPr>
        <w:pStyle w:val="SingleTxtG"/>
        <w:rPr>
          <w:rFonts w:eastAsia="MS Mincho"/>
        </w:rPr>
      </w:pPr>
      <w:proofErr w:type="gramStart"/>
      <w:r>
        <w:rPr>
          <w:rFonts w:eastAsia="MS Mincho"/>
        </w:rPr>
        <w:t xml:space="preserve">(ST/SG/AC.10/C.4/64 para 53; </w:t>
      </w:r>
      <w:r w:rsidR="00205335">
        <w:rPr>
          <w:rFonts w:eastAsia="MS Mincho"/>
        </w:rPr>
        <w:t>Inf. 40, 32</w:t>
      </w:r>
      <w:r w:rsidR="00205335" w:rsidRPr="00E35A93">
        <w:rPr>
          <w:rFonts w:eastAsia="MS Mincho"/>
          <w:vertAlign w:val="superscript"/>
        </w:rPr>
        <w:t>nd</w:t>
      </w:r>
      <w:r w:rsidR="00205335">
        <w:rPr>
          <w:rFonts w:eastAsia="MS Mincho"/>
        </w:rPr>
        <w:t xml:space="preserve"> Sess. Para 6.)</w:t>
      </w:r>
      <w:proofErr w:type="gramEnd"/>
    </w:p>
    <w:p w14:paraId="429BA0BB" w14:textId="6ACDF9BD" w:rsidR="00205335" w:rsidRDefault="00C3123E" w:rsidP="00205335">
      <w:pPr>
        <w:pStyle w:val="SingleTxtG"/>
        <w:rPr>
          <w:rFonts w:eastAsia="MS Mincho"/>
        </w:rPr>
      </w:pPr>
      <w:r>
        <w:rPr>
          <w:rFonts w:eastAsia="MS Mincho"/>
        </w:rPr>
        <w:t>3.</w:t>
      </w:r>
      <w:r w:rsidR="00205335" w:rsidRPr="00205335">
        <w:rPr>
          <w:rFonts w:eastAsia="MS Mincho"/>
        </w:rPr>
        <w:tab/>
        <w:t>To complete the chemical classification project</w:t>
      </w:r>
      <w:r w:rsidR="00205335">
        <w:rPr>
          <w:rFonts w:eastAsia="MS Mincho"/>
        </w:rPr>
        <w:t>, the working group has submitted a working paper to both this Sub-Committee and the TDG Sub-Committee (</w:t>
      </w:r>
      <w:r w:rsidR="00205335" w:rsidRPr="00205335">
        <w:rPr>
          <w:rFonts w:eastAsia="MS Mincho"/>
        </w:rPr>
        <w:t>ST/SG/AC.10/C.4/2017/1 - ST/SG/AC.10/C.3/2017/7</w:t>
      </w:r>
      <w:r w:rsidR="00205335">
        <w:rPr>
          <w:rFonts w:eastAsia="MS Mincho"/>
        </w:rPr>
        <w:t xml:space="preserve">.)  This paper advises other international bodies who </w:t>
      </w:r>
      <w:r w:rsidR="00D34979">
        <w:rPr>
          <w:rFonts w:eastAsia="MS Mincho"/>
        </w:rPr>
        <w:t xml:space="preserve">might </w:t>
      </w:r>
      <w:r w:rsidR="00205335">
        <w:rPr>
          <w:rFonts w:eastAsia="MS Mincho"/>
        </w:rPr>
        <w:t xml:space="preserve">be impacted by the GHS Sub-Committee’s adoption of </w:t>
      </w:r>
      <w:r w:rsidR="00D34979">
        <w:rPr>
          <w:rFonts w:eastAsia="MS Mincho"/>
        </w:rPr>
        <w:t xml:space="preserve">chemical </w:t>
      </w:r>
      <w:r w:rsidR="00205335">
        <w:rPr>
          <w:rFonts w:eastAsia="MS Mincho"/>
        </w:rPr>
        <w:t>classifications about the pilot project</w:t>
      </w:r>
      <w:r w:rsidR="00D34979">
        <w:rPr>
          <w:rFonts w:eastAsia="MS Mincho"/>
        </w:rPr>
        <w:t>.  It also s</w:t>
      </w:r>
      <w:r w:rsidR="00205335">
        <w:rPr>
          <w:rFonts w:eastAsia="MS Mincho"/>
        </w:rPr>
        <w:t>eeks input on any possible impacts and ways they might be overcome, suggestions on improvements on the process used, and any other issues of concern.</w:t>
      </w:r>
    </w:p>
    <w:p w14:paraId="6771F3A2" w14:textId="77777777" w:rsidR="00205335" w:rsidRDefault="00205335" w:rsidP="00205335">
      <w:pPr>
        <w:pStyle w:val="SingleTxtG"/>
        <w:rPr>
          <w:rFonts w:eastAsia="MS Mincho"/>
        </w:rPr>
      </w:pPr>
      <w:r>
        <w:rPr>
          <w:rFonts w:eastAsia="MS Mincho"/>
        </w:rPr>
        <w:lastRenderedPageBreak/>
        <w:t>4.</w:t>
      </w:r>
      <w:r>
        <w:rPr>
          <w:rFonts w:eastAsia="MS Mincho"/>
        </w:rPr>
        <w:tab/>
        <w:t xml:space="preserve">In addition, </w:t>
      </w:r>
      <w:r w:rsidR="00E5568F">
        <w:rPr>
          <w:rFonts w:eastAsia="MS Mincho"/>
        </w:rPr>
        <w:t>on 31 May 2017, the correspondence group held a teleconference in which the other items in the scope of work were discussed.  Minutes of that teleconference are attached as Annex 1.</w:t>
      </w:r>
    </w:p>
    <w:p w14:paraId="199C758E" w14:textId="77777777" w:rsidR="00E5568F" w:rsidRDefault="00E5568F" w:rsidP="00205335">
      <w:pPr>
        <w:pStyle w:val="SingleTxtG"/>
        <w:rPr>
          <w:rFonts w:eastAsia="MS Mincho"/>
        </w:rPr>
      </w:pPr>
      <w:r>
        <w:rPr>
          <w:rFonts w:eastAsia="MS Mincho"/>
        </w:rPr>
        <w:t xml:space="preserve">5. </w:t>
      </w:r>
      <w:r>
        <w:rPr>
          <w:rFonts w:eastAsia="MS Mincho"/>
        </w:rPr>
        <w:tab/>
        <w:t>An initial compariso</w:t>
      </w:r>
      <w:r w:rsidR="00D673FA">
        <w:rPr>
          <w:rFonts w:eastAsia="MS Mincho"/>
        </w:rPr>
        <w:t xml:space="preserve">n between the </w:t>
      </w:r>
      <w:r>
        <w:rPr>
          <w:rFonts w:eastAsia="MS Mincho"/>
        </w:rPr>
        <w:t xml:space="preserve">ECHA RAC and Japan classifications was discussed.  Of the chemicals in common between the two lists, none had identical classifications.  A number of concerns were voiced about a comparison done in this way, including that the ECHA RAC opinions do not necessarily address all endpoints, and </w:t>
      </w:r>
      <w:r w:rsidR="007C3E48">
        <w:rPr>
          <w:rFonts w:eastAsia="MS Mincho"/>
        </w:rPr>
        <w:t xml:space="preserve">that </w:t>
      </w:r>
      <w:r>
        <w:rPr>
          <w:rFonts w:eastAsia="MS Mincho"/>
        </w:rPr>
        <w:t xml:space="preserve">many </w:t>
      </w:r>
      <w:r w:rsidR="007C3E48">
        <w:rPr>
          <w:rFonts w:eastAsia="MS Mincho"/>
        </w:rPr>
        <w:t xml:space="preserve">of </w:t>
      </w:r>
      <w:r>
        <w:rPr>
          <w:rFonts w:eastAsia="MS Mincho"/>
        </w:rPr>
        <w:t xml:space="preserve">the EU classifications are based on old classifications done under </w:t>
      </w:r>
      <w:r w:rsidR="007C3E48">
        <w:rPr>
          <w:rFonts w:eastAsia="MS Mincho"/>
        </w:rPr>
        <w:t>a pre-GHS Directive</w:t>
      </w:r>
      <w:r>
        <w:rPr>
          <w:rFonts w:eastAsia="MS Mincho"/>
        </w:rPr>
        <w:t xml:space="preserve"> and translated to GHS classifications.</w:t>
      </w:r>
    </w:p>
    <w:p w14:paraId="22568B0D" w14:textId="77777777" w:rsidR="00E5568F" w:rsidRDefault="00E5568F" w:rsidP="00205335">
      <w:pPr>
        <w:pStyle w:val="SingleTxtG"/>
        <w:rPr>
          <w:rFonts w:eastAsia="MS Mincho"/>
        </w:rPr>
      </w:pPr>
      <w:r>
        <w:rPr>
          <w:rFonts w:eastAsia="MS Mincho"/>
        </w:rPr>
        <w:t xml:space="preserve">6.  </w:t>
      </w:r>
      <w:r>
        <w:rPr>
          <w:rFonts w:eastAsia="MS Mincho"/>
        </w:rPr>
        <w:tab/>
        <w:t>Nonetheless it was thought that further work</w:t>
      </w:r>
      <w:r w:rsidR="00D673FA">
        <w:rPr>
          <w:rFonts w:eastAsia="MS Mincho"/>
        </w:rPr>
        <w:t xml:space="preserve"> on a list comparison would be useful in discovering reasons for divergences.  In particular it might be helpful to identify ambiguities in GHS criteria that could be clarified, or situations where the divergences appear to be based on the use of different data sets.  As next steps, the committee agreed to:</w:t>
      </w:r>
    </w:p>
    <w:p w14:paraId="6D21299E" w14:textId="3C509F7C" w:rsidR="00D673FA" w:rsidRDefault="004D5C74" w:rsidP="00C3123E">
      <w:pPr>
        <w:pStyle w:val="SingleTxtG"/>
        <w:ind w:left="1701" w:right="1138" w:firstLine="27"/>
        <w:rPr>
          <w:rFonts w:eastAsia="MS Mincho"/>
        </w:rPr>
      </w:pPr>
      <w:r>
        <w:rPr>
          <w:rFonts w:eastAsia="MS Mincho"/>
        </w:rPr>
        <w:t>(</w:t>
      </w:r>
      <w:r w:rsidR="00D673FA" w:rsidRPr="00D673FA">
        <w:rPr>
          <w:rFonts w:eastAsia="MS Mincho"/>
        </w:rPr>
        <w:t>a</w:t>
      </w:r>
      <w:r>
        <w:rPr>
          <w:rFonts w:eastAsia="MS Mincho"/>
        </w:rPr>
        <w:t>)</w:t>
      </w:r>
      <w:r w:rsidR="00D673FA" w:rsidRPr="00D673FA">
        <w:rPr>
          <w:rFonts w:eastAsia="MS Mincho"/>
        </w:rPr>
        <w:tab/>
        <w:t xml:space="preserve">A comparison of chemicals between </w:t>
      </w:r>
      <w:r w:rsidR="00D673FA">
        <w:rPr>
          <w:rFonts w:eastAsia="MS Mincho"/>
        </w:rPr>
        <w:t xml:space="preserve">the ECHA RAC and Japanese </w:t>
      </w:r>
      <w:r w:rsidR="00D673FA" w:rsidRPr="00D673FA">
        <w:rPr>
          <w:rFonts w:eastAsia="MS Mincho"/>
        </w:rPr>
        <w:t xml:space="preserve">lists for which a classification had been done for all endpoints.  </w:t>
      </w:r>
      <w:r w:rsidR="00D673FA">
        <w:rPr>
          <w:rFonts w:eastAsia="MS Mincho"/>
        </w:rPr>
        <w:t xml:space="preserve">ECHA agreed to </w:t>
      </w:r>
      <w:r w:rsidR="00D673FA" w:rsidRPr="00D673FA">
        <w:rPr>
          <w:rFonts w:eastAsia="MS Mincho"/>
        </w:rPr>
        <w:t>identify all RAC opinions that classified all endpoints</w:t>
      </w:r>
      <w:r w:rsidR="00D673FA">
        <w:rPr>
          <w:rFonts w:eastAsia="MS Mincho"/>
        </w:rPr>
        <w:t>.</w:t>
      </w:r>
    </w:p>
    <w:p w14:paraId="2C467F92" w14:textId="499F3CAF" w:rsidR="00D673FA" w:rsidRDefault="004D5C74" w:rsidP="00C3123E">
      <w:pPr>
        <w:pStyle w:val="SingleTxtG"/>
        <w:ind w:left="1701" w:right="1138" w:firstLine="27"/>
        <w:rPr>
          <w:rFonts w:eastAsia="MS Mincho"/>
        </w:rPr>
      </w:pPr>
      <w:r>
        <w:rPr>
          <w:rFonts w:eastAsia="MS Mincho"/>
        </w:rPr>
        <w:t>(</w:t>
      </w:r>
      <w:r w:rsidR="00D673FA" w:rsidRPr="00D673FA">
        <w:rPr>
          <w:rFonts w:eastAsia="MS Mincho"/>
        </w:rPr>
        <w:t>b</w:t>
      </w:r>
      <w:r>
        <w:rPr>
          <w:rFonts w:eastAsia="MS Mincho"/>
        </w:rPr>
        <w:t>)</w:t>
      </w:r>
      <w:r w:rsidR="00D673FA" w:rsidRPr="00D673FA">
        <w:rPr>
          <w:rFonts w:eastAsia="MS Mincho"/>
        </w:rPr>
        <w:tab/>
        <w:t xml:space="preserve">A comparison of lists for one endpoint. </w:t>
      </w:r>
      <w:r w:rsidR="00D673FA">
        <w:rPr>
          <w:rFonts w:eastAsia="MS Mincho"/>
        </w:rPr>
        <w:t>Germany</w:t>
      </w:r>
      <w:r w:rsidR="00D673FA" w:rsidRPr="00D673FA">
        <w:rPr>
          <w:rFonts w:eastAsia="MS Mincho"/>
        </w:rPr>
        <w:t xml:space="preserve"> agreed to examine the carcinogenicity classifications in the EU-Japan comparison already compiled to see what could be </w:t>
      </w:r>
      <w:r w:rsidR="007C3E48">
        <w:rPr>
          <w:rFonts w:eastAsia="MS Mincho"/>
        </w:rPr>
        <w:t xml:space="preserve">learned about </w:t>
      </w:r>
      <w:r w:rsidR="00D673FA" w:rsidRPr="00D673FA">
        <w:rPr>
          <w:rFonts w:eastAsia="MS Mincho"/>
        </w:rPr>
        <w:t>the reasons for differences and what conclusions could be drawn from them.</w:t>
      </w:r>
    </w:p>
    <w:p w14:paraId="2798D08B" w14:textId="6D06E0BC" w:rsidR="00D673FA" w:rsidRDefault="00D673FA" w:rsidP="00205335">
      <w:pPr>
        <w:pStyle w:val="SingleTxtG"/>
        <w:rPr>
          <w:rFonts w:eastAsia="MS Mincho"/>
        </w:rPr>
      </w:pPr>
      <w:r>
        <w:rPr>
          <w:rFonts w:eastAsia="MS Mincho"/>
        </w:rPr>
        <w:t>7.</w:t>
      </w:r>
      <w:r>
        <w:rPr>
          <w:rFonts w:eastAsia="MS Mincho"/>
        </w:rPr>
        <w:tab/>
        <w:t xml:space="preserve">In addition, </w:t>
      </w:r>
      <w:r w:rsidR="00C21E3D">
        <w:rPr>
          <w:rFonts w:eastAsia="MS Mincho"/>
        </w:rPr>
        <w:t xml:space="preserve">some members of the </w:t>
      </w:r>
      <w:r>
        <w:rPr>
          <w:rFonts w:eastAsia="MS Mincho"/>
        </w:rPr>
        <w:t xml:space="preserve">correspondence group noted </w:t>
      </w:r>
      <w:r w:rsidRPr="00D673FA">
        <w:rPr>
          <w:rFonts w:eastAsia="MS Mincho"/>
        </w:rPr>
        <w:t xml:space="preserve">substantial interest from stakeholders in the possibility of a global list.  However, it seemed </w:t>
      </w:r>
      <w:r w:rsidR="00C95FEC">
        <w:rPr>
          <w:rFonts w:eastAsia="MS Mincho"/>
        </w:rPr>
        <w:t xml:space="preserve">unlikely </w:t>
      </w:r>
      <w:r w:rsidRPr="00D673FA">
        <w:rPr>
          <w:rFonts w:eastAsia="MS Mincho"/>
        </w:rPr>
        <w:t xml:space="preserve">at this point that a comparison list could lead directly to a harmonized global list, and it was noted that downstream consequences for some classifications, particularly acute toxicity, might make harmonization difficult.  It was also noted that the </w:t>
      </w:r>
      <w:r w:rsidR="00C21E3D" w:rsidRPr="00C21E3D">
        <w:rPr>
          <w:rFonts w:eastAsia="MS Mincho"/>
        </w:rPr>
        <w:t>European Commission voiced cautiousness in setting up a</w:t>
      </w:r>
      <w:r w:rsidR="00491683">
        <w:rPr>
          <w:rFonts w:eastAsia="MS Mincho"/>
        </w:rPr>
        <w:t xml:space="preserve"> global</w:t>
      </w:r>
      <w:r w:rsidR="00C21E3D" w:rsidRPr="00C21E3D">
        <w:rPr>
          <w:rFonts w:eastAsia="MS Mincho"/>
        </w:rPr>
        <w:t xml:space="preserve"> process in parallel to the well installed </w:t>
      </w:r>
      <w:r w:rsidR="00A042DD">
        <w:rPr>
          <w:rFonts w:eastAsia="MS Mincho"/>
        </w:rPr>
        <w:t xml:space="preserve">and transparent </w:t>
      </w:r>
      <w:r w:rsidR="00C21E3D" w:rsidRPr="00C21E3D">
        <w:rPr>
          <w:rFonts w:eastAsia="MS Mincho"/>
        </w:rPr>
        <w:t>European classification system</w:t>
      </w:r>
      <w:r w:rsidRPr="00D673FA">
        <w:rPr>
          <w:rFonts w:eastAsia="MS Mincho"/>
        </w:rPr>
        <w:t>.</w:t>
      </w:r>
    </w:p>
    <w:p w14:paraId="2C85296E" w14:textId="77777777" w:rsidR="00D673FA" w:rsidRPr="00205335" w:rsidRDefault="00D673FA" w:rsidP="00205335">
      <w:pPr>
        <w:pStyle w:val="SingleTxtG"/>
        <w:rPr>
          <w:rFonts w:eastAsia="MS Mincho"/>
        </w:rPr>
      </w:pPr>
      <w:r>
        <w:rPr>
          <w:rFonts w:eastAsia="MS Mincho"/>
        </w:rPr>
        <w:t>8.</w:t>
      </w:r>
      <w:r>
        <w:rPr>
          <w:rFonts w:eastAsia="MS Mincho"/>
        </w:rPr>
        <w:tab/>
        <w:t xml:space="preserve">Though </w:t>
      </w:r>
      <w:r w:rsidR="00D34979">
        <w:rPr>
          <w:rFonts w:eastAsia="MS Mincho"/>
        </w:rPr>
        <w:t>the working group did not have a chance to address it, the TDG Secretariat provided a list comparing the TDG classifications of the chemicals on the EU-Japan comparison list to those of the EU and Japan.  See Annex 2.</w:t>
      </w:r>
    </w:p>
    <w:p w14:paraId="0B933F00" w14:textId="77777777" w:rsidR="00D34979" w:rsidRPr="00D34979" w:rsidRDefault="006560F1" w:rsidP="00D34979">
      <w:pPr>
        <w:pStyle w:val="HChG"/>
      </w:pPr>
      <w:r>
        <w:tab/>
      </w:r>
      <w:r w:rsidRPr="00A10B38">
        <w:tab/>
      </w:r>
      <w:r w:rsidR="00D34979" w:rsidRPr="00D34979">
        <w:t>Meeting agenda</w:t>
      </w:r>
    </w:p>
    <w:p w14:paraId="2AE494E7" w14:textId="00FBC7C1" w:rsidR="00D34979" w:rsidRDefault="004D5C74" w:rsidP="00D34979">
      <w:pPr>
        <w:spacing w:after="120"/>
        <w:ind w:left="1134" w:right="1134"/>
        <w:jc w:val="both"/>
        <w:rPr>
          <w:rFonts w:eastAsia="MS Mincho"/>
        </w:rPr>
      </w:pPr>
      <w:r>
        <w:rPr>
          <w:rFonts w:eastAsia="MS Mincho"/>
        </w:rPr>
        <w:t>9</w:t>
      </w:r>
      <w:r w:rsidR="00D34979" w:rsidRPr="00D34979">
        <w:rPr>
          <w:rFonts w:eastAsia="MS Mincho"/>
        </w:rPr>
        <w:t>.</w:t>
      </w:r>
      <w:r w:rsidR="00D34979" w:rsidRPr="00D34979">
        <w:rPr>
          <w:rFonts w:eastAsia="MS Mincho"/>
        </w:rPr>
        <w:tab/>
        <w:t>Interested persons are invited to attend the meeting of the correspondence group in the plena</w:t>
      </w:r>
      <w:r w:rsidR="00D34979">
        <w:rPr>
          <w:rFonts w:eastAsia="MS Mincho"/>
        </w:rPr>
        <w:t>ry room during a break in the 33rd</w:t>
      </w:r>
      <w:r w:rsidR="00D34979" w:rsidRPr="00D34979">
        <w:rPr>
          <w:rFonts w:eastAsia="MS Mincho"/>
        </w:rPr>
        <w:t xml:space="preserve"> Session of the GHS Sub-Committee</w:t>
      </w:r>
      <w:r w:rsidR="00D34979">
        <w:rPr>
          <w:rFonts w:eastAsia="MS Mincho"/>
        </w:rPr>
        <w:t xml:space="preserve"> i</w:t>
      </w:r>
      <w:r w:rsidR="00D34979" w:rsidRPr="00D34979">
        <w:rPr>
          <w:rFonts w:eastAsia="MS Mincho"/>
        </w:rPr>
        <w:t xml:space="preserve">n the </w:t>
      </w:r>
      <w:r w:rsidR="00D34979">
        <w:rPr>
          <w:rFonts w:eastAsia="MS Mincho"/>
        </w:rPr>
        <w:t>morning of 11 July 201</w:t>
      </w:r>
      <w:r w:rsidR="00C95FEC">
        <w:rPr>
          <w:rFonts w:eastAsia="MS Mincho"/>
        </w:rPr>
        <w:t>7</w:t>
      </w:r>
      <w:r w:rsidR="00D34979" w:rsidRPr="00D34979">
        <w:rPr>
          <w:rFonts w:eastAsia="MS Mincho"/>
        </w:rPr>
        <w:t>.  A proposed agenda follows:</w:t>
      </w:r>
    </w:p>
    <w:p w14:paraId="1E313AB6" w14:textId="63C52803" w:rsidR="00D34979" w:rsidRDefault="00C3123E" w:rsidP="00D34979">
      <w:pPr>
        <w:spacing w:after="120"/>
        <w:ind w:left="1134" w:right="1134"/>
        <w:jc w:val="both"/>
        <w:rPr>
          <w:rFonts w:eastAsia="MS Mincho"/>
        </w:rPr>
      </w:pPr>
      <w:r>
        <w:rPr>
          <w:rFonts w:eastAsia="MS Mincho"/>
        </w:rPr>
        <w:tab/>
      </w:r>
      <w:r w:rsidR="004D5C74">
        <w:rPr>
          <w:rFonts w:eastAsia="MS Mincho"/>
        </w:rPr>
        <w:t>(</w:t>
      </w:r>
      <w:r>
        <w:rPr>
          <w:rFonts w:eastAsia="MS Mincho"/>
        </w:rPr>
        <w:t>a</w:t>
      </w:r>
      <w:r w:rsidR="004D5C74">
        <w:rPr>
          <w:rFonts w:eastAsia="MS Mincho"/>
        </w:rPr>
        <w:t>)</w:t>
      </w:r>
      <w:r>
        <w:rPr>
          <w:rFonts w:eastAsia="MS Mincho"/>
        </w:rPr>
        <w:tab/>
      </w:r>
      <w:r w:rsidR="00D34979">
        <w:rPr>
          <w:rFonts w:eastAsia="MS Mincho"/>
        </w:rPr>
        <w:t xml:space="preserve">Reflections/feedback on </w:t>
      </w:r>
      <w:r w:rsidR="00D34979" w:rsidRPr="00D34979">
        <w:rPr>
          <w:rFonts w:eastAsia="MS Mincho"/>
        </w:rPr>
        <w:t>ST/SG/AC.10/C.4/2017/1</w:t>
      </w:r>
      <w:r w:rsidR="00D34979">
        <w:rPr>
          <w:rFonts w:eastAsia="MS Mincho"/>
        </w:rPr>
        <w:t>.</w:t>
      </w:r>
    </w:p>
    <w:p w14:paraId="61A614F5" w14:textId="601BDF09" w:rsidR="00D34979" w:rsidRDefault="00C3123E" w:rsidP="00D34979">
      <w:pPr>
        <w:spacing w:after="120"/>
        <w:ind w:left="1134" w:right="1134"/>
        <w:jc w:val="both"/>
        <w:rPr>
          <w:rFonts w:eastAsia="MS Mincho"/>
        </w:rPr>
      </w:pPr>
      <w:r>
        <w:rPr>
          <w:rFonts w:eastAsia="MS Mincho"/>
        </w:rPr>
        <w:tab/>
      </w:r>
      <w:r w:rsidR="004D5C74">
        <w:rPr>
          <w:rFonts w:eastAsia="MS Mincho"/>
        </w:rPr>
        <w:t>(</w:t>
      </w:r>
      <w:r>
        <w:rPr>
          <w:rFonts w:eastAsia="MS Mincho"/>
        </w:rPr>
        <w:t>b</w:t>
      </w:r>
      <w:r w:rsidR="004D5C74">
        <w:rPr>
          <w:rFonts w:eastAsia="MS Mincho"/>
        </w:rPr>
        <w:t>)</w:t>
      </w:r>
      <w:r>
        <w:rPr>
          <w:rFonts w:eastAsia="MS Mincho"/>
        </w:rPr>
        <w:tab/>
      </w:r>
      <w:r w:rsidR="00D34979">
        <w:rPr>
          <w:rFonts w:eastAsia="MS Mincho"/>
        </w:rPr>
        <w:t xml:space="preserve">Further discussion of the list comparison exercise, including how/whether </w:t>
      </w:r>
      <w:proofErr w:type="gramStart"/>
      <w:r w:rsidR="00D34979">
        <w:rPr>
          <w:rFonts w:eastAsia="MS Mincho"/>
        </w:rPr>
        <w:t xml:space="preserve">to </w:t>
      </w:r>
      <w:r>
        <w:rPr>
          <w:rFonts w:eastAsia="MS Mincho"/>
        </w:rPr>
        <w:tab/>
      </w:r>
      <w:r w:rsidR="00D34979">
        <w:rPr>
          <w:rFonts w:eastAsia="MS Mincho"/>
        </w:rPr>
        <w:t>include</w:t>
      </w:r>
      <w:proofErr w:type="gramEnd"/>
      <w:r w:rsidR="00D34979">
        <w:rPr>
          <w:rFonts w:eastAsia="MS Mincho"/>
        </w:rPr>
        <w:t xml:space="preserve"> TDG classifications.</w:t>
      </w:r>
    </w:p>
    <w:p w14:paraId="3B7EE7BA" w14:textId="7BCB28A4" w:rsidR="00D34979" w:rsidRPr="00D34979" w:rsidRDefault="00C3123E" w:rsidP="00D34979">
      <w:pPr>
        <w:spacing w:after="120"/>
        <w:ind w:left="1134" w:right="1134"/>
        <w:jc w:val="both"/>
        <w:rPr>
          <w:rFonts w:eastAsia="MS Mincho"/>
        </w:rPr>
      </w:pPr>
      <w:r>
        <w:rPr>
          <w:rFonts w:eastAsia="MS Mincho"/>
        </w:rPr>
        <w:tab/>
      </w:r>
      <w:r w:rsidR="004D5C74">
        <w:rPr>
          <w:rFonts w:eastAsia="MS Mincho"/>
        </w:rPr>
        <w:t>(c</w:t>
      </w:r>
      <w:bookmarkStart w:id="0" w:name="_GoBack"/>
      <w:bookmarkEnd w:id="0"/>
      <w:r w:rsidR="004D5C74">
        <w:rPr>
          <w:rFonts w:eastAsia="MS Mincho"/>
        </w:rPr>
        <w:t>)</w:t>
      </w:r>
      <w:r>
        <w:rPr>
          <w:rFonts w:eastAsia="MS Mincho"/>
        </w:rPr>
        <w:tab/>
      </w:r>
      <w:r w:rsidR="00D34979">
        <w:rPr>
          <w:rFonts w:eastAsia="MS Mincho"/>
        </w:rPr>
        <w:t>Discussion of ideas for other work of the global list correspondence group.</w:t>
      </w:r>
    </w:p>
    <w:p w14:paraId="42055EEA" w14:textId="47C1DD27" w:rsidR="00360934" w:rsidRDefault="00360934">
      <w:pPr>
        <w:suppressAutoHyphens w:val="0"/>
        <w:spacing w:line="240" w:lineRule="auto"/>
      </w:pPr>
      <w:r>
        <w:br w:type="page"/>
      </w:r>
    </w:p>
    <w:p w14:paraId="41AAA19E" w14:textId="4A07103A" w:rsidR="00360934" w:rsidRDefault="00360934" w:rsidP="00360934">
      <w:pPr>
        <w:pStyle w:val="HChG"/>
      </w:pPr>
      <w:r>
        <w:lastRenderedPageBreak/>
        <w:t>Annex 1</w:t>
      </w:r>
    </w:p>
    <w:p w14:paraId="18292A54" w14:textId="77777777" w:rsidR="00360934" w:rsidRPr="00360934" w:rsidRDefault="00360934" w:rsidP="00360934">
      <w:pPr>
        <w:contextualSpacing/>
        <w:jc w:val="center"/>
        <w:rPr>
          <w:b/>
        </w:rPr>
      </w:pPr>
      <w:r w:rsidRPr="00360934">
        <w:rPr>
          <w:b/>
        </w:rPr>
        <w:t>Global List Correspondence Group</w:t>
      </w:r>
    </w:p>
    <w:p w14:paraId="7E4984A5" w14:textId="0DBA8828" w:rsidR="00360934" w:rsidRPr="00360934" w:rsidRDefault="00360934" w:rsidP="00360934">
      <w:pPr>
        <w:contextualSpacing/>
        <w:jc w:val="center"/>
        <w:rPr>
          <w:b/>
        </w:rPr>
      </w:pPr>
      <w:r w:rsidRPr="00360934">
        <w:rPr>
          <w:b/>
        </w:rPr>
        <w:t>GHS Sub</w:t>
      </w:r>
      <w:r>
        <w:rPr>
          <w:b/>
        </w:rPr>
        <w:t>-C</w:t>
      </w:r>
      <w:r w:rsidRPr="00360934">
        <w:rPr>
          <w:b/>
        </w:rPr>
        <w:t>ommittee</w:t>
      </w:r>
    </w:p>
    <w:p w14:paraId="6572AD9E" w14:textId="77777777" w:rsidR="00360934" w:rsidRPr="00360934" w:rsidRDefault="00360934" w:rsidP="00360934">
      <w:pPr>
        <w:contextualSpacing/>
        <w:jc w:val="center"/>
        <w:rPr>
          <w:b/>
        </w:rPr>
      </w:pPr>
      <w:r w:rsidRPr="00360934">
        <w:rPr>
          <w:b/>
        </w:rPr>
        <w:t>Minutes from 31 May 2017 Teleconference</w:t>
      </w:r>
    </w:p>
    <w:p w14:paraId="7B7B7404" w14:textId="77777777" w:rsidR="00360934" w:rsidRDefault="00360934" w:rsidP="00360934">
      <w:pPr>
        <w:jc w:val="center"/>
      </w:pPr>
    </w:p>
    <w:p w14:paraId="4A1EB3B1" w14:textId="77777777" w:rsidR="00360934" w:rsidRPr="00360934" w:rsidRDefault="00360934" w:rsidP="00360934">
      <w:pPr>
        <w:pStyle w:val="ListParagraph"/>
        <w:numPr>
          <w:ilvl w:val="0"/>
          <w:numId w:val="10"/>
        </w:numPr>
        <w:ind w:left="360"/>
        <w:contextualSpacing w:val="0"/>
        <w:rPr>
          <w:rFonts w:ascii="Times New Roman" w:hAnsi="Times New Roman" w:cs="Times New Roman"/>
          <w:sz w:val="20"/>
          <w:szCs w:val="20"/>
        </w:rPr>
      </w:pPr>
      <w:r w:rsidRPr="00360934">
        <w:rPr>
          <w:rFonts w:ascii="Times New Roman" w:hAnsi="Times New Roman" w:cs="Times New Roman"/>
          <w:sz w:val="20"/>
          <w:szCs w:val="20"/>
        </w:rPr>
        <w:t xml:space="preserve">Participants:  Ed Baird (US, Chair), </w:t>
      </w:r>
      <w:proofErr w:type="spellStart"/>
      <w:r w:rsidRPr="00360934">
        <w:rPr>
          <w:rFonts w:ascii="Times New Roman" w:hAnsi="Times New Roman" w:cs="Times New Roman"/>
          <w:sz w:val="20"/>
          <w:szCs w:val="20"/>
        </w:rPr>
        <w:t>Bratati</w:t>
      </w:r>
      <w:proofErr w:type="spellEnd"/>
      <w:r w:rsidRPr="00360934">
        <w:rPr>
          <w:rFonts w:ascii="Times New Roman" w:hAnsi="Times New Roman" w:cs="Times New Roman"/>
          <w:sz w:val="20"/>
          <w:szCs w:val="20"/>
        </w:rPr>
        <w:t xml:space="preserve"> </w:t>
      </w:r>
      <w:proofErr w:type="spellStart"/>
      <w:r w:rsidRPr="00360934">
        <w:rPr>
          <w:rFonts w:ascii="Times New Roman" w:hAnsi="Times New Roman" w:cs="Times New Roman"/>
          <w:sz w:val="20"/>
          <w:szCs w:val="20"/>
        </w:rPr>
        <w:t>Kar</w:t>
      </w:r>
      <w:proofErr w:type="spellEnd"/>
      <w:r w:rsidRPr="00360934">
        <w:rPr>
          <w:rFonts w:ascii="Times New Roman" w:hAnsi="Times New Roman" w:cs="Times New Roman"/>
          <w:sz w:val="20"/>
          <w:szCs w:val="20"/>
        </w:rPr>
        <w:t xml:space="preserve"> (Canada), Karin </w:t>
      </w:r>
      <w:proofErr w:type="spellStart"/>
      <w:r w:rsidRPr="00360934">
        <w:rPr>
          <w:rFonts w:ascii="Times New Roman" w:hAnsi="Times New Roman" w:cs="Times New Roman"/>
          <w:sz w:val="20"/>
          <w:szCs w:val="20"/>
        </w:rPr>
        <w:t>Merkl</w:t>
      </w:r>
      <w:proofErr w:type="spellEnd"/>
      <w:r w:rsidRPr="00360934">
        <w:rPr>
          <w:rFonts w:ascii="Times New Roman" w:hAnsi="Times New Roman" w:cs="Times New Roman"/>
          <w:sz w:val="20"/>
          <w:szCs w:val="20"/>
        </w:rPr>
        <w:t xml:space="preserve"> (CEFIC), Karin Krauss (European  Commission), Ben Barrett (DGAC), Sabine </w:t>
      </w:r>
      <w:proofErr w:type="spellStart"/>
      <w:r w:rsidRPr="00360934">
        <w:rPr>
          <w:rFonts w:ascii="Times New Roman" w:hAnsi="Times New Roman" w:cs="Times New Roman"/>
          <w:sz w:val="20"/>
          <w:szCs w:val="20"/>
        </w:rPr>
        <w:t>Darschnik</w:t>
      </w:r>
      <w:proofErr w:type="spellEnd"/>
      <w:r w:rsidRPr="00360934">
        <w:rPr>
          <w:rFonts w:ascii="Times New Roman" w:hAnsi="Times New Roman" w:cs="Times New Roman"/>
          <w:sz w:val="20"/>
          <w:szCs w:val="20"/>
        </w:rPr>
        <w:t xml:space="preserve"> (Germany), Robin Foster (UK), </w:t>
      </w:r>
      <w:proofErr w:type="spellStart"/>
      <w:r w:rsidRPr="00360934">
        <w:rPr>
          <w:rFonts w:ascii="Times New Roman" w:hAnsi="Times New Roman" w:cs="Times New Roman"/>
          <w:sz w:val="20"/>
          <w:szCs w:val="20"/>
        </w:rPr>
        <w:t>Gunilla</w:t>
      </w:r>
      <w:proofErr w:type="spellEnd"/>
      <w:r w:rsidRPr="00360934">
        <w:rPr>
          <w:rFonts w:ascii="Times New Roman" w:hAnsi="Times New Roman" w:cs="Times New Roman"/>
          <w:sz w:val="20"/>
          <w:szCs w:val="20"/>
        </w:rPr>
        <w:t xml:space="preserve"> Ericsson (ECHA) </w:t>
      </w:r>
    </w:p>
    <w:p w14:paraId="16E0590E" w14:textId="77777777" w:rsidR="00360934" w:rsidRPr="00360934" w:rsidRDefault="00360934" w:rsidP="00360934">
      <w:pPr>
        <w:pStyle w:val="ListParagraph"/>
        <w:numPr>
          <w:ilvl w:val="0"/>
          <w:numId w:val="10"/>
        </w:numPr>
        <w:ind w:left="360"/>
        <w:contextualSpacing w:val="0"/>
        <w:rPr>
          <w:rFonts w:ascii="Times New Roman" w:hAnsi="Times New Roman" w:cs="Times New Roman"/>
          <w:sz w:val="20"/>
          <w:szCs w:val="20"/>
        </w:rPr>
      </w:pPr>
      <w:r w:rsidRPr="00360934">
        <w:rPr>
          <w:rFonts w:ascii="Times New Roman" w:hAnsi="Times New Roman" w:cs="Times New Roman"/>
          <w:sz w:val="20"/>
          <w:szCs w:val="20"/>
        </w:rPr>
        <w:t xml:space="preserve">We discussed who might present the Global List Working Paper at the TDG.  Ben said he would be at the meeting, and Karin </w:t>
      </w:r>
      <w:proofErr w:type="spellStart"/>
      <w:r w:rsidRPr="00360934">
        <w:rPr>
          <w:rFonts w:ascii="Times New Roman" w:hAnsi="Times New Roman" w:cs="Times New Roman"/>
          <w:sz w:val="20"/>
          <w:szCs w:val="20"/>
        </w:rPr>
        <w:t>Merkl</w:t>
      </w:r>
      <w:proofErr w:type="spellEnd"/>
      <w:r w:rsidRPr="00360934">
        <w:rPr>
          <w:rFonts w:ascii="Times New Roman" w:hAnsi="Times New Roman" w:cs="Times New Roman"/>
          <w:sz w:val="20"/>
          <w:szCs w:val="20"/>
        </w:rPr>
        <w:t xml:space="preserve"> suggested Eva Kessler would be there too.  Ed will coordinate between the two to find a presenter.</w:t>
      </w:r>
    </w:p>
    <w:p w14:paraId="37C53A10" w14:textId="77777777" w:rsidR="00360934" w:rsidRPr="00360934" w:rsidRDefault="00360934" w:rsidP="00360934">
      <w:pPr>
        <w:pStyle w:val="ListParagraph"/>
        <w:numPr>
          <w:ilvl w:val="0"/>
          <w:numId w:val="10"/>
        </w:numPr>
        <w:ind w:left="360"/>
        <w:contextualSpacing w:val="0"/>
        <w:rPr>
          <w:rFonts w:ascii="Times New Roman" w:hAnsi="Times New Roman" w:cs="Times New Roman"/>
          <w:sz w:val="20"/>
          <w:szCs w:val="20"/>
        </w:rPr>
      </w:pPr>
      <w:r w:rsidRPr="00360934">
        <w:rPr>
          <w:rFonts w:ascii="Times New Roman" w:hAnsi="Times New Roman" w:cs="Times New Roman"/>
          <w:sz w:val="20"/>
          <w:szCs w:val="20"/>
        </w:rPr>
        <w:t>We discussed the preliminary comparison list between EU and Japan that was prepared by the US and Canada:</w:t>
      </w:r>
    </w:p>
    <w:p w14:paraId="245158B2" w14:textId="77777777" w:rsidR="00360934" w:rsidRPr="00360934" w:rsidRDefault="00360934" w:rsidP="00360934">
      <w:pPr>
        <w:pStyle w:val="ListParagraph"/>
        <w:numPr>
          <w:ilvl w:val="1"/>
          <w:numId w:val="10"/>
        </w:numPr>
        <w:contextualSpacing w:val="0"/>
        <w:rPr>
          <w:rFonts w:ascii="Times New Roman" w:hAnsi="Times New Roman" w:cs="Times New Roman"/>
          <w:sz w:val="20"/>
          <w:szCs w:val="20"/>
        </w:rPr>
      </w:pPr>
      <w:r w:rsidRPr="00360934">
        <w:rPr>
          <w:rFonts w:ascii="Times New Roman" w:hAnsi="Times New Roman" w:cs="Times New Roman"/>
          <w:sz w:val="20"/>
          <w:szCs w:val="20"/>
        </w:rPr>
        <w:t>There was much discussion over a number of aspects of the EU classifications not captured in the comparison list:</w:t>
      </w:r>
    </w:p>
    <w:p w14:paraId="5FC4792E" w14:textId="77777777" w:rsidR="00360934" w:rsidRPr="00360934" w:rsidRDefault="00360934" w:rsidP="00360934">
      <w:pPr>
        <w:pStyle w:val="ListParagraph"/>
        <w:numPr>
          <w:ilvl w:val="2"/>
          <w:numId w:val="10"/>
        </w:numPr>
        <w:contextualSpacing w:val="0"/>
        <w:rPr>
          <w:rFonts w:ascii="Times New Roman" w:hAnsi="Times New Roman" w:cs="Times New Roman"/>
          <w:sz w:val="20"/>
          <w:szCs w:val="20"/>
        </w:rPr>
      </w:pPr>
      <w:r w:rsidRPr="00360934">
        <w:rPr>
          <w:rFonts w:ascii="Times New Roman" w:hAnsi="Times New Roman" w:cs="Times New Roman"/>
          <w:sz w:val="20"/>
          <w:szCs w:val="20"/>
        </w:rPr>
        <w:t>The RAC opinions often do not address all endpoints especially for industrial chemicals (not used as an active ingredient in a pesticide or biocide).</w:t>
      </w:r>
    </w:p>
    <w:p w14:paraId="0F69D5B8" w14:textId="77777777" w:rsidR="00360934" w:rsidRPr="00360934" w:rsidRDefault="00360934" w:rsidP="00360934">
      <w:pPr>
        <w:pStyle w:val="ListParagraph"/>
        <w:numPr>
          <w:ilvl w:val="2"/>
          <w:numId w:val="10"/>
        </w:numPr>
        <w:contextualSpacing w:val="0"/>
        <w:rPr>
          <w:rFonts w:ascii="Times New Roman" w:hAnsi="Times New Roman" w:cs="Times New Roman"/>
          <w:sz w:val="20"/>
          <w:szCs w:val="20"/>
        </w:rPr>
      </w:pPr>
      <w:r w:rsidRPr="00360934">
        <w:rPr>
          <w:rFonts w:ascii="Times New Roman" w:hAnsi="Times New Roman" w:cs="Times New Roman"/>
          <w:sz w:val="20"/>
          <w:szCs w:val="20"/>
        </w:rPr>
        <w:t>The legacy Annex VI, CLP classifications, that were used to develop the list, are based on classifications originally done under pre-GHS Directives, that were translated to GHS classifications.  For some endpoints, such as Acute Toxicity, the resulting classifications are minimum classifications and marked with asterisks.</w:t>
      </w:r>
    </w:p>
    <w:p w14:paraId="6A38BEEB" w14:textId="77777777" w:rsidR="00360934" w:rsidRPr="00360934" w:rsidRDefault="00360934" w:rsidP="00360934">
      <w:pPr>
        <w:pStyle w:val="ListParagraph"/>
        <w:numPr>
          <w:ilvl w:val="2"/>
          <w:numId w:val="10"/>
        </w:numPr>
        <w:contextualSpacing w:val="0"/>
        <w:rPr>
          <w:rFonts w:ascii="Times New Roman" w:hAnsi="Times New Roman" w:cs="Times New Roman"/>
          <w:sz w:val="20"/>
          <w:szCs w:val="20"/>
        </w:rPr>
      </w:pPr>
      <w:r w:rsidRPr="00360934">
        <w:rPr>
          <w:rFonts w:ascii="Times New Roman" w:hAnsi="Times New Roman" w:cs="Times New Roman"/>
          <w:sz w:val="20"/>
          <w:szCs w:val="20"/>
        </w:rPr>
        <w:t>The EU also adopts concentration limits and M factors, which were not noted in the comparison list.  At least one error in transcription of the classification was also noted (For example, Formaldehyde is classified by the EU as a 1B, not 1A carcinogen.)</w:t>
      </w:r>
    </w:p>
    <w:p w14:paraId="1E013DBA" w14:textId="77777777" w:rsidR="00360934" w:rsidRPr="00360934" w:rsidRDefault="00360934" w:rsidP="00360934">
      <w:pPr>
        <w:pStyle w:val="ListParagraph"/>
        <w:numPr>
          <w:ilvl w:val="1"/>
          <w:numId w:val="10"/>
        </w:numPr>
        <w:contextualSpacing w:val="0"/>
        <w:rPr>
          <w:rFonts w:ascii="Times New Roman" w:hAnsi="Times New Roman" w:cs="Times New Roman"/>
          <w:sz w:val="20"/>
          <w:szCs w:val="20"/>
        </w:rPr>
      </w:pPr>
      <w:r w:rsidRPr="00360934">
        <w:rPr>
          <w:rFonts w:ascii="Times New Roman" w:hAnsi="Times New Roman" w:cs="Times New Roman"/>
          <w:sz w:val="20"/>
          <w:szCs w:val="20"/>
        </w:rPr>
        <w:t>Other issues, which should be taken into consideration in the comparison list, were noted, including:</w:t>
      </w:r>
    </w:p>
    <w:p w14:paraId="30A9C1D1" w14:textId="77777777" w:rsidR="00360934" w:rsidRPr="00360934" w:rsidRDefault="00360934" w:rsidP="00360934">
      <w:pPr>
        <w:pStyle w:val="ListParagraph"/>
        <w:numPr>
          <w:ilvl w:val="2"/>
          <w:numId w:val="10"/>
        </w:numPr>
        <w:contextualSpacing w:val="0"/>
        <w:rPr>
          <w:rFonts w:ascii="Times New Roman" w:hAnsi="Times New Roman" w:cs="Times New Roman"/>
          <w:sz w:val="20"/>
          <w:szCs w:val="20"/>
        </w:rPr>
      </w:pPr>
      <w:r w:rsidRPr="00360934">
        <w:rPr>
          <w:rFonts w:ascii="Times New Roman" w:hAnsi="Times New Roman" w:cs="Times New Roman"/>
          <w:sz w:val="20"/>
          <w:szCs w:val="20"/>
        </w:rPr>
        <w:t xml:space="preserve">How to compare inclusive classifications, such as a Skin </w:t>
      </w:r>
      <w:proofErr w:type="spellStart"/>
      <w:r w:rsidRPr="00360934">
        <w:rPr>
          <w:rFonts w:ascii="Times New Roman" w:hAnsi="Times New Roman" w:cs="Times New Roman"/>
          <w:sz w:val="20"/>
          <w:szCs w:val="20"/>
        </w:rPr>
        <w:t>Corr</w:t>
      </w:r>
      <w:proofErr w:type="spellEnd"/>
      <w:r w:rsidRPr="00360934">
        <w:rPr>
          <w:rFonts w:ascii="Times New Roman" w:hAnsi="Times New Roman" w:cs="Times New Roman"/>
          <w:sz w:val="20"/>
          <w:szCs w:val="20"/>
        </w:rPr>
        <w:t xml:space="preserve"> 1 in </w:t>
      </w:r>
      <w:proofErr w:type="gramStart"/>
      <w:r w:rsidRPr="00360934">
        <w:rPr>
          <w:rFonts w:ascii="Times New Roman" w:hAnsi="Times New Roman" w:cs="Times New Roman"/>
          <w:sz w:val="20"/>
          <w:szCs w:val="20"/>
        </w:rPr>
        <w:t>one  jurisdiction</w:t>
      </w:r>
      <w:proofErr w:type="gramEnd"/>
      <w:r w:rsidRPr="00360934">
        <w:rPr>
          <w:rFonts w:ascii="Times New Roman" w:hAnsi="Times New Roman" w:cs="Times New Roman"/>
          <w:sz w:val="20"/>
          <w:szCs w:val="20"/>
        </w:rPr>
        <w:t xml:space="preserve">  vs. a Skin </w:t>
      </w:r>
      <w:proofErr w:type="spellStart"/>
      <w:r w:rsidRPr="00360934">
        <w:rPr>
          <w:rFonts w:ascii="Times New Roman" w:hAnsi="Times New Roman" w:cs="Times New Roman"/>
          <w:sz w:val="20"/>
          <w:szCs w:val="20"/>
        </w:rPr>
        <w:t>Corr</w:t>
      </w:r>
      <w:proofErr w:type="spellEnd"/>
      <w:r w:rsidRPr="00360934">
        <w:rPr>
          <w:rFonts w:ascii="Times New Roman" w:hAnsi="Times New Roman" w:cs="Times New Roman"/>
          <w:sz w:val="20"/>
          <w:szCs w:val="20"/>
        </w:rPr>
        <w:t xml:space="preserve"> 1A in another.</w:t>
      </w:r>
    </w:p>
    <w:p w14:paraId="7B7D4012" w14:textId="77777777" w:rsidR="00360934" w:rsidRPr="00360934" w:rsidRDefault="00360934" w:rsidP="00360934">
      <w:pPr>
        <w:pStyle w:val="ListParagraph"/>
        <w:numPr>
          <w:ilvl w:val="2"/>
          <w:numId w:val="10"/>
        </w:numPr>
        <w:contextualSpacing w:val="0"/>
        <w:rPr>
          <w:rFonts w:ascii="Times New Roman" w:hAnsi="Times New Roman" w:cs="Times New Roman"/>
          <w:sz w:val="20"/>
          <w:szCs w:val="20"/>
        </w:rPr>
      </w:pPr>
      <w:r w:rsidRPr="00360934">
        <w:rPr>
          <w:rFonts w:ascii="Times New Roman" w:hAnsi="Times New Roman" w:cs="Times New Roman"/>
          <w:sz w:val="20"/>
          <w:szCs w:val="20"/>
        </w:rPr>
        <w:t xml:space="preserve">How to compare classifications where the two jurisdictions have adopted a hazard class differently (e.g. one has adopted Acute </w:t>
      </w:r>
      <w:proofErr w:type="spellStart"/>
      <w:r w:rsidRPr="00360934">
        <w:rPr>
          <w:rFonts w:ascii="Times New Roman" w:hAnsi="Times New Roman" w:cs="Times New Roman"/>
          <w:sz w:val="20"/>
          <w:szCs w:val="20"/>
        </w:rPr>
        <w:t>Tox</w:t>
      </w:r>
      <w:proofErr w:type="spellEnd"/>
      <w:r w:rsidRPr="00360934">
        <w:rPr>
          <w:rFonts w:ascii="Times New Roman" w:hAnsi="Times New Roman" w:cs="Times New Roman"/>
          <w:sz w:val="20"/>
          <w:szCs w:val="20"/>
        </w:rPr>
        <w:t xml:space="preserve"> 5, and the other has not)</w:t>
      </w:r>
    </w:p>
    <w:p w14:paraId="0F0FE7E1" w14:textId="77777777" w:rsidR="00360934" w:rsidRPr="00360934" w:rsidRDefault="00360934" w:rsidP="00360934">
      <w:pPr>
        <w:pStyle w:val="ListParagraph"/>
        <w:numPr>
          <w:ilvl w:val="2"/>
          <w:numId w:val="10"/>
        </w:numPr>
        <w:contextualSpacing w:val="0"/>
        <w:rPr>
          <w:rFonts w:ascii="Times New Roman" w:hAnsi="Times New Roman" w:cs="Times New Roman"/>
          <w:sz w:val="20"/>
          <w:szCs w:val="20"/>
        </w:rPr>
      </w:pPr>
      <w:r w:rsidRPr="00360934">
        <w:rPr>
          <w:rFonts w:ascii="Times New Roman" w:hAnsi="Times New Roman" w:cs="Times New Roman"/>
          <w:sz w:val="20"/>
          <w:szCs w:val="20"/>
        </w:rPr>
        <w:t>There might be differences in impurities and concentrations of the subject chemicals as marketed in the two jurisdictions, which could impact classification</w:t>
      </w:r>
    </w:p>
    <w:p w14:paraId="703F6798" w14:textId="77777777" w:rsidR="00360934" w:rsidRPr="00360934" w:rsidRDefault="00360934" w:rsidP="00360934">
      <w:pPr>
        <w:pStyle w:val="ListParagraph"/>
        <w:numPr>
          <w:ilvl w:val="2"/>
          <w:numId w:val="10"/>
        </w:numPr>
        <w:contextualSpacing w:val="0"/>
        <w:rPr>
          <w:rFonts w:ascii="Times New Roman" w:hAnsi="Times New Roman" w:cs="Times New Roman"/>
          <w:sz w:val="20"/>
          <w:szCs w:val="20"/>
        </w:rPr>
      </w:pPr>
      <w:r w:rsidRPr="00360934">
        <w:rPr>
          <w:rFonts w:ascii="Times New Roman" w:hAnsi="Times New Roman" w:cs="Times New Roman"/>
          <w:sz w:val="20"/>
          <w:szCs w:val="20"/>
        </w:rPr>
        <w:t>Different competent authorities accept different tests for classification, e.g. mouse vs. rat</w:t>
      </w:r>
    </w:p>
    <w:p w14:paraId="4B762FA6" w14:textId="77777777" w:rsidR="00360934" w:rsidRPr="00360934" w:rsidRDefault="00360934" w:rsidP="00360934">
      <w:pPr>
        <w:pStyle w:val="ListParagraph"/>
        <w:numPr>
          <w:ilvl w:val="0"/>
          <w:numId w:val="10"/>
        </w:numPr>
        <w:contextualSpacing w:val="0"/>
        <w:rPr>
          <w:rFonts w:ascii="Times New Roman" w:hAnsi="Times New Roman" w:cs="Times New Roman"/>
          <w:sz w:val="20"/>
          <w:szCs w:val="20"/>
        </w:rPr>
      </w:pPr>
      <w:r w:rsidRPr="00360934">
        <w:rPr>
          <w:rFonts w:ascii="Times New Roman" w:hAnsi="Times New Roman" w:cs="Times New Roman"/>
          <w:sz w:val="20"/>
          <w:szCs w:val="20"/>
        </w:rPr>
        <w:t xml:space="preserve">It was agreed that it was worth pursuing further the comparison classification </w:t>
      </w:r>
      <w:proofErr w:type="gramStart"/>
      <w:r w:rsidRPr="00360934">
        <w:rPr>
          <w:rFonts w:ascii="Times New Roman" w:hAnsi="Times New Roman" w:cs="Times New Roman"/>
          <w:sz w:val="20"/>
          <w:szCs w:val="20"/>
        </w:rPr>
        <w:t>list .</w:t>
      </w:r>
      <w:proofErr w:type="gramEnd"/>
      <w:r w:rsidRPr="00360934">
        <w:rPr>
          <w:rFonts w:ascii="Times New Roman" w:hAnsi="Times New Roman" w:cs="Times New Roman"/>
          <w:sz w:val="20"/>
          <w:szCs w:val="20"/>
        </w:rPr>
        <w:t xml:space="preserve">  The hope of this effort would be to identify the reasons for disharmony, to see if they might be addressed in some way by the Subcommittee.  In particular, a comparison might identify ambiguities in classification criteria that might be clarified, and where classifications resulted from differences in data, highlighting that fact might lead competent authorities to revisit their classifications.</w:t>
      </w:r>
    </w:p>
    <w:p w14:paraId="100ECFD8" w14:textId="77777777" w:rsidR="00360934" w:rsidRPr="00360934" w:rsidRDefault="00360934" w:rsidP="00360934">
      <w:pPr>
        <w:pStyle w:val="ListParagraph"/>
        <w:numPr>
          <w:ilvl w:val="0"/>
          <w:numId w:val="10"/>
        </w:numPr>
        <w:contextualSpacing w:val="0"/>
        <w:rPr>
          <w:rFonts w:ascii="Times New Roman" w:hAnsi="Times New Roman" w:cs="Times New Roman"/>
          <w:sz w:val="20"/>
          <w:szCs w:val="20"/>
        </w:rPr>
      </w:pPr>
      <w:r w:rsidRPr="00360934">
        <w:rPr>
          <w:rFonts w:ascii="Times New Roman" w:hAnsi="Times New Roman" w:cs="Times New Roman"/>
          <w:sz w:val="20"/>
          <w:szCs w:val="20"/>
        </w:rPr>
        <w:t xml:space="preserve">Some participants noted that there was a substantial interest from stakeholders in the possibility of a global list.  However, it seemed unlikely at this point that a comparison list could lead directly to a harmonized global list, and it was noted that downstream consequences for some classifications, particularly acute toxicity, might </w:t>
      </w:r>
      <w:r w:rsidRPr="00360934">
        <w:rPr>
          <w:rFonts w:ascii="Times New Roman" w:hAnsi="Times New Roman" w:cs="Times New Roman"/>
          <w:sz w:val="20"/>
          <w:szCs w:val="20"/>
        </w:rPr>
        <w:lastRenderedPageBreak/>
        <w:t>make harmonization difficult.  It was also noted that the European Commission voiced cautiousness in setting up a global process in parallel to the well installed and transparent European classification system.</w:t>
      </w:r>
    </w:p>
    <w:p w14:paraId="23485176" w14:textId="77777777" w:rsidR="00360934" w:rsidRPr="00360934" w:rsidRDefault="00360934" w:rsidP="00360934">
      <w:pPr>
        <w:pStyle w:val="ListParagraph"/>
        <w:numPr>
          <w:ilvl w:val="0"/>
          <w:numId w:val="10"/>
        </w:numPr>
        <w:contextualSpacing w:val="0"/>
        <w:rPr>
          <w:rFonts w:ascii="Times New Roman" w:hAnsi="Times New Roman" w:cs="Times New Roman"/>
          <w:sz w:val="20"/>
          <w:szCs w:val="20"/>
        </w:rPr>
      </w:pPr>
      <w:r w:rsidRPr="00360934">
        <w:rPr>
          <w:rFonts w:ascii="Times New Roman" w:hAnsi="Times New Roman" w:cs="Times New Roman"/>
          <w:sz w:val="20"/>
          <w:szCs w:val="20"/>
        </w:rPr>
        <w:t>Two steps forward were identified:</w:t>
      </w:r>
    </w:p>
    <w:p w14:paraId="2869D3FE" w14:textId="77777777" w:rsidR="00360934" w:rsidRPr="00360934" w:rsidRDefault="00360934" w:rsidP="00360934">
      <w:pPr>
        <w:pStyle w:val="ListParagraph"/>
        <w:numPr>
          <w:ilvl w:val="1"/>
          <w:numId w:val="10"/>
        </w:numPr>
        <w:contextualSpacing w:val="0"/>
        <w:rPr>
          <w:rFonts w:ascii="Times New Roman" w:hAnsi="Times New Roman" w:cs="Times New Roman"/>
          <w:sz w:val="20"/>
          <w:szCs w:val="20"/>
        </w:rPr>
      </w:pPr>
      <w:r w:rsidRPr="00360934">
        <w:rPr>
          <w:rFonts w:ascii="Times New Roman" w:hAnsi="Times New Roman" w:cs="Times New Roman"/>
          <w:sz w:val="20"/>
          <w:szCs w:val="20"/>
        </w:rPr>
        <w:t xml:space="preserve">A comparison of chemicals between lists for which a classification had been done for all endpoints.  </w:t>
      </w:r>
      <w:proofErr w:type="spellStart"/>
      <w:r w:rsidRPr="00360934">
        <w:rPr>
          <w:rFonts w:ascii="Times New Roman" w:hAnsi="Times New Roman" w:cs="Times New Roman"/>
          <w:sz w:val="20"/>
          <w:szCs w:val="20"/>
        </w:rPr>
        <w:t>Gunilla</w:t>
      </w:r>
      <w:proofErr w:type="spellEnd"/>
      <w:r w:rsidRPr="00360934">
        <w:rPr>
          <w:rFonts w:ascii="Times New Roman" w:hAnsi="Times New Roman" w:cs="Times New Roman"/>
          <w:sz w:val="20"/>
          <w:szCs w:val="20"/>
        </w:rPr>
        <w:t xml:space="preserve"> agreed to identify all RAC opinions that classified all endpoints.  It was thought that these would mainly be biocides and pesticides; Ed would check to see whether the US would have an objection to pursuing a comparison for these chemicals.</w:t>
      </w:r>
    </w:p>
    <w:p w14:paraId="7EF66C9E" w14:textId="77777777" w:rsidR="00360934" w:rsidRPr="00360934" w:rsidRDefault="00360934" w:rsidP="00360934">
      <w:pPr>
        <w:pStyle w:val="ListParagraph"/>
        <w:numPr>
          <w:ilvl w:val="1"/>
          <w:numId w:val="10"/>
        </w:numPr>
        <w:contextualSpacing w:val="0"/>
        <w:rPr>
          <w:rFonts w:ascii="Times New Roman" w:hAnsi="Times New Roman" w:cs="Times New Roman"/>
          <w:sz w:val="20"/>
          <w:szCs w:val="20"/>
        </w:rPr>
      </w:pPr>
      <w:r w:rsidRPr="00360934">
        <w:rPr>
          <w:rFonts w:ascii="Times New Roman" w:hAnsi="Times New Roman" w:cs="Times New Roman"/>
          <w:sz w:val="20"/>
          <w:szCs w:val="20"/>
        </w:rPr>
        <w:t>A comparison of lists for one endpoint.  Sabine agreed to examine the carcinogenicity classifications in the EU-Japan comparison already compiled to see what could be the reasons for differences and what conclusions could be drawn from them.</w:t>
      </w:r>
    </w:p>
    <w:p w14:paraId="4EB1F630" w14:textId="77777777" w:rsidR="00360934" w:rsidRPr="00360934" w:rsidRDefault="00360934" w:rsidP="00360934">
      <w:pPr>
        <w:pStyle w:val="ListParagraph"/>
        <w:numPr>
          <w:ilvl w:val="0"/>
          <w:numId w:val="10"/>
        </w:numPr>
        <w:contextualSpacing w:val="0"/>
        <w:rPr>
          <w:rFonts w:ascii="Times New Roman" w:hAnsi="Times New Roman" w:cs="Times New Roman"/>
          <w:sz w:val="20"/>
          <w:szCs w:val="20"/>
        </w:rPr>
      </w:pPr>
      <w:r w:rsidRPr="00360934">
        <w:rPr>
          <w:rFonts w:ascii="Times New Roman" w:hAnsi="Times New Roman" w:cs="Times New Roman"/>
          <w:sz w:val="20"/>
          <w:szCs w:val="20"/>
        </w:rPr>
        <w:t xml:space="preserve">The correspondence group did not have a chance to review Olivier’s email about the preliminary classification list.  This will be considered further at the July meeting in Geneva.  </w:t>
      </w:r>
    </w:p>
    <w:p w14:paraId="1C3E74F8" w14:textId="77777777" w:rsidR="00360934" w:rsidRPr="00360934" w:rsidRDefault="00360934" w:rsidP="00360934">
      <w:pPr>
        <w:pStyle w:val="ListParagraph"/>
        <w:numPr>
          <w:ilvl w:val="0"/>
          <w:numId w:val="10"/>
        </w:numPr>
        <w:contextualSpacing w:val="0"/>
        <w:rPr>
          <w:rFonts w:ascii="Times New Roman" w:hAnsi="Times New Roman" w:cs="Times New Roman"/>
          <w:sz w:val="20"/>
          <w:szCs w:val="20"/>
        </w:rPr>
      </w:pPr>
      <w:r w:rsidRPr="00360934">
        <w:rPr>
          <w:rFonts w:ascii="Times New Roman" w:hAnsi="Times New Roman" w:cs="Times New Roman"/>
          <w:sz w:val="20"/>
          <w:szCs w:val="20"/>
        </w:rPr>
        <w:t xml:space="preserve">There was not much comment about the </w:t>
      </w:r>
      <w:proofErr w:type="spellStart"/>
      <w:r w:rsidRPr="00360934">
        <w:rPr>
          <w:rFonts w:ascii="Times New Roman" w:hAnsi="Times New Roman" w:cs="Times New Roman"/>
          <w:sz w:val="20"/>
          <w:szCs w:val="20"/>
        </w:rPr>
        <w:t>ChemAdvisor</w:t>
      </w:r>
      <w:proofErr w:type="spellEnd"/>
      <w:r w:rsidRPr="00360934">
        <w:rPr>
          <w:rFonts w:ascii="Times New Roman" w:hAnsi="Times New Roman" w:cs="Times New Roman"/>
          <w:sz w:val="20"/>
          <w:szCs w:val="20"/>
        </w:rPr>
        <w:t xml:space="preserve"> study, other than that it identified similar problems in developing a list that we discussed above.</w:t>
      </w:r>
    </w:p>
    <w:p w14:paraId="231A064B" w14:textId="77777777" w:rsidR="00360934" w:rsidRDefault="00360934" w:rsidP="00360934"/>
    <w:p w14:paraId="38702790" w14:textId="77777777" w:rsidR="00360934" w:rsidRDefault="00360934" w:rsidP="00360934"/>
    <w:p w14:paraId="6C6E01B8" w14:textId="79F42A14" w:rsidR="00360934" w:rsidRDefault="00360934">
      <w:pPr>
        <w:suppressAutoHyphens w:val="0"/>
        <w:spacing w:line="240" w:lineRule="auto"/>
      </w:pPr>
      <w:r>
        <w:br w:type="page"/>
      </w:r>
    </w:p>
    <w:p w14:paraId="26FF3388" w14:textId="2768C266" w:rsidR="00360934" w:rsidRDefault="00360934" w:rsidP="00360934">
      <w:pPr>
        <w:pStyle w:val="HChG"/>
      </w:pPr>
      <w:r>
        <w:lastRenderedPageBreak/>
        <w:t>Annex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722"/>
      </w:tblGrid>
      <w:tr w:rsidR="00360934" w:rsidRPr="00F73EC0" w14:paraId="3E92BB5E" w14:textId="77777777" w:rsidTr="009C5A7F">
        <w:tc>
          <w:tcPr>
            <w:tcW w:w="1638" w:type="dxa"/>
          </w:tcPr>
          <w:p w14:paraId="4C53FAA3" w14:textId="77777777" w:rsidR="00360934" w:rsidRPr="008F584C" w:rsidRDefault="00360934" w:rsidP="009C5A7F">
            <w:pPr>
              <w:spacing w:before="60" w:after="60"/>
              <w:jc w:val="both"/>
              <w:rPr>
                <w:b/>
              </w:rPr>
            </w:pPr>
            <w:r w:rsidRPr="008F584C">
              <w:rPr>
                <w:b/>
              </w:rPr>
              <w:t>Formaldehyde:</w:t>
            </w:r>
          </w:p>
        </w:tc>
        <w:tc>
          <w:tcPr>
            <w:tcW w:w="7722" w:type="dxa"/>
          </w:tcPr>
          <w:p w14:paraId="4CC32A5D" w14:textId="77777777" w:rsidR="00360934" w:rsidRDefault="00360934" w:rsidP="009C5A7F">
            <w:pPr>
              <w:spacing w:before="60" w:after="60"/>
              <w:jc w:val="both"/>
            </w:pPr>
            <w:r w:rsidRPr="00F73EC0">
              <w:t>Not listed in Transport Dangerous Goods list, probabl</w:t>
            </w:r>
            <w:r>
              <w:t>y because the pure substance is gaseous and it is only transported as solutions</w:t>
            </w:r>
          </w:p>
          <w:p w14:paraId="763D01E1" w14:textId="77777777" w:rsidR="00360934" w:rsidRDefault="00360934" w:rsidP="009C5A7F">
            <w:pPr>
              <w:spacing w:before="60" w:after="60"/>
              <w:jc w:val="both"/>
            </w:pPr>
            <w:r>
              <w:t>Solutions with not less than 25% formaldehyde are identified as corrosive (i.e. GHS corrosion to skin  Cat.1)</w:t>
            </w:r>
          </w:p>
          <w:p w14:paraId="1D7E1B9D" w14:textId="77777777" w:rsidR="00360934" w:rsidRDefault="00360934" w:rsidP="009C5A7F">
            <w:pPr>
              <w:spacing w:before="60" w:after="60"/>
              <w:jc w:val="both"/>
            </w:pPr>
            <w:r>
              <w:t>Therefore EU classification seems consistent with transport, but not Japan.</w:t>
            </w:r>
          </w:p>
          <w:p w14:paraId="09F607B7" w14:textId="77777777" w:rsidR="00360934" w:rsidRPr="00F73EC0" w:rsidRDefault="00360934" w:rsidP="009C5A7F">
            <w:pPr>
              <w:spacing w:before="60" w:after="60"/>
              <w:jc w:val="both"/>
            </w:pPr>
            <w:r>
              <w:t>Not identified as Acute toxic in transport. Solutions with less than 25% formaldehyde are considered not dangerous, except solutions in flammable liquids</w:t>
            </w:r>
          </w:p>
        </w:tc>
      </w:tr>
      <w:tr w:rsidR="00360934" w:rsidRPr="00F73EC0" w14:paraId="5AD196CA" w14:textId="77777777" w:rsidTr="009C5A7F">
        <w:tc>
          <w:tcPr>
            <w:tcW w:w="1638" w:type="dxa"/>
          </w:tcPr>
          <w:p w14:paraId="1E2ACE5B" w14:textId="77777777" w:rsidR="00360934" w:rsidRPr="008F584C" w:rsidRDefault="00360934" w:rsidP="009C5A7F">
            <w:pPr>
              <w:spacing w:before="60" w:after="60"/>
              <w:jc w:val="both"/>
              <w:rPr>
                <w:b/>
              </w:rPr>
            </w:pPr>
            <w:r w:rsidRPr="008F584C">
              <w:rPr>
                <w:b/>
              </w:rPr>
              <w:t>Nicotine:</w:t>
            </w:r>
          </w:p>
        </w:tc>
        <w:tc>
          <w:tcPr>
            <w:tcW w:w="7722" w:type="dxa"/>
          </w:tcPr>
          <w:p w14:paraId="6B3B3E4A" w14:textId="77777777" w:rsidR="00360934" w:rsidRPr="00F73EC0" w:rsidRDefault="00360934" w:rsidP="009C5A7F">
            <w:pPr>
              <w:spacing w:before="60" w:after="60"/>
              <w:jc w:val="both"/>
            </w:pPr>
            <w:r>
              <w:t>Transport classification consistent with EU (Acute toxic cat.2 for at least one route of exposure), but not with Japan</w:t>
            </w:r>
          </w:p>
        </w:tc>
      </w:tr>
      <w:tr w:rsidR="00360934" w:rsidRPr="00F73EC0" w14:paraId="395C95E4" w14:textId="77777777" w:rsidTr="009C5A7F">
        <w:tc>
          <w:tcPr>
            <w:tcW w:w="1638" w:type="dxa"/>
          </w:tcPr>
          <w:p w14:paraId="3592B19A" w14:textId="77777777" w:rsidR="00360934" w:rsidRPr="008F584C" w:rsidRDefault="00360934" w:rsidP="009C5A7F">
            <w:pPr>
              <w:spacing w:before="60" w:after="60"/>
              <w:jc w:val="both"/>
              <w:rPr>
                <w:b/>
              </w:rPr>
            </w:pPr>
            <w:proofErr w:type="spellStart"/>
            <w:r w:rsidRPr="008F584C">
              <w:rPr>
                <w:b/>
              </w:rPr>
              <w:t>Methylhydrazine</w:t>
            </w:r>
            <w:proofErr w:type="spellEnd"/>
            <w:r w:rsidRPr="008F584C">
              <w:rPr>
                <w:b/>
              </w:rPr>
              <w:t>:</w:t>
            </w:r>
          </w:p>
        </w:tc>
        <w:tc>
          <w:tcPr>
            <w:tcW w:w="7722" w:type="dxa"/>
          </w:tcPr>
          <w:p w14:paraId="57B44233" w14:textId="77777777" w:rsidR="00360934" w:rsidRPr="00F73EC0" w:rsidRDefault="00360934" w:rsidP="009C5A7F">
            <w:pPr>
              <w:spacing w:before="60" w:after="60"/>
              <w:jc w:val="both"/>
            </w:pPr>
            <w:r>
              <w:t xml:space="preserve">EU classification is not consistent with </w:t>
            </w:r>
            <w:proofErr w:type="gramStart"/>
            <w:r>
              <w:t>transport,</w:t>
            </w:r>
            <w:proofErr w:type="gramEnd"/>
            <w:r>
              <w:t xml:space="preserve"> Japanese classification is more consistent except for skin corrosion. For transport, Acute </w:t>
            </w:r>
            <w:proofErr w:type="spellStart"/>
            <w:r>
              <w:t>tox</w:t>
            </w:r>
            <w:proofErr w:type="spellEnd"/>
            <w:r>
              <w:t xml:space="preserve"> (inhalation) Cat.1, Flammable liquid cat.1 and skin corrosion Cat.1 (not category 2).</w:t>
            </w:r>
          </w:p>
        </w:tc>
      </w:tr>
      <w:tr w:rsidR="00360934" w:rsidRPr="00F73EC0" w14:paraId="678BDCD3" w14:textId="77777777" w:rsidTr="009C5A7F">
        <w:tc>
          <w:tcPr>
            <w:tcW w:w="1638" w:type="dxa"/>
          </w:tcPr>
          <w:p w14:paraId="2FEF0CDE" w14:textId="77777777" w:rsidR="00360934" w:rsidRPr="008F584C" w:rsidRDefault="00360934" w:rsidP="009C5A7F">
            <w:pPr>
              <w:spacing w:before="60" w:after="60"/>
              <w:jc w:val="both"/>
              <w:rPr>
                <w:b/>
              </w:rPr>
            </w:pPr>
            <w:r w:rsidRPr="008F584C">
              <w:rPr>
                <w:b/>
              </w:rPr>
              <w:t>Methanol:</w:t>
            </w:r>
          </w:p>
        </w:tc>
        <w:tc>
          <w:tcPr>
            <w:tcW w:w="7722" w:type="dxa"/>
          </w:tcPr>
          <w:p w14:paraId="00CD6D9B" w14:textId="77777777" w:rsidR="00360934" w:rsidRDefault="00360934" w:rsidP="009C5A7F">
            <w:pPr>
              <w:spacing w:before="60" w:after="60"/>
              <w:jc w:val="both"/>
            </w:pPr>
            <w:r>
              <w:t>For transport, Flammable liquid cat.2 (consistent with EU and Japan)</w:t>
            </w:r>
          </w:p>
          <w:p w14:paraId="63F27553" w14:textId="77777777" w:rsidR="00360934" w:rsidRPr="00F73EC0" w:rsidRDefault="00360934" w:rsidP="009C5A7F">
            <w:pPr>
              <w:spacing w:before="60" w:after="60"/>
              <w:jc w:val="both"/>
            </w:pPr>
            <w:r>
              <w:t>Identified as Acute toxic but on the basis of experience, not on the basis of criteria (theft during transport for manufacture of adulterated alcohol and dramatic consequences worldwide). Therefore Japan classification according to criteria seems to be correct, but EU classification more appropriate in terms of hazard communication consistency.</w:t>
            </w:r>
          </w:p>
        </w:tc>
      </w:tr>
      <w:tr w:rsidR="00360934" w:rsidRPr="00F73EC0" w14:paraId="42E07C17" w14:textId="77777777" w:rsidTr="009C5A7F">
        <w:tc>
          <w:tcPr>
            <w:tcW w:w="1638" w:type="dxa"/>
          </w:tcPr>
          <w:p w14:paraId="7BA370A0" w14:textId="77777777" w:rsidR="00360934" w:rsidRPr="008F584C" w:rsidRDefault="00360934" w:rsidP="009C5A7F">
            <w:pPr>
              <w:spacing w:before="60" w:after="60"/>
              <w:jc w:val="both"/>
              <w:rPr>
                <w:b/>
              </w:rPr>
            </w:pPr>
            <w:r w:rsidRPr="008F584C">
              <w:rPr>
                <w:b/>
              </w:rPr>
              <w:t>Chloroform:</w:t>
            </w:r>
          </w:p>
        </w:tc>
        <w:tc>
          <w:tcPr>
            <w:tcW w:w="7722" w:type="dxa"/>
          </w:tcPr>
          <w:p w14:paraId="4824B27F" w14:textId="77777777" w:rsidR="00360934" w:rsidRPr="00F73EC0" w:rsidRDefault="00360934" w:rsidP="009C5A7F">
            <w:pPr>
              <w:spacing w:before="60" w:after="60"/>
              <w:jc w:val="both"/>
            </w:pPr>
            <w:r>
              <w:t xml:space="preserve">Transport classification consistent with EU (Acute </w:t>
            </w:r>
            <w:proofErr w:type="spellStart"/>
            <w:r>
              <w:t>tox</w:t>
            </w:r>
            <w:proofErr w:type="spellEnd"/>
            <w:r>
              <w:t xml:space="preserve"> Cat.3 for at least one route of exposure, not corrosive to skin)</w:t>
            </w:r>
          </w:p>
        </w:tc>
      </w:tr>
      <w:tr w:rsidR="00360934" w:rsidRPr="00F73EC0" w14:paraId="6DD91091" w14:textId="77777777" w:rsidTr="009C5A7F">
        <w:tc>
          <w:tcPr>
            <w:tcW w:w="1638" w:type="dxa"/>
          </w:tcPr>
          <w:p w14:paraId="390562E9" w14:textId="77777777" w:rsidR="00360934" w:rsidRDefault="00360934" w:rsidP="009C5A7F">
            <w:pPr>
              <w:spacing w:before="60" w:after="60"/>
              <w:jc w:val="both"/>
              <w:rPr>
                <w:b/>
              </w:rPr>
            </w:pPr>
            <w:proofErr w:type="spellStart"/>
            <w:r>
              <w:rPr>
                <w:b/>
              </w:rPr>
              <w:t>Tert</w:t>
            </w:r>
            <w:proofErr w:type="spellEnd"/>
            <w:r>
              <w:rPr>
                <w:b/>
              </w:rPr>
              <w:t xml:space="preserve">-butyl </w:t>
            </w:r>
            <w:proofErr w:type="spellStart"/>
            <w:r>
              <w:rPr>
                <w:b/>
              </w:rPr>
              <w:t>hydroperoxide</w:t>
            </w:r>
            <w:proofErr w:type="spellEnd"/>
            <w:r>
              <w:rPr>
                <w:b/>
              </w:rPr>
              <w:t>:</w:t>
            </w:r>
          </w:p>
        </w:tc>
        <w:tc>
          <w:tcPr>
            <w:tcW w:w="7722" w:type="dxa"/>
          </w:tcPr>
          <w:p w14:paraId="1EB05558" w14:textId="77777777" w:rsidR="00360934" w:rsidRDefault="00360934" w:rsidP="009C5A7F">
            <w:pPr>
              <w:spacing w:before="60" w:after="60"/>
              <w:jc w:val="both"/>
            </w:pPr>
            <w:r>
              <w:t>Classification depends on concentration. Concentration above 90% not authorized in transport.</w:t>
            </w:r>
          </w:p>
          <w:p w14:paraId="6DC6DC7E" w14:textId="77777777" w:rsidR="00360934" w:rsidRDefault="00360934" w:rsidP="009C5A7F">
            <w:pPr>
              <w:spacing w:before="60" w:after="60"/>
              <w:jc w:val="both"/>
            </w:pPr>
            <w:r>
              <w:t>Concentrations equal to or below 90% are organic peroxides type C, D, E or F.</w:t>
            </w:r>
          </w:p>
          <w:p w14:paraId="0105D194" w14:textId="77777777" w:rsidR="00360934" w:rsidRDefault="00360934" w:rsidP="009C5A7F">
            <w:pPr>
              <w:spacing w:before="60" w:after="60"/>
              <w:jc w:val="both"/>
            </w:pPr>
            <w:r>
              <w:t xml:space="preserve">Not identified as flammable liquid in transport, but symbol on transport </w:t>
            </w:r>
            <w:proofErr w:type="spellStart"/>
            <w:r>
              <w:t>pictogramme</w:t>
            </w:r>
            <w:proofErr w:type="spellEnd"/>
            <w:r>
              <w:t xml:space="preserve"> is the same as for flammable liquids, so no inconsistency.</w:t>
            </w:r>
          </w:p>
          <w:p w14:paraId="5745BB5C" w14:textId="77777777" w:rsidR="00360934" w:rsidRDefault="00360934" w:rsidP="009C5A7F">
            <w:pPr>
              <w:spacing w:before="60" w:after="60"/>
              <w:jc w:val="both"/>
            </w:pPr>
            <w:r>
              <w:t>Identified as corrosive to skin, Cat.1 in transport.</w:t>
            </w:r>
          </w:p>
          <w:p w14:paraId="293192CA" w14:textId="77777777" w:rsidR="00360934" w:rsidRDefault="00360934" w:rsidP="009C5A7F">
            <w:pPr>
              <w:spacing w:before="60" w:after="60"/>
              <w:jc w:val="both"/>
            </w:pPr>
            <w:r>
              <w:t>Not identified as Acute toxic Cat.3 in transport.</w:t>
            </w:r>
          </w:p>
        </w:tc>
      </w:tr>
      <w:tr w:rsidR="00360934" w:rsidRPr="00F73EC0" w14:paraId="0C8A5EE1" w14:textId="77777777" w:rsidTr="009C5A7F">
        <w:tc>
          <w:tcPr>
            <w:tcW w:w="1638" w:type="dxa"/>
          </w:tcPr>
          <w:p w14:paraId="3B5D8BED" w14:textId="77777777" w:rsidR="00360934" w:rsidRPr="008F584C" w:rsidRDefault="00360934" w:rsidP="009C5A7F">
            <w:pPr>
              <w:spacing w:before="60" w:after="60"/>
              <w:jc w:val="both"/>
              <w:rPr>
                <w:b/>
              </w:rPr>
            </w:pPr>
            <w:r>
              <w:rPr>
                <w:b/>
              </w:rPr>
              <w:t>4-tert</w:t>
            </w:r>
            <w:r w:rsidRPr="008F584C">
              <w:rPr>
                <w:b/>
              </w:rPr>
              <w:t>-butylphenol:</w:t>
            </w:r>
          </w:p>
        </w:tc>
        <w:tc>
          <w:tcPr>
            <w:tcW w:w="7722" w:type="dxa"/>
          </w:tcPr>
          <w:p w14:paraId="0ECDE9AE" w14:textId="77777777" w:rsidR="00360934" w:rsidRPr="00F73EC0" w:rsidRDefault="00360934" w:rsidP="009C5A7F">
            <w:pPr>
              <w:spacing w:before="60" w:after="60"/>
              <w:jc w:val="both"/>
            </w:pPr>
            <w:r>
              <w:t xml:space="preserve">Skin corrosion Cat.1 for transport </w:t>
            </w:r>
          </w:p>
        </w:tc>
      </w:tr>
      <w:tr w:rsidR="00360934" w:rsidRPr="00F73EC0" w14:paraId="0719435E" w14:textId="77777777" w:rsidTr="009C5A7F">
        <w:tc>
          <w:tcPr>
            <w:tcW w:w="1638" w:type="dxa"/>
          </w:tcPr>
          <w:p w14:paraId="336686BA" w14:textId="77777777" w:rsidR="00360934" w:rsidRPr="008F584C" w:rsidRDefault="00360934" w:rsidP="009C5A7F">
            <w:pPr>
              <w:spacing w:before="60" w:after="60"/>
              <w:jc w:val="both"/>
              <w:rPr>
                <w:b/>
              </w:rPr>
            </w:pPr>
            <w:r w:rsidRPr="008F584C">
              <w:rPr>
                <w:b/>
              </w:rPr>
              <w:t>Nitrobenzene:</w:t>
            </w:r>
          </w:p>
        </w:tc>
        <w:tc>
          <w:tcPr>
            <w:tcW w:w="7722" w:type="dxa"/>
          </w:tcPr>
          <w:p w14:paraId="7F4B4EC1" w14:textId="77777777" w:rsidR="00360934" w:rsidRPr="00F73EC0" w:rsidRDefault="00360934" w:rsidP="009C5A7F">
            <w:pPr>
              <w:spacing w:before="60" w:after="60"/>
              <w:jc w:val="both"/>
            </w:pPr>
            <w:r>
              <w:t>Acute toxic packing group II (corresponding to Acute toxic Cat.2 for at least one route of exposure) but transport classification based on human experience. Transport labelling would be consistent with EU, but not Japan</w:t>
            </w:r>
          </w:p>
        </w:tc>
      </w:tr>
      <w:tr w:rsidR="00360934" w:rsidRPr="00F73EC0" w14:paraId="46B09BE9" w14:textId="77777777" w:rsidTr="009C5A7F">
        <w:tc>
          <w:tcPr>
            <w:tcW w:w="1638" w:type="dxa"/>
          </w:tcPr>
          <w:p w14:paraId="6F3A2D5C" w14:textId="77777777" w:rsidR="00360934" w:rsidRPr="008F584C" w:rsidRDefault="00360934" w:rsidP="009C5A7F">
            <w:pPr>
              <w:spacing w:before="60" w:after="60"/>
              <w:rPr>
                <w:b/>
              </w:rPr>
            </w:pPr>
            <w:r>
              <w:rPr>
                <w:b/>
              </w:rPr>
              <w:t>Butane, 1,2-epoxy:</w:t>
            </w:r>
          </w:p>
        </w:tc>
        <w:tc>
          <w:tcPr>
            <w:tcW w:w="7722" w:type="dxa"/>
          </w:tcPr>
          <w:p w14:paraId="25EB15D0" w14:textId="77777777" w:rsidR="00360934" w:rsidRPr="00F73EC0" w:rsidRDefault="00360934" w:rsidP="009C5A7F">
            <w:pPr>
              <w:spacing w:before="60" w:after="60"/>
              <w:jc w:val="both"/>
            </w:pPr>
            <w:r>
              <w:t>Transport consistent with EU, not with Japan (Not identified as corrosive to skin in transport).</w:t>
            </w:r>
          </w:p>
        </w:tc>
      </w:tr>
      <w:tr w:rsidR="00360934" w:rsidRPr="00F73EC0" w14:paraId="66CA1739" w14:textId="77777777" w:rsidTr="009C5A7F">
        <w:tc>
          <w:tcPr>
            <w:tcW w:w="1638" w:type="dxa"/>
          </w:tcPr>
          <w:p w14:paraId="005A2133" w14:textId="77777777" w:rsidR="00360934" w:rsidRDefault="00360934" w:rsidP="009C5A7F">
            <w:pPr>
              <w:spacing w:before="60" w:after="60"/>
              <w:jc w:val="both"/>
              <w:rPr>
                <w:b/>
              </w:rPr>
            </w:pPr>
            <w:proofErr w:type="spellStart"/>
            <w:r>
              <w:rPr>
                <w:b/>
              </w:rPr>
              <w:t>Acrolein</w:t>
            </w:r>
            <w:proofErr w:type="spellEnd"/>
            <w:r>
              <w:rPr>
                <w:b/>
              </w:rPr>
              <w:t>:</w:t>
            </w:r>
          </w:p>
        </w:tc>
        <w:tc>
          <w:tcPr>
            <w:tcW w:w="7722" w:type="dxa"/>
          </w:tcPr>
          <w:p w14:paraId="1CB8560E" w14:textId="77777777" w:rsidR="00360934" w:rsidRDefault="00360934" w:rsidP="009C5A7F">
            <w:pPr>
              <w:spacing w:before="60" w:after="60"/>
              <w:jc w:val="both"/>
            </w:pPr>
            <w:r>
              <w:t>Transport classification consistent with EU and Japan for Acute toxicity and flammability, but not identified as corrosive to skin Cat.1 for transport.</w:t>
            </w:r>
          </w:p>
        </w:tc>
      </w:tr>
      <w:tr w:rsidR="00360934" w:rsidRPr="00F73EC0" w14:paraId="07404DD7" w14:textId="77777777" w:rsidTr="009C5A7F">
        <w:tc>
          <w:tcPr>
            <w:tcW w:w="1638" w:type="dxa"/>
          </w:tcPr>
          <w:p w14:paraId="71E9E083" w14:textId="77777777" w:rsidR="00360934" w:rsidRDefault="00360934" w:rsidP="009C5A7F">
            <w:pPr>
              <w:spacing w:before="60" w:after="60"/>
              <w:jc w:val="both"/>
              <w:rPr>
                <w:b/>
              </w:rPr>
            </w:pPr>
            <w:r>
              <w:rPr>
                <w:b/>
              </w:rPr>
              <w:t>Vinyl acetate:</w:t>
            </w:r>
          </w:p>
        </w:tc>
        <w:tc>
          <w:tcPr>
            <w:tcW w:w="7722" w:type="dxa"/>
          </w:tcPr>
          <w:p w14:paraId="3456F6A1" w14:textId="77777777" w:rsidR="00360934" w:rsidRDefault="00360934" w:rsidP="009C5A7F">
            <w:pPr>
              <w:spacing w:before="60" w:after="60"/>
              <w:jc w:val="both"/>
            </w:pPr>
            <w:r>
              <w:t xml:space="preserve">Transport classification consistent with EU, but stabilization required for transport which implies self-reactive type G, as in Japan classification, might be relevant for </w:t>
            </w:r>
            <w:proofErr w:type="spellStart"/>
            <w:r>
              <w:t>non stabilized</w:t>
            </w:r>
            <w:proofErr w:type="spellEnd"/>
            <w:r>
              <w:t xml:space="preserve"> forms.</w:t>
            </w:r>
          </w:p>
        </w:tc>
      </w:tr>
      <w:tr w:rsidR="00360934" w:rsidRPr="00F73EC0" w14:paraId="2EF0B8DB" w14:textId="77777777" w:rsidTr="009C5A7F">
        <w:tc>
          <w:tcPr>
            <w:tcW w:w="1638" w:type="dxa"/>
          </w:tcPr>
          <w:p w14:paraId="48F6F24B" w14:textId="77777777" w:rsidR="00360934" w:rsidRDefault="00360934" w:rsidP="009C5A7F">
            <w:pPr>
              <w:spacing w:before="60" w:after="60"/>
              <w:jc w:val="both"/>
              <w:rPr>
                <w:b/>
              </w:rPr>
            </w:pPr>
            <w:r>
              <w:rPr>
                <w:b/>
              </w:rPr>
              <w:t xml:space="preserve">Ethylene glycol </w:t>
            </w:r>
            <w:proofErr w:type="spellStart"/>
            <w:r>
              <w:rPr>
                <w:b/>
              </w:rPr>
              <w:t>monoethyl</w:t>
            </w:r>
            <w:proofErr w:type="spellEnd"/>
            <w:r>
              <w:rPr>
                <w:b/>
              </w:rPr>
              <w:t xml:space="preserve"> other: </w:t>
            </w:r>
          </w:p>
        </w:tc>
        <w:tc>
          <w:tcPr>
            <w:tcW w:w="7722" w:type="dxa"/>
          </w:tcPr>
          <w:p w14:paraId="44BA0222" w14:textId="77777777" w:rsidR="00360934" w:rsidRDefault="00360934" w:rsidP="009C5A7F">
            <w:pPr>
              <w:spacing w:before="60" w:after="60"/>
              <w:jc w:val="both"/>
            </w:pPr>
            <w:r>
              <w:t xml:space="preserve">Transport classification consistent with Japan, but not with EU (Flam. </w:t>
            </w:r>
            <w:proofErr w:type="spellStart"/>
            <w:r>
              <w:t>Liq</w:t>
            </w:r>
            <w:proofErr w:type="spellEnd"/>
            <w:r>
              <w:t xml:space="preserve"> Cat.3, but no inhalation Acute Toxicity Cat.3).</w:t>
            </w:r>
          </w:p>
        </w:tc>
      </w:tr>
    </w:tbl>
    <w:p w14:paraId="5344D4C5" w14:textId="77777777" w:rsidR="00360934" w:rsidRDefault="00360934" w:rsidP="006560F1">
      <w:pPr>
        <w:pStyle w:val="SingleTxtG"/>
        <w:jc w:val="center"/>
      </w:pPr>
    </w:p>
    <w:p w14:paraId="12A37D2F" w14:textId="77777777" w:rsidR="00360934" w:rsidRDefault="00360934" w:rsidP="006560F1">
      <w:pPr>
        <w:pStyle w:val="SingleTxtG"/>
        <w:jc w:val="center"/>
      </w:pPr>
    </w:p>
    <w:p w14:paraId="250631F8" w14:textId="77777777" w:rsidR="00360934" w:rsidRDefault="00360934" w:rsidP="006560F1">
      <w:pPr>
        <w:pStyle w:val="SingleTxtG"/>
        <w:jc w:val="center"/>
      </w:pPr>
    </w:p>
    <w:p w14:paraId="164B3263" w14:textId="77777777" w:rsidR="00360934" w:rsidRDefault="00360934" w:rsidP="00360934">
      <w:pPr>
        <w:pStyle w:val="SingleTxtG"/>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722"/>
      </w:tblGrid>
      <w:tr w:rsidR="00360934" w:rsidRPr="00F73EC0" w14:paraId="1226E6E0" w14:textId="77777777" w:rsidTr="009C5A7F">
        <w:tc>
          <w:tcPr>
            <w:tcW w:w="1638" w:type="dxa"/>
          </w:tcPr>
          <w:p w14:paraId="39C65D91" w14:textId="77777777" w:rsidR="00360934" w:rsidRPr="008F584C" w:rsidRDefault="00360934" w:rsidP="009C5A7F">
            <w:pPr>
              <w:spacing w:before="60" w:after="60"/>
              <w:jc w:val="both"/>
              <w:rPr>
                <w:b/>
              </w:rPr>
            </w:pPr>
            <w:r>
              <w:rPr>
                <w:b/>
              </w:rPr>
              <w:lastRenderedPageBreak/>
              <w:t>Copper</w:t>
            </w:r>
            <w:r w:rsidRPr="008F584C">
              <w:rPr>
                <w:b/>
              </w:rPr>
              <w:t>:</w:t>
            </w:r>
          </w:p>
        </w:tc>
        <w:tc>
          <w:tcPr>
            <w:tcW w:w="7722" w:type="dxa"/>
          </w:tcPr>
          <w:p w14:paraId="0A004744" w14:textId="77777777" w:rsidR="00360934" w:rsidRDefault="00360934" w:rsidP="009C5A7F">
            <w:pPr>
              <w:spacing w:before="60" w:after="60"/>
              <w:jc w:val="both"/>
            </w:pPr>
            <w:r>
              <w:t>Depending on particle size, copper powder may be flammable solid.</w:t>
            </w:r>
          </w:p>
          <w:p w14:paraId="47BAA909" w14:textId="77777777" w:rsidR="00360934" w:rsidRDefault="00360934" w:rsidP="009C5A7F">
            <w:pPr>
              <w:spacing w:before="60" w:after="60"/>
              <w:jc w:val="both"/>
            </w:pPr>
            <w:r>
              <w:t>Although the UNECE secretariat is not aware of other physical hazard properties of copper, some metal powders may have self-</w:t>
            </w:r>
            <w:proofErr w:type="spellStart"/>
            <w:r>
              <w:t>heating</w:t>
            </w:r>
            <w:proofErr w:type="spellEnd"/>
            <w:r>
              <w:t xml:space="preserve"> properties and some metallic substances may react with water to emit flammable gases.</w:t>
            </w:r>
          </w:p>
          <w:p w14:paraId="5EF393FC" w14:textId="77777777" w:rsidR="00360934" w:rsidRDefault="00360934" w:rsidP="009C5A7F">
            <w:pPr>
              <w:spacing w:before="60" w:after="60"/>
              <w:jc w:val="both"/>
            </w:pPr>
            <w:r>
              <w:t>Therefore, those properties should be checked for all metals listed.</w:t>
            </w:r>
          </w:p>
          <w:p w14:paraId="418122F5" w14:textId="77777777" w:rsidR="00360934" w:rsidRPr="00F73EC0" w:rsidRDefault="00360934" w:rsidP="009C5A7F">
            <w:pPr>
              <w:spacing w:before="60" w:after="60"/>
              <w:jc w:val="both"/>
            </w:pPr>
            <w:r>
              <w:t>For EU classification, it is not clear under which form copper is toxic by inhalation, Cat.3.</w:t>
            </w:r>
          </w:p>
        </w:tc>
      </w:tr>
      <w:tr w:rsidR="00360934" w:rsidRPr="00F73EC0" w14:paraId="19A3F713" w14:textId="77777777" w:rsidTr="009C5A7F">
        <w:tc>
          <w:tcPr>
            <w:tcW w:w="1638" w:type="dxa"/>
          </w:tcPr>
          <w:p w14:paraId="7973D8FE" w14:textId="77777777" w:rsidR="00360934" w:rsidRPr="008F584C" w:rsidRDefault="00360934" w:rsidP="009C5A7F">
            <w:pPr>
              <w:spacing w:before="60" w:after="60"/>
              <w:jc w:val="both"/>
              <w:rPr>
                <w:b/>
              </w:rPr>
            </w:pPr>
            <w:r>
              <w:rPr>
                <w:b/>
              </w:rPr>
              <w:t>Nitric acid</w:t>
            </w:r>
            <w:r w:rsidRPr="008F584C">
              <w:rPr>
                <w:b/>
              </w:rPr>
              <w:t>:</w:t>
            </w:r>
          </w:p>
        </w:tc>
        <w:tc>
          <w:tcPr>
            <w:tcW w:w="7722" w:type="dxa"/>
          </w:tcPr>
          <w:p w14:paraId="6C587C43" w14:textId="77777777" w:rsidR="00360934" w:rsidRPr="00F73EC0" w:rsidRDefault="00360934" w:rsidP="009C5A7F">
            <w:pPr>
              <w:spacing w:before="60" w:after="60"/>
              <w:jc w:val="both"/>
            </w:pPr>
            <w:r>
              <w:t>Transport consistent with EU and Japan for skin corrosion and oxidizing liquids, but only red fuming nitric acid is identified as Acute toxic for transport.</w:t>
            </w:r>
          </w:p>
        </w:tc>
      </w:tr>
      <w:tr w:rsidR="00360934" w:rsidRPr="00F73EC0" w14:paraId="56A79C67" w14:textId="77777777" w:rsidTr="009C5A7F">
        <w:tc>
          <w:tcPr>
            <w:tcW w:w="1638" w:type="dxa"/>
          </w:tcPr>
          <w:p w14:paraId="424A5A8F" w14:textId="77777777" w:rsidR="00360934" w:rsidRPr="008F584C" w:rsidRDefault="00360934" w:rsidP="009C5A7F">
            <w:pPr>
              <w:spacing w:before="60" w:after="60"/>
              <w:jc w:val="both"/>
              <w:rPr>
                <w:b/>
              </w:rPr>
            </w:pPr>
            <w:r>
              <w:rPr>
                <w:b/>
              </w:rPr>
              <w:t>Cadmium nitrate</w:t>
            </w:r>
            <w:r w:rsidRPr="008F584C">
              <w:rPr>
                <w:b/>
              </w:rPr>
              <w:t>:</w:t>
            </w:r>
          </w:p>
        </w:tc>
        <w:tc>
          <w:tcPr>
            <w:tcW w:w="7722" w:type="dxa"/>
          </w:tcPr>
          <w:p w14:paraId="398104CE" w14:textId="77777777" w:rsidR="00360934" w:rsidRDefault="00360934" w:rsidP="009C5A7F">
            <w:pPr>
              <w:spacing w:before="60" w:after="60"/>
              <w:jc w:val="both"/>
            </w:pPr>
            <w:r>
              <w:t>Cadmium compounds (UN 2570) are listed as acute toxic Cat.3 by at least one route of exposure for transport.</w:t>
            </w:r>
          </w:p>
          <w:p w14:paraId="25A2190C" w14:textId="77777777" w:rsidR="00360934" w:rsidRPr="00F73EC0" w:rsidRDefault="00360934" w:rsidP="009C5A7F">
            <w:pPr>
              <w:spacing w:before="60" w:after="60"/>
              <w:jc w:val="both"/>
            </w:pPr>
            <w:r>
              <w:t xml:space="preserve">As this is a nitrate, oxidizing properties should be checked and UN 3087 is probably more relevant (oxidizing Cat.2 and Acute </w:t>
            </w:r>
            <w:proofErr w:type="spellStart"/>
            <w:r>
              <w:t>tox</w:t>
            </w:r>
            <w:proofErr w:type="spellEnd"/>
            <w:r>
              <w:t xml:space="preserve"> Cat.3 oral found in literature on internet).</w:t>
            </w:r>
          </w:p>
        </w:tc>
      </w:tr>
      <w:tr w:rsidR="00360934" w:rsidRPr="00F73EC0" w14:paraId="7537F868" w14:textId="77777777" w:rsidTr="009C5A7F">
        <w:tc>
          <w:tcPr>
            <w:tcW w:w="1638" w:type="dxa"/>
          </w:tcPr>
          <w:p w14:paraId="7727FA59" w14:textId="77777777" w:rsidR="00360934" w:rsidRPr="008F584C" w:rsidRDefault="00360934" w:rsidP="009C5A7F">
            <w:pPr>
              <w:spacing w:before="60" w:after="60"/>
              <w:jc w:val="both"/>
              <w:rPr>
                <w:b/>
              </w:rPr>
            </w:pPr>
            <w:r>
              <w:rPr>
                <w:b/>
              </w:rPr>
              <w:t>Cadmium hydroxide</w:t>
            </w:r>
            <w:r w:rsidRPr="008F584C">
              <w:rPr>
                <w:b/>
              </w:rPr>
              <w:t>:</w:t>
            </w:r>
          </w:p>
        </w:tc>
        <w:tc>
          <w:tcPr>
            <w:tcW w:w="7722" w:type="dxa"/>
          </w:tcPr>
          <w:p w14:paraId="53BC2DDA" w14:textId="77777777" w:rsidR="00360934" w:rsidRPr="00F73EC0" w:rsidRDefault="00360934" w:rsidP="009C5A7F">
            <w:pPr>
              <w:spacing w:before="60" w:after="60"/>
              <w:jc w:val="both"/>
            </w:pPr>
            <w:r>
              <w:t>Cadmium compounds (UN 2570) are listed as acute toxic Cat.3 for transport.</w:t>
            </w:r>
          </w:p>
        </w:tc>
      </w:tr>
      <w:tr w:rsidR="00360934" w:rsidRPr="00F73EC0" w14:paraId="3C1AA0F7" w14:textId="77777777" w:rsidTr="009C5A7F">
        <w:tc>
          <w:tcPr>
            <w:tcW w:w="1638" w:type="dxa"/>
          </w:tcPr>
          <w:p w14:paraId="7F41A36A" w14:textId="77777777" w:rsidR="00360934" w:rsidRPr="008F584C" w:rsidRDefault="00360934" w:rsidP="009C5A7F">
            <w:pPr>
              <w:spacing w:before="60" w:after="60"/>
              <w:jc w:val="both"/>
              <w:rPr>
                <w:b/>
              </w:rPr>
            </w:pPr>
            <w:proofErr w:type="spellStart"/>
            <w:r>
              <w:rPr>
                <w:b/>
              </w:rPr>
              <w:t>Bendiocarb</w:t>
            </w:r>
            <w:proofErr w:type="spellEnd"/>
            <w:r>
              <w:rPr>
                <w:b/>
              </w:rPr>
              <w:t xml:space="preserve">, </w:t>
            </w:r>
            <w:proofErr w:type="spellStart"/>
            <w:r>
              <w:rPr>
                <w:b/>
              </w:rPr>
              <w:t>piricarb</w:t>
            </w:r>
            <w:proofErr w:type="spellEnd"/>
            <w:r>
              <w:rPr>
                <w:b/>
              </w:rPr>
              <w:t xml:space="preserve"> and any other pesticide</w:t>
            </w:r>
            <w:r w:rsidRPr="008F584C">
              <w:rPr>
                <w:b/>
              </w:rPr>
              <w:t>:</w:t>
            </w:r>
          </w:p>
        </w:tc>
        <w:tc>
          <w:tcPr>
            <w:tcW w:w="7722" w:type="dxa"/>
          </w:tcPr>
          <w:p w14:paraId="1427209B" w14:textId="77777777" w:rsidR="00360934" w:rsidRPr="005A4CCE" w:rsidRDefault="00360934" w:rsidP="009C5A7F">
            <w:pPr>
              <w:spacing w:before="60" w:after="60"/>
              <w:jc w:val="both"/>
            </w:pPr>
            <w:r>
              <w:t>Transport classification for acute toxicity is in accordance with the LD</w:t>
            </w:r>
            <w:r>
              <w:rPr>
                <w:vertAlign w:val="subscript"/>
              </w:rPr>
              <w:t xml:space="preserve">50 </w:t>
            </w:r>
            <w:r>
              <w:t>toxicity data contained in the WHO Recommended classification of pesticides by Hazard and Guidelines to classification, so concordance with the WHO list should be checked.</w:t>
            </w:r>
          </w:p>
        </w:tc>
      </w:tr>
      <w:tr w:rsidR="00360934" w:rsidRPr="00F73EC0" w14:paraId="56723C6F" w14:textId="77777777" w:rsidTr="009C5A7F">
        <w:tc>
          <w:tcPr>
            <w:tcW w:w="1638" w:type="dxa"/>
          </w:tcPr>
          <w:p w14:paraId="649E0895" w14:textId="77777777" w:rsidR="00360934" w:rsidRDefault="00360934" w:rsidP="009C5A7F">
            <w:pPr>
              <w:spacing w:before="60" w:after="60"/>
              <w:jc w:val="both"/>
              <w:rPr>
                <w:b/>
              </w:rPr>
            </w:pPr>
          </w:p>
        </w:tc>
        <w:tc>
          <w:tcPr>
            <w:tcW w:w="7722" w:type="dxa"/>
          </w:tcPr>
          <w:p w14:paraId="1DBC28B4" w14:textId="77777777" w:rsidR="00360934" w:rsidRDefault="00360934" w:rsidP="009C5A7F">
            <w:pPr>
              <w:spacing w:before="60" w:after="60"/>
              <w:jc w:val="both"/>
            </w:pPr>
          </w:p>
        </w:tc>
      </w:tr>
    </w:tbl>
    <w:p w14:paraId="5DD8B589" w14:textId="4A64A55B" w:rsidR="00360934" w:rsidRPr="00360934" w:rsidRDefault="00360934" w:rsidP="00360934">
      <w:pPr>
        <w:pStyle w:val="SingleTxtG"/>
        <w:spacing w:before="240" w:after="0"/>
        <w:jc w:val="center"/>
        <w:rPr>
          <w:u w:val="single"/>
        </w:rPr>
      </w:pPr>
      <w:r>
        <w:rPr>
          <w:u w:val="single"/>
        </w:rPr>
        <w:tab/>
      </w:r>
      <w:r>
        <w:rPr>
          <w:u w:val="single"/>
        </w:rPr>
        <w:tab/>
      </w:r>
      <w:r>
        <w:rPr>
          <w:u w:val="single"/>
        </w:rPr>
        <w:tab/>
      </w:r>
    </w:p>
    <w:p w14:paraId="5DB9441A" w14:textId="77777777" w:rsidR="00360934" w:rsidRDefault="00360934" w:rsidP="006560F1">
      <w:pPr>
        <w:pStyle w:val="SingleTxtG"/>
        <w:jc w:val="center"/>
      </w:pPr>
    </w:p>
    <w:p w14:paraId="27767289" w14:textId="77777777" w:rsidR="00360934" w:rsidRDefault="00360934" w:rsidP="006560F1">
      <w:pPr>
        <w:pStyle w:val="SingleTxtG"/>
        <w:jc w:val="center"/>
      </w:pPr>
    </w:p>
    <w:sectPr w:rsidR="00360934" w:rsidSect="0099001C">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D6FC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936BA" w14:textId="77777777" w:rsidR="001E1C0A" w:rsidRDefault="001E1C0A"/>
  </w:endnote>
  <w:endnote w:type="continuationSeparator" w:id="0">
    <w:p w14:paraId="60D5779D" w14:textId="77777777" w:rsidR="001E1C0A" w:rsidRDefault="001E1C0A"/>
  </w:endnote>
  <w:endnote w:type="continuationNotice" w:id="1">
    <w:p w14:paraId="4B22A39E" w14:textId="77777777" w:rsidR="001E1C0A" w:rsidRDefault="001E1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67B66" w14:textId="77777777"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4D5C74">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C979F" w14:textId="77777777"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4D5C74">
      <w:rPr>
        <w:b/>
        <w:noProof/>
        <w:sz w:val="18"/>
      </w:rPr>
      <w:t>3</w:t>
    </w:r>
    <w:r w:rsidRPr="0099001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6C58B" w14:textId="77777777" w:rsidR="001E1C0A" w:rsidRPr="000B175B" w:rsidRDefault="001E1C0A" w:rsidP="000B175B">
      <w:pPr>
        <w:tabs>
          <w:tab w:val="right" w:pos="2155"/>
        </w:tabs>
        <w:spacing w:after="80"/>
        <w:ind w:left="680"/>
        <w:rPr>
          <w:u w:val="single"/>
        </w:rPr>
      </w:pPr>
      <w:r>
        <w:rPr>
          <w:u w:val="single"/>
        </w:rPr>
        <w:tab/>
      </w:r>
    </w:p>
  </w:footnote>
  <w:footnote w:type="continuationSeparator" w:id="0">
    <w:p w14:paraId="55A0AFC4" w14:textId="77777777" w:rsidR="001E1C0A" w:rsidRPr="00FC68B7" w:rsidRDefault="001E1C0A" w:rsidP="00FC68B7">
      <w:pPr>
        <w:tabs>
          <w:tab w:val="left" w:pos="2155"/>
        </w:tabs>
        <w:spacing w:after="80"/>
        <w:ind w:left="680"/>
        <w:rPr>
          <w:u w:val="single"/>
        </w:rPr>
      </w:pPr>
      <w:r>
        <w:rPr>
          <w:u w:val="single"/>
        </w:rPr>
        <w:tab/>
      </w:r>
    </w:p>
  </w:footnote>
  <w:footnote w:type="continuationNotice" w:id="1">
    <w:p w14:paraId="2C7C650E" w14:textId="77777777" w:rsidR="001E1C0A" w:rsidRDefault="001E1C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78096" w14:textId="17A2E287" w:rsidR="006A7757" w:rsidRPr="0099001C" w:rsidRDefault="006A7757" w:rsidP="00366CA7">
    <w:pPr>
      <w:pStyle w:val="Header"/>
    </w:pPr>
    <w:r w:rsidRPr="00CC65B7">
      <w:t>UN/SCEGHS/</w:t>
    </w:r>
    <w:r w:rsidR="00B07933">
      <w:t>33</w:t>
    </w:r>
    <w:r w:rsidRPr="00CC65B7">
      <w:t>/INF.</w:t>
    </w:r>
    <w:r w:rsidR="00C3123E">
      <w:t>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AC437" w14:textId="2FEC2CAD" w:rsidR="006A7757" w:rsidRPr="0099001C" w:rsidRDefault="006A7757" w:rsidP="0099001C">
    <w:pPr>
      <w:pStyle w:val="Header"/>
      <w:jc w:val="right"/>
    </w:pPr>
    <w:r>
      <w:t>UN/SCEGHS/</w:t>
    </w:r>
    <w:r w:rsidR="00360934">
      <w:t>33</w:t>
    </w:r>
    <w:r>
      <w:t>/INF.</w:t>
    </w:r>
    <w:r w:rsidR="00360934">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657C1EA3"/>
    <w:multiLevelType w:val="hybridMultilevel"/>
    <w:tmpl w:val="B1F44C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8">
    <w:nsid w:val="751A288A"/>
    <w:multiLevelType w:val="hybridMultilevel"/>
    <w:tmpl w:val="C8F268C0"/>
    <w:lvl w:ilvl="0" w:tplc="E5629630">
      <w:start w:val="3"/>
      <w:numFmt w:val="bullet"/>
      <w:lvlText w:val="-"/>
      <w:lvlJc w:val="left"/>
      <w:pPr>
        <w:ind w:left="1854" w:hanging="360"/>
      </w:pPr>
      <w:rPr>
        <w:rFonts w:ascii="Times New Roman" w:eastAsia="Times New Roman" w:hAnsi="Times New Roman" w:cs="Times New Roman"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2"/>
  </w:num>
  <w:num w:numId="6">
    <w:abstractNumId w:val="3"/>
  </w:num>
  <w:num w:numId="7">
    <w:abstractNumId w:val="7"/>
  </w:num>
  <w:num w:numId="8">
    <w:abstractNumId w:val="0"/>
  </w:num>
  <w:num w:numId="9">
    <w:abstractNumId w:val="8"/>
  </w:num>
  <w:num w:numId="10">
    <w:abstractNumId w:val="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Gunilla">
    <w15:presenceInfo w15:providerId="AD" w15:userId="S-1-5-21-2444889250-2882189981-708495972-15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33B3D"/>
    <w:rsid w:val="00050F6B"/>
    <w:rsid w:val="00072C8C"/>
    <w:rsid w:val="00081647"/>
    <w:rsid w:val="000931C0"/>
    <w:rsid w:val="000B175B"/>
    <w:rsid w:val="000B3A0F"/>
    <w:rsid w:val="000C6544"/>
    <w:rsid w:val="000D10AA"/>
    <w:rsid w:val="000E0415"/>
    <w:rsid w:val="000E3373"/>
    <w:rsid w:val="001220B8"/>
    <w:rsid w:val="001233C2"/>
    <w:rsid w:val="00156F3C"/>
    <w:rsid w:val="00162BF7"/>
    <w:rsid w:val="00190AEA"/>
    <w:rsid w:val="001B06A5"/>
    <w:rsid w:val="001B4B04"/>
    <w:rsid w:val="001B67A1"/>
    <w:rsid w:val="001C6663"/>
    <w:rsid w:val="001C7895"/>
    <w:rsid w:val="001D26DF"/>
    <w:rsid w:val="001D6FCB"/>
    <w:rsid w:val="001E1C0A"/>
    <w:rsid w:val="001E47FD"/>
    <w:rsid w:val="001F4B1C"/>
    <w:rsid w:val="00205335"/>
    <w:rsid w:val="00211E0B"/>
    <w:rsid w:val="002405A7"/>
    <w:rsid w:val="0025322D"/>
    <w:rsid w:val="0025764E"/>
    <w:rsid w:val="00257E45"/>
    <w:rsid w:val="00262488"/>
    <w:rsid w:val="002D59D3"/>
    <w:rsid w:val="003107FA"/>
    <w:rsid w:val="003127A2"/>
    <w:rsid w:val="003229D8"/>
    <w:rsid w:val="0032550E"/>
    <w:rsid w:val="0033745A"/>
    <w:rsid w:val="00360934"/>
    <w:rsid w:val="003642AF"/>
    <w:rsid w:val="00366CA7"/>
    <w:rsid w:val="0039277A"/>
    <w:rsid w:val="003972E0"/>
    <w:rsid w:val="003A575A"/>
    <w:rsid w:val="003B3A99"/>
    <w:rsid w:val="003C2CC4"/>
    <w:rsid w:val="003C3936"/>
    <w:rsid w:val="003D4B23"/>
    <w:rsid w:val="003F1ED3"/>
    <w:rsid w:val="00421612"/>
    <w:rsid w:val="004325CB"/>
    <w:rsid w:val="00446DE4"/>
    <w:rsid w:val="00460DD9"/>
    <w:rsid w:val="00467F71"/>
    <w:rsid w:val="00491683"/>
    <w:rsid w:val="004A41CA"/>
    <w:rsid w:val="004D5C74"/>
    <w:rsid w:val="004E7ED6"/>
    <w:rsid w:val="00503228"/>
    <w:rsid w:val="00505384"/>
    <w:rsid w:val="00532EF8"/>
    <w:rsid w:val="005420F2"/>
    <w:rsid w:val="005B2C89"/>
    <w:rsid w:val="005B3DB3"/>
    <w:rsid w:val="005E22FE"/>
    <w:rsid w:val="00611FC4"/>
    <w:rsid w:val="006176FB"/>
    <w:rsid w:val="00627ED0"/>
    <w:rsid w:val="00640B26"/>
    <w:rsid w:val="006560F1"/>
    <w:rsid w:val="00665595"/>
    <w:rsid w:val="00691F20"/>
    <w:rsid w:val="00693543"/>
    <w:rsid w:val="006A7392"/>
    <w:rsid w:val="006A7757"/>
    <w:rsid w:val="006E564B"/>
    <w:rsid w:val="0071349F"/>
    <w:rsid w:val="00720DEB"/>
    <w:rsid w:val="0072632A"/>
    <w:rsid w:val="00733AAE"/>
    <w:rsid w:val="00781A60"/>
    <w:rsid w:val="007A0B22"/>
    <w:rsid w:val="007B6BA5"/>
    <w:rsid w:val="007C3390"/>
    <w:rsid w:val="007C3E48"/>
    <w:rsid w:val="007C4F4B"/>
    <w:rsid w:val="007D14A0"/>
    <w:rsid w:val="007F0B83"/>
    <w:rsid w:val="007F48EF"/>
    <w:rsid w:val="007F4FCD"/>
    <w:rsid w:val="007F6611"/>
    <w:rsid w:val="0081732C"/>
    <w:rsid w:val="008175E9"/>
    <w:rsid w:val="008242D7"/>
    <w:rsid w:val="00827E05"/>
    <w:rsid w:val="008311A3"/>
    <w:rsid w:val="00836AF7"/>
    <w:rsid w:val="00871FD5"/>
    <w:rsid w:val="008979B1"/>
    <w:rsid w:val="008A6B25"/>
    <w:rsid w:val="008A6C4F"/>
    <w:rsid w:val="008B6E26"/>
    <w:rsid w:val="008E0E46"/>
    <w:rsid w:val="008E4C4C"/>
    <w:rsid w:val="00907AD2"/>
    <w:rsid w:val="00911047"/>
    <w:rsid w:val="00963CBA"/>
    <w:rsid w:val="009650E6"/>
    <w:rsid w:val="00965932"/>
    <w:rsid w:val="00974A8D"/>
    <w:rsid w:val="0099001C"/>
    <w:rsid w:val="00991261"/>
    <w:rsid w:val="009F3A17"/>
    <w:rsid w:val="009F3D53"/>
    <w:rsid w:val="00A042DD"/>
    <w:rsid w:val="00A1427D"/>
    <w:rsid w:val="00A426FB"/>
    <w:rsid w:val="00A55FB2"/>
    <w:rsid w:val="00A72F22"/>
    <w:rsid w:val="00A748A6"/>
    <w:rsid w:val="00A80459"/>
    <w:rsid w:val="00A805EB"/>
    <w:rsid w:val="00A8760B"/>
    <w:rsid w:val="00A879A4"/>
    <w:rsid w:val="00AA496B"/>
    <w:rsid w:val="00AE71F3"/>
    <w:rsid w:val="00B07933"/>
    <w:rsid w:val="00B30179"/>
    <w:rsid w:val="00B30E8F"/>
    <w:rsid w:val="00B33EC0"/>
    <w:rsid w:val="00B81E12"/>
    <w:rsid w:val="00B97D28"/>
    <w:rsid w:val="00BC74E9"/>
    <w:rsid w:val="00BD2146"/>
    <w:rsid w:val="00BE4F74"/>
    <w:rsid w:val="00BE618E"/>
    <w:rsid w:val="00BF7D6B"/>
    <w:rsid w:val="00C17699"/>
    <w:rsid w:val="00C1778D"/>
    <w:rsid w:val="00C21E3D"/>
    <w:rsid w:val="00C3123E"/>
    <w:rsid w:val="00C41A28"/>
    <w:rsid w:val="00C463DD"/>
    <w:rsid w:val="00C6210B"/>
    <w:rsid w:val="00C745C3"/>
    <w:rsid w:val="00C945EB"/>
    <w:rsid w:val="00C95FEC"/>
    <w:rsid w:val="00CC65B7"/>
    <w:rsid w:val="00CE4A8F"/>
    <w:rsid w:val="00D055EB"/>
    <w:rsid w:val="00D2031B"/>
    <w:rsid w:val="00D25FE2"/>
    <w:rsid w:val="00D317BB"/>
    <w:rsid w:val="00D34979"/>
    <w:rsid w:val="00D35D8F"/>
    <w:rsid w:val="00D43252"/>
    <w:rsid w:val="00D63881"/>
    <w:rsid w:val="00D673FA"/>
    <w:rsid w:val="00D7387D"/>
    <w:rsid w:val="00D978C6"/>
    <w:rsid w:val="00DA67AD"/>
    <w:rsid w:val="00DB0CEF"/>
    <w:rsid w:val="00DB5D0F"/>
    <w:rsid w:val="00DC3242"/>
    <w:rsid w:val="00DE7F20"/>
    <w:rsid w:val="00DF12F7"/>
    <w:rsid w:val="00DF2C64"/>
    <w:rsid w:val="00E02C81"/>
    <w:rsid w:val="00E04A75"/>
    <w:rsid w:val="00E06EAB"/>
    <w:rsid w:val="00E130AB"/>
    <w:rsid w:val="00E31C87"/>
    <w:rsid w:val="00E5568F"/>
    <w:rsid w:val="00E677EC"/>
    <w:rsid w:val="00E70DF5"/>
    <w:rsid w:val="00E7260F"/>
    <w:rsid w:val="00E80F5F"/>
    <w:rsid w:val="00E81ED9"/>
    <w:rsid w:val="00E87921"/>
    <w:rsid w:val="00E96630"/>
    <w:rsid w:val="00EA264E"/>
    <w:rsid w:val="00EA3A41"/>
    <w:rsid w:val="00ED1541"/>
    <w:rsid w:val="00ED71D9"/>
    <w:rsid w:val="00ED7A2A"/>
    <w:rsid w:val="00EF1D7F"/>
    <w:rsid w:val="00EF358F"/>
    <w:rsid w:val="00F124A0"/>
    <w:rsid w:val="00F12F57"/>
    <w:rsid w:val="00F53EDA"/>
    <w:rsid w:val="00F73015"/>
    <w:rsid w:val="00F7753D"/>
    <w:rsid w:val="00F85F34"/>
    <w:rsid w:val="00FA06F7"/>
    <w:rsid w:val="00FB171A"/>
    <w:rsid w:val="00FC09B8"/>
    <w:rsid w:val="00FC68B7"/>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12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60F1"/>
    <w:pPr>
      <w:autoSpaceDE w:val="0"/>
      <w:autoSpaceDN w:val="0"/>
      <w:adjustRightInd w:val="0"/>
    </w:pPr>
    <w:rPr>
      <w:color w:val="000000"/>
      <w:sz w:val="24"/>
      <w:szCs w:val="24"/>
      <w:lang w:val="en-US" w:eastAsia="en-US"/>
    </w:rPr>
  </w:style>
  <w:style w:type="paragraph" w:styleId="BalloonText">
    <w:name w:val="Balloon Text"/>
    <w:basedOn w:val="Normal"/>
    <w:link w:val="BalloonTextChar"/>
    <w:semiHidden/>
    <w:unhideWhenUsed/>
    <w:rsid w:val="001F4B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F4B1C"/>
    <w:rPr>
      <w:rFonts w:ascii="Segoe UI" w:hAnsi="Segoe UI" w:cs="Segoe UI"/>
      <w:sz w:val="18"/>
      <w:szCs w:val="18"/>
      <w:lang w:eastAsia="en-US"/>
    </w:rPr>
  </w:style>
  <w:style w:type="character" w:styleId="CommentReference">
    <w:name w:val="annotation reference"/>
    <w:basedOn w:val="DefaultParagraphFont"/>
    <w:semiHidden/>
    <w:unhideWhenUsed/>
    <w:rsid w:val="001F4B1C"/>
    <w:rPr>
      <w:sz w:val="16"/>
      <w:szCs w:val="16"/>
    </w:rPr>
  </w:style>
  <w:style w:type="paragraph" w:styleId="CommentText">
    <w:name w:val="annotation text"/>
    <w:basedOn w:val="Normal"/>
    <w:link w:val="CommentTextChar"/>
    <w:semiHidden/>
    <w:unhideWhenUsed/>
    <w:rsid w:val="001F4B1C"/>
    <w:pPr>
      <w:spacing w:line="240" w:lineRule="auto"/>
    </w:pPr>
  </w:style>
  <w:style w:type="character" w:customStyle="1" w:styleId="CommentTextChar">
    <w:name w:val="Comment Text Char"/>
    <w:basedOn w:val="DefaultParagraphFont"/>
    <w:link w:val="CommentText"/>
    <w:semiHidden/>
    <w:rsid w:val="001F4B1C"/>
    <w:rPr>
      <w:lang w:eastAsia="en-US"/>
    </w:rPr>
  </w:style>
  <w:style w:type="paragraph" w:styleId="CommentSubject">
    <w:name w:val="annotation subject"/>
    <w:basedOn w:val="CommentText"/>
    <w:next w:val="CommentText"/>
    <w:link w:val="CommentSubjectChar"/>
    <w:semiHidden/>
    <w:unhideWhenUsed/>
    <w:rsid w:val="001F4B1C"/>
    <w:rPr>
      <w:b/>
      <w:bCs/>
    </w:rPr>
  </w:style>
  <w:style w:type="character" w:customStyle="1" w:styleId="CommentSubjectChar">
    <w:name w:val="Comment Subject Char"/>
    <w:basedOn w:val="CommentTextChar"/>
    <w:link w:val="CommentSubject"/>
    <w:semiHidden/>
    <w:rsid w:val="001F4B1C"/>
    <w:rPr>
      <w:b/>
      <w:bCs/>
      <w:lang w:eastAsia="en-US"/>
    </w:rPr>
  </w:style>
  <w:style w:type="paragraph" w:styleId="ListParagraph">
    <w:name w:val="List Paragraph"/>
    <w:basedOn w:val="Normal"/>
    <w:uiPriority w:val="34"/>
    <w:qFormat/>
    <w:rsid w:val="00360934"/>
    <w:pPr>
      <w:suppressAutoHyphens w:val="0"/>
      <w:spacing w:after="200" w:line="276" w:lineRule="auto"/>
      <w:ind w:left="720"/>
      <w:contextualSpacing/>
    </w:pPr>
    <w:rPr>
      <w:rFonts w:asciiTheme="minorHAnsi" w:eastAsiaTheme="minorHAnsi"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60F1"/>
    <w:pPr>
      <w:autoSpaceDE w:val="0"/>
      <w:autoSpaceDN w:val="0"/>
      <w:adjustRightInd w:val="0"/>
    </w:pPr>
    <w:rPr>
      <w:color w:val="000000"/>
      <w:sz w:val="24"/>
      <w:szCs w:val="24"/>
      <w:lang w:val="en-US" w:eastAsia="en-US"/>
    </w:rPr>
  </w:style>
  <w:style w:type="paragraph" w:styleId="BalloonText">
    <w:name w:val="Balloon Text"/>
    <w:basedOn w:val="Normal"/>
    <w:link w:val="BalloonTextChar"/>
    <w:semiHidden/>
    <w:unhideWhenUsed/>
    <w:rsid w:val="001F4B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F4B1C"/>
    <w:rPr>
      <w:rFonts w:ascii="Segoe UI" w:hAnsi="Segoe UI" w:cs="Segoe UI"/>
      <w:sz w:val="18"/>
      <w:szCs w:val="18"/>
      <w:lang w:eastAsia="en-US"/>
    </w:rPr>
  </w:style>
  <w:style w:type="character" w:styleId="CommentReference">
    <w:name w:val="annotation reference"/>
    <w:basedOn w:val="DefaultParagraphFont"/>
    <w:semiHidden/>
    <w:unhideWhenUsed/>
    <w:rsid w:val="001F4B1C"/>
    <w:rPr>
      <w:sz w:val="16"/>
      <w:szCs w:val="16"/>
    </w:rPr>
  </w:style>
  <w:style w:type="paragraph" w:styleId="CommentText">
    <w:name w:val="annotation text"/>
    <w:basedOn w:val="Normal"/>
    <w:link w:val="CommentTextChar"/>
    <w:semiHidden/>
    <w:unhideWhenUsed/>
    <w:rsid w:val="001F4B1C"/>
    <w:pPr>
      <w:spacing w:line="240" w:lineRule="auto"/>
    </w:pPr>
  </w:style>
  <w:style w:type="character" w:customStyle="1" w:styleId="CommentTextChar">
    <w:name w:val="Comment Text Char"/>
    <w:basedOn w:val="DefaultParagraphFont"/>
    <w:link w:val="CommentText"/>
    <w:semiHidden/>
    <w:rsid w:val="001F4B1C"/>
    <w:rPr>
      <w:lang w:eastAsia="en-US"/>
    </w:rPr>
  </w:style>
  <w:style w:type="paragraph" w:styleId="CommentSubject">
    <w:name w:val="annotation subject"/>
    <w:basedOn w:val="CommentText"/>
    <w:next w:val="CommentText"/>
    <w:link w:val="CommentSubjectChar"/>
    <w:semiHidden/>
    <w:unhideWhenUsed/>
    <w:rsid w:val="001F4B1C"/>
    <w:rPr>
      <w:b/>
      <w:bCs/>
    </w:rPr>
  </w:style>
  <w:style w:type="character" w:customStyle="1" w:styleId="CommentSubjectChar">
    <w:name w:val="Comment Subject Char"/>
    <w:basedOn w:val="CommentTextChar"/>
    <w:link w:val="CommentSubject"/>
    <w:semiHidden/>
    <w:rsid w:val="001F4B1C"/>
    <w:rPr>
      <w:b/>
      <w:bCs/>
      <w:lang w:eastAsia="en-US"/>
    </w:rPr>
  </w:style>
  <w:style w:type="paragraph" w:styleId="ListParagraph">
    <w:name w:val="List Paragraph"/>
    <w:basedOn w:val="Normal"/>
    <w:uiPriority w:val="34"/>
    <w:qFormat/>
    <w:rsid w:val="00360934"/>
    <w:pPr>
      <w:suppressAutoHyphens w:val="0"/>
      <w:spacing w:after="200" w:line="276"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15594-028E-4EB9-8BD4-BF3B128D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11</TotalTime>
  <Pages>6</Pages>
  <Words>1965</Words>
  <Characters>11206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13145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6</cp:revision>
  <cp:lastPrinted>2017-07-07T07:04:00Z</cp:lastPrinted>
  <dcterms:created xsi:type="dcterms:W3CDTF">2017-07-07T06:59:00Z</dcterms:created>
  <dcterms:modified xsi:type="dcterms:W3CDTF">2017-07-07T07:11:00Z</dcterms:modified>
</cp:coreProperties>
</file>