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F1CE4" w:rsidRPr="007E344F" w:rsidTr="00B53DBB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EF1CE4" w:rsidRPr="007E344F" w:rsidRDefault="00EF1CE4" w:rsidP="004741E0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UN/SCETDG/</w:t>
            </w:r>
            <w:r>
              <w:rPr>
                <w:b/>
                <w:sz w:val="40"/>
                <w:szCs w:val="40"/>
              </w:rPr>
              <w:t>52</w:t>
            </w:r>
            <w:r w:rsidRPr="007E344F">
              <w:rPr>
                <w:b/>
                <w:sz w:val="40"/>
                <w:szCs w:val="40"/>
              </w:rPr>
              <w:t>/INF</w:t>
            </w:r>
            <w:r>
              <w:rPr>
                <w:b/>
                <w:sz w:val="40"/>
                <w:szCs w:val="40"/>
              </w:rPr>
              <w:t>.</w:t>
            </w:r>
            <w:r w:rsidR="004741E0">
              <w:rPr>
                <w:b/>
                <w:sz w:val="40"/>
                <w:szCs w:val="40"/>
              </w:rPr>
              <w:t>51</w:t>
            </w:r>
          </w:p>
        </w:tc>
      </w:tr>
      <w:tr w:rsidR="00EF1CE4" w:rsidRPr="007E344F" w:rsidTr="00B53DBB">
        <w:trPr>
          <w:cantSplit/>
          <w:trHeight w:hRule="exact" w:val="2563"/>
        </w:trPr>
        <w:tc>
          <w:tcPr>
            <w:tcW w:w="9639" w:type="dxa"/>
            <w:tcBorders>
              <w:top w:val="single" w:sz="4" w:space="0" w:color="auto"/>
            </w:tcBorders>
          </w:tcPr>
          <w:p w:rsidR="00EF1CE4" w:rsidRPr="007E344F" w:rsidRDefault="00EF1CE4" w:rsidP="00B53DBB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:rsidR="00EF1CE4" w:rsidRPr="007E344F" w:rsidRDefault="00EF1CE4" w:rsidP="00B53DBB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>Sub-Committee of Experts on the Transport of Dangerous Goods</w:t>
            </w:r>
            <w:r w:rsidRPr="007E344F">
              <w:rPr>
                <w:b/>
              </w:rPr>
              <w:tab/>
            </w:r>
            <w:r w:rsidR="00701F1F">
              <w:rPr>
                <w:b/>
              </w:rPr>
              <w:t>2</w:t>
            </w:r>
            <w:r w:rsidR="0068349B">
              <w:rPr>
                <w:b/>
              </w:rPr>
              <w:t>9</w:t>
            </w:r>
            <w:r>
              <w:rPr>
                <w:b/>
              </w:rPr>
              <w:t xml:space="preserve"> November 2017</w:t>
            </w:r>
          </w:p>
          <w:p w:rsidR="00EF1CE4" w:rsidRPr="007B2B1F" w:rsidRDefault="00EF1CE4" w:rsidP="00B53DBB">
            <w:pPr>
              <w:spacing w:before="120"/>
              <w:rPr>
                <w:b/>
              </w:rPr>
            </w:pPr>
            <w:bookmarkStart w:id="0" w:name="_Hlk499723475"/>
            <w:r>
              <w:rPr>
                <w:b/>
              </w:rPr>
              <w:t>Fifty-second</w:t>
            </w:r>
            <w:r w:rsidRPr="007B2B1F">
              <w:rPr>
                <w:b/>
              </w:rPr>
              <w:t xml:space="preserve"> session</w:t>
            </w:r>
            <w:bookmarkEnd w:id="0"/>
          </w:p>
          <w:p w:rsidR="00EF1CE4" w:rsidRPr="007B2B1F" w:rsidRDefault="00EF1CE4" w:rsidP="00B53DBB">
            <w:r w:rsidRPr="007B2B1F">
              <w:t xml:space="preserve">Geneva, </w:t>
            </w:r>
            <w:r>
              <w:t>27 November</w:t>
            </w:r>
            <w:r w:rsidR="004741E0">
              <w:t>-</w:t>
            </w:r>
            <w:r>
              <w:t>6</w:t>
            </w:r>
            <w:r w:rsidRPr="007B2B1F">
              <w:t xml:space="preserve"> </w:t>
            </w:r>
            <w:r>
              <w:t>December 2017</w:t>
            </w:r>
          </w:p>
          <w:p w:rsidR="00EF1CE4" w:rsidRPr="00154226" w:rsidRDefault="00EF1CE4" w:rsidP="00B53DBB">
            <w:pPr>
              <w:spacing w:line="240" w:lineRule="exact"/>
              <w:rPr>
                <w:b/>
              </w:rPr>
            </w:pPr>
            <w:r>
              <w:t xml:space="preserve">Item 3 </w:t>
            </w:r>
            <w:r w:rsidRPr="00D63626">
              <w:t>of the provisional agenda</w:t>
            </w:r>
            <w:r>
              <w:br/>
            </w:r>
            <w:r w:rsidRPr="00680238">
              <w:rPr>
                <w:b/>
              </w:rPr>
              <w:t>Listing, classification and packing</w:t>
            </w:r>
          </w:p>
        </w:tc>
      </w:tr>
    </w:tbl>
    <w:p w:rsidR="00EF1CE4" w:rsidRDefault="00EF1CE4" w:rsidP="00701F1F">
      <w:pPr>
        <w:pStyle w:val="HChG"/>
      </w:pPr>
      <w:r>
        <w:tab/>
      </w:r>
      <w:r>
        <w:tab/>
      </w:r>
      <w:r w:rsidRPr="00701F1F">
        <w:t>Comments</w:t>
      </w:r>
      <w:r>
        <w:t xml:space="preserve"> on </w:t>
      </w:r>
      <w:r w:rsidRPr="006318CC">
        <w:t>ST/SG/AC.10/C.3/2017/36</w:t>
      </w:r>
      <w:r w:rsidR="0068349B">
        <w:t>,</w:t>
      </w:r>
      <w:r>
        <w:t xml:space="preserve"> UN/SCETDG/52/INF.23</w:t>
      </w:r>
      <w:r w:rsidR="0068349B" w:rsidRPr="0068349B">
        <w:t xml:space="preserve"> </w:t>
      </w:r>
      <w:r w:rsidR="0068349B">
        <w:t>and UN/SCETDG/52/INF.45</w:t>
      </w:r>
      <w:r>
        <w:t xml:space="preserve">; </w:t>
      </w:r>
      <w:r w:rsidRPr="006318CC">
        <w:t>Multiple marking of packagings, including IBCs and large packagings, indicating conformity with more than one successfully tested design type</w:t>
      </w:r>
    </w:p>
    <w:p w:rsidR="00EF1CE4" w:rsidRPr="008C182E" w:rsidRDefault="00EF1CE4" w:rsidP="00EF1CE4">
      <w:pPr>
        <w:pStyle w:val="H1G"/>
      </w:pPr>
      <w:r>
        <w:tab/>
      </w:r>
      <w:r>
        <w:tab/>
      </w:r>
      <w:r w:rsidR="0068349B" w:rsidRPr="004061CF">
        <w:rPr>
          <w:lang w:val="en-US"/>
        </w:rPr>
        <w:t xml:space="preserve">Transmitted by the </w:t>
      </w:r>
      <w:r w:rsidR="0068349B" w:rsidRPr="00F51F72">
        <w:t>European Chemical Industry Council (CEFIC)</w:t>
      </w:r>
      <w:r w:rsidR="0068349B">
        <w:t xml:space="preserve"> </w:t>
      </w:r>
      <w:r w:rsidR="0068349B">
        <w:br/>
        <w:t xml:space="preserve">and the </w:t>
      </w:r>
      <w:r w:rsidR="0068349B" w:rsidRPr="0065455F">
        <w:t>Dangerous Goods Advisory Council</w:t>
      </w:r>
      <w:r w:rsidR="0068349B">
        <w:t xml:space="preserve"> (DGAC)</w:t>
      </w:r>
    </w:p>
    <w:p w:rsidR="00EF1CE4" w:rsidRDefault="00EF1CE4" w:rsidP="00A31BE9">
      <w:pPr>
        <w:pStyle w:val="SingleTxtG"/>
        <w:ind w:right="855"/>
      </w:pPr>
      <w:r w:rsidRPr="00701F1F">
        <w:t>1.</w:t>
      </w:r>
      <w:r w:rsidRPr="00701F1F">
        <w:tab/>
      </w:r>
      <w:r w:rsidR="00A31BE9">
        <w:t>At the f</w:t>
      </w:r>
      <w:r w:rsidR="00A31BE9" w:rsidRPr="00A31BE9">
        <w:t>ifty-second session</w:t>
      </w:r>
      <w:r w:rsidR="00A31BE9">
        <w:t xml:space="preserve"> of the UNSCETDG document </w:t>
      </w:r>
      <w:r w:rsidR="00A31BE9" w:rsidRPr="00A31BE9">
        <w:t>ST/SG/AC.10/C.3/2017/36</w:t>
      </w:r>
      <w:r w:rsidR="00A31BE9">
        <w:t xml:space="preserve"> together with UN/SCETDG/52/INF.23</w:t>
      </w:r>
      <w:r w:rsidR="00A31BE9" w:rsidRPr="0068349B">
        <w:t xml:space="preserve"> </w:t>
      </w:r>
      <w:r w:rsidR="00A31BE9">
        <w:t>and UN/SCETDG/52/INF.45 were discussed with focus on two issues:</w:t>
      </w:r>
    </w:p>
    <w:p w:rsidR="00A31BE9" w:rsidRDefault="004741E0" w:rsidP="00B7240A">
      <w:pPr>
        <w:pStyle w:val="SingleTxtG"/>
        <w:ind w:left="1843" w:right="855" w:hanging="425"/>
      </w:pPr>
      <w:r>
        <w:t>(</w:t>
      </w:r>
      <w:r w:rsidR="00A31BE9">
        <w:t>a)</w:t>
      </w:r>
      <w:r w:rsidR="00A31BE9">
        <w:tab/>
      </w:r>
      <w:r w:rsidR="005E5A1D">
        <w:t>General p</w:t>
      </w:r>
      <w:r w:rsidR="009944B6">
        <w:t xml:space="preserve">ermissibility of multiple </w:t>
      </w:r>
      <w:r w:rsidR="00B7240A">
        <w:t xml:space="preserve">UN </w:t>
      </w:r>
      <w:r w:rsidR="009944B6">
        <w:t>mark</w:t>
      </w:r>
      <w:r w:rsidR="00E527ED">
        <w:t>s</w:t>
      </w:r>
      <w:r w:rsidR="009944B6">
        <w:t xml:space="preserve"> </w:t>
      </w:r>
      <w:r w:rsidR="00E527ED">
        <w:t xml:space="preserve">applied to </w:t>
      </w:r>
      <w:r w:rsidR="009944B6">
        <w:t xml:space="preserve">packages </w:t>
      </w:r>
      <w:r w:rsidR="005E5A1D">
        <w:t xml:space="preserve">based on </w:t>
      </w:r>
      <w:r w:rsidR="00B7240A">
        <w:t>the conformance to more than one successfully tested</w:t>
      </w:r>
      <w:r w:rsidR="00E527ED" w:rsidRPr="00E527ED">
        <w:t xml:space="preserve"> design type</w:t>
      </w:r>
      <w:r w:rsidR="00B7240A">
        <w:t>.</w:t>
      </w:r>
    </w:p>
    <w:p w:rsidR="00B7240A" w:rsidRPr="00701F1F" w:rsidRDefault="004741E0" w:rsidP="00B7240A">
      <w:pPr>
        <w:pStyle w:val="SingleTxtG"/>
        <w:ind w:left="1843" w:right="855" w:hanging="425"/>
      </w:pPr>
      <w:r>
        <w:t>(</w:t>
      </w:r>
      <w:r w:rsidR="00B7240A">
        <w:t>b)</w:t>
      </w:r>
      <w:r w:rsidR="00B7240A">
        <w:tab/>
      </w:r>
      <w:r w:rsidR="00035C16">
        <w:t>Permissibility of multiple approvals for packages that simultaneously conform to design types of different kind and category as defined in Chapters 6.1, 6.5 and 6.6.</w:t>
      </w:r>
    </w:p>
    <w:p w:rsidR="00EF1CE4" w:rsidRPr="00701F1F" w:rsidRDefault="00EF1CE4" w:rsidP="004741E0">
      <w:pPr>
        <w:pStyle w:val="SingleTxtG"/>
        <w:ind w:right="855"/>
      </w:pPr>
      <w:r w:rsidRPr="00701F1F">
        <w:t>2.</w:t>
      </w:r>
      <w:r w:rsidRPr="00701F1F">
        <w:tab/>
      </w:r>
      <w:r w:rsidR="009944B6">
        <w:t xml:space="preserve">Consensus was reached </w:t>
      </w:r>
      <w:r w:rsidR="006B728F">
        <w:t>on</w:t>
      </w:r>
      <w:r w:rsidR="009944B6">
        <w:t xml:space="preserve"> the permissibility of the current practice to issue multiple approvals for </w:t>
      </w:r>
      <w:r w:rsidR="009944B6" w:rsidRPr="004741E0">
        <w:t>successfully</w:t>
      </w:r>
      <w:r w:rsidR="009944B6">
        <w:t xml:space="preserve"> tested design types </w:t>
      </w:r>
      <w:r w:rsidR="00B7240A">
        <w:t>which belong to the same</w:t>
      </w:r>
      <w:r w:rsidR="009944B6">
        <w:t xml:space="preserve"> </w:t>
      </w:r>
      <w:r w:rsidR="005E5A1D">
        <w:t xml:space="preserve">regime </w:t>
      </w:r>
      <w:r w:rsidR="009944B6">
        <w:t>of packages, i.e. among</w:t>
      </w:r>
      <w:r w:rsidR="005E5A1D">
        <w:t xml:space="preserve"> packaging design types defined in Chapter 6.1, among IBC design typ</w:t>
      </w:r>
      <w:r w:rsidR="006E0653">
        <w:t>e</w:t>
      </w:r>
      <w:r w:rsidR="005E5A1D">
        <w:t>s defined in Chapter 6.5 and among large packaging design types</w:t>
      </w:r>
      <w:r w:rsidR="005E5A1D" w:rsidRPr="005E5A1D">
        <w:t xml:space="preserve"> </w:t>
      </w:r>
      <w:r w:rsidR="005E5A1D">
        <w:t>defined in Chapter 6.6</w:t>
      </w:r>
      <w:r w:rsidR="00B7240A">
        <w:t xml:space="preserve"> individually</w:t>
      </w:r>
      <w:r w:rsidRPr="00701F1F">
        <w:t>.</w:t>
      </w:r>
    </w:p>
    <w:p w:rsidR="00701F1F" w:rsidRDefault="00FC1EED" w:rsidP="004741E0">
      <w:pPr>
        <w:pStyle w:val="SingleTxtG"/>
        <w:ind w:right="855"/>
      </w:pPr>
      <w:r w:rsidRPr="00701F1F">
        <w:t>3.</w:t>
      </w:r>
      <w:r w:rsidRPr="00701F1F">
        <w:tab/>
      </w:r>
      <w:r w:rsidR="000E04EC">
        <w:t>To document the minimum consensus found during the discussion of the Sub-Committee, an interim text based on the proposal in UN/SCETDG/52/INF.23 by ICIBCA is proposed for locations in Chapters 6.1, 6.5 and 6.6:</w:t>
      </w:r>
    </w:p>
    <w:p w:rsidR="0068349B" w:rsidRDefault="00EF5DAA" w:rsidP="004741E0">
      <w:pPr>
        <w:pStyle w:val="SingleTxtG"/>
        <w:ind w:left="1701" w:right="855"/>
      </w:pPr>
      <w:r>
        <w:t>“[6.1.3.13</w:t>
      </w:r>
      <w:r>
        <w:tab/>
      </w:r>
      <w:r w:rsidR="0068349B">
        <w:t xml:space="preserve">Where a packaging conforms to more than one tested </w:t>
      </w:r>
      <w:r>
        <w:t xml:space="preserve">packaging </w:t>
      </w:r>
      <w:r w:rsidR="0068349B">
        <w:t>design type, the packaging may bear more than one marking. Where more than one marking appears on a packaging, the markings must appear in close proximity to one another and each marking must appear in its entirety.</w:t>
      </w:r>
      <w:r>
        <w:t>]”</w:t>
      </w:r>
    </w:p>
    <w:p w:rsidR="00EF5DAA" w:rsidRDefault="00EF5DAA" w:rsidP="004741E0">
      <w:pPr>
        <w:pStyle w:val="SingleTxtG"/>
        <w:ind w:left="1701" w:right="855"/>
      </w:pPr>
      <w:r>
        <w:t>“[6.5.2.1.3</w:t>
      </w:r>
      <w:r>
        <w:tab/>
        <w:t>Where a</w:t>
      </w:r>
      <w:r w:rsidR="00B01732">
        <w:t>n</w:t>
      </w:r>
      <w:r>
        <w:t xml:space="preserve"> IBC conforms to more than one tested IBC design type, the IBC may bear more than one marking. Where more than one marking appears on </w:t>
      </w:r>
      <w:r w:rsidR="00B01732">
        <w:t>an</w:t>
      </w:r>
      <w:r>
        <w:t xml:space="preserve"> IBC, the markings must appear in close proximity to one another and each marking must appear in its entirety.]”</w:t>
      </w:r>
    </w:p>
    <w:p w:rsidR="00EF5DAA" w:rsidRDefault="00EF5DAA" w:rsidP="004741E0">
      <w:pPr>
        <w:pStyle w:val="SingleTxtG"/>
        <w:ind w:left="1701" w:right="855"/>
      </w:pPr>
      <w:r>
        <w:t>“[6.6.3.4</w:t>
      </w:r>
      <w:r>
        <w:tab/>
        <w:t xml:space="preserve">Where a large packaging conforms to more than one tested large packaging design type, the large packaging may bear more than one marking. Where more than one marking appears on a large packaging, the markings must </w:t>
      </w:r>
      <w:r>
        <w:lastRenderedPageBreak/>
        <w:t>appear in close proximity to one another and each marking must appear in its entirety.]”</w:t>
      </w:r>
    </w:p>
    <w:p w:rsidR="000E04EC" w:rsidRDefault="004741E0" w:rsidP="004741E0">
      <w:pPr>
        <w:pStyle w:val="SingleTxtG"/>
        <w:ind w:right="855"/>
      </w:pPr>
      <w:r>
        <w:t>4</w:t>
      </w:r>
      <w:r w:rsidR="000E04EC" w:rsidRPr="00701F1F">
        <w:t>.</w:t>
      </w:r>
      <w:r w:rsidR="000E04EC" w:rsidRPr="00701F1F">
        <w:tab/>
      </w:r>
      <w:r w:rsidR="00B7240A">
        <w:t xml:space="preserve">To finalize the whole topic </w:t>
      </w:r>
      <w:r w:rsidR="00035C16">
        <w:t>on multiple approved packages</w:t>
      </w:r>
      <w:r w:rsidR="00B7240A">
        <w:t>,</w:t>
      </w:r>
      <w:r w:rsidR="009944B6">
        <w:t xml:space="preserve"> </w:t>
      </w:r>
      <w:r w:rsidR="00A31BE9">
        <w:t xml:space="preserve">CEFIC/DGAC </w:t>
      </w:r>
      <w:r w:rsidR="009944B6">
        <w:t xml:space="preserve">will come back with a formal proposal </w:t>
      </w:r>
      <w:r w:rsidR="00035C16">
        <w:t xml:space="preserve">based on the views expressed in the discussion at the Sub-Committee </w:t>
      </w:r>
      <w:r w:rsidR="009944B6">
        <w:t>t</w:t>
      </w:r>
      <w:r w:rsidR="000E04EC">
        <w:t xml:space="preserve">o address the </w:t>
      </w:r>
      <w:r w:rsidR="009944B6">
        <w:t xml:space="preserve">remaining </w:t>
      </w:r>
      <w:r w:rsidR="000E04EC">
        <w:t xml:space="preserve">issue of multiple approvals </w:t>
      </w:r>
      <w:r w:rsidR="009944B6">
        <w:t xml:space="preserve">overarching </w:t>
      </w:r>
      <w:r w:rsidR="000E04EC">
        <w:t>between different kinds of packages, i.e. packaging</w:t>
      </w:r>
      <w:r w:rsidR="005E5A1D">
        <w:t>s</w:t>
      </w:r>
      <w:r w:rsidR="000E04EC">
        <w:t xml:space="preserve"> vs. IBCs and IBCs vs. large packagings, at the next session </w:t>
      </w:r>
      <w:r w:rsidR="00A31BE9">
        <w:t>of the Sub-Committee in summer 2018.</w:t>
      </w:r>
    </w:p>
    <w:p w:rsidR="00701F1F" w:rsidRPr="00701F1F" w:rsidRDefault="00701F1F" w:rsidP="00701F1F">
      <w:pPr>
        <w:pStyle w:val="SingleTxtG"/>
        <w:spacing w:before="240" w:after="0"/>
        <w:jc w:val="center"/>
        <w:rPr>
          <w:u w:val="single"/>
        </w:rPr>
      </w:pPr>
      <w:bookmarkStart w:id="1" w:name="_GoBack"/>
      <w:bookmarkEnd w:id="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01F1F" w:rsidRPr="00701F1F" w:rsidSect="00701F1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1D" w:rsidRDefault="0064401D" w:rsidP="00701F1F">
      <w:pPr>
        <w:spacing w:line="240" w:lineRule="auto"/>
      </w:pPr>
      <w:r>
        <w:separator/>
      </w:r>
    </w:p>
  </w:endnote>
  <w:endnote w:type="continuationSeparator" w:id="0">
    <w:p w:rsidR="0064401D" w:rsidRDefault="0064401D" w:rsidP="0070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1D" w:rsidRDefault="0064401D" w:rsidP="00701F1F">
      <w:pPr>
        <w:spacing w:line="240" w:lineRule="auto"/>
      </w:pPr>
      <w:r>
        <w:separator/>
      </w:r>
    </w:p>
  </w:footnote>
  <w:footnote w:type="continuationSeparator" w:id="0">
    <w:p w:rsidR="0064401D" w:rsidRDefault="0064401D" w:rsidP="00701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F" w:rsidRPr="00701F1F" w:rsidRDefault="004741E0" w:rsidP="00701F1F">
    <w:pPr>
      <w:pStyle w:val="Header"/>
      <w:pBdr>
        <w:bottom w:val="single" w:sz="4" w:space="1" w:color="auto"/>
      </w:pBdr>
      <w:rPr>
        <w:b/>
        <w:lang w:val="fr-CH"/>
      </w:rPr>
    </w:pPr>
    <w:r>
      <w:rPr>
        <w:b/>
        <w:lang w:val="fr-CH"/>
      </w:rPr>
      <w:t>UN/SCETDG/52/INF.51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E4"/>
    <w:rsid w:val="00035C16"/>
    <w:rsid w:val="000E04EC"/>
    <w:rsid w:val="0039160D"/>
    <w:rsid w:val="003E0191"/>
    <w:rsid w:val="004741E0"/>
    <w:rsid w:val="004C4715"/>
    <w:rsid w:val="005E5A1D"/>
    <w:rsid w:val="0064401D"/>
    <w:rsid w:val="0068349B"/>
    <w:rsid w:val="006B728F"/>
    <w:rsid w:val="006E0653"/>
    <w:rsid w:val="00701F1F"/>
    <w:rsid w:val="007C0CDA"/>
    <w:rsid w:val="009944B6"/>
    <w:rsid w:val="00A31BE9"/>
    <w:rsid w:val="00B01732"/>
    <w:rsid w:val="00B03446"/>
    <w:rsid w:val="00B7240A"/>
    <w:rsid w:val="00D45025"/>
    <w:rsid w:val="00DD689E"/>
    <w:rsid w:val="00DE3351"/>
    <w:rsid w:val="00E527ED"/>
    <w:rsid w:val="00EF1CE4"/>
    <w:rsid w:val="00EF5DAA"/>
    <w:rsid w:val="00FC1EED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E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EF1CE4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rsid w:val="00EF1C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EF1C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EF1C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rsid w:val="00EF1C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Zchn">
    <w:name w:val="_ Single Txt_G Zchn"/>
    <w:link w:val="SingleTxtG"/>
    <w:rsid w:val="00EF1C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E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EF1CE4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rsid w:val="00EF1C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EF1C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EF1C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rsid w:val="00EF1C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Zchn">
    <w:name w:val="_ Single Txt_G Zchn"/>
    <w:link w:val="SingleTxtG"/>
    <w:rsid w:val="00EF1C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rankin</dc:creator>
  <cp:lastModifiedBy>Laurence Berthet</cp:lastModifiedBy>
  <cp:revision>3</cp:revision>
  <cp:lastPrinted>2017-11-29T14:58:00Z</cp:lastPrinted>
  <dcterms:created xsi:type="dcterms:W3CDTF">2017-11-29T14:59:00Z</dcterms:created>
  <dcterms:modified xsi:type="dcterms:W3CDTF">2017-11-29T15:00:00Z</dcterms:modified>
</cp:coreProperties>
</file>