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0" w:tblpY="568"/>
        <w:tblOverlap w:val="never"/>
        <w:tblW w:w="96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4"/>
      </w:tblGrid>
      <w:tr w:rsidR="0099001C" w:rsidRPr="007E344F" w14:paraId="4A314927" w14:textId="77777777" w:rsidTr="00DE47FC">
        <w:trPr>
          <w:cantSplit/>
          <w:trHeight w:hRule="exact" w:val="851"/>
        </w:trPr>
        <w:tc>
          <w:tcPr>
            <w:tcW w:w="9644" w:type="dxa"/>
            <w:tcBorders>
              <w:bottom w:val="single" w:sz="4" w:space="0" w:color="auto"/>
            </w:tcBorders>
          </w:tcPr>
          <w:p w14:paraId="59CDE0AE" w14:textId="7B6ABA7D" w:rsidR="0099001C" w:rsidRPr="007E344F" w:rsidRDefault="0099001C" w:rsidP="00F41476">
            <w:pPr>
              <w:jc w:val="right"/>
              <w:rPr>
                <w:b/>
                <w:sz w:val="40"/>
                <w:szCs w:val="40"/>
              </w:rPr>
            </w:pPr>
            <w:r w:rsidRPr="007E344F">
              <w:rPr>
                <w:b/>
                <w:sz w:val="40"/>
                <w:szCs w:val="40"/>
              </w:rPr>
              <w:t>UN/SCE</w:t>
            </w:r>
            <w:r w:rsidR="001D3183" w:rsidRPr="007E344F">
              <w:rPr>
                <w:b/>
                <w:sz w:val="40"/>
                <w:szCs w:val="40"/>
              </w:rPr>
              <w:t>TDG</w:t>
            </w:r>
            <w:r w:rsidRPr="007E344F">
              <w:rPr>
                <w:b/>
                <w:sz w:val="40"/>
                <w:szCs w:val="40"/>
              </w:rPr>
              <w:t>/</w:t>
            </w:r>
            <w:r w:rsidR="000A07EB">
              <w:rPr>
                <w:b/>
                <w:sz w:val="40"/>
                <w:szCs w:val="40"/>
              </w:rPr>
              <w:t>51</w:t>
            </w:r>
            <w:r w:rsidRPr="007E344F">
              <w:rPr>
                <w:b/>
                <w:sz w:val="40"/>
                <w:szCs w:val="40"/>
              </w:rPr>
              <w:t>/INF.</w:t>
            </w:r>
            <w:r w:rsidR="00F41476">
              <w:rPr>
                <w:b/>
                <w:sz w:val="40"/>
                <w:szCs w:val="40"/>
              </w:rPr>
              <w:t>9</w:t>
            </w:r>
          </w:p>
        </w:tc>
      </w:tr>
      <w:tr w:rsidR="0099001C" w:rsidRPr="007E344F" w14:paraId="0313627A" w14:textId="77777777" w:rsidTr="00197785">
        <w:trPr>
          <w:cantSplit/>
          <w:trHeight w:hRule="exact" w:val="2558"/>
        </w:trPr>
        <w:tc>
          <w:tcPr>
            <w:tcW w:w="9644" w:type="dxa"/>
            <w:tcBorders>
              <w:top w:val="single" w:sz="4" w:space="0" w:color="auto"/>
            </w:tcBorders>
          </w:tcPr>
          <w:p w14:paraId="5FD0441E" w14:textId="77777777" w:rsidR="00A805EB" w:rsidRPr="007E344F" w:rsidRDefault="00A805EB" w:rsidP="00197785">
            <w:pPr>
              <w:spacing w:before="120"/>
              <w:rPr>
                <w:b/>
                <w:sz w:val="24"/>
                <w:szCs w:val="24"/>
              </w:rPr>
            </w:pPr>
            <w:r w:rsidRPr="007E344F">
              <w:rPr>
                <w:b/>
                <w:sz w:val="24"/>
                <w:szCs w:val="24"/>
              </w:rPr>
              <w:t>Committee of Experts on the Transport of Dangerous Goods</w:t>
            </w:r>
            <w:r w:rsidRPr="007E344F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7E344F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53D222C4" w14:textId="362463D7" w:rsidR="00A805EB" w:rsidRPr="007E344F" w:rsidRDefault="00A805EB" w:rsidP="00197785">
            <w:pPr>
              <w:tabs>
                <w:tab w:val="right" w:pos="9639"/>
              </w:tabs>
              <w:spacing w:before="120"/>
              <w:rPr>
                <w:b/>
              </w:rPr>
            </w:pPr>
            <w:r w:rsidRPr="007E344F">
              <w:rPr>
                <w:b/>
              </w:rPr>
              <w:t xml:space="preserve">Sub-Committee of Experts </w:t>
            </w:r>
            <w:r w:rsidR="00DE3A0C" w:rsidRPr="007E344F">
              <w:rPr>
                <w:b/>
              </w:rPr>
              <w:t>on the Transport of Dangerous Goods</w:t>
            </w:r>
            <w:r w:rsidR="00C14072" w:rsidRPr="007E344F">
              <w:rPr>
                <w:b/>
              </w:rPr>
              <w:tab/>
            </w:r>
            <w:r w:rsidR="000A07EB">
              <w:rPr>
                <w:b/>
              </w:rPr>
              <w:t>2</w:t>
            </w:r>
            <w:r w:rsidR="00F41476">
              <w:rPr>
                <w:b/>
              </w:rPr>
              <w:t xml:space="preserve"> June</w:t>
            </w:r>
            <w:r w:rsidR="000A07EB">
              <w:rPr>
                <w:b/>
              </w:rPr>
              <w:t xml:space="preserve"> 2017</w:t>
            </w:r>
          </w:p>
          <w:p w14:paraId="3F8C9A4F" w14:textId="77777777" w:rsidR="00A805EB" w:rsidRPr="007E344F" w:rsidRDefault="000A07EB" w:rsidP="00197785">
            <w:pPr>
              <w:spacing w:before="120"/>
              <w:rPr>
                <w:b/>
              </w:rPr>
            </w:pPr>
            <w:r>
              <w:rPr>
                <w:b/>
              </w:rPr>
              <w:t>Fifty-first</w:t>
            </w:r>
            <w:r w:rsidR="00DE3A0C" w:rsidRPr="007E344F">
              <w:rPr>
                <w:b/>
              </w:rPr>
              <w:t xml:space="preserve"> </w:t>
            </w:r>
            <w:r w:rsidR="00A805EB" w:rsidRPr="007E344F">
              <w:rPr>
                <w:b/>
              </w:rPr>
              <w:t>session</w:t>
            </w:r>
          </w:p>
          <w:p w14:paraId="1008B220" w14:textId="77777777" w:rsidR="00403098" w:rsidRPr="007E344F" w:rsidRDefault="00403098" w:rsidP="00197785">
            <w:r w:rsidRPr="007E344F">
              <w:t>Geneva</w:t>
            </w:r>
            <w:r w:rsidR="00AA617C">
              <w:t xml:space="preserve">, </w:t>
            </w:r>
            <w:r w:rsidR="000A07EB">
              <w:t>3-7 July 2017</w:t>
            </w:r>
          </w:p>
          <w:p w14:paraId="38A63EE8" w14:textId="1CFFB28F" w:rsidR="000A07EB" w:rsidRPr="007B2B1F" w:rsidRDefault="00F41476" w:rsidP="00197785">
            <w:pPr>
              <w:rPr>
                <w:b/>
              </w:rPr>
            </w:pPr>
            <w:r>
              <w:t>Item 2 (e</w:t>
            </w:r>
            <w:r w:rsidR="000A07EB" w:rsidRPr="007B2B1F">
              <w:t>) of the provisional agenda</w:t>
            </w:r>
            <w:r w:rsidR="000A07EB" w:rsidRPr="007B2B1F">
              <w:rPr>
                <w:b/>
              </w:rPr>
              <w:t xml:space="preserve"> </w:t>
            </w:r>
            <w:r w:rsidR="000A07EB" w:rsidRPr="007B2B1F">
              <w:rPr>
                <w:b/>
              </w:rPr>
              <w:br/>
            </w:r>
            <w:r w:rsidRPr="00F41476">
              <w:rPr>
                <w:b/>
              </w:rPr>
              <w:t>Explosives and related matters</w:t>
            </w:r>
            <w:r w:rsidRPr="00F41476">
              <w:rPr>
                <w:b/>
              </w:rPr>
              <w:t>: s</w:t>
            </w:r>
            <w:r w:rsidRPr="00F41476">
              <w:rPr>
                <w:b/>
              </w:rPr>
              <w:t>tability tests for industrial nitrocellulose</w:t>
            </w:r>
          </w:p>
          <w:p w14:paraId="5CC8167B" w14:textId="77777777" w:rsidR="00317F1A" w:rsidRPr="00D63626" w:rsidRDefault="00317F1A" w:rsidP="00197785">
            <w:pPr>
              <w:spacing w:line="240" w:lineRule="exact"/>
            </w:pPr>
          </w:p>
        </w:tc>
      </w:tr>
    </w:tbl>
    <w:p w14:paraId="022C943D" w14:textId="23073137" w:rsidR="00F41476" w:rsidRPr="0083343A" w:rsidRDefault="00F41476" w:rsidP="00F41476">
      <w:pPr>
        <w:pStyle w:val="HChG"/>
      </w:pPr>
      <w:r>
        <w:rPr>
          <w:lang w:val="en-US"/>
        </w:rPr>
        <w:tab/>
      </w:r>
      <w:r>
        <w:rPr>
          <w:lang w:val="en-US"/>
        </w:rPr>
        <w:tab/>
      </w:r>
      <w:r w:rsidRPr="00513F06">
        <w:rPr>
          <w:lang w:val="en-US"/>
        </w:rPr>
        <w:t xml:space="preserve">Stability </w:t>
      </w:r>
      <w:r>
        <w:rPr>
          <w:lang w:val="en-US"/>
        </w:rPr>
        <w:t xml:space="preserve">tests for Industrial </w:t>
      </w:r>
      <w:r w:rsidRPr="00F41476">
        <w:t>Nitrocellulose</w:t>
      </w:r>
    </w:p>
    <w:p w14:paraId="033FA6F4" w14:textId="056284FE" w:rsidR="00F41476" w:rsidRPr="0083343A" w:rsidRDefault="00F41476" w:rsidP="00F41476">
      <w:pPr>
        <w:pStyle w:val="H1G"/>
      </w:pPr>
      <w:r>
        <w:tab/>
      </w:r>
      <w:r>
        <w:tab/>
      </w:r>
      <w:r w:rsidRPr="00F41476">
        <w:t>Transmitted</w:t>
      </w:r>
      <w:r w:rsidRPr="0083343A">
        <w:t xml:space="preserve"> by the </w:t>
      </w:r>
      <w:r w:rsidRPr="00E34939">
        <w:rPr>
          <w:rFonts w:eastAsia="MS Mincho"/>
        </w:rPr>
        <w:t>European Chemical Industry Council (CEFIC)</w:t>
      </w:r>
      <w:r>
        <w:rPr>
          <w:rFonts w:eastAsia="MS Mincho"/>
        </w:rPr>
        <w:t xml:space="preserve"> on behalf of the World Nitrocellulose Producers Association (WONIPA)</w:t>
      </w:r>
    </w:p>
    <w:p w14:paraId="3BF49A5D" w14:textId="77777777" w:rsidR="00F41476" w:rsidRDefault="00F41476" w:rsidP="00F41476">
      <w:pPr>
        <w:pStyle w:val="HChG"/>
        <w:spacing w:before="240" w:after="120"/>
      </w:pPr>
      <w:r>
        <w:tab/>
      </w:r>
      <w:r>
        <w:tab/>
        <w:t>Introduction</w:t>
      </w:r>
    </w:p>
    <w:p w14:paraId="31D2A358" w14:textId="77777777" w:rsidR="00F41476" w:rsidRPr="007211D2" w:rsidRDefault="00F41476" w:rsidP="00F41476">
      <w:pPr>
        <w:pStyle w:val="SingleTxtG"/>
      </w:pPr>
      <w:r>
        <w:t>1.</w:t>
      </w:r>
      <w:r>
        <w:tab/>
      </w:r>
      <w:r w:rsidRPr="007211D2">
        <w:t xml:space="preserve">The </w:t>
      </w:r>
      <w:r>
        <w:t xml:space="preserve">TDG </w:t>
      </w:r>
      <w:r w:rsidRPr="007211D2">
        <w:t xml:space="preserve">Sub-Committee included the item of </w:t>
      </w:r>
      <w:r w:rsidRPr="0036247C">
        <w:rPr>
          <w:u w:val="single"/>
        </w:rPr>
        <w:t>stability tests for Industrial Nitrocellulose</w:t>
      </w:r>
      <w:r>
        <w:t xml:space="preserve"> </w:t>
      </w:r>
      <w:r w:rsidRPr="007211D2">
        <w:t xml:space="preserve">in </w:t>
      </w:r>
      <w:r>
        <w:t>its programme of work for 2017-2018 (ST/SG/AC.10/C.3/100</w:t>
      </w:r>
      <w:r w:rsidRPr="007211D2">
        <w:t>) as follows:</w:t>
      </w:r>
    </w:p>
    <w:p w14:paraId="78D136B0" w14:textId="77777777" w:rsidR="00F41476" w:rsidRPr="007211D2" w:rsidRDefault="00F41476" w:rsidP="00F41476">
      <w:pPr>
        <w:pStyle w:val="SingleTxtG"/>
        <w:ind w:left="1701"/>
      </w:pPr>
      <w:r>
        <w:t xml:space="preserve">Explosives and related matters (including amendments to the list of dangerous goods, electronic detonators; review of test series 6; review of tests in parts I, II and III of the Manual of Tests and Criteria (including UN standard detonator, minimum burning pressure (MBP) tests as a possible alternate or replacement for the 8(c) and/or the 8(d) tests); guidance for application of Test Series 3 and 4; review of packing instructions for explosives; </w:t>
      </w:r>
      <w:r w:rsidRPr="0036247C">
        <w:rPr>
          <w:u w:val="single"/>
        </w:rPr>
        <w:t>stability tests for industrial nitrocellulose</w:t>
      </w:r>
      <w:r>
        <w:t>; application of security provisions to explosives N.O.S.; classification of articles under UN 0349; test N.1 for readily combustible solids; and review of Chapter 2.1 of the GHS);</w:t>
      </w:r>
      <w:r w:rsidRPr="007211D2">
        <w:t>.</w:t>
      </w:r>
    </w:p>
    <w:p w14:paraId="0D2C0855" w14:textId="77777777" w:rsidR="00F41476" w:rsidRPr="007211D2" w:rsidRDefault="00F41476" w:rsidP="00F41476">
      <w:pPr>
        <w:pStyle w:val="SingleTxtG"/>
      </w:pPr>
      <w:r>
        <w:t>2.</w:t>
      </w:r>
      <w:r>
        <w:tab/>
      </w:r>
      <w:r w:rsidRPr="007211D2">
        <w:t xml:space="preserve">The </w:t>
      </w:r>
      <w:r>
        <w:t>GHS Sub-Committee also</w:t>
      </w:r>
      <w:r w:rsidRPr="007211D2">
        <w:t xml:space="preserve"> included the item of </w:t>
      </w:r>
      <w:r>
        <w:t xml:space="preserve">stability tests for industrial nitrocellulose </w:t>
      </w:r>
      <w:r w:rsidRPr="007211D2">
        <w:t xml:space="preserve">in </w:t>
      </w:r>
      <w:r>
        <w:t>its programme of work for 2017-2018 (ST/SG/AC.10/C.4/64</w:t>
      </w:r>
      <w:r w:rsidRPr="007211D2">
        <w:t>) as follows:</w:t>
      </w:r>
    </w:p>
    <w:p w14:paraId="6D486B3C" w14:textId="77777777" w:rsidR="00F41476" w:rsidRDefault="00F41476" w:rsidP="00F41476">
      <w:pPr>
        <w:pStyle w:val="SingleTxtG"/>
        <w:keepNext/>
        <w:keepLines/>
        <w:ind w:left="1700"/>
      </w:pPr>
      <w:r>
        <w:t>(e)</w:t>
      </w:r>
      <w:r>
        <w:tab/>
      </w:r>
      <w:r w:rsidRPr="0036247C">
        <w:rPr>
          <w:u w:val="single"/>
        </w:rPr>
        <w:t>Stability tests for industrial nitrocellulose</w:t>
      </w:r>
    </w:p>
    <w:p w14:paraId="0E46CC25" w14:textId="77777777" w:rsidR="00F41476" w:rsidRDefault="00F41476" w:rsidP="00F41476">
      <w:pPr>
        <w:pStyle w:val="SingleTxtG"/>
        <w:ind w:left="1701" w:firstLine="567"/>
      </w:pPr>
      <w:r w:rsidRPr="00495996">
        <w:rPr>
          <w:u w:val="single"/>
        </w:rPr>
        <w:t>Lead country</w:t>
      </w:r>
      <w:r w:rsidRPr="00495996">
        <w:t xml:space="preserve">: </w:t>
      </w:r>
      <w:r>
        <w:t>Germany</w:t>
      </w:r>
    </w:p>
    <w:p w14:paraId="4D1257EB" w14:textId="65F7BE9B" w:rsidR="00F41476" w:rsidRPr="0011475D" w:rsidRDefault="00F41476" w:rsidP="00F41476">
      <w:pPr>
        <w:pStyle w:val="Bullet1G"/>
        <w:numPr>
          <w:ilvl w:val="0"/>
          <w:numId w:val="0"/>
        </w:numPr>
        <w:ind w:left="1700"/>
      </w:pPr>
      <w:r w:rsidRPr="0011475D">
        <w:tab/>
      </w:r>
      <w:r>
        <w:tab/>
      </w:r>
      <w:r w:rsidRPr="00633985">
        <w:rPr>
          <w:u w:val="single"/>
        </w:rPr>
        <w:t>F</w:t>
      </w:r>
      <w:r w:rsidRPr="0011475D">
        <w:rPr>
          <w:u w:val="single"/>
        </w:rPr>
        <w:t xml:space="preserve">ocal </w:t>
      </w:r>
      <w:r>
        <w:rPr>
          <w:u w:val="single"/>
        </w:rPr>
        <w:t>po</w:t>
      </w:r>
      <w:r w:rsidRPr="0011475D">
        <w:rPr>
          <w:u w:val="single"/>
        </w:rPr>
        <w:t>int</w:t>
      </w:r>
      <w:r w:rsidRPr="0011475D">
        <w:t>: TDG Sub-Committee</w:t>
      </w:r>
    </w:p>
    <w:p w14:paraId="53C3C037" w14:textId="77777777" w:rsidR="00F41476" w:rsidRDefault="00F41476" w:rsidP="00F41476">
      <w:pPr>
        <w:pStyle w:val="Bullet1G"/>
        <w:numPr>
          <w:ilvl w:val="0"/>
          <w:numId w:val="0"/>
        </w:numPr>
        <w:ind w:left="2268"/>
      </w:pPr>
      <w:r w:rsidRPr="00495996">
        <w:rPr>
          <w:u w:val="single"/>
        </w:rPr>
        <w:t>Mandate/Terms of reference</w:t>
      </w:r>
      <w:r w:rsidRPr="00495996">
        <w:t xml:space="preserve">: </w:t>
      </w:r>
      <w:r w:rsidRPr="00FD4389">
        <w:t xml:space="preserve">informal document </w:t>
      </w:r>
      <w:r>
        <w:t xml:space="preserve">INF.22 (thirty-second session) and report of the Sub-Committee on its thirty-second </w:t>
      </w:r>
      <w:r w:rsidRPr="0011475D">
        <w:t xml:space="preserve">session (ST/SG/AC.10/C.4/64, paragraph </w:t>
      </w:r>
      <w:r>
        <w:t>67)</w:t>
      </w:r>
    </w:p>
    <w:p w14:paraId="17B1E2C3" w14:textId="77777777" w:rsidR="00F41476" w:rsidRPr="00B80069" w:rsidRDefault="00F41476" w:rsidP="00F41476">
      <w:pPr>
        <w:pStyle w:val="SingleTxtG"/>
        <w:rPr>
          <w:lang w:val="en-US" w:eastAsia="en-GB"/>
        </w:rPr>
      </w:pPr>
      <w:r>
        <w:rPr>
          <w:lang w:val="en-US"/>
        </w:rPr>
        <w:t>3.</w:t>
      </w:r>
      <w:r>
        <w:rPr>
          <w:lang w:val="en-US"/>
        </w:rPr>
        <w:tab/>
      </w:r>
      <w:r>
        <w:rPr>
          <w:lang w:eastAsia="en-GB"/>
        </w:rPr>
        <w:t xml:space="preserve">The expert from Germany </w:t>
      </w:r>
      <w:r w:rsidRPr="00513F06">
        <w:rPr>
          <w:lang w:val="en-US" w:eastAsia="en-GB"/>
        </w:rPr>
        <w:t xml:space="preserve">proposes in the working paper </w:t>
      </w:r>
      <w:r w:rsidRPr="00513F06">
        <w:t>S</w:t>
      </w:r>
      <w:r>
        <w:t>T/SG/AC.10/C.3/2017/3</w:t>
      </w:r>
      <w:r w:rsidRPr="00EA3053">
        <w:rPr>
          <w:lang w:val="en-US"/>
        </w:rPr>
        <w:t xml:space="preserve"> </w:t>
      </w:r>
      <w:r>
        <w:rPr>
          <w:lang w:val="en-US"/>
        </w:rPr>
        <w:t>“Stability tests for Industrial nitrocellulose” to implement a worldwide regulation for the stability tests for Industrial Nitrocellulose (</w:t>
      </w:r>
      <w:r w:rsidRPr="0083343A">
        <w:t>UN 2555</w:t>
      </w:r>
      <w:r>
        <w:rPr>
          <w:rStyle w:val="FootnoteReference"/>
        </w:rPr>
        <w:footnoteReference w:id="2"/>
      </w:r>
      <w:r w:rsidRPr="0083343A">
        <w:t xml:space="preserve"> and UN 2556</w:t>
      </w:r>
      <w:r w:rsidRPr="00EA3053">
        <w:rPr>
          <w:lang w:val="en-US"/>
        </w:rPr>
        <w:t xml:space="preserve"> and UN 2557</w:t>
      </w:r>
      <w:r>
        <w:rPr>
          <w:lang w:val="en-US"/>
        </w:rPr>
        <w:t xml:space="preserve">) </w:t>
      </w:r>
      <w:r>
        <w:rPr>
          <w:lang w:val="en-US"/>
        </w:rPr>
        <w:lastRenderedPageBreak/>
        <w:t xml:space="preserve">consisting of the </w:t>
      </w:r>
      <w:proofErr w:type="spellStart"/>
      <w:r>
        <w:rPr>
          <w:lang w:val="en-US"/>
        </w:rPr>
        <w:t>self ignition</w:t>
      </w:r>
      <w:proofErr w:type="spellEnd"/>
      <w:r>
        <w:rPr>
          <w:lang w:val="en-US"/>
        </w:rPr>
        <w:t xml:space="preserve"> test of the ADR/RID (</w:t>
      </w:r>
      <w:r w:rsidRPr="00060084">
        <w:t>European Agreement concerning the International Carriage of Dangerous Goods by Road</w:t>
      </w:r>
      <w:r w:rsidRPr="00513A51">
        <w:rPr>
          <w:lang w:val="en-US"/>
        </w:rPr>
        <w:t>)</w:t>
      </w:r>
      <w:r>
        <w:rPr>
          <w:lang w:val="en-US"/>
        </w:rPr>
        <w:t xml:space="preserve"> and the Bergman Junk test for the long term chemical stability. </w:t>
      </w:r>
    </w:p>
    <w:p w14:paraId="1E551215" w14:textId="77777777" w:rsidR="00F41476" w:rsidRPr="00763E81" w:rsidRDefault="00F41476" w:rsidP="00F41476">
      <w:pPr>
        <w:pStyle w:val="SingleTxtG"/>
        <w:rPr>
          <w:lang w:val="en-US"/>
        </w:rPr>
      </w:pPr>
      <w:r>
        <w:rPr>
          <w:lang w:val="en-US"/>
        </w:rPr>
        <w:t xml:space="preserve">4. </w:t>
      </w:r>
      <w:r>
        <w:rPr>
          <w:lang w:val="en-US"/>
        </w:rPr>
        <w:tab/>
        <w:t>CEFIC, on behalf of the Worldwide Nitrocellulose Producers Association (</w:t>
      </w:r>
      <w:r w:rsidRPr="00B82FDD">
        <w:rPr>
          <w:lang w:val="en-US"/>
        </w:rPr>
        <w:t>WONIPA</w:t>
      </w:r>
      <w:r>
        <w:rPr>
          <w:lang w:val="en-US"/>
        </w:rPr>
        <w:t xml:space="preserve">), which represents manufacturers of industrial nitrocellulose and accounts for 80% of the worldwide production (approximately 200.000 </w:t>
      </w:r>
      <w:proofErr w:type="spellStart"/>
      <w:r>
        <w:rPr>
          <w:lang w:val="en-US"/>
        </w:rPr>
        <w:t>tpa</w:t>
      </w:r>
      <w:proofErr w:type="spellEnd"/>
      <w:r>
        <w:rPr>
          <w:lang w:val="en-US"/>
        </w:rPr>
        <w:t xml:space="preserve">), herewith </w:t>
      </w:r>
      <w:r w:rsidRPr="00B82FDD">
        <w:rPr>
          <w:lang w:val="en-US"/>
        </w:rPr>
        <w:t>present</w:t>
      </w:r>
      <w:r>
        <w:rPr>
          <w:lang w:val="en-US"/>
        </w:rPr>
        <w:t>s</w:t>
      </w:r>
      <w:r w:rsidRPr="00B82FDD">
        <w:rPr>
          <w:lang w:val="en-US"/>
        </w:rPr>
        <w:t xml:space="preserve"> </w:t>
      </w:r>
      <w:r>
        <w:rPr>
          <w:lang w:val="en-US"/>
        </w:rPr>
        <w:t xml:space="preserve">the position of WONIPA on the worldwide implementation of the </w:t>
      </w:r>
      <w:proofErr w:type="spellStart"/>
      <w:r>
        <w:rPr>
          <w:lang w:val="en-US"/>
        </w:rPr>
        <w:t>self ignition</w:t>
      </w:r>
      <w:proofErr w:type="spellEnd"/>
      <w:r>
        <w:rPr>
          <w:lang w:val="en-US"/>
        </w:rPr>
        <w:t xml:space="preserve"> test of the ADR/RID and the Bergman Junk test for the long term chemical stability.</w:t>
      </w:r>
    </w:p>
    <w:p w14:paraId="40A36ECB" w14:textId="77777777" w:rsidR="00F41476" w:rsidRDefault="00F41476" w:rsidP="00FA4D13">
      <w:pPr>
        <w:pStyle w:val="HChG"/>
        <w:spacing w:before="240"/>
      </w:pPr>
      <w:r>
        <w:tab/>
      </w:r>
      <w:r w:rsidRPr="0083343A">
        <w:t xml:space="preserve">I. </w:t>
      </w:r>
      <w:r w:rsidRPr="0083343A">
        <w:tab/>
        <w:t>Background</w:t>
      </w:r>
    </w:p>
    <w:p w14:paraId="58DE404E" w14:textId="77777777" w:rsidR="00F41476" w:rsidRDefault="00F41476" w:rsidP="00FA4D13">
      <w:pPr>
        <w:pStyle w:val="H1G"/>
        <w:spacing w:before="240"/>
      </w:pPr>
      <w:r>
        <w:rPr>
          <w:lang w:val="x-none"/>
        </w:rPr>
        <w:tab/>
      </w:r>
      <w:r>
        <w:rPr>
          <w:lang w:val="x-none"/>
        </w:rPr>
        <w:tab/>
      </w:r>
      <w:r w:rsidRPr="00090DE1">
        <w:t>Self-ignition temperature</w:t>
      </w:r>
    </w:p>
    <w:p w14:paraId="348D22C3" w14:textId="77777777" w:rsidR="00F41476" w:rsidRDefault="00F41476" w:rsidP="00F41476">
      <w:pPr>
        <w:pStyle w:val="SingleTxtG"/>
      </w:pPr>
      <w:r>
        <w:t>5.</w:t>
      </w:r>
      <w:r>
        <w:tab/>
        <w:t>For European land transport, provisions on tests relating to nitrated cellulose mixtures have been incorporated in section 2.3.2 ADR/RID. The ignition temperature test in ADR/RID is a test to determine at what temperature a substance will self-ignite when heated without an external ignition source (a description of the test method is provided in Annex 1</w:t>
      </w:r>
      <w:r w:rsidRPr="0025635A">
        <w:rPr>
          <w:lang w:val="en-US"/>
        </w:rPr>
        <w:t xml:space="preserve"> </w:t>
      </w:r>
      <w:r>
        <w:rPr>
          <w:lang w:val="en-US"/>
        </w:rPr>
        <w:t xml:space="preserve">of </w:t>
      </w:r>
      <w:r w:rsidRPr="00513F06">
        <w:rPr>
          <w:lang w:val="en-US" w:eastAsia="en-GB"/>
        </w:rPr>
        <w:t xml:space="preserve">the working paper </w:t>
      </w:r>
      <w:r>
        <w:t>ST/SG/AC.10/C.3/2017/3</w:t>
      </w:r>
      <w:r w:rsidRPr="005B075E">
        <w:rPr>
          <w:lang w:val="en-US"/>
        </w:rPr>
        <w:t xml:space="preserve"> </w:t>
      </w:r>
      <w:r>
        <w:rPr>
          <w:lang w:val="en-US"/>
        </w:rPr>
        <w:t>“Stability tests for Industrial nitrocellulose”</w:t>
      </w:r>
      <w:r>
        <w:t>). This test is the most important stability test for industrial NC, as it defines the conditions under which the NC can be transported and used without the risk of self-ignition.</w:t>
      </w:r>
    </w:p>
    <w:p w14:paraId="257B524E" w14:textId="77777777" w:rsidR="00F41476" w:rsidRDefault="00F41476" w:rsidP="00F41476">
      <w:pPr>
        <w:pStyle w:val="SingleTxtG"/>
      </w:pPr>
      <w:r>
        <w:t>6.</w:t>
      </w:r>
      <w:r>
        <w:tab/>
        <w:t>The self-ignition temperature test in accordance with ADR/RID has been mandatory for NC</w:t>
      </w:r>
      <w:r w:rsidDel="008F75F8">
        <w:t xml:space="preserve"> </w:t>
      </w:r>
      <w:r w:rsidRPr="00090DE1">
        <w:rPr>
          <w:lang w:val="en-US"/>
        </w:rPr>
        <w:t xml:space="preserve">in Europe </w:t>
      </w:r>
      <w:r>
        <w:t xml:space="preserve">for more than 30 years. This test requires that the self-ignition temperature be higher than 180 °C for dry NC (higher than 170 °C for NC with plasticizer). The test is carried out using dry NC to make sure that even dry NC will not self-ignite. If the self-ignition temperature of dry NC is above 180 °C, this ensures that even dry NC will not self-ignite at temperatures of up to 65 °C that may occur in a container. </w:t>
      </w:r>
    </w:p>
    <w:p w14:paraId="07114E69" w14:textId="0BCD4B86" w:rsidR="00F41476" w:rsidRPr="00CE4679" w:rsidRDefault="00F41476" w:rsidP="00FA4D13">
      <w:pPr>
        <w:pStyle w:val="H1G"/>
        <w:spacing w:before="240" w:after="120"/>
      </w:pPr>
      <w:r>
        <w:tab/>
      </w:r>
      <w:r>
        <w:tab/>
      </w:r>
      <w:r w:rsidRPr="00CE4679">
        <w:t>Long-term chemical stability</w:t>
      </w:r>
    </w:p>
    <w:p w14:paraId="3DF9BDFA" w14:textId="5B2E2306" w:rsidR="00F41476" w:rsidRDefault="00F41476" w:rsidP="00F41476">
      <w:pPr>
        <w:pStyle w:val="SingleTxtG"/>
      </w:pPr>
      <w:r>
        <w:t>7.</w:t>
      </w:r>
      <w:r>
        <w:tab/>
        <w:t xml:space="preserve">In addition, a 30-minute qualitative test of the chemical stability at 132 °C is also mandatory for NC products to be permitted for transport in Europe in accordance with ADR/RID. This test has two disadvantages: the test duration of 30 minutes is relatively short and the most important disadvantage </w:t>
      </w:r>
      <w:proofErr w:type="gramStart"/>
      <w:r>
        <w:t>is,</w:t>
      </w:r>
      <w:proofErr w:type="gramEnd"/>
      <w:r>
        <w:t xml:space="preserve"> that this is a qualitative test. The qualitative test </w:t>
      </w:r>
      <w:proofErr w:type="gramStart"/>
      <w:r>
        <w:t>criteria is</w:t>
      </w:r>
      <w:proofErr w:type="gramEnd"/>
      <w:r>
        <w:t xml:space="preserve">: “It is observed whether nitrous gases in the form of yellowish-brown fumes clearly visible against a white background are given off during 30 minutes”. This test does not give </w:t>
      </w:r>
      <w:proofErr w:type="gramStart"/>
      <w:r>
        <w:t>a highly</w:t>
      </w:r>
      <w:proofErr w:type="gramEnd"/>
      <w:r>
        <w:t xml:space="preserve"> reliable information about the long term chemical stability of the NC.</w:t>
      </w:r>
    </w:p>
    <w:p w14:paraId="30FA03A0" w14:textId="1B9C6DD4" w:rsidR="00F41476" w:rsidRPr="0083343A" w:rsidRDefault="00F41476" w:rsidP="00F41476">
      <w:pPr>
        <w:pStyle w:val="SingleTxtG"/>
      </w:pPr>
      <w:r>
        <w:t>8.</w:t>
      </w:r>
      <w:r>
        <w:tab/>
      </w:r>
      <w:r>
        <w:t>For several decades, the European producers within the European Nitrocellulose Producers Association (ENA) have been using the quantitative Bergmann Junk test, which determines the quantity of NO gas formed within 2 hours at 132 °C. The acceptance limit for this test is a maximum of 2.5 ml NO gas per g of NC (a description of the test method is provided in Annex 2</w:t>
      </w:r>
      <w:r w:rsidRPr="00090DE1">
        <w:rPr>
          <w:lang w:val="en-US"/>
        </w:rPr>
        <w:t xml:space="preserve"> of</w:t>
      </w:r>
      <w:r>
        <w:rPr>
          <w:lang w:val="en-US"/>
        </w:rPr>
        <w:t xml:space="preserve"> </w:t>
      </w:r>
      <w:r w:rsidRPr="00513F06">
        <w:rPr>
          <w:lang w:val="en-US" w:eastAsia="en-GB"/>
        </w:rPr>
        <w:t xml:space="preserve">the working paper </w:t>
      </w:r>
      <w:r>
        <w:t>ST/SG/AC.10/C.3/2017/3</w:t>
      </w:r>
      <w:r>
        <w:rPr>
          <w:lang w:val="en-US"/>
        </w:rPr>
        <w:t xml:space="preserve"> “Stability tests for Industrial nitrocellulose</w:t>
      </w:r>
      <w:proofErr w:type="gramStart"/>
      <w:r>
        <w:rPr>
          <w:lang w:val="en-US"/>
        </w:rPr>
        <w:t>”</w:t>
      </w:r>
      <w:r w:rsidRPr="00090DE1">
        <w:rPr>
          <w:lang w:val="en-US"/>
        </w:rPr>
        <w:t xml:space="preserve"> </w:t>
      </w:r>
      <w:r>
        <w:t>)</w:t>
      </w:r>
      <w:proofErr w:type="gramEnd"/>
      <w:r>
        <w:t>. With these conditions that go even beyond those of the test in ADR/RID, highly reliable information about the long-term chemical stability is obtained.</w:t>
      </w:r>
      <w:r w:rsidRPr="0083343A">
        <w:t xml:space="preserve"> </w:t>
      </w:r>
    </w:p>
    <w:p w14:paraId="0269E8DF" w14:textId="77777777" w:rsidR="00F41476" w:rsidRPr="0083343A" w:rsidRDefault="00F41476" w:rsidP="00F41476">
      <w:pPr>
        <w:pStyle w:val="SingleTxtG"/>
      </w:pPr>
      <w:r>
        <w:t>9</w:t>
      </w:r>
      <w:r w:rsidRPr="0083343A">
        <w:t>.</w:t>
      </w:r>
      <w:r w:rsidRPr="0083343A">
        <w:tab/>
        <w:t xml:space="preserve">The </w:t>
      </w:r>
      <w:r w:rsidRPr="00015C6C">
        <w:rPr>
          <w:lang w:val="en-US"/>
        </w:rPr>
        <w:t xml:space="preserve">European ADR/RID regulations for Ind. </w:t>
      </w:r>
      <w:r>
        <w:rPr>
          <w:lang w:val="en-US"/>
        </w:rPr>
        <w:t xml:space="preserve">NC requiring a test of the </w:t>
      </w:r>
      <w:proofErr w:type="spellStart"/>
      <w:r>
        <w:rPr>
          <w:lang w:val="en-US"/>
        </w:rPr>
        <w:t>self ignition</w:t>
      </w:r>
      <w:proofErr w:type="spellEnd"/>
      <w:r>
        <w:rPr>
          <w:lang w:val="en-US"/>
        </w:rPr>
        <w:t xml:space="preserve"> temperature for the dry NC and the quantitative Bergmann Junk test for the long term chemical stability have proven during the last 30 years to achieve a highly reliable safety standard avoiding self-ignition of industrial nitrocellulose products during transport, storage and use. In Europe, several 10.000 t per year of Industrial Nitrocellulose are used by the printing ink, wood coating, nail varnish and many other industries.</w:t>
      </w:r>
      <w:r w:rsidRPr="0083343A">
        <w:t xml:space="preserve"> </w:t>
      </w:r>
    </w:p>
    <w:p w14:paraId="34175B06" w14:textId="77777777" w:rsidR="00F41476" w:rsidRPr="0083343A" w:rsidRDefault="00F41476" w:rsidP="00F41476">
      <w:pPr>
        <w:pStyle w:val="HChG"/>
      </w:pPr>
      <w:r>
        <w:lastRenderedPageBreak/>
        <w:tab/>
        <w:t>II.</w:t>
      </w:r>
      <w:r>
        <w:tab/>
      </w:r>
      <w:r w:rsidRPr="0083343A">
        <w:t>Proposal</w:t>
      </w:r>
    </w:p>
    <w:p w14:paraId="7F0BCEDE" w14:textId="77777777" w:rsidR="00F41476" w:rsidRPr="0025635A" w:rsidRDefault="00F41476" w:rsidP="00F41476">
      <w:pPr>
        <w:pStyle w:val="SingleTxtG"/>
      </w:pPr>
      <w:r>
        <w:t>10.</w:t>
      </w:r>
      <w:r>
        <w:tab/>
      </w:r>
      <w:r w:rsidRPr="005B075E">
        <w:rPr>
          <w:lang w:val="en-US"/>
        </w:rPr>
        <w:t>WONIPA</w:t>
      </w:r>
      <w:r w:rsidRPr="00015C6C">
        <w:rPr>
          <w:lang w:val="en-US"/>
        </w:rPr>
        <w:t xml:space="preserve"> fully supports the </w:t>
      </w:r>
      <w:r>
        <w:rPr>
          <w:lang w:val="en-US"/>
        </w:rPr>
        <w:t xml:space="preserve">worldwide </w:t>
      </w:r>
      <w:r w:rsidRPr="00015C6C">
        <w:rPr>
          <w:lang w:val="en-US"/>
        </w:rPr>
        <w:t>impl</w:t>
      </w:r>
      <w:r>
        <w:rPr>
          <w:lang w:val="en-US"/>
        </w:rPr>
        <w:t xml:space="preserve">ementation of the </w:t>
      </w:r>
      <w:proofErr w:type="spellStart"/>
      <w:r>
        <w:rPr>
          <w:lang w:val="en-US"/>
        </w:rPr>
        <w:t>self ignition</w:t>
      </w:r>
      <w:proofErr w:type="spellEnd"/>
      <w:r>
        <w:rPr>
          <w:lang w:val="en-US"/>
        </w:rPr>
        <w:t xml:space="preserve"> temperature test for the dry NC of the ADR/RID regulations and the quantitative Bergmann Junk test for the long term chemical stability, as they have proven during the last 30 years in Europe to achieve a highly reliable safety standard avoiding </w:t>
      </w:r>
      <w:proofErr w:type="spellStart"/>
      <w:r>
        <w:rPr>
          <w:lang w:val="en-US"/>
        </w:rPr>
        <w:t>self ignition</w:t>
      </w:r>
      <w:proofErr w:type="spellEnd"/>
      <w:r>
        <w:rPr>
          <w:lang w:val="en-US"/>
        </w:rPr>
        <w:t xml:space="preserve"> of Industrial Nitrocellulose products during transport, storage, in order to achieve a consistent highly reliable safety standard for industrial Nitrocellulose worldwide.</w:t>
      </w:r>
      <w:r>
        <w:t xml:space="preserve"> </w:t>
      </w:r>
    </w:p>
    <w:p w14:paraId="030C1BC1" w14:textId="77777777" w:rsidR="00F41476" w:rsidRPr="0083343A" w:rsidRDefault="00F41476" w:rsidP="00F41476">
      <w:pPr>
        <w:pStyle w:val="HChG"/>
      </w:pPr>
      <w:r>
        <w:tab/>
        <w:t>III</w:t>
      </w:r>
      <w:r w:rsidRPr="0083343A">
        <w:t>.</w:t>
      </w:r>
      <w:r w:rsidRPr="0083343A">
        <w:tab/>
        <w:t>Justification</w:t>
      </w:r>
    </w:p>
    <w:p w14:paraId="02916D65" w14:textId="67BF24E8" w:rsidR="00F41476" w:rsidRDefault="00F41476" w:rsidP="00F41476">
      <w:pPr>
        <w:pStyle w:val="SingleTxtG"/>
      </w:pPr>
      <w:r>
        <w:t>11</w:t>
      </w:r>
      <w:r>
        <w:t>.</w:t>
      </w:r>
      <w:r>
        <w:tab/>
      </w:r>
      <w:r w:rsidRPr="0025635A">
        <w:rPr>
          <w:lang w:val="en-US"/>
        </w:rPr>
        <w:t>Nitrocellulose producers from all parts of the world deliver thei</w:t>
      </w:r>
      <w:r>
        <w:rPr>
          <w:lang w:val="en-US"/>
        </w:rPr>
        <w:t>r industria</w:t>
      </w:r>
      <w:r w:rsidRPr="0025635A">
        <w:rPr>
          <w:lang w:val="en-US"/>
        </w:rPr>
        <w:t xml:space="preserve">l nitrocellulose products to Europe. </w:t>
      </w:r>
      <w:r>
        <w:rPr>
          <w:lang w:val="en-US"/>
        </w:rPr>
        <w:t>From the of WONIPA this fact makes it necessary to achieve a worldwide regulation for the stability tests for industrial nitrocellulose to ensure that all industrial nitrocellulose products transported, stored and used in Europe (and also worldwide) have a highly reliable consistent safety standard.</w:t>
      </w:r>
    </w:p>
    <w:p w14:paraId="2AF7D6D6" w14:textId="03B7F8A5" w:rsidR="00F41476" w:rsidRPr="00F41476" w:rsidRDefault="00F41476" w:rsidP="00F4147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41476" w:rsidRPr="00F41476" w:rsidSect="0099001C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  <w:numRestart w:val="eachPage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50812" w14:textId="77777777" w:rsidR="00535F9E" w:rsidRDefault="00535F9E"/>
  </w:endnote>
  <w:endnote w:type="continuationSeparator" w:id="0">
    <w:p w14:paraId="5E887D0C" w14:textId="77777777" w:rsidR="00535F9E" w:rsidRDefault="00535F9E"/>
  </w:endnote>
  <w:endnote w:type="continuationNotice" w:id="1">
    <w:p w14:paraId="5D136279" w14:textId="77777777" w:rsidR="00535F9E" w:rsidRDefault="00535F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23016" w14:textId="77777777" w:rsidR="00DE47FC" w:rsidRPr="0099001C" w:rsidRDefault="00DE47FC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FA4D13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199A7" w14:textId="77777777" w:rsidR="00DE47FC" w:rsidRPr="0099001C" w:rsidRDefault="00DE47FC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FA4D13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C125B" w14:textId="77777777" w:rsidR="00535F9E" w:rsidRPr="000B175B" w:rsidRDefault="00535F9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2A7139" w14:textId="77777777" w:rsidR="00535F9E" w:rsidRPr="00FC68B7" w:rsidRDefault="00535F9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94D4DB0" w14:textId="77777777" w:rsidR="00535F9E" w:rsidRDefault="00535F9E"/>
  </w:footnote>
  <w:footnote w:id="2">
    <w:p w14:paraId="2F94B5A7" w14:textId="77777777" w:rsidR="00FA4D13" w:rsidRPr="005B4F08" w:rsidRDefault="00F41476" w:rsidP="00FA4D13">
      <w:pPr>
        <w:pStyle w:val="FootnoteText"/>
        <w:tabs>
          <w:tab w:val="left" w:pos="1985"/>
        </w:tabs>
        <w:rPr>
          <w:lang w:val="en-US"/>
        </w:rPr>
      </w:pPr>
      <w:r>
        <w:tab/>
      </w:r>
      <w:r>
        <w:tab/>
      </w:r>
      <w:r>
        <w:rPr>
          <w:rStyle w:val="FootnoteReference"/>
        </w:rPr>
        <w:footnoteRef/>
      </w:r>
      <w:r>
        <w:t xml:space="preserve"> </w:t>
      </w:r>
      <w:r w:rsidR="00FA4D13" w:rsidRPr="005B4F08">
        <w:rPr>
          <w:lang w:val="en-US"/>
        </w:rPr>
        <w:t>UN 2555</w:t>
      </w:r>
      <w:r w:rsidR="00FA4D13">
        <w:rPr>
          <w:lang w:val="en-US"/>
        </w:rPr>
        <w:tab/>
      </w:r>
      <w:r w:rsidR="00FA4D13">
        <w:rPr>
          <w:lang w:val="en-US"/>
        </w:rPr>
        <w:tab/>
      </w:r>
      <w:r w:rsidR="00FA4D13" w:rsidRPr="005B4F08">
        <w:rPr>
          <w:lang w:val="en-US"/>
        </w:rPr>
        <w:t>NITROCELLULOSE WITH WATER (not less than 25 % water by mass)</w:t>
      </w:r>
    </w:p>
    <w:p w14:paraId="7709960A" w14:textId="77777777" w:rsidR="00FA4D13" w:rsidRDefault="00FA4D13" w:rsidP="00FA4D13">
      <w:pPr>
        <w:pStyle w:val="FootnoteText"/>
        <w:tabs>
          <w:tab w:val="left" w:pos="1985"/>
        </w:tabs>
        <w:rPr>
          <w:lang w:val="en-US"/>
        </w:rPr>
      </w:pPr>
      <w:r w:rsidRPr="005B4F08">
        <w:rPr>
          <w:lang w:val="en-US"/>
        </w:rPr>
        <w:tab/>
      </w:r>
      <w:r>
        <w:rPr>
          <w:lang w:val="en-US"/>
        </w:rPr>
        <w:tab/>
        <w:t xml:space="preserve">  </w:t>
      </w:r>
      <w:r w:rsidRPr="005B4F08">
        <w:rPr>
          <w:lang w:val="en-US"/>
        </w:rPr>
        <w:t>UN 2556</w:t>
      </w:r>
      <w:r>
        <w:rPr>
          <w:lang w:val="en-US"/>
        </w:rPr>
        <w:tab/>
      </w:r>
      <w:r>
        <w:rPr>
          <w:lang w:val="en-US"/>
        </w:rPr>
        <w:tab/>
      </w:r>
      <w:r w:rsidRPr="005B4F08">
        <w:rPr>
          <w:lang w:val="en-US"/>
        </w:rPr>
        <w:t xml:space="preserve">NITROCELLULOSE </w:t>
      </w:r>
      <w:r>
        <w:rPr>
          <w:lang w:val="en-US"/>
        </w:rPr>
        <w:t xml:space="preserve">WITH ALCOHOL , </w:t>
      </w:r>
      <w:r w:rsidRPr="005B4F08">
        <w:rPr>
          <w:lang w:val="en-US"/>
        </w:rPr>
        <w:t xml:space="preserve">not less than 25 % alcohol by mass, and </w:t>
      </w:r>
    </w:p>
    <w:p w14:paraId="45CDFDAF" w14:textId="77777777" w:rsidR="00FA4D13" w:rsidRPr="005B4F08" w:rsidRDefault="00FA4D13" w:rsidP="00FA4D13">
      <w:pPr>
        <w:pStyle w:val="FootnoteText"/>
        <w:tabs>
          <w:tab w:val="left" w:pos="1985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B4F08">
        <w:rPr>
          <w:lang w:val="en-US"/>
        </w:rPr>
        <w:t>not more than 12,6 % nitrogen by</w:t>
      </w:r>
      <w:r>
        <w:rPr>
          <w:lang w:val="en-US"/>
        </w:rPr>
        <w:t xml:space="preserve"> dry mass)</w:t>
      </w:r>
    </w:p>
    <w:p w14:paraId="0A8A0CC0" w14:textId="77777777" w:rsidR="00FA4D13" w:rsidRDefault="00FA4D13" w:rsidP="00FA4D13">
      <w:pPr>
        <w:pStyle w:val="FootnoteText"/>
        <w:tabs>
          <w:tab w:val="left" w:pos="1985"/>
        </w:tabs>
        <w:rPr>
          <w:lang w:val="en-US"/>
        </w:rPr>
      </w:pPr>
      <w:r>
        <w:rPr>
          <w:lang w:val="en-US"/>
        </w:rPr>
        <w:tab/>
      </w:r>
      <w:r w:rsidRPr="005B4F08">
        <w:rPr>
          <w:lang w:val="en-US"/>
        </w:rPr>
        <w:tab/>
      </w:r>
      <w:r>
        <w:rPr>
          <w:lang w:val="en-US"/>
        </w:rPr>
        <w:t xml:space="preserve">  </w:t>
      </w:r>
      <w:r w:rsidRPr="005B4F08">
        <w:rPr>
          <w:lang w:val="en-US"/>
        </w:rPr>
        <w:t>UN 2557</w:t>
      </w:r>
      <w:r w:rsidRPr="005B4F08">
        <w:rPr>
          <w:lang w:val="en-US"/>
        </w:rPr>
        <w:tab/>
      </w:r>
      <w:r>
        <w:rPr>
          <w:lang w:val="en-US"/>
        </w:rPr>
        <w:tab/>
        <w:t xml:space="preserve">NITROCELLULOSE, with not more than 12,6 % </w:t>
      </w:r>
      <w:r w:rsidRPr="005B4F08">
        <w:rPr>
          <w:lang w:val="en-US"/>
        </w:rPr>
        <w:t>nitrogen by</w:t>
      </w:r>
      <w:r>
        <w:rPr>
          <w:lang w:val="en-US"/>
        </w:rPr>
        <w:t xml:space="preserve"> dry mass,</w:t>
      </w:r>
    </w:p>
    <w:p w14:paraId="49EC552E" w14:textId="6D17E3FC" w:rsidR="00FA4D13" w:rsidRPr="005B4F08" w:rsidRDefault="00FA4D13" w:rsidP="00FA4D13">
      <w:pPr>
        <w:pStyle w:val="FootnoteText"/>
        <w:tabs>
          <w:tab w:val="left" w:pos="1985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MIXTURE WITH or WITHOUT PLASTICIZER, WITH or WITHOUT PIGMENT</w:t>
      </w:r>
      <w:bookmarkStart w:id="0" w:name="_GoBack"/>
      <w:bookmarkEnd w:id="0"/>
    </w:p>
    <w:p w14:paraId="36E26C4E" w14:textId="4E93528F" w:rsidR="00F41476" w:rsidRPr="005B4F08" w:rsidRDefault="00F41476" w:rsidP="00F41476">
      <w:pPr>
        <w:pStyle w:val="FootnoteText"/>
        <w:tabs>
          <w:tab w:val="left" w:pos="1985"/>
        </w:tabs>
        <w:rPr>
          <w:lang w:val="en-US"/>
        </w:rPr>
      </w:pPr>
    </w:p>
    <w:p w14:paraId="2761B9E3" w14:textId="77777777" w:rsidR="00F41476" w:rsidRPr="00EA3053" w:rsidRDefault="00F41476" w:rsidP="00F41476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4E4FF" w14:textId="367D431D" w:rsidR="00DE47FC" w:rsidRPr="0099001C" w:rsidRDefault="00F41476" w:rsidP="00DE3A0C">
    <w:pPr>
      <w:pStyle w:val="Header"/>
    </w:pPr>
    <w:r>
      <w:t>UN/SCETDG/51/INF.9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0B807" w14:textId="49F62F1F" w:rsidR="00DE47FC" w:rsidRPr="0099001C" w:rsidRDefault="00F41476" w:rsidP="00DE3A0C">
    <w:pPr>
      <w:pStyle w:val="Header"/>
      <w:jc w:val="right"/>
    </w:pPr>
    <w:r>
      <w:t>UN/SCETDG/51</w:t>
    </w:r>
    <w:r w:rsidR="00DE47FC" w:rsidRPr="007E344F">
      <w:t>/INF.</w:t>
    </w:r>
    <w: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3864A9"/>
    <w:multiLevelType w:val="hybridMultilevel"/>
    <w:tmpl w:val="8AEC05F8"/>
    <w:lvl w:ilvl="0" w:tplc="E2F209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33B0CC4"/>
    <w:multiLevelType w:val="hybridMultilevel"/>
    <w:tmpl w:val="F0546AB0"/>
    <w:lvl w:ilvl="0" w:tplc="A19A3C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0CB79FF"/>
    <w:multiLevelType w:val="hybridMultilevel"/>
    <w:tmpl w:val="A9B864D8"/>
    <w:lvl w:ilvl="0" w:tplc="A8EE2D3C">
      <w:start w:val="1"/>
      <w:numFmt w:val="decimal"/>
      <w:lvlText w:val="%1."/>
      <w:lvlJc w:val="left"/>
      <w:pPr>
        <w:ind w:left="1689" w:hanging="555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40A8D"/>
    <w:multiLevelType w:val="hybridMultilevel"/>
    <w:tmpl w:val="A0FC92E4"/>
    <w:lvl w:ilvl="0" w:tplc="FE7804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6441F"/>
    <w:multiLevelType w:val="hybridMultilevel"/>
    <w:tmpl w:val="1E388A4C"/>
    <w:lvl w:ilvl="0" w:tplc="AACA8D5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E2373C"/>
    <w:multiLevelType w:val="hybridMultilevel"/>
    <w:tmpl w:val="4E206F3E"/>
    <w:lvl w:ilvl="0" w:tplc="EB3CE4A0">
      <w:start w:val="1"/>
      <w:numFmt w:val="lowerLetter"/>
      <w:lvlText w:val="(%1)"/>
      <w:lvlJc w:val="left"/>
      <w:pPr>
        <w:ind w:left="180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">
    <w:nsid w:val="65925DC1"/>
    <w:multiLevelType w:val="hybridMultilevel"/>
    <w:tmpl w:val="FAA66F24"/>
    <w:lvl w:ilvl="0" w:tplc="8C4849AC">
      <w:start w:val="1"/>
      <w:numFmt w:val="bullet"/>
      <w:pStyle w:val="Heade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Fmt w:val="chicago"/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04378"/>
    <w:rsid w:val="0003119F"/>
    <w:rsid w:val="00050F6B"/>
    <w:rsid w:val="00072C8C"/>
    <w:rsid w:val="000931C0"/>
    <w:rsid w:val="0009555B"/>
    <w:rsid w:val="000A07EB"/>
    <w:rsid w:val="000B175B"/>
    <w:rsid w:val="000B3A0F"/>
    <w:rsid w:val="000C6041"/>
    <w:rsid w:val="000E0415"/>
    <w:rsid w:val="00100D07"/>
    <w:rsid w:val="00111DF0"/>
    <w:rsid w:val="001220B8"/>
    <w:rsid w:val="00150F95"/>
    <w:rsid w:val="00161D70"/>
    <w:rsid w:val="00180C41"/>
    <w:rsid w:val="00197785"/>
    <w:rsid w:val="001A0FC9"/>
    <w:rsid w:val="001B2357"/>
    <w:rsid w:val="001B4B04"/>
    <w:rsid w:val="001B5ACD"/>
    <w:rsid w:val="001C6663"/>
    <w:rsid w:val="001C7895"/>
    <w:rsid w:val="001D26DF"/>
    <w:rsid w:val="001D3183"/>
    <w:rsid w:val="001E0674"/>
    <w:rsid w:val="00201ADA"/>
    <w:rsid w:val="002101F1"/>
    <w:rsid w:val="00211E0B"/>
    <w:rsid w:val="0022014D"/>
    <w:rsid w:val="002405A7"/>
    <w:rsid w:val="00274D48"/>
    <w:rsid w:val="00284DC3"/>
    <w:rsid w:val="002A78B1"/>
    <w:rsid w:val="002C5CF3"/>
    <w:rsid w:val="002E21F0"/>
    <w:rsid w:val="002E42C4"/>
    <w:rsid w:val="00307FFE"/>
    <w:rsid w:val="003107FA"/>
    <w:rsid w:val="00314A63"/>
    <w:rsid w:val="00317F1A"/>
    <w:rsid w:val="003229D8"/>
    <w:rsid w:val="00334311"/>
    <w:rsid w:val="0033745A"/>
    <w:rsid w:val="003452D6"/>
    <w:rsid w:val="003503B1"/>
    <w:rsid w:val="003660FF"/>
    <w:rsid w:val="00391D76"/>
    <w:rsid w:val="0039277A"/>
    <w:rsid w:val="003972E0"/>
    <w:rsid w:val="0039784F"/>
    <w:rsid w:val="003B0606"/>
    <w:rsid w:val="003B7450"/>
    <w:rsid w:val="003C2CC4"/>
    <w:rsid w:val="003C3936"/>
    <w:rsid w:val="003C6B13"/>
    <w:rsid w:val="003D3365"/>
    <w:rsid w:val="003D338E"/>
    <w:rsid w:val="003D4B23"/>
    <w:rsid w:val="003F1ED3"/>
    <w:rsid w:val="003F30D7"/>
    <w:rsid w:val="00403098"/>
    <w:rsid w:val="00404E53"/>
    <w:rsid w:val="00417B26"/>
    <w:rsid w:val="004270F6"/>
    <w:rsid w:val="004325CB"/>
    <w:rsid w:val="00437DB4"/>
    <w:rsid w:val="00446DE4"/>
    <w:rsid w:val="0045190E"/>
    <w:rsid w:val="00451982"/>
    <w:rsid w:val="00453178"/>
    <w:rsid w:val="004A41CA"/>
    <w:rsid w:val="004E302A"/>
    <w:rsid w:val="004F15A6"/>
    <w:rsid w:val="004F537F"/>
    <w:rsid w:val="00503228"/>
    <w:rsid w:val="00504608"/>
    <w:rsid w:val="00505384"/>
    <w:rsid w:val="00510C3B"/>
    <w:rsid w:val="00535F9E"/>
    <w:rsid w:val="005420F2"/>
    <w:rsid w:val="0054603C"/>
    <w:rsid w:val="005627B5"/>
    <w:rsid w:val="00564203"/>
    <w:rsid w:val="00564A8C"/>
    <w:rsid w:val="005A3220"/>
    <w:rsid w:val="005B3DB3"/>
    <w:rsid w:val="005D1C32"/>
    <w:rsid w:val="005F0DD1"/>
    <w:rsid w:val="005F72E1"/>
    <w:rsid w:val="00600B19"/>
    <w:rsid w:val="00602B95"/>
    <w:rsid w:val="00611FC4"/>
    <w:rsid w:val="006176FB"/>
    <w:rsid w:val="00627ED0"/>
    <w:rsid w:val="0063050A"/>
    <w:rsid w:val="00640B26"/>
    <w:rsid w:val="0066387E"/>
    <w:rsid w:val="00665595"/>
    <w:rsid w:val="00685B23"/>
    <w:rsid w:val="006A7392"/>
    <w:rsid w:val="006B7086"/>
    <w:rsid w:val="006E32FA"/>
    <w:rsid w:val="006E3B52"/>
    <w:rsid w:val="006E535C"/>
    <w:rsid w:val="006E564B"/>
    <w:rsid w:val="006F73EE"/>
    <w:rsid w:val="00701292"/>
    <w:rsid w:val="007017DA"/>
    <w:rsid w:val="00724962"/>
    <w:rsid w:val="0072632A"/>
    <w:rsid w:val="007303B2"/>
    <w:rsid w:val="00730810"/>
    <w:rsid w:val="00732639"/>
    <w:rsid w:val="00733AAE"/>
    <w:rsid w:val="0079511F"/>
    <w:rsid w:val="00797762"/>
    <w:rsid w:val="007B4BEC"/>
    <w:rsid w:val="007B6BA5"/>
    <w:rsid w:val="007B7918"/>
    <w:rsid w:val="007C3390"/>
    <w:rsid w:val="007C4F4B"/>
    <w:rsid w:val="007D22FD"/>
    <w:rsid w:val="007E344F"/>
    <w:rsid w:val="007F0B83"/>
    <w:rsid w:val="007F4FCD"/>
    <w:rsid w:val="007F6611"/>
    <w:rsid w:val="008010DD"/>
    <w:rsid w:val="00802579"/>
    <w:rsid w:val="008056BE"/>
    <w:rsid w:val="008175E9"/>
    <w:rsid w:val="00817F27"/>
    <w:rsid w:val="00822414"/>
    <w:rsid w:val="008242D7"/>
    <w:rsid w:val="00827E05"/>
    <w:rsid w:val="008311A3"/>
    <w:rsid w:val="00835EB6"/>
    <w:rsid w:val="00871FD5"/>
    <w:rsid w:val="00886119"/>
    <w:rsid w:val="00895C06"/>
    <w:rsid w:val="008979B1"/>
    <w:rsid w:val="008A6B25"/>
    <w:rsid w:val="008A6C4F"/>
    <w:rsid w:val="008D0F3F"/>
    <w:rsid w:val="008E0675"/>
    <w:rsid w:val="008E0E46"/>
    <w:rsid w:val="008E35B1"/>
    <w:rsid w:val="008E3A43"/>
    <w:rsid w:val="008F02A0"/>
    <w:rsid w:val="008F321A"/>
    <w:rsid w:val="00906526"/>
    <w:rsid w:val="00907AD2"/>
    <w:rsid w:val="009111C7"/>
    <w:rsid w:val="00915D65"/>
    <w:rsid w:val="0092654D"/>
    <w:rsid w:val="009334FE"/>
    <w:rsid w:val="00963CBA"/>
    <w:rsid w:val="00974A8D"/>
    <w:rsid w:val="0099001C"/>
    <w:rsid w:val="00991261"/>
    <w:rsid w:val="009A00F2"/>
    <w:rsid w:val="009A1A51"/>
    <w:rsid w:val="009D04D9"/>
    <w:rsid w:val="009D2BF9"/>
    <w:rsid w:val="009F277A"/>
    <w:rsid w:val="009F3A17"/>
    <w:rsid w:val="009F3AEC"/>
    <w:rsid w:val="00A11117"/>
    <w:rsid w:val="00A1427D"/>
    <w:rsid w:val="00A178D3"/>
    <w:rsid w:val="00A36006"/>
    <w:rsid w:val="00A50936"/>
    <w:rsid w:val="00A72F22"/>
    <w:rsid w:val="00A748A6"/>
    <w:rsid w:val="00A74999"/>
    <w:rsid w:val="00A805EB"/>
    <w:rsid w:val="00A80961"/>
    <w:rsid w:val="00A879A4"/>
    <w:rsid w:val="00AA426C"/>
    <w:rsid w:val="00AA617C"/>
    <w:rsid w:val="00AD741B"/>
    <w:rsid w:val="00AE1A34"/>
    <w:rsid w:val="00B16223"/>
    <w:rsid w:val="00B30179"/>
    <w:rsid w:val="00B33EC0"/>
    <w:rsid w:val="00B81E12"/>
    <w:rsid w:val="00B82575"/>
    <w:rsid w:val="00B84573"/>
    <w:rsid w:val="00B902A6"/>
    <w:rsid w:val="00BA02A0"/>
    <w:rsid w:val="00BA177E"/>
    <w:rsid w:val="00BA1781"/>
    <w:rsid w:val="00BB2C95"/>
    <w:rsid w:val="00BC413E"/>
    <w:rsid w:val="00BC74E9"/>
    <w:rsid w:val="00BD2146"/>
    <w:rsid w:val="00BE4F74"/>
    <w:rsid w:val="00BE52DC"/>
    <w:rsid w:val="00BE618E"/>
    <w:rsid w:val="00BF4485"/>
    <w:rsid w:val="00BF4F5D"/>
    <w:rsid w:val="00C00341"/>
    <w:rsid w:val="00C14072"/>
    <w:rsid w:val="00C17699"/>
    <w:rsid w:val="00C36701"/>
    <w:rsid w:val="00C41A28"/>
    <w:rsid w:val="00C463DD"/>
    <w:rsid w:val="00C745C3"/>
    <w:rsid w:val="00CE4A8F"/>
    <w:rsid w:val="00D2031B"/>
    <w:rsid w:val="00D25FE2"/>
    <w:rsid w:val="00D317BB"/>
    <w:rsid w:val="00D33331"/>
    <w:rsid w:val="00D36BEB"/>
    <w:rsid w:val="00D43252"/>
    <w:rsid w:val="00D56172"/>
    <w:rsid w:val="00D63626"/>
    <w:rsid w:val="00D7433B"/>
    <w:rsid w:val="00D81BB9"/>
    <w:rsid w:val="00D83CD1"/>
    <w:rsid w:val="00D87B56"/>
    <w:rsid w:val="00D978C6"/>
    <w:rsid w:val="00DA67AD"/>
    <w:rsid w:val="00DB5D0F"/>
    <w:rsid w:val="00DB5E48"/>
    <w:rsid w:val="00DC3242"/>
    <w:rsid w:val="00DD6A25"/>
    <w:rsid w:val="00DE3A0C"/>
    <w:rsid w:val="00DE47FC"/>
    <w:rsid w:val="00DF12F7"/>
    <w:rsid w:val="00E02C81"/>
    <w:rsid w:val="00E130AB"/>
    <w:rsid w:val="00E31970"/>
    <w:rsid w:val="00E56114"/>
    <w:rsid w:val="00E61967"/>
    <w:rsid w:val="00E66A1A"/>
    <w:rsid w:val="00E7260F"/>
    <w:rsid w:val="00E87921"/>
    <w:rsid w:val="00E903CF"/>
    <w:rsid w:val="00E96630"/>
    <w:rsid w:val="00EA264E"/>
    <w:rsid w:val="00ED1024"/>
    <w:rsid w:val="00ED7A2A"/>
    <w:rsid w:val="00EE20B2"/>
    <w:rsid w:val="00EF1D7F"/>
    <w:rsid w:val="00F033C8"/>
    <w:rsid w:val="00F10CCD"/>
    <w:rsid w:val="00F16F22"/>
    <w:rsid w:val="00F4068E"/>
    <w:rsid w:val="00F41476"/>
    <w:rsid w:val="00F43682"/>
    <w:rsid w:val="00F53544"/>
    <w:rsid w:val="00F53EDA"/>
    <w:rsid w:val="00F7753D"/>
    <w:rsid w:val="00F830AD"/>
    <w:rsid w:val="00F842C1"/>
    <w:rsid w:val="00F85F34"/>
    <w:rsid w:val="00F938F6"/>
    <w:rsid w:val="00FA06F7"/>
    <w:rsid w:val="00FA4D13"/>
    <w:rsid w:val="00FA6BA2"/>
    <w:rsid w:val="00FB0AC7"/>
    <w:rsid w:val="00FB171A"/>
    <w:rsid w:val="00FC68B7"/>
    <w:rsid w:val="00FC715F"/>
    <w:rsid w:val="00FD7BF6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5C3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paragraph" w:styleId="BodyText">
    <w:name w:val="Body Text"/>
    <w:basedOn w:val="Normal"/>
    <w:rsid w:val="00D83CD1"/>
    <w:pPr>
      <w:suppressAutoHyphens w:val="0"/>
      <w:spacing w:line="240" w:lineRule="auto"/>
      <w:jc w:val="both"/>
    </w:pPr>
    <w:rPr>
      <w:sz w:val="24"/>
    </w:rPr>
  </w:style>
  <w:style w:type="paragraph" w:styleId="BodyTextIndent">
    <w:name w:val="Body Text Indent"/>
    <w:basedOn w:val="Normal"/>
    <w:rsid w:val="004F15A6"/>
    <w:pPr>
      <w:spacing w:after="120"/>
      <w:ind w:left="283"/>
    </w:pPr>
  </w:style>
  <w:style w:type="paragraph" w:customStyle="1" w:styleId="Default">
    <w:name w:val="Default"/>
    <w:rsid w:val="004F15A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rsid w:val="00453178"/>
    <w:pPr>
      <w:spacing w:after="120" w:line="480" w:lineRule="auto"/>
    </w:pPr>
  </w:style>
  <w:style w:type="character" w:customStyle="1" w:styleId="H1GChar">
    <w:name w:val="_ H_1_G Char"/>
    <w:link w:val="H1G"/>
    <w:rsid w:val="000A07EB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00D07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F41476"/>
    <w:rPr>
      <w:sz w:val="18"/>
      <w:lang w:eastAsia="en-US"/>
    </w:rPr>
  </w:style>
  <w:style w:type="character" w:customStyle="1" w:styleId="SingleTxtGZchn">
    <w:name w:val="_ Single Txt_G Zchn"/>
    <w:link w:val="SingleTxtG"/>
    <w:rsid w:val="00F4147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Zchn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paragraph" w:styleId="BodyText">
    <w:name w:val="Body Text"/>
    <w:basedOn w:val="Normal"/>
    <w:rsid w:val="00D83CD1"/>
    <w:pPr>
      <w:suppressAutoHyphens w:val="0"/>
      <w:spacing w:line="240" w:lineRule="auto"/>
      <w:jc w:val="both"/>
    </w:pPr>
    <w:rPr>
      <w:sz w:val="24"/>
    </w:rPr>
  </w:style>
  <w:style w:type="paragraph" w:styleId="BodyTextIndent">
    <w:name w:val="Body Text Indent"/>
    <w:basedOn w:val="Normal"/>
    <w:rsid w:val="004F15A6"/>
    <w:pPr>
      <w:spacing w:after="120"/>
      <w:ind w:left="283"/>
    </w:pPr>
  </w:style>
  <w:style w:type="paragraph" w:customStyle="1" w:styleId="Default">
    <w:name w:val="Default"/>
    <w:rsid w:val="004F15A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rsid w:val="00453178"/>
    <w:pPr>
      <w:spacing w:after="120" w:line="480" w:lineRule="auto"/>
    </w:pPr>
  </w:style>
  <w:style w:type="character" w:customStyle="1" w:styleId="H1GChar">
    <w:name w:val="_ H_1_G Char"/>
    <w:link w:val="H1G"/>
    <w:rsid w:val="000A07EB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00D07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F41476"/>
    <w:rPr>
      <w:sz w:val="18"/>
      <w:lang w:eastAsia="en-US"/>
    </w:rPr>
  </w:style>
  <w:style w:type="character" w:customStyle="1" w:styleId="SingleTxtGZchn">
    <w:name w:val="_ Single Txt_G Zchn"/>
    <w:link w:val="SingleTxtG"/>
    <w:rsid w:val="00F4147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34F4-CB89-4108-8EF4-7B00DA80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6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4</cp:revision>
  <cp:lastPrinted>2017-06-02T08:11:00Z</cp:lastPrinted>
  <dcterms:created xsi:type="dcterms:W3CDTF">2017-06-01T06:26:00Z</dcterms:created>
  <dcterms:modified xsi:type="dcterms:W3CDTF">2017-06-02T08:13:00Z</dcterms:modified>
</cp:coreProperties>
</file>