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C43BEB">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C43BEB" w:rsidP="00C43BEB">
            <w:pPr>
              <w:jc w:val="right"/>
            </w:pPr>
            <w:r w:rsidRPr="00C43BEB">
              <w:rPr>
                <w:sz w:val="40"/>
              </w:rPr>
              <w:t>ST</w:t>
            </w:r>
            <w:r>
              <w:t>/SG/AC.10/C.3/2017/50</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C43BEB" w:rsidP="00F01738">
            <w:pPr>
              <w:spacing w:before="240"/>
            </w:pPr>
            <w:proofErr w:type="spellStart"/>
            <w:r>
              <w:t>Distr</w:t>
            </w:r>
            <w:proofErr w:type="spellEnd"/>
            <w:r>
              <w:t>. générale</w:t>
            </w:r>
          </w:p>
          <w:p w:rsidR="00C43BEB" w:rsidRDefault="00245052" w:rsidP="00C43BEB">
            <w:pPr>
              <w:spacing w:line="240" w:lineRule="exact"/>
            </w:pPr>
            <w:r>
              <w:t>5 </w:t>
            </w:r>
            <w:r w:rsidR="00C43BEB">
              <w:t>septembre 2017</w:t>
            </w:r>
          </w:p>
          <w:p w:rsidR="00C43BEB" w:rsidRDefault="00C43BEB" w:rsidP="00C43BEB">
            <w:pPr>
              <w:spacing w:line="240" w:lineRule="exact"/>
            </w:pPr>
            <w:r>
              <w:t>Français</w:t>
            </w:r>
          </w:p>
          <w:p w:rsidR="00C43BEB" w:rsidRPr="00DB58B5" w:rsidRDefault="00914DA3" w:rsidP="00C43BEB">
            <w:pPr>
              <w:spacing w:line="240" w:lineRule="exact"/>
            </w:pPr>
            <w:r>
              <w:t>Original </w:t>
            </w:r>
            <w:r w:rsidR="00C43BEB">
              <w:t>: anglais</w:t>
            </w:r>
          </w:p>
        </w:tc>
      </w:tr>
    </w:tbl>
    <w:p w:rsidR="00C43BEB" w:rsidRPr="00CA0680" w:rsidRDefault="00C43BEB"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proofErr w:type="gramStart"/>
      <w:r w:rsidRPr="00CA0680">
        <w:rPr>
          <w:b/>
          <w:sz w:val="24"/>
          <w:szCs w:val="24"/>
        </w:rPr>
        <w:t>et</w:t>
      </w:r>
      <w:proofErr w:type="gramEnd"/>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C43BEB" w:rsidRPr="00CA0680" w:rsidRDefault="00C43BEB" w:rsidP="000305D3">
      <w:pPr>
        <w:spacing w:before="120"/>
        <w:rPr>
          <w:b/>
        </w:rPr>
      </w:pPr>
      <w:r w:rsidRPr="00CA0680">
        <w:rPr>
          <w:b/>
        </w:rPr>
        <w:t>Sous</w:t>
      </w:r>
      <w:r w:rsidR="0059785D">
        <w:rPr>
          <w:b/>
        </w:rPr>
        <w:noBreakHyphen/>
      </w:r>
      <w:r w:rsidRPr="00CA0680">
        <w:rPr>
          <w:b/>
        </w:rPr>
        <w:t>Comité d’experts du transport des marchandises dangereuses</w:t>
      </w:r>
    </w:p>
    <w:p w:rsidR="00C43BEB" w:rsidRDefault="00D87B2D" w:rsidP="000305D3">
      <w:pPr>
        <w:spacing w:before="120"/>
        <w:rPr>
          <w:b/>
        </w:rPr>
      </w:pPr>
      <w:r w:rsidRPr="00C43BEB">
        <w:rPr>
          <w:b/>
          <w:bCs/>
          <w:lang w:val="fr-FR"/>
        </w:rPr>
        <w:t>Cinquante</w:t>
      </w:r>
      <w:r w:rsidR="0059785D">
        <w:rPr>
          <w:b/>
          <w:bCs/>
          <w:lang w:val="fr-FR"/>
        </w:rPr>
        <w:noBreakHyphen/>
      </w:r>
      <w:r w:rsidRPr="00C43BEB">
        <w:rPr>
          <w:b/>
          <w:bCs/>
          <w:lang w:val="fr-FR"/>
        </w:rPr>
        <w:t>deuxième</w:t>
      </w:r>
      <w:r w:rsidR="00C43BEB">
        <w:rPr>
          <w:b/>
        </w:rPr>
        <w:t xml:space="preserve"> </w:t>
      </w:r>
      <w:r w:rsidR="00C43BEB" w:rsidRPr="00CA0680">
        <w:rPr>
          <w:b/>
        </w:rPr>
        <w:t>session</w:t>
      </w:r>
    </w:p>
    <w:p w:rsidR="00C43BEB" w:rsidRDefault="00C43BEB" w:rsidP="000305D3">
      <w:r>
        <w:t xml:space="preserve">Genève, </w:t>
      </w:r>
      <w:r>
        <w:rPr>
          <w:lang w:val="fr-FR"/>
        </w:rPr>
        <w:t>27 novembre</w:t>
      </w:r>
      <w:r w:rsidR="0059785D">
        <w:rPr>
          <w:lang w:val="fr-FR"/>
        </w:rPr>
        <w:noBreakHyphen/>
      </w:r>
      <w:r>
        <w:rPr>
          <w:lang w:val="fr-FR"/>
        </w:rPr>
        <w:t>6 décembre 2017</w:t>
      </w:r>
    </w:p>
    <w:p w:rsidR="00C43BEB" w:rsidRDefault="00AF0FAE" w:rsidP="000305D3">
      <w:r>
        <w:t>Point 2 a)</w:t>
      </w:r>
      <w:r w:rsidR="00C43BEB">
        <w:t xml:space="preserve"> de l’ordre du jour provisoire</w:t>
      </w:r>
    </w:p>
    <w:p w:rsidR="00FF7715" w:rsidRPr="00AF0FAE" w:rsidRDefault="00D87B2D" w:rsidP="00AF0FAE">
      <w:pPr>
        <w:rPr>
          <w:b/>
          <w:bCs/>
          <w:lang w:val="fr-FR"/>
        </w:rPr>
      </w:pPr>
      <w:r w:rsidRPr="00AF0FAE">
        <w:rPr>
          <w:b/>
          <w:bCs/>
          <w:lang w:val="fr-FR"/>
        </w:rPr>
        <w:t>Explosifs et questions connexes</w:t>
      </w:r>
      <w:r w:rsidR="00AF0FAE">
        <w:rPr>
          <w:b/>
          <w:bCs/>
          <w:lang w:val="fr-FR"/>
        </w:rPr>
        <w:t> </w:t>
      </w:r>
      <w:r w:rsidRPr="00AF0FAE">
        <w:rPr>
          <w:b/>
          <w:bCs/>
          <w:lang w:val="fr-FR"/>
        </w:rPr>
        <w:t xml:space="preserve">: </w:t>
      </w:r>
    </w:p>
    <w:p w:rsidR="00C43BEB" w:rsidRDefault="00AF0FAE" w:rsidP="00AF0FAE">
      <w:proofErr w:type="gramStart"/>
      <w:r>
        <w:rPr>
          <w:b/>
          <w:bCs/>
          <w:lang w:val="fr-FR"/>
        </w:rPr>
        <w:t>examen</w:t>
      </w:r>
      <w:proofErr w:type="gramEnd"/>
      <w:r>
        <w:rPr>
          <w:b/>
          <w:bCs/>
          <w:lang w:val="fr-FR"/>
        </w:rPr>
        <w:t xml:space="preserve"> des épreuves de la série </w:t>
      </w:r>
      <w:r w:rsidR="00D87B2D" w:rsidRPr="00AF0FAE">
        <w:rPr>
          <w:b/>
          <w:bCs/>
          <w:lang w:val="fr-FR"/>
        </w:rPr>
        <w:t>6</w:t>
      </w:r>
    </w:p>
    <w:p w:rsidR="00FF7715" w:rsidRPr="00AF0FAE" w:rsidRDefault="00AF0FAE" w:rsidP="00CC17DE">
      <w:pPr>
        <w:pStyle w:val="HChG"/>
        <w:spacing w:before="340" w:after="220" w:line="280" w:lineRule="exact"/>
      </w:pPr>
      <w:r>
        <w:rPr>
          <w:lang w:val="fr-FR"/>
        </w:rPr>
        <w:tab/>
      </w:r>
      <w:r>
        <w:rPr>
          <w:lang w:val="fr-FR"/>
        </w:rPr>
        <w:tab/>
      </w:r>
      <w:r w:rsidR="00D87B2D" w:rsidRPr="00AF0FAE">
        <w:rPr>
          <w:lang w:val="fr-FR"/>
        </w:rPr>
        <w:t>Critère de rupture de la série d’épreuves</w:t>
      </w:r>
      <w:r>
        <w:rPr>
          <w:lang w:val="fr-FR"/>
        </w:rPr>
        <w:t> 6 </w:t>
      </w:r>
      <w:r w:rsidR="00D87B2D" w:rsidRPr="00AF0FAE">
        <w:rPr>
          <w:lang w:val="fr-FR"/>
        </w:rPr>
        <w:t>d)</w:t>
      </w:r>
    </w:p>
    <w:p w:rsidR="00FF7715" w:rsidRPr="00AF0FAE" w:rsidRDefault="00D87B2D" w:rsidP="00CC17DE">
      <w:pPr>
        <w:pStyle w:val="H1G"/>
        <w:spacing w:before="340" w:after="220" w:line="250" w:lineRule="exact"/>
        <w:rPr>
          <w:lang w:val="en-US"/>
        </w:rPr>
      </w:pPr>
      <w:r w:rsidRPr="00AF0FAE">
        <w:rPr>
          <w:lang w:val="fr-FR"/>
        </w:rPr>
        <w:tab/>
      </w:r>
      <w:r w:rsidRPr="00AF0FAE">
        <w:rPr>
          <w:lang w:val="fr-FR"/>
        </w:rPr>
        <w:tab/>
      </w:r>
      <w:r w:rsidRPr="00AF0FAE">
        <w:rPr>
          <w:lang w:val="en-US"/>
        </w:rPr>
        <w:t>Communication du Sporting Arms and Ammunition Manufacturers’ Institute (SAAMI)</w:t>
      </w:r>
      <w:r w:rsidRPr="00677B8A">
        <w:rPr>
          <w:rStyle w:val="FootnoteReference"/>
          <w:b w:val="0"/>
        </w:rPr>
        <w:footnoteReference w:id="2"/>
      </w:r>
    </w:p>
    <w:p w:rsidR="00FF7715" w:rsidRPr="00AF0FAE" w:rsidRDefault="00D87B2D" w:rsidP="00CC17DE">
      <w:pPr>
        <w:pStyle w:val="HChG"/>
        <w:spacing w:before="340" w:after="220" w:line="280" w:lineRule="exact"/>
      </w:pPr>
      <w:r w:rsidRPr="00AF0FAE">
        <w:rPr>
          <w:lang w:val="en-US"/>
        </w:rPr>
        <w:tab/>
      </w:r>
      <w:r w:rsidRPr="00AF0FAE">
        <w:rPr>
          <w:lang w:val="en-US"/>
        </w:rPr>
        <w:tab/>
      </w:r>
      <w:r w:rsidRPr="00AF0FAE">
        <w:rPr>
          <w:lang w:val="fr-FR"/>
        </w:rPr>
        <w:t>Introduction</w:t>
      </w:r>
    </w:p>
    <w:p w:rsidR="00FF7715" w:rsidRPr="00AF0FAE" w:rsidRDefault="00D87B2D" w:rsidP="00AF0FAE">
      <w:pPr>
        <w:pStyle w:val="SingleTxtG"/>
      </w:pPr>
      <w:r w:rsidRPr="00AF0FAE">
        <w:rPr>
          <w:lang w:val="fr-FR"/>
        </w:rPr>
        <w:t>1.</w:t>
      </w:r>
      <w:r w:rsidRPr="00AF0FAE">
        <w:rPr>
          <w:lang w:val="fr-FR"/>
        </w:rPr>
        <w:tab/>
        <w:t>Le SAAMI prie le Groupe de travail des explosifs de se prononcer sur la nécessité et l’opportunité du critère de rupture d’un colis de la série d’</w:t>
      </w:r>
      <w:r w:rsidR="00A055BB">
        <w:rPr>
          <w:lang w:val="fr-FR"/>
        </w:rPr>
        <w:t>épreuves 6 </w:t>
      </w:r>
      <w:r w:rsidRPr="00AF0FAE">
        <w:rPr>
          <w:lang w:val="fr-FR"/>
        </w:rPr>
        <w:t>d).</w:t>
      </w:r>
    </w:p>
    <w:p w:rsidR="00FF7715" w:rsidRPr="00AF0FAE" w:rsidRDefault="00D87B2D" w:rsidP="00CC17DE">
      <w:pPr>
        <w:pStyle w:val="HChG"/>
        <w:spacing w:before="340" w:after="220" w:line="280" w:lineRule="exact"/>
      </w:pPr>
      <w:r w:rsidRPr="00AF0FAE">
        <w:rPr>
          <w:lang w:val="fr-FR"/>
        </w:rPr>
        <w:tab/>
      </w:r>
      <w:r w:rsidRPr="00AF0FAE">
        <w:rPr>
          <w:lang w:val="fr-FR"/>
        </w:rPr>
        <w:tab/>
        <w:t>Discussion</w:t>
      </w:r>
    </w:p>
    <w:p w:rsidR="00FF7715" w:rsidRPr="00CC17DE" w:rsidRDefault="00D87B2D" w:rsidP="00AF0FAE">
      <w:pPr>
        <w:pStyle w:val="SingleTxtG"/>
      </w:pPr>
      <w:r w:rsidRPr="00CC17DE">
        <w:rPr>
          <w:lang w:val="fr-FR"/>
        </w:rPr>
        <w:t>2.</w:t>
      </w:r>
      <w:r w:rsidRPr="00CC17DE">
        <w:rPr>
          <w:lang w:val="fr-FR"/>
        </w:rPr>
        <w:tab/>
        <w:t>La série d’</w:t>
      </w:r>
      <w:r w:rsidR="00677B8A" w:rsidRPr="00CC17DE">
        <w:rPr>
          <w:lang w:val="fr-FR"/>
        </w:rPr>
        <w:t>épreuves 6 </w:t>
      </w:r>
      <w:r w:rsidRPr="00CC17DE">
        <w:rPr>
          <w:lang w:val="fr-FR"/>
        </w:rPr>
        <w:t>d) énumère quatre critères qui ont vocation à être indicatifs d’«</w:t>
      </w:r>
      <w:r w:rsidR="00677B8A" w:rsidRPr="00CC17DE">
        <w:rPr>
          <w:lang w:val="fr-FR"/>
        </w:rPr>
        <w:t> </w:t>
      </w:r>
      <w:r w:rsidRPr="00CC17DE">
        <w:rPr>
          <w:lang w:val="fr-FR"/>
        </w:rPr>
        <w:t>effets dangereux</w:t>
      </w:r>
      <w:r w:rsidR="00677B8A" w:rsidRPr="00CC17DE">
        <w:rPr>
          <w:lang w:val="fr-FR"/>
        </w:rPr>
        <w:t> </w:t>
      </w:r>
      <w:r w:rsidRPr="00CC17DE">
        <w:rPr>
          <w:lang w:val="fr-FR"/>
        </w:rPr>
        <w:t>» s’étendant au</w:t>
      </w:r>
      <w:r w:rsidR="0059785D" w:rsidRPr="00CC17DE">
        <w:rPr>
          <w:lang w:val="fr-FR"/>
        </w:rPr>
        <w:noBreakHyphen/>
      </w:r>
      <w:r w:rsidRPr="00CC17DE">
        <w:rPr>
          <w:lang w:val="fr-FR"/>
        </w:rPr>
        <w:t>delà de l’emballage</w:t>
      </w:r>
      <w:r w:rsidR="00DA3B7E" w:rsidRPr="00CC17DE">
        <w:rPr>
          <w:lang w:val="fr-FR"/>
        </w:rPr>
        <w:t> </w:t>
      </w:r>
      <w:r w:rsidRPr="00CC17DE">
        <w:rPr>
          <w:lang w:val="fr-FR"/>
        </w:rPr>
        <w:t>:</w:t>
      </w:r>
    </w:p>
    <w:p w:rsidR="00FF7715" w:rsidRPr="00CC17DE" w:rsidRDefault="00D87B2D" w:rsidP="00C9725A">
      <w:pPr>
        <w:pStyle w:val="SingleTxtG"/>
        <w:ind w:left="1701"/>
      </w:pPr>
      <w:r w:rsidRPr="00CC17DE">
        <w:rPr>
          <w:lang w:val="fr-FR"/>
        </w:rPr>
        <w:t>a)</w:t>
      </w:r>
      <w:r w:rsidRPr="00CC17DE">
        <w:rPr>
          <w:lang w:val="fr-FR"/>
        </w:rPr>
        <w:tab/>
        <w:t>Bosselure ou perforation de la plaque témoin sous le colis</w:t>
      </w:r>
      <w:r w:rsidR="008A695D">
        <w:rPr>
          <w:lang w:val="fr-FR"/>
        </w:rPr>
        <w:t> </w:t>
      </w:r>
      <w:r w:rsidRPr="00CC17DE">
        <w:rPr>
          <w:lang w:val="fr-FR"/>
        </w:rPr>
        <w:t>;</w:t>
      </w:r>
    </w:p>
    <w:p w:rsidR="00FF7715" w:rsidRPr="00CC17DE" w:rsidRDefault="00D87B2D" w:rsidP="00DA3B7E">
      <w:pPr>
        <w:pStyle w:val="SingleTxtG"/>
        <w:ind w:left="2268" w:hanging="567"/>
        <w:rPr>
          <w:spacing w:val="-3"/>
        </w:rPr>
      </w:pPr>
      <w:r w:rsidRPr="00CC17DE">
        <w:rPr>
          <w:spacing w:val="-3"/>
          <w:lang w:val="fr-FR"/>
        </w:rPr>
        <w:t>b)</w:t>
      </w:r>
      <w:r w:rsidRPr="00CC17DE">
        <w:rPr>
          <w:spacing w:val="-3"/>
          <w:lang w:val="fr-FR"/>
        </w:rPr>
        <w:tab/>
        <w:t>Éclair ou flamme susceptible d’enflammer des matériaux adjacents, par exem</w:t>
      </w:r>
      <w:r w:rsidR="007076D7" w:rsidRPr="00CC17DE">
        <w:rPr>
          <w:spacing w:val="-3"/>
          <w:lang w:val="fr-FR"/>
        </w:rPr>
        <w:t>ple une feuille de papier de 80 </w:t>
      </w:r>
      <w:r w:rsidRPr="00CC17DE">
        <w:rPr>
          <w:spacing w:val="-3"/>
          <w:lang w:val="fr-FR"/>
        </w:rPr>
        <w:t>±</w:t>
      </w:r>
      <w:r w:rsidR="007076D7" w:rsidRPr="00CC17DE">
        <w:rPr>
          <w:spacing w:val="-3"/>
          <w:lang w:val="fr-FR"/>
        </w:rPr>
        <w:t> 3 </w:t>
      </w:r>
      <w:r w:rsidRPr="00CC17DE">
        <w:rPr>
          <w:spacing w:val="-3"/>
          <w:lang w:val="fr-FR"/>
        </w:rPr>
        <w:t>g</w:t>
      </w:r>
      <w:r w:rsidR="007076D7" w:rsidRPr="00CC17DE">
        <w:rPr>
          <w:spacing w:val="-3"/>
          <w:lang w:val="fr-FR"/>
        </w:rPr>
        <w:t>/m2 placée à une distance de 25 </w:t>
      </w:r>
      <w:r w:rsidRPr="00CC17DE">
        <w:rPr>
          <w:spacing w:val="-3"/>
          <w:lang w:val="fr-FR"/>
        </w:rPr>
        <w:t>cm du colis</w:t>
      </w:r>
      <w:r w:rsidR="007076D7" w:rsidRPr="00CC17DE">
        <w:rPr>
          <w:spacing w:val="-3"/>
          <w:lang w:val="fr-FR"/>
        </w:rPr>
        <w:t> </w:t>
      </w:r>
      <w:r w:rsidRPr="00CC17DE">
        <w:rPr>
          <w:spacing w:val="-3"/>
          <w:lang w:val="fr-FR"/>
        </w:rPr>
        <w:t>;</w:t>
      </w:r>
    </w:p>
    <w:p w:rsidR="00FF7715" w:rsidRPr="00CC17DE" w:rsidRDefault="00D87B2D" w:rsidP="00C9725A">
      <w:pPr>
        <w:pStyle w:val="SingleTxtG"/>
        <w:ind w:left="1701"/>
      </w:pPr>
      <w:r w:rsidRPr="00CC17DE">
        <w:rPr>
          <w:lang w:val="fr-FR"/>
        </w:rPr>
        <w:t>c)</w:t>
      </w:r>
      <w:r w:rsidRPr="00CC17DE">
        <w:rPr>
          <w:lang w:val="fr-FR"/>
        </w:rPr>
        <w:tab/>
        <w:t xml:space="preserve">Rupture du colis entraînant des projections du contenu explosible; ou </w:t>
      </w:r>
    </w:p>
    <w:p w:rsidR="00FF7715" w:rsidRPr="00CC17DE" w:rsidRDefault="00D87B2D" w:rsidP="005565F9">
      <w:pPr>
        <w:pStyle w:val="SingleTxtG"/>
        <w:ind w:left="2268" w:hanging="567"/>
      </w:pPr>
      <w:r w:rsidRPr="00CC17DE">
        <w:rPr>
          <w:lang w:val="fr-FR"/>
        </w:rPr>
        <w:t>d)</w:t>
      </w:r>
      <w:r w:rsidRPr="00CC17DE">
        <w:rPr>
          <w:lang w:val="fr-FR"/>
        </w:rPr>
        <w:tab/>
        <w:t>Des projections qui traversent entièrement l’emballage (les projections ou fragments).</w:t>
      </w:r>
    </w:p>
    <w:p w:rsidR="00FF7715" w:rsidRPr="00CC17DE" w:rsidRDefault="00D87B2D" w:rsidP="00AF0FAE">
      <w:pPr>
        <w:pStyle w:val="SingleTxtG"/>
        <w:rPr>
          <w:spacing w:val="-3"/>
        </w:rPr>
      </w:pPr>
      <w:r w:rsidRPr="00CC17DE">
        <w:rPr>
          <w:spacing w:val="-3"/>
          <w:lang w:val="fr-FR"/>
        </w:rPr>
        <w:t>3.</w:t>
      </w:r>
      <w:r w:rsidRPr="00CC17DE">
        <w:rPr>
          <w:spacing w:val="-3"/>
          <w:lang w:val="fr-FR"/>
        </w:rPr>
        <w:tab/>
        <w:t>Un examen de ces quatre critères montre que certains effets dangereux établis comprennent les impacts causés à une plaque témoin, une flamme susceptible d’enflammer des matériaux adjacents et des projections qui s’échappent du colis. Dans le cas d’une projection, le terme «</w:t>
      </w:r>
      <w:r w:rsidR="007076D7" w:rsidRPr="00CC17DE">
        <w:rPr>
          <w:spacing w:val="-3"/>
          <w:lang w:val="fr-FR"/>
        </w:rPr>
        <w:t> </w:t>
      </w:r>
      <w:r w:rsidRPr="00CC17DE">
        <w:rPr>
          <w:spacing w:val="-3"/>
          <w:lang w:val="fr-FR"/>
        </w:rPr>
        <w:t>effet dangereux</w:t>
      </w:r>
      <w:r w:rsidR="007076D7" w:rsidRPr="00CC17DE">
        <w:rPr>
          <w:spacing w:val="-3"/>
          <w:lang w:val="fr-FR"/>
        </w:rPr>
        <w:t> </w:t>
      </w:r>
      <w:r w:rsidRPr="00CC17DE">
        <w:rPr>
          <w:spacing w:val="-3"/>
          <w:lang w:val="fr-FR"/>
        </w:rPr>
        <w:t xml:space="preserve">» n’est pas défini et est sujet à interprétation. Il est fréquent que les autorités compétentes usent de leur jugement afin de permettre certaines projections mineures non dangereuses à l’extérieur du colis. </w:t>
      </w:r>
    </w:p>
    <w:p w:rsidR="00FF7715" w:rsidRPr="00AF0FAE" w:rsidRDefault="00D87B2D" w:rsidP="00AF0FAE">
      <w:pPr>
        <w:pStyle w:val="SingleTxtG"/>
      </w:pPr>
      <w:r w:rsidRPr="00AF0FAE">
        <w:rPr>
          <w:lang w:val="fr-FR"/>
        </w:rPr>
        <w:lastRenderedPageBreak/>
        <w:t>4.</w:t>
      </w:r>
      <w:r w:rsidRPr="00AF0FAE">
        <w:rPr>
          <w:lang w:val="fr-FR"/>
        </w:rPr>
        <w:tab/>
        <w:t>Lorsqu’on a décidé de créer l’épreuve</w:t>
      </w:r>
      <w:r w:rsidR="0042148E">
        <w:rPr>
          <w:lang w:val="fr-FR"/>
        </w:rPr>
        <w:t xml:space="preserve"> 6 </w:t>
      </w:r>
      <w:r w:rsidRPr="00AF0FAE">
        <w:rPr>
          <w:lang w:val="fr-FR"/>
        </w:rPr>
        <w:t xml:space="preserve">d) dans le Manuel d’épreuves et de critères, l’une des justifications invoquées a été qu’il n’existait pas d’épreuve correspondant à la définition </w:t>
      </w:r>
      <w:r w:rsidR="0042148E">
        <w:rPr>
          <w:lang w:val="fr-FR"/>
        </w:rPr>
        <w:t>du groupe de compatibilité </w:t>
      </w:r>
      <w:r w:rsidRPr="00AF0FAE">
        <w:rPr>
          <w:lang w:val="fr-FR"/>
        </w:rPr>
        <w:t>S de la d</w:t>
      </w:r>
      <w:r w:rsidR="0042148E">
        <w:rPr>
          <w:lang w:val="fr-FR"/>
        </w:rPr>
        <w:t>ivision </w:t>
      </w:r>
      <w:r w:rsidRPr="00AF0FAE">
        <w:rPr>
          <w:lang w:val="fr-FR"/>
        </w:rPr>
        <w:t xml:space="preserve">1.4, qui est défini comme suit dans le </w:t>
      </w:r>
      <w:r w:rsidR="0042148E">
        <w:rPr>
          <w:lang w:val="fr-FR"/>
        </w:rPr>
        <w:t>chapitre </w:t>
      </w:r>
      <w:r w:rsidRPr="00AF0FAE">
        <w:rPr>
          <w:lang w:val="fr-FR"/>
        </w:rPr>
        <w:t>2.1.2.1.1 du Règlement type pour le transport des marchandises dangereuses</w:t>
      </w:r>
      <w:r w:rsidR="0042148E">
        <w:rPr>
          <w:lang w:val="fr-FR"/>
        </w:rPr>
        <w:t> </w:t>
      </w:r>
      <w:r w:rsidRPr="00AF0FAE">
        <w:rPr>
          <w:lang w:val="fr-FR"/>
        </w:rPr>
        <w:t xml:space="preserve">: </w:t>
      </w:r>
    </w:p>
    <w:p w:rsidR="00FF7715" w:rsidRPr="00AF0FAE" w:rsidRDefault="00D87B2D" w:rsidP="0042148E">
      <w:pPr>
        <w:pStyle w:val="SingleTxtG"/>
        <w:ind w:left="1701" w:firstLine="567"/>
      </w:pPr>
      <w:r w:rsidRPr="00AF0FAE">
        <w:rPr>
          <w:lang w:val="fr-FR"/>
        </w:rPr>
        <w:t>«</w:t>
      </w:r>
      <w:r w:rsidR="0042148E">
        <w:rPr>
          <w:lang w:val="fr-FR"/>
        </w:rPr>
        <w:t> </w:t>
      </w:r>
      <w:r w:rsidRPr="00AF0FAE">
        <w:rPr>
          <w:lang w:val="fr-FR"/>
        </w:rPr>
        <w:t xml:space="preserve">Matière ou objet emballés ou conçus de façon que </w:t>
      </w:r>
      <w:r w:rsidRPr="00AF0FAE">
        <w:rPr>
          <w:u w:val="single"/>
          <w:lang w:val="fr-FR"/>
        </w:rPr>
        <w:t>tout effet dangereux dû à un fonctionnement accidentel demeure contenu dans le colis (à moins que ce dernier n’ait été détérioré par le feu</w:t>
      </w:r>
      <w:r w:rsidRPr="00AF0FAE">
        <w:rPr>
          <w:lang w:val="fr-FR"/>
        </w:rPr>
        <w:t>, auquel cas tous les effets de souffle ou de projection sont suffisamment faibles pour ne pas gêner notablement les opérations de lutte contre l’incendie ou autres interventions d’urgence au voisinage immédiat du colis).</w:t>
      </w:r>
      <w:r w:rsidR="0042148E">
        <w:rPr>
          <w:lang w:val="fr-FR"/>
        </w:rPr>
        <w:t> </w:t>
      </w:r>
      <w:r w:rsidR="0059785D">
        <w:rPr>
          <w:lang w:val="fr-FR"/>
        </w:rPr>
        <w:t>».</w:t>
      </w:r>
    </w:p>
    <w:p w:rsidR="00FF7715" w:rsidRPr="00AF0FAE" w:rsidRDefault="00D87B2D" w:rsidP="0042148E">
      <w:pPr>
        <w:pStyle w:val="SingleTxtG"/>
        <w:ind w:firstLine="567"/>
        <w:rPr>
          <w:lang w:val="fr-FR"/>
        </w:rPr>
      </w:pPr>
      <w:r w:rsidRPr="00AF0FAE">
        <w:rPr>
          <w:lang w:val="fr-FR"/>
        </w:rPr>
        <w:t>On a fait valoir qu’il s’agissait d’une définition en deux parties et que la série d’</w:t>
      </w:r>
      <w:r w:rsidR="0042148E">
        <w:rPr>
          <w:lang w:val="fr-FR"/>
        </w:rPr>
        <w:t>épreuves 6 </w:t>
      </w:r>
      <w:r w:rsidRPr="00AF0FAE">
        <w:rPr>
          <w:lang w:val="fr-FR"/>
        </w:rPr>
        <w:t xml:space="preserve">c) correspondait </w:t>
      </w:r>
      <w:r w:rsidR="003C202A">
        <w:rPr>
          <w:lang w:val="fr-FR"/>
        </w:rPr>
        <w:t xml:space="preserve">au </w:t>
      </w:r>
      <w:r w:rsidRPr="00AF0FAE">
        <w:rPr>
          <w:lang w:val="fr-FR"/>
        </w:rPr>
        <w:t>deuxième scénario où le colis a été détérioré par le feu, mais qu’il n’y avait pas d’épreuve correspondant au premier scénario (souligné ci</w:t>
      </w:r>
      <w:r w:rsidR="0059785D">
        <w:rPr>
          <w:lang w:val="fr-FR"/>
        </w:rPr>
        <w:noBreakHyphen/>
      </w:r>
      <w:r w:rsidRPr="00AF0FAE">
        <w:rPr>
          <w:lang w:val="fr-FR"/>
        </w:rPr>
        <w:t>dessus) selon lequel «</w:t>
      </w:r>
      <w:r w:rsidR="00E56213">
        <w:rPr>
          <w:lang w:val="fr-FR"/>
        </w:rPr>
        <w:t> </w:t>
      </w:r>
      <w:r w:rsidRPr="00AF0FAE">
        <w:rPr>
          <w:lang w:val="fr-FR"/>
        </w:rPr>
        <w:t>tout effet dangereux dû à un fonctionnement accidentel demeure contenu dans l’emballage</w:t>
      </w:r>
      <w:r w:rsidR="00E56213">
        <w:rPr>
          <w:lang w:val="fr-FR"/>
        </w:rPr>
        <w:t> </w:t>
      </w:r>
      <w:r w:rsidRPr="00AF0FAE">
        <w:rPr>
          <w:lang w:val="fr-FR"/>
        </w:rPr>
        <w:t>». La série d’</w:t>
      </w:r>
      <w:r w:rsidR="00E56213">
        <w:rPr>
          <w:lang w:val="fr-FR"/>
        </w:rPr>
        <w:t>épreuves 6 </w:t>
      </w:r>
      <w:r w:rsidRPr="00AF0FAE">
        <w:rPr>
          <w:lang w:val="fr-FR"/>
        </w:rPr>
        <w:t>d) a été adoptée pour remédier à cette lacune potentielle.</w:t>
      </w:r>
    </w:p>
    <w:p w:rsidR="00FF7715" w:rsidRPr="00AF0FAE" w:rsidRDefault="00D87B2D" w:rsidP="00AF0FAE">
      <w:pPr>
        <w:pStyle w:val="SingleTxtG"/>
      </w:pPr>
      <w:r w:rsidRPr="00AF0FAE">
        <w:rPr>
          <w:lang w:val="fr-FR"/>
        </w:rPr>
        <w:t>5.</w:t>
      </w:r>
      <w:r w:rsidRPr="00AF0FAE">
        <w:rPr>
          <w:lang w:val="fr-FR"/>
        </w:rPr>
        <w:tab/>
        <w:t>La présente proposition traite du critère «</w:t>
      </w:r>
      <w:r w:rsidR="00FA40EC">
        <w:rPr>
          <w:lang w:val="fr-FR"/>
        </w:rPr>
        <w:t> c) </w:t>
      </w:r>
      <w:r w:rsidRPr="00AF0FAE">
        <w:rPr>
          <w:lang w:val="fr-FR"/>
        </w:rPr>
        <w:t>Rupture du colis entraînant des projections du contenu explosible</w:t>
      </w:r>
      <w:r w:rsidR="00FA40EC">
        <w:rPr>
          <w:lang w:val="fr-FR"/>
        </w:rPr>
        <w:t> </w:t>
      </w:r>
      <w:r w:rsidRPr="00AF0FAE">
        <w:t>»</w:t>
      </w:r>
      <w:r w:rsidRPr="00AF0FAE">
        <w:rPr>
          <w:lang w:val="fr-FR"/>
        </w:rPr>
        <w:t>. L’idée en est que les explosifs non déclenchés peuvent présenter un danger d’incident secondaire lors des interventions d’urgence, similaire à une fuite. Le SAAMI est d’avis que c’est un concept nouveau qui ne figure ni</w:t>
      </w:r>
      <w:r w:rsidR="00FA40EC">
        <w:rPr>
          <w:lang w:val="fr-FR"/>
        </w:rPr>
        <w:t xml:space="preserve"> dans le texte du </w:t>
      </w:r>
      <w:r w:rsidRPr="00AF0FAE">
        <w:rPr>
          <w:lang w:val="fr-FR"/>
        </w:rPr>
        <w:t>Règlement type, ni dans la justification pour l’inclusion de la série d’</w:t>
      </w:r>
      <w:r w:rsidR="00FA40EC">
        <w:rPr>
          <w:lang w:val="fr-FR"/>
        </w:rPr>
        <w:t>épreuves 6 </w:t>
      </w:r>
      <w:r w:rsidRPr="00AF0FAE">
        <w:rPr>
          <w:lang w:val="fr-FR"/>
        </w:rPr>
        <w:t xml:space="preserve">d). </w:t>
      </w:r>
      <w:r w:rsidR="0059785D">
        <w:rPr>
          <w:lang w:val="fr-FR"/>
        </w:rPr>
        <w:t>On </w:t>
      </w:r>
      <w:r w:rsidRPr="00AF0FAE">
        <w:rPr>
          <w:lang w:val="fr-FR"/>
        </w:rPr>
        <w:t>pourrait envisager qu’il soit proposé, à un moment donné, d’incorporer dans le</w:t>
      </w:r>
      <w:r w:rsidR="00BF1E6F">
        <w:rPr>
          <w:lang w:val="fr-FR"/>
        </w:rPr>
        <w:t> </w:t>
      </w:r>
      <w:r w:rsidRPr="00AF0FAE">
        <w:rPr>
          <w:lang w:val="fr-FR"/>
        </w:rPr>
        <w:t xml:space="preserve">Règlement type </w:t>
      </w:r>
      <w:r w:rsidRPr="00AF0FAE">
        <w:t xml:space="preserve">une disposition </w:t>
      </w:r>
      <w:r w:rsidRPr="00AF0FAE">
        <w:rPr>
          <w:lang w:val="fr-FR"/>
        </w:rPr>
        <w:t xml:space="preserve">visant à couvrir ce critère qui, autrement, n’est pas nécessaire. </w:t>
      </w:r>
      <w:r w:rsidR="00FA40EC">
        <w:rPr>
          <w:lang w:val="fr-FR"/>
        </w:rPr>
        <w:t>Le </w:t>
      </w:r>
      <w:r w:rsidRPr="00AF0FAE">
        <w:rPr>
          <w:lang w:val="fr-FR"/>
        </w:rPr>
        <w:t>SAAMI propose plutôt de le supprimer.</w:t>
      </w:r>
    </w:p>
    <w:p w:rsidR="00FF7715" w:rsidRPr="00AF0FAE" w:rsidRDefault="00D87B2D" w:rsidP="00FA40EC">
      <w:pPr>
        <w:pStyle w:val="HChG"/>
      </w:pPr>
      <w:r w:rsidRPr="00AF0FAE">
        <w:rPr>
          <w:lang w:val="fr-FR"/>
        </w:rPr>
        <w:tab/>
      </w:r>
      <w:r w:rsidRPr="00AF0FAE">
        <w:rPr>
          <w:lang w:val="fr-FR"/>
        </w:rPr>
        <w:tab/>
        <w:t>Proposition</w:t>
      </w:r>
    </w:p>
    <w:p w:rsidR="00446FE5" w:rsidRDefault="00D87B2D" w:rsidP="00AF0FAE">
      <w:pPr>
        <w:pStyle w:val="SingleTxtG"/>
        <w:rPr>
          <w:lang w:val="fr-FR"/>
        </w:rPr>
      </w:pPr>
      <w:r w:rsidRPr="00AF0FAE">
        <w:rPr>
          <w:lang w:val="fr-FR"/>
        </w:rPr>
        <w:t>6.</w:t>
      </w:r>
      <w:r w:rsidRPr="00AF0FAE">
        <w:rPr>
          <w:lang w:val="fr-FR"/>
        </w:rPr>
        <w:tab/>
        <w:t>Le SAAMI propose de supprimer le critère de «</w:t>
      </w:r>
      <w:r w:rsidR="00634B0F">
        <w:rPr>
          <w:lang w:val="fr-FR"/>
        </w:rPr>
        <w:t> </w:t>
      </w:r>
      <w:r w:rsidRPr="00AF0FAE">
        <w:rPr>
          <w:lang w:val="fr-FR"/>
        </w:rPr>
        <w:t>rupture</w:t>
      </w:r>
      <w:r w:rsidR="00634B0F">
        <w:rPr>
          <w:lang w:val="fr-FR"/>
        </w:rPr>
        <w:t> </w:t>
      </w:r>
      <w:r w:rsidRPr="00AF0FAE">
        <w:rPr>
          <w:lang w:val="fr-FR"/>
        </w:rPr>
        <w:t>» de la série d’épreuves</w:t>
      </w:r>
      <w:r w:rsidR="00FA40EC">
        <w:rPr>
          <w:lang w:val="fr-FR"/>
        </w:rPr>
        <w:t> 6 </w:t>
      </w:r>
      <w:r w:rsidRPr="00AF0FAE">
        <w:rPr>
          <w:lang w:val="fr-FR"/>
        </w:rPr>
        <w:t>d), sous réserve d’examen par le Groupe de travail des explosifs.</w:t>
      </w:r>
    </w:p>
    <w:p w:rsidR="00E61423" w:rsidRPr="00E61423" w:rsidRDefault="00E61423" w:rsidP="00E61423">
      <w:pPr>
        <w:pStyle w:val="SingleTxtG"/>
        <w:spacing w:before="240" w:after="0"/>
        <w:jc w:val="center"/>
        <w:rPr>
          <w:u w:val="single"/>
        </w:rPr>
      </w:pPr>
      <w:r>
        <w:rPr>
          <w:u w:val="single"/>
        </w:rPr>
        <w:tab/>
      </w:r>
      <w:r>
        <w:rPr>
          <w:u w:val="single"/>
        </w:rPr>
        <w:tab/>
      </w:r>
      <w:r>
        <w:rPr>
          <w:u w:val="single"/>
        </w:rPr>
        <w:tab/>
      </w:r>
    </w:p>
    <w:sectPr w:rsidR="00E61423" w:rsidRPr="00E61423" w:rsidSect="00C43BE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02" w:rsidRDefault="00E32C02" w:rsidP="00F95C08">
      <w:pPr>
        <w:spacing w:line="240" w:lineRule="auto"/>
      </w:pPr>
    </w:p>
  </w:endnote>
  <w:endnote w:type="continuationSeparator" w:id="0">
    <w:p w:rsidR="00E32C02" w:rsidRPr="00AC3823" w:rsidRDefault="00E32C02" w:rsidP="00AC3823">
      <w:pPr>
        <w:pStyle w:val="Footer"/>
      </w:pPr>
    </w:p>
  </w:endnote>
  <w:endnote w:type="continuationNotice" w:id="1">
    <w:p w:rsidR="00E32C02" w:rsidRDefault="00E32C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EB" w:rsidRPr="00C43BEB" w:rsidRDefault="00C43BEB" w:rsidP="00C43BEB">
    <w:pPr>
      <w:pStyle w:val="Footer"/>
      <w:tabs>
        <w:tab w:val="right" w:pos="9638"/>
      </w:tabs>
    </w:pPr>
    <w:r w:rsidRPr="00C43BEB">
      <w:rPr>
        <w:b/>
        <w:sz w:val="18"/>
      </w:rPr>
      <w:fldChar w:fldCharType="begin"/>
    </w:r>
    <w:r w:rsidRPr="00C43BEB">
      <w:rPr>
        <w:b/>
        <w:sz w:val="18"/>
      </w:rPr>
      <w:instrText xml:space="preserve"> PAGE  \* MERGEFORMAT </w:instrText>
    </w:r>
    <w:r w:rsidRPr="00C43BEB">
      <w:rPr>
        <w:b/>
        <w:sz w:val="18"/>
      </w:rPr>
      <w:fldChar w:fldCharType="separate"/>
    </w:r>
    <w:r w:rsidR="00246783">
      <w:rPr>
        <w:b/>
        <w:noProof/>
        <w:sz w:val="18"/>
      </w:rPr>
      <w:t>2</w:t>
    </w:r>
    <w:r w:rsidRPr="00C43BEB">
      <w:rPr>
        <w:b/>
        <w:sz w:val="18"/>
      </w:rPr>
      <w:fldChar w:fldCharType="end"/>
    </w:r>
    <w:r>
      <w:rPr>
        <w:b/>
        <w:sz w:val="18"/>
      </w:rPr>
      <w:tab/>
    </w:r>
    <w:r>
      <w:t>GE.17-15317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EB" w:rsidRPr="00C43BEB" w:rsidRDefault="00C43BEB" w:rsidP="00C43BEB">
    <w:pPr>
      <w:pStyle w:val="Footer"/>
      <w:tabs>
        <w:tab w:val="right" w:pos="9638"/>
      </w:tabs>
      <w:rPr>
        <w:b/>
        <w:sz w:val="18"/>
      </w:rPr>
    </w:pPr>
    <w:r>
      <w:t>GE.17-15317</w:t>
    </w:r>
    <w:r>
      <w:tab/>
    </w:r>
    <w:r w:rsidRPr="00C43BEB">
      <w:rPr>
        <w:b/>
        <w:sz w:val="18"/>
      </w:rPr>
      <w:fldChar w:fldCharType="begin"/>
    </w:r>
    <w:r w:rsidRPr="00C43BEB">
      <w:rPr>
        <w:b/>
        <w:sz w:val="18"/>
      </w:rPr>
      <w:instrText xml:space="preserve"> PAGE  \* MERGEFORMAT </w:instrText>
    </w:r>
    <w:r w:rsidRPr="00C43BEB">
      <w:rPr>
        <w:b/>
        <w:sz w:val="18"/>
      </w:rPr>
      <w:fldChar w:fldCharType="separate"/>
    </w:r>
    <w:r w:rsidR="008A695D">
      <w:rPr>
        <w:b/>
        <w:noProof/>
        <w:sz w:val="18"/>
      </w:rPr>
      <w:t>2</w:t>
    </w:r>
    <w:r w:rsidRPr="00C43BE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C43BEB" w:rsidRDefault="00C43BEB" w:rsidP="00C43BEB">
    <w:pPr>
      <w:pStyle w:val="Footer"/>
      <w:spacing w:before="120"/>
      <w:rPr>
        <w:sz w:val="20"/>
      </w:rPr>
    </w:pPr>
    <w:r>
      <w:rPr>
        <w:sz w:val="20"/>
      </w:rPr>
      <w:t>GE.</w:t>
    </w:r>
    <w:r w:rsidR="0068456F">
      <w:rPr>
        <w:noProof/>
        <w:lang w:val="en-GB" w:eastAsia="en-GB"/>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17-15317  (F)</w:t>
    </w:r>
    <w:r w:rsidR="007076D7">
      <w:rPr>
        <w:sz w:val="20"/>
      </w:rPr>
      <w:t xml:space="preserve">    250917    </w:t>
    </w:r>
    <w:r w:rsidR="00C00812">
      <w:rPr>
        <w:sz w:val="20"/>
      </w:rPr>
      <w:t>051017</w:t>
    </w:r>
    <w:r>
      <w:rPr>
        <w:sz w:val="20"/>
      </w:rPr>
      <w:br/>
    </w:r>
    <w:r w:rsidRPr="00C43BEB">
      <w:rPr>
        <w:rFonts w:ascii="C39T30Lfz" w:hAnsi="C39T30Lfz"/>
        <w:sz w:val="56"/>
      </w:rPr>
      <w:t></w:t>
    </w:r>
    <w:r w:rsidRPr="00C43BEB">
      <w:rPr>
        <w:rFonts w:ascii="C39T30Lfz" w:hAnsi="C39T30Lfz"/>
        <w:sz w:val="56"/>
      </w:rPr>
      <w:t></w:t>
    </w:r>
    <w:r w:rsidRPr="00C43BEB">
      <w:rPr>
        <w:rFonts w:ascii="C39T30Lfz" w:hAnsi="C39T30Lfz"/>
        <w:sz w:val="56"/>
      </w:rPr>
      <w:t></w:t>
    </w:r>
    <w:r w:rsidRPr="00C43BEB">
      <w:rPr>
        <w:rFonts w:ascii="C39T30Lfz" w:hAnsi="C39T30Lfz"/>
        <w:sz w:val="56"/>
      </w:rPr>
      <w:t></w:t>
    </w:r>
    <w:r w:rsidRPr="00C43BEB">
      <w:rPr>
        <w:rFonts w:ascii="C39T30Lfz" w:hAnsi="C39T30Lfz"/>
        <w:sz w:val="56"/>
      </w:rPr>
      <w:t></w:t>
    </w:r>
    <w:r w:rsidRPr="00C43BEB">
      <w:rPr>
        <w:rFonts w:ascii="C39T30Lfz" w:hAnsi="C39T30Lfz"/>
        <w:sz w:val="56"/>
      </w:rPr>
      <w:t></w:t>
    </w:r>
    <w:r w:rsidRPr="00C43BEB">
      <w:rPr>
        <w:rFonts w:ascii="C39T30Lfz" w:hAnsi="C39T30Lfz"/>
        <w:sz w:val="56"/>
      </w:rPr>
      <w:t></w:t>
    </w:r>
    <w:r w:rsidRPr="00C43BEB">
      <w:rPr>
        <w:rFonts w:ascii="C39T30Lfz" w:hAnsi="C39T30Lfz"/>
        <w:sz w:val="56"/>
      </w:rPr>
      <w:t></w:t>
    </w:r>
    <w:r w:rsidRPr="00C43BEB">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7/5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5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02" w:rsidRPr="00AC3823" w:rsidRDefault="00E32C02" w:rsidP="00AC3823">
      <w:pPr>
        <w:pStyle w:val="Footer"/>
        <w:tabs>
          <w:tab w:val="right" w:pos="2155"/>
        </w:tabs>
        <w:spacing w:after="80" w:line="240" w:lineRule="atLeast"/>
        <w:ind w:left="680"/>
        <w:rPr>
          <w:u w:val="single"/>
        </w:rPr>
      </w:pPr>
      <w:r>
        <w:rPr>
          <w:u w:val="single"/>
        </w:rPr>
        <w:tab/>
      </w:r>
    </w:p>
  </w:footnote>
  <w:footnote w:type="continuationSeparator" w:id="0">
    <w:p w:rsidR="00E32C02" w:rsidRPr="00AC3823" w:rsidRDefault="00E32C02" w:rsidP="00AC3823">
      <w:pPr>
        <w:pStyle w:val="Footer"/>
        <w:tabs>
          <w:tab w:val="right" w:pos="2155"/>
        </w:tabs>
        <w:spacing w:after="80" w:line="240" w:lineRule="atLeast"/>
        <w:ind w:left="680"/>
        <w:rPr>
          <w:u w:val="single"/>
        </w:rPr>
      </w:pPr>
      <w:r>
        <w:rPr>
          <w:u w:val="single"/>
        </w:rPr>
        <w:tab/>
      </w:r>
    </w:p>
  </w:footnote>
  <w:footnote w:type="continuationNotice" w:id="1">
    <w:p w:rsidR="00E32C02" w:rsidRPr="00AC3823" w:rsidRDefault="00E32C02">
      <w:pPr>
        <w:spacing w:line="240" w:lineRule="auto"/>
        <w:rPr>
          <w:sz w:val="2"/>
          <w:szCs w:val="2"/>
        </w:rPr>
      </w:pPr>
    </w:p>
  </w:footnote>
  <w:footnote w:id="2">
    <w:p w:rsidR="00AF0FAE" w:rsidRPr="00AE177F" w:rsidRDefault="007076D7" w:rsidP="007076D7">
      <w:pPr>
        <w:pStyle w:val="FootnoteText"/>
      </w:pPr>
      <w:r>
        <w:rPr>
          <w:lang w:val="fr-FR"/>
        </w:rPr>
        <w:tab/>
      </w:r>
      <w:r w:rsidR="00AF0FAE" w:rsidRPr="006214A9">
        <w:rPr>
          <w:rStyle w:val="FootnoteReference"/>
        </w:rPr>
        <w:footnoteRef/>
      </w:r>
      <w:r w:rsidR="00AF0FAE">
        <w:rPr>
          <w:lang w:val="fr-FR"/>
        </w:rPr>
        <w:tab/>
        <w:t>Conformément au programme de travail du Sous</w:t>
      </w:r>
      <w:r w:rsidR="0059785D">
        <w:rPr>
          <w:lang w:val="fr-FR"/>
        </w:rPr>
        <w:noBreakHyphen/>
      </w:r>
      <w:r w:rsidR="00AF0FAE">
        <w:rPr>
          <w:lang w:val="fr-FR"/>
        </w:rPr>
        <w:t>Comité pour la période 2017</w:t>
      </w:r>
      <w:r w:rsidR="0059785D">
        <w:rPr>
          <w:lang w:val="fr-FR"/>
        </w:rPr>
        <w:noBreakHyphen/>
      </w:r>
      <w:r w:rsidR="00AF0FAE">
        <w:rPr>
          <w:lang w:val="fr-FR"/>
        </w:rPr>
        <w:t xml:space="preserve">2018 tel qu’approuvé par le Comité à sa huitième session </w:t>
      </w:r>
      <w:r>
        <w:rPr>
          <w:lang w:val="fr-FR"/>
        </w:rPr>
        <w:t>(voir ST/SG/AC.10/C.3/100, par. </w:t>
      </w:r>
      <w:r w:rsidR="00AF0FAE">
        <w:rPr>
          <w:lang w:val="fr-FR"/>
        </w:rPr>
        <w:t>98,</w:t>
      </w:r>
      <w:r>
        <w:rPr>
          <w:lang w:val="fr-FR"/>
        </w:rPr>
        <w:t xml:space="preserve"> et ST/SG/AC.10/44, par. </w:t>
      </w:r>
      <w:r w:rsidR="00AF0FAE">
        <w:rPr>
          <w:lang w:val="fr-FR"/>
        </w:rPr>
        <w:t>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EB" w:rsidRPr="00C43BEB" w:rsidRDefault="00246783">
    <w:pPr>
      <w:pStyle w:val="Header"/>
    </w:pPr>
    <w:r>
      <w:fldChar w:fldCharType="begin"/>
    </w:r>
    <w:r>
      <w:instrText xml:space="preserve"> TITLE  \* MERGEFORMAT </w:instrText>
    </w:r>
    <w:r>
      <w:fldChar w:fldCharType="separate"/>
    </w:r>
    <w:r>
      <w:t>ST/SG/AC.10/C.3/2017/50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EB" w:rsidRPr="00C43BEB" w:rsidRDefault="00246783" w:rsidP="00C43BEB">
    <w:pPr>
      <w:pStyle w:val="Header"/>
      <w:jc w:val="right"/>
    </w:pPr>
    <w:r>
      <w:fldChar w:fldCharType="begin"/>
    </w:r>
    <w:r>
      <w:instrText xml:space="preserve"> TITLE  \* MERGEFORMAT </w:instrText>
    </w:r>
    <w:r>
      <w:fldChar w:fldCharType="separate"/>
    </w:r>
    <w:r>
      <w:t>ST/SG/AC.10/C.3/2017/50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02"/>
    <w:rsid w:val="00017F94"/>
    <w:rsid w:val="00023842"/>
    <w:rsid w:val="000305D3"/>
    <w:rsid w:val="000334F9"/>
    <w:rsid w:val="0007796D"/>
    <w:rsid w:val="000B7790"/>
    <w:rsid w:val="00111F2F"/>
    <w:rsid w:val="00132EA9"/>
    <w:rsid w:val="0014365E"/>
    <w:rsid w:val="00176178"/>
    <w:rsid w:val="001F525A"/>
    <w:rsid w:val="00223272"/>
    <w:rsid w:val="00245052"/>
    <w:rsid w:val="00246783"/>
    <w:rsid w:val="0024779E"/>
    <w:rsid w:val="00283190"/>
    <w:rsid w:val="002832AC"/>
    <w:rsid w:val="002D7C93"/>
    <w:rsid w:val="00384420"/>
    <w:rsid w:val="003C202A"/>
    <w:rsid w:val="0042148E"/>
    <w:rsid w:val="00437611"/>
    <w:rsid w:val="00441C3B"/>
    <w:rsid w:val="00446FE5"/>
    <w:rsid w:val="00452396"/>
    <w:rsid w:val="004E468C"/>
    <w:rsid w:val="005505B7"/>
    <w:rsid w:val="005565F9"/>
    <w:rsid w:val="00573BE5"/>
    <w:rsid w:val="00584DC4"/>
    <w:rsid w:val="00586ED3"/>
    <w:rsid w:val="00596AA9"/>
    <w:rsid w:val="0059785D"/>
    <w:rsid w:val="005C013C"/>
    <w:rsid w:val="00623CD1"/>
    <w:rsid w:val="00634B0F"/>
    <w:rsid w:val="00677B8A"/>
    <w:rsid w:val="0068456F"/>
    <w:rsid w:val="007076D7"/>
    <w:rsid w:val="0071601D"/>
    <w:rsid w:val="007266D3"/>
    <w:rsid w:val="007A62E6"/>
    <w:rsid w:val="0080684C"/>
    <w:rsid w:val="00871C75"/>
    <w:rsid w:val="008776DC"/>
    <w:rsid w:val="008A695D"/>
    <w:rsid w:val="008B40CD"/>
    <w:rsid w:val="00914DA3"/>
    <w:rsid w:val="00922131"/>
    <w:rsid w:val="009705C8"/>
    <w:rsid w:val="009C1CF4"/>
    <w:rsid w:val="00A055BB"/>
    <w:rsid w:val="00A30353"/>
    <w:rsid w:val="00AC3823"/>
    <w:rsid w:val="00AE323C"/>
    <w:rsid w:val="00AF0FAE"/>
    <w:rsid w:val="00B00181"/>
    <w:rsid w:val="00B00B0D"/>
    <w:rsid w:val="00B765F7"/>
    <w:rsid w:val="00BA0CA9"/>
    <w:rsid w:val="00BF1E6F"/>
    <w:rsid w:val="00C00812"/>
    <w:rsid w:val="00C02897"/>
    <w:rsid w:val="00C43BEB"/>
    <w:rsid w:val="00C9725A"/>
    <w:rsid w:val="00CC17DE"/>
    <w:rsid w:val="00D154B7"/>
    <w:rsid w:val="00D3439C"/>
    <w:rsid w:val="00D87B2D"/>
    <w:rsid w:val="00DA3B7E"/>
    <w:rsid w:val="00DB1831"/>
    <w:rsid w:val="00DD3BFD"/>
    <w:rsid w:val="00DF6678"/>
    <w:rsid w:val="00E32C02"/>
    <w:rsid w:val="00E56213"/>
    <w:rsid w:val="00E61423"/>
    <w:rsid w:val="00EF2E22"/>
    <w:rsid w:val="00F01738"/>
    <w:rsid w:val="00F660DF"/>
    <w:rsid w:val="00F730C8"/>
    <w:rsid w:val="00F95C08"/>
    <w:rsid w:val="00FA40E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ST/SG/AC.10/C.3/2017/50</vt:lpstr>
      <vt:lpstr>ST/SG/AC.10/C.3/2017/50</vt:lpstr>
    </vt:vector>
  </TitlesOfParts>
  <Company>DCM</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ST/SG/AC.10/C.3/2017/50</dc:title>
  <dc:creator>DEVOS</dc:creator>
  <cp:lastModifiedBy>Laurence Berthet</cp:lastModifiedBy>
  <cp:revision>3</cp:revision>
  <cp:lastPrinted>2017-10-10T09:00:00Z</cp:lastPrinted>
  <dcterms:created xsi:type="dcterms:W3CDTF">2017-10-10T09:00:00Z</dcterms:created>
  <dcterms:modified xsi:type="dcterms:W3CDTF">2017-10-10T09:01:00Z</dcterms:modified>
</cp:coreProperties>
</file>