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AE177F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373BF8">
              <w:t>7</w:t>
            </w:r>
            <w:r>
              <w:t>/</w:t>
            </w:r>
            <w:r w:rsidR="00AE177F">
              <w:t>50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0506C1" w:rsidP="006D12B1">
            <w:pPr>
              <w:spacing w:line="240" w:lineRule="exact"/>
            </w:pPr>
            <w:r>
              <w:t>5</w:t>
            </w:r>
            <w:bookmarkStart w:id="0" w:name="_GoBack"/>
            <w:bookmarkEnd w:id="0"/>
            <w:r w:rsidR="007B14D9">
              <w:t xml:space="preserve"> </w:t>
            </w:r>
            <w:r w:rsidR="00CE1125">
              <w:t xml:space="preserve">September </w:t>
            </w:r>
            <w:r w:rsidR="00AA6ADE">
              <w:t>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855730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5E3071">
            <w:pPr>
              <w:spacing w:after="120"/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1F2D80">
              <w:rPr>
                <w:b/>
              </w:rPr>
              <w:t>ifty-second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1F2D80">
              <w:t>27 November</w:t>
            </w:r>
            <w:r>
              <w:t>-</w:t>
            </w:r>
            <w:r w:rsidR="001F2D80">
              <w:t>6 December 2017</w:t>
            </w:r>
          </w:p>
          <w:p w:rsidR="00CE1125" w:rsidRDefault="00CE1125" w:rsidP="00CE1125">
            <w:pPr>
              <w:rPr>
                <w:b/>
              </w:rPr>
            </w:pPr>
            <w:r w:rsidRPr="007B2B1F">
              <w:t xml:space="preserve">Item </w:t>
            </w:r>
            <w:r>
              <w:t>2 (</w:t>
            </w:r>
            <w:r w:rsidR="00AE177F">
              <w:t>a</w:t>
            </w:r>
            <w:r>
              <w:t>)</w:t>
            </w:r>
            <w:r w:rsidRPr="007B2B1F">
              <w:t xml:space="preserve"> of the provisional agenda</w:t>
            </w:r>
            <w:r w:rsidRPr="007B2B1F">
              <w:rPr>
                <w:b/>
              </w:rPr>
              <w:t xml:space="preserve"> </w:t>
            </w:r>
            <w:r w:rsidRPr="007B2B1F">
              <w:rPr>
                <w:b/>
              </w:rPr>
              <w:br/>
            </w:r>
            <w:r w:rsidR="005E3071" w:rsidRPr="005E3071">
              <w:rPr>
                <w:b/>
              </w:rPr>
              <w:t xml:space="preserve">Explosives and related matters: </w:t>
            </w:r>
            <w:r w:rsidR="005E3071" w:rsidRPr="005E3071">
              <w:rPr>
                <w:b/>
              </w:rPr>
              <w:br/>
            </w:r>
            <w:r w:rsidR="00AE177F">
              <w:rPr>
                <w:b/>
              </w:rPr>
              <w:t>r</w:t>
            </w:r>
            <w:r w:rsidR="00AE177F" w:rsidRPr="00AE177F">
              <w:rPr>
                <w:b/>
              </w:rPr>
              <w:t>eview of test series 6</w:t>
            </w:r>
          </w:p>
          <w:p w:rsidR="009B371C" w:rsidRPr="00530504" w:rsidRDefault="009B371C" w:rsidP="004A7D33">
            <w:pPr>
              <w:rPr>
                <w:b/>
              </w:rPr>
            </w:pPr>
          </w:p>
        </w:tc>
      </w:tr>
    </w:tbl>
    <w:p w:rsidR="00AE177F" w:rsidRDefault="00AE177F" w:rsidP="00AE177F">
      <w:pPr>
        <w:pStyle w:val="HChG"/>
      </w:pPr>
      <w:r>
        <w:tab/>
      </w:r>
      <w:r>
        <w:tab/>
        <w:t>Disruption criterion of Test Series 6(d)</w:t>
      </w:r>
    </w:p>
    <w:p w:rsidR="00AE177F" w:rsidRDefault="00AE177F" w:rsidP="00AE177F">
      <w:pPr>
        <w:pStyle w:val="H1G"/>
      </w:pPr>
      <w:r>
        <w:tab/>
      </w:r>
      <w:r>
        <w:tab/>
        <w:t>Transmitted by the Sporting Arms and Ammunition Manufacturers’ Institute (SAAMI)</w:t>
      </w:r>
      <w:r>
        <w:rPr>
          <w:rStyle w:val="FootnoteReference"/>
        </w:rPr>
        <w:footnoteReference w:id="2"/>
      </w:r>
    </w:p>
    <w:p w:rsidR="00AE177F" w:rsidRDefault="00AE177F" w:rsidP="00AE177F">
      <w:pPr>
        <w:pStyle w:val="HChG"/>
      </w:pPr>
      <w:r>
        <w:tab/>
      </w:r>
      <w:r>
        <w:tab/>
        <w:t>Introduction</w:t>
      </w:r>
    </w:p>
    <w:p w:rsidR="00AE177F" w:rsidRDefault="00AE177F" w:rsidP="00AE177F">
      <w:pPr>
        <w:pStyle w:val="SingleTxtG"/>
      </w:pPr>
      <w:r>
        <w:t>1.</w:t>
      </w:r>
      <w:r>
        <w:tab/>
        <w:t xml:space="preserve">SAAMI </w:t>
      </w:r>
      <w:r w:rsidRPr="00AE177F">
        <w:t>requests</w:t>
      </w:r>
      <w:r>
        <w:t xml:space="preserve"> action by the Working Group on Explosives to determine the necessity and appropriateness of the Test Series 6(d) criterion for disruption of a package.</w:t>
      </w:r>
    </w:p>
    <w:p w:rsidR="00AE177F" w:rsidRDefault="00AE177F" w:rsidP="00AE177F">
      <w:pPr>
        <w:pStyle w:val="HChG"/>
      </w:pPr>
      <w:r w:rsidRPr="008B2287">
        <w:tab/>
      </w:r>
      <w:r w:rsidRPr="008B2287">
        <w:tab/>
      </w:r>
      <w:r>
        <w:t>Discussion</w:t>
      </w:r>
    </w:p>
    <w:p w:rsidR="00AE177F" w:rsidRDefault="00AE177F" w:rsidP="00AE177F">
      <w:pPr>
        <w:pStyle w:val="SingleTxtG"/>
      </w:pPr>
      <w:r>
        <w:t>2.</w:t>
      </w:r>
      <w:r>
        <w:tab/>
      </w:r>
      <w:r w:rsidRPr="00BE323C">
        <w:t xml:space="preserve">Test series 6(d) lists four criteria which are intended to be indicative of “hazardous effects” </w:t>
      </w:r>
      <w:r>
        <w:t>extending beyond the package:</w:t>
      </w:r>
    </w:p>
    <w:p w:rsidR="00AE177F" w:rsidRPr="00AE177F" w:rsidRDefault="00AE177F" w:rsidP="00AE177F">
      <w:pPr>
        <w:pStyle w:val="SingleTxtG"/>
        <w:ind w:left="1701"/>
      </w:pPr>
      <w:r>
        <w:t>(a)</w:t>
      </w:r>
      <w:r>
        <w:tab/>
      </w:r>
      <w:r w:rsidRPr="00AE177F">
        <w:t>Denting or perforation of the witness plate beneath the package;</w:t>
      </w:r>
    </w:p>
    <w:p w:rsidR="00AE177F" w:rsidRPr="00AE177F" w:rsidRDefault="00AE177F" w:rsidP="00AE177F">
      <w:pPr>
        <w:pStyle w:val="SingleTxtG"/>
        <w:ind w:left="1701"/>
      </w:pPr>
      <w:r>
        <w:t>(b)</w:t>
      </w:r>
      <w:r>
        <w:tab/>
      </w:r>
      <w:r w:rsidRPr="00AE177F">
        <w:t>A flash or flame that ignites an adjacent material such as a sheet of 80 ± 3 g/m² paper at a distance of 25 cm from the package;</w:t>
      </w:r>
    </w:p>
    <w:p w:rsidR="00AE177F" w:rsidRPr="00AE177F" w:rsidRDefault="00AE177F" w:rsidP="00AE177F">
      <w:pPr>
        <w:pStyle w:val="SingleTxtG"/>
        <w:ind w:left="1701"/>
      </w:pPr>
      <w:r>
        <w:t>(c)</w:t>
      </w:r>
      <w:r>
        <w:tab/>
      </w:r>
      <w:r w:rsidRPr="00AE177F">
        <w:t>Disruption of the package causing projection of the explosives contents; or</w:t>
      </w:r>
    </w:p>
    <w:p w:rsidR="00AE177F" w:rsidRPr="00AE177F" w:rsidRDefault="00AE177F" w:rsidP="00AE177F">
      <w:pPr>
        <w:pStyle w:val="SingleTxtG"/>
        <w:ind w:left="1701"/>
      </w:pPr>
      <w:r>
        <w:t>(d)</w:t>
      </w:r>
      <w:r>
        <w:tab/>
      </w:r>
      <w:r w:rsidRPr="00AE177F">
        <w:t>A projection which passes completely through the packaging (a projection or fragment</w:t>
      </w:r>
      <w:r>
        <w:t>.</w:t>
      </w:r>
    </w:p>
    <w:p w:rsidR="00AE177F" w:rsidRDefault="00AE177F" w:rsidP="00AE177F">
      <w:pPr>
        <w:pStyle w:val="SingleTxtG"/>
      </w:pPr>
      <w:r>
        <w:lastRenderedPageBreak/>
        <w:t>3.</w:t>
      </w:r>
      <w:r>
        <w:tab/>
        <w:t xml:space="preserve">A review of these four criteria shows that some established hazardous effects include impacts to a witness plate, a flame </w:t>
      </w:r>
      <w:r w:rsidRPr="00AE177F">
        <w:t>capable</w:t>
      </w:r>
      <w:r>
        <w:t xml:space="preserve"> of igniting adjacent materials, and a projection which leaves the package. In the case of a projection, the term “hazardous effect” is not defined and is subject to interpretation. It is common for competent authorities to use judgment to allow some minor non-hazardous projections outside the package. </w:t>
      </w:r>
    </w:p>
    <w:p w:rsidR="00AE177F" w:rsidRDefault="00AE177F" w:rsidP="00AE177F">
      <w:pPr>
        <w:pStyle w:val="SingleTxtG"/>
      </w:pPr>
      <w:r>
        <w:t>4.</w:t>
      </w:r>
      <w:r>
        <w:tab/>
        <w:t xml:space="preserve">In the initiative to create the 6(d) test in the Manual of Tests and Criteria, a justification was that there was no test to implement the text of the definition for Division 1.4, Compatibility Group S, which is defined in the Model Regulations, Section 2.1.2.1.1 as: </w:t>
      </w:r>
    </w:p>
    <w:p w:rsidR="00AE177F" w:rsidRDefault="00AE177F" w:rsidP="00AE177F">
      <w:pPr>
        <w:pStyle w:val="SingleTxtG"/>
        <w:ind w:left="1701"/>
      </w:pPr>
      <w:r>
        <w:t>“</w:t>
      </w:r>
      <w:r w:rsidRPr="008B2287">
        <w:t xml:space="preserve">Substance or article so packed or designed that </w:t>
      </w:r>
      <w:r w:rsidRPr="00AE177F">
        <w:rPr>
          <w:u w:val="single"/>
        </w:rPr>
        <w:t>any hazardous effects arising from accidental functioning are confined within the package unless the package has been degraded by fire</w:t>
      </w:r>
      <w:r w:rsidRPr="008B2287">
        <w:t xml:space="preserve">, in which case all blast or projection effects are limited to the </w:t>
      </w:r>
      <w:r w:rsidRPr="00AE177F">
        <w:t>extent</w:t>
      </w:r>
      <w:r w:rsidRPr="008B2287">
        <w:t xml:space="preserve"> that they do not significantly hinder or prohibit </w:t>
      </w:r>
      <w:proofErr w:type="spellStart"/>
      <w:r w:rsidRPr="008B2287">
        <w:t>fire fighting</w:t>
      </w:r>
      <w:proofErr w:type="spellEnd"/>
      <w:r w:rsidRPr="008B2287">
        <w:t xml:space="preserve"> or other emergency response efforts in the immediate vicinity of the package</w:t>
      </w:r>
      <w:r>
        <w:t>.”</w:t>
      </w:r>
    </w:p>
    <w:p w:rsidR="00AE177F" w:rsidRDefault="00AE177F" w:rsidP="00AE177F">
      <w:pPr>
        <w:pStyle w:val="SingleTxtG"/>
      </w:pPr>
      <w:r>
        <w:t xml:space="preserve">It was argued that this is a two-part definition, and that Test Series 6(c) implemented the second scenario where the </w:t>
      </w:r>
      <w:r w:rsidRPr="00AE177F">
        <w:t>package</w:t>
      </w:r>
      <w:r>
        <w:t xml:space="preserve"> has been degraded by fire, but there was no test to implement the first scenario (underlined above) that “</w:t>
      </w:r>
      <w:r w:rsidRPr="008B2287">
        <w:t>any hazardous effects arising from accidental functioning are confined within the package</w:t>
      </w:r>
      <w:r>
        <w:t>”. Test Series 6(d) test was adopted to address this potential gap.</w:t>
      </w:r>
    </w:p>
    <w:p w:rsidR="00AE177F" w:rsidRDefault="00AE177F" w:rsidP="00AE177F">
      <w:pPr>
        <w:pStyle w:val="SingleTxtG"/>
      </w:pPr>
      <w:r>
        <w:t>5.</w:t>
      </w:r>
      <w:r>
        <w:tab/>
        <w:t>This proposal addresses the criterion “(c) Disruption of the package causing projection of the explosives contents;</w:t>
      </w:r>
      <w:proofErr w:type="gramStart"/>
      <w:r>
        <w:t>”.</w:t>
      </w:r>
      <w:proofErr w:type="gramEnd"/>
      <w:r>
        <w:t xml:space="preserve"> The concept is that un-initiated explosives may present a hazard for a secondary incident during emergency response, similar to a spill. In SAAMI’s opinion, this is a novel concept not included in the text of the Model Regulations, </w:t>
      </w:r>
      <w:proofErr w:type="gramStart"/>
      <w:r>
        <w:t>nor</w:t>
      </w:r>
      <w:proofErr w:type="gramEnd"/>
      <w:r>
        <w:t xml:space="preserve"> in the justification for including Test Series 6(d). We can foresee a proposal at some stage to put text in the Model Regulations to cover this criterion which otherwise is unnecessary. We propose instead to remove this criterion.</w:t>
      </w:r>
    </w:p>
    <w:p w:rsidR="00AE177F" w:rsidRDefault="00AE177F" w:rsidP="00AE177F">
      <w:pPr>
        <w:pStyle w:val="HChG"/>
      </w:pPr>
      <w:r>
        <w:tab/>
      </w:r>
      <w:r>
        <w:tab/>
        <w:t>Proposal</w:t>
      </w:r>
    </w:p>
    <w:p w:rsidR="00AE177F" w:rsidRDefault="00AE177F" w:rsidP="00AE177F">
      <w:pPr>
        <w:pStyle w:val="SingleTxtG"/>
      </w:pPr>
      <w:r>
        <w:t>6.</w:t>
      </w:r>
      <w:r>
        <w:tab/>
        <w:t xml:space="preserve">SAAMI proposes to delete the “disruption” </w:t>
      </w:r>
      <w:r w:rsidRPr="00AE177F">
        <w:t>criterion</w:t>
      </w:r>
      <w:r>
        <w:t xml:space="preserve"> of Test Series 6(d), subject to discussion within the Working Group on Explosives.</w:t>
      </w:r>
    </w:p>
    <w:p w:rsidR="00AE177F" w:rsidRPr="00AE177F" w:rsidRDefault="00AE177F" w:rsidP="00AE177F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14D9" w:rsidRPr="00387EA9" w:rsidRDefault="007B14D9" w:rsidP="00AE177F">
      <w:pPr>
        <w:pStyle w:val="HChG"/>
        <w:rPr>
          <w:u w:val="single"/>
        </w:rPr>
      </w:pPr>
    </w:p>
    <w:sectPr w:rsidR="007B14D9" w:rsidRPr="00387EA9" w:rsidSect="001D3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25" w:rsidRDefault="00CE1125"/>
  </w:endnote>
  <w:endnote w:type="continuationSeparator" w:id="0">
    <w:p w:rsidR="00CE1125" w:rsidRDefault="00CE1125"/>
  </w:endnote>
  <w:endnote w:type="continuationNotice" w:id="1">
    <w:p w:rsidR="00CE1125" w:rsidRDefault="00CE1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5" w:rsidRPr="006D12B1" w:rsidRDefault="00CE112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0506C1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5" w:rsidRPr="006D12B1" w:rsidRDefault="00CE112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25" w:rsidRPr="000B175B" w:rsidRDefault="00CE112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1125" w:rsidRPr="00FC68B7" w:rsidRDefault="00CE112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E1125" w:rsidRDefault="00CE1125"/>
  </w:footnote>
  <w:footnote w:id="2">
    <w:p w:rsidR="00AE177F" w:rsidRPr="00AE177F" w:rsidRDefault="00AE177F" w:rsidP="00AE177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5" w:rsidRPr="006D12B1" w:rsidRDefault="00AE177F">
    <w:pPr>
      <w:pStyle w:val="Header"/>
    </w:pPr>
    <w:r>
      <w:t>ST/SG/AC.10/C.3/2017/50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5" w:rsidRPr="006D12B1" w:rsidRDefault="00CE1125" w:rsidP="006D12B1">
    <w:pPr>
      <w:pStyle w:val="Header"/>
      <w:jc w:val="right"/>
    </w:pPr>
    <w:r>
      <w:t>ST/SG/AC.10/C.3/2017/30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25" w:rsidRDefault="00CE1125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C357C3"/>
    <w:multiLevelType w:val="hybridMultilevel"/>
    <w:tmpl w:val="40CE9B4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26D1DF0"/>
    <w:multiLevelType w:val="hybridMultilevel"/>
    <w:tmpl w:val="CB3EC580"/>
    <w:lvl w:ilvl="0" w:tplc="C1A8D9E6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55D937BF"/>
    <w:multiLevelType w:val="hybridMultilevel"/>
    <w:tmpl w:val="A96ABAC6"/>
    <w:lvl w:ilvl="0" w:tplc="7D1C43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FA9764C"/>
    <w:multiLevelType w:val="hybridMultilevel"/>
    <w:tmpl w:val="26027376"/>
    <w:lvl w:ilvl="0" w:tplc="7D1C43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1"/>
  </w:num>
  <w:num w:numId="14">
    <w:abstractNumId w:val="23"/>
  </w:num>
  <w:num w:numId="15">
    <w:abstractNumId w:val="27"/>
  </w:num>
  <w:num w:numId="16">
    <w:abstractNumId w:val="15"/>
  </w:num>
  <w:num w:numId="17">
    <w:abstractNumId w:val="18"/>
  </w:num>
  <w:num w:numId="18">
    <w:abstractNumId w:val="17"/>
  </w:num>
  <w:num w:numId="19">
    <w:abstractNumId w:val="26"/>
  </w:num>
  <w:num w:numId="20">
    <w:abstractNumId w:val="21"/>
  </w:num>
  <w:num w:numId="21">
    <w:abstractNumId w:val="16"/>
  </w:num>
  <w:num w:numId="22">
    <w:abstractNumId w:val="10"/>
  </w:num>
  <w:num w:numId="23">
    <w:abstractNumId w:val="24"/>
  </w:num>
  <w:num w:numId="24">
    <w:abstractNumId w:val="19"/>
  </w:num>
  <w:num w:numId="25">
    <w:abstractNumId w:val="12"/>
  </w:num>
  <w:num w:numId="26">
    <w:abstractNumId w:val="20"/>
  </w:num>
  <w:num w:numId="27">
    <w:abstractNumId w:val="25"/>
  </w:num>
  <w:num w:numId="2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23F08"/>
    <w:rsid w:val="00047D68"/>
    <w:rsid w:val="00047F82"/>
    <w:rsid w:val="000504CE"/>
    <w:rsid w:val="000506C1"/>
    <w:rsid w:val="00050F6B"/>
    <w:rsid w:val="00064FD7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15C6E"/>
    <w:rsid w:val="00117787"/>
    <w:rsid w:val="001206C9"/>
    <w:rsid w:val="00130876"/>
    <w:rsid w:val="00131D42"/>
    <w:rsid w:val="001549EA"/>
    <w:rsid w:val="001633FB"/>
    <w:rsid w:val="00167786"/>
    <w:rsid w:val="001A537C"/>
    <w:rsid w:val="001B42B4"/>
    <w:rsid w:val="001B4B04"/>
    <w:rsid w:val="001C0631"/>
    <w:rsid w:val="001C6663"/>
    <w:rsid w:val="001C7526"/>
    <w:rsid w:val="001C7895"/>
    <w:rsid w:val="001D26DF"/>
    <w:rsid w:val="001D2FDC"/>
    <w:rsid w:val="001D31FD"/>
    <w:rsid w:val="001D79DB"/>
    <w:rsid w:val="001F2D80"/>
    <w:rsid w:val="001F3FA0"/>
    <w:rsid w:val="001F4C6A"/>
    <w:rsid w:val="0020083C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66652"/>
    <w:rsid w:val="002725CA"/>
    <w:rsid w:val="00274950"/>
    <w:rsid w:val="00280EB7"/>
    <w:rsid w:val="00286006"/>
    <w:rsid w:val="00286DC6"/>
    <w:rsid w:val="002B1CDA"/>
    <w:rsid w:val="002C1AE8"/>
    <w:rsid w:val="002E3E7B"/>
    <w:rsid w:val="0030379C"/>
    <w:rsid w:val="00306458"/>
    <w:rsid w:val="003107FA"/>
    <w:rsid w:val="0032058E"/>
    <w:rsid w:val="003229D8"/>
    <w:rsid w:val="00337633"/>
    <w:rsid w:val="0034759C"/>
    <w:rsid w:val="003603DF"/>
    <w:rsid w:val="0036127B"/>
    <w:rsid w:val="00373BF8"/>
    <w:rsid w:val="003770E6"/>
    <w:rsid w:val="0039277A"/>
    <w:rsid w:val="00397267"/>
    <w:rsid w:val="003972E0"/>
    <w:rsid w:val="003A0C75"/>
    <w:rsid w:val="003A25EB"/>
    <w:rsid w:val="003A58B0"/>
    <w:rsid w:val="003B3726"/>
    <w:rsid w:val="003C24C1"/>
    <w:rsid w:val="003C2CC4"/>
    <w:rsid w:val="003C7B41"/>
    <w:rsid w:val="003D4B23"/>
    <w:rsid w:val="003E211B"/>
    <w:rsid w:val="003E5B28"/>
    <w:rsid w:val="0042233A"/>
    <w:rsid w:val="004325CB"/>
    <w:rsid w:val="00437F3F"/>
    <w:rsid w:val="00442DF8"/>
    <w:rsid w:val="00446DE4"/>
    <w:rsid w:val="00454036"/>
    <w:rsid w:val="004633B2"/>
    <w:rsid w:val="00465AFB"/>
    <w:rsid w:val="00477705"/>
    <w:rsid w:val="00477D30"/>
    <w:rsid w:val="00483009"/>
    <w:rsid w:val="00485492"/>
    <w:rsid w:val="004A7D33"/>
    <w:rsid w:val="004B2C9D"/>
    <w:rsid w:val="004C1373"/>
    <w:rsid w:val="004C6FBA"/>
    <w:rsid w:val="004D56C3"/>
    <w:rsid w:val="004E05DD"/>
    <w:rsid w:val="004E596F"/>
    <w:rsid w:val="004F0881"/>
    <w:rsid w:val="004F3384"/>
    <w:rsid w:val="004F7921"/>
    <w:rsid w:val="00527910"/>
    <w:rsid w:val="00530504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E3071"/>
    <w:rsid w:val="005F7326"/>
    <w:rsid w:val="00600B82"/>
    <w:rsid w:val="00606F29"/>
    <w:rsid w:val="00610208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330"/>
    <w:rsid w:val="00755888"/>
    <w:rsid w:val="00774DC9"/>
    <w:rsid w:val="00790791"/>
    <w:rsid w:val="0079329B"/>
    <w:rsid w:val="00796AE1"/>
    <w:rsid w:val="007A022A"/>
    <w:rsid w:val="007B08A0"/>
    <w:rsid w:val="007B14D9"/>
    <w:rsid w:val="007B1A7E"/>
    <w:rsid w:val="007B6BA5"/>
    <w:rsid w:val="007B77FB"/>
    <w:rsid w:val="007C2411"/>
    <w:rsid w:val="007C3390"/>
    <w:rsid w:val="007C4F4B"/>
    <w:rsid w:val="007E79E3"/>
    <w:rsid w:val="007F6611"/>
    <w:rsid w:val="00800367"/>
    <w:rsid w:val="00802FA3"/>
    <w:rsid w:val="008175E9"/>
    <w:rsid w:val="00823B1A"/>
    <w:rsid w:val="008242D7"/>
    <w:rsid w:val="00824C37"/>
    <w:rsid w:val="00855730"/>
    <w:rsid w:val="008650F3"/>
    <w:rsid w:val="00871FD5"/>
    <w:rsid w:val="00876878"/>
    <w:rsid w:val="00884FD0"/>
    <w:rsid w:val="008910B9"/>
    <w:rsid w:val="00895E97"/>
    <w:rsid w:val="00897198"/>
    <w:rsid w:val="008979B1"/>
    <w:rsid w:val="008A3016"/>
    <w:rsid w:val="008A3543"/>
    <w:rsid w:val="008A6B25"/>
    <w:rsid w:val="008A6C4F"/>
    <w:rsid w:val="008D53CE"/>
    <w:rsid w:val="008E071B"/>
    <w:rsid w:val="008E0E46"/>
    <w:rsid w:val="008F79EE"/>
    <w:rsid w:val="00904B37"/>
    <w:rsid w:val="009169CB"/>
    <w:rsid w:val="00922550"/>
    <w:rsid w:val="009255A2"/>
    <w:rsid w:val="0093551D"/>
    <w:rsid w:val="009434B3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A7613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A6ADE"/>
    <w:rsid w:val="00AC12E0"/>
    <w:rsid w:val="00AC4017"/>
    <w:rsid w:val="00AE06E2"/>
    <w:rsid w:val="00AE177F"/>
    <w:rsid w:val="00AF17E0"/>
    <w:rsid w:val="00AF523B"/>
    <w:rsid w:val="00AF7238"/>
    <w:rsid w:val="00B30179"/>
    <w:rsid w:val="00B3094C"/>
    <w:rsid w:val="00B3317B"/>
    <w:rsid w:val="00B4226A"/>
    <w:rsid w:val="00B431FF"/>
    <w:rsid w:val="00B5451D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5304E"/>
    <w:rsid w:val="00C62F76"/>
    <w:rsid w:val="00C667E3"/>
    <w:rsid w:val="00C745C3"/>
    <w:rsid w:val="00C7487E"/>
    <w:rsid w:val="00C97788"/>
    <w:rsid w:val="00CA2FB6"/>
    <w:rsid w:val="00CB64AE"/>
    <w:rsid w:val="00CC0534"/>
    <w:rsid w:val="00CC5473"/>
    <w:rsid w:val="00CC5FB1"/>
    <w:rsid w:val="00CD3225"/>
    <w:rsid w:val="00CD5FED"/>
    <w:rsid w:val="00CE1125"/>
    <w:rsid w:val="00CE46BA"/>
    <w:rsid w:val="00CE4A8F"/>
    <w:rsid w:val="00CE57DA"/>
    <w:rsid w:val="00CF03B5"/>
    <w:rsid w:val="00CF5E82"/>
    <w:rsid w:val="00CF7E49"/>
    <w:rsid w:val="00D1626A"/>
    <w:rsid w:val="00D2031B"/>
    <w:rsid w:val="00D24605"/>
    <w:rsid w:val="00D25FE2"/>
    <w:rsid w:val="00D327F7"/>
    <w:rsid w:val="00D35BDD"/>
    <w:rsid w:val="00D36689"/>
    <w:rsid w:val="00D43252"/>
    <w:rsid w:val="00D46231"/>
    <w:rsid w:val="00D625F6"/>
    <w:rsid w:val="00D71E33"/>
    <w:rsid w:val="00D729F2"/>
    <w:rsid w:val="00D753D8"/>
    <w:rsid w:val="00D828D0"/>
    <w:rsid w:val="00D83B2B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37510"/>
    <w:rsid w:val="00F40E75"/>
    <w:rsid w:val="00F46C61"/>
    <w:rsid w:val="00F52545"/>
    <w:rsid w:val="00F54674"/>
    <w:rsid w:val="00F608CD"/>
    <w:rsid w:val="00F845FF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72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AE177F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72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AE177F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5B1C444-6719-4577-AD0C-6A390DBD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3525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2017-09-04T14:37:00Z</cp:lastPrinted>
  <dcterms:created xsi:type="dcterms:W3CDTF">2017-09-04T14:26:00Z</dcterms:created>
  <dcterms:modified xsi:type="dcterms:W3CDTF">2017-09-05T06:07:00Z</dcterms:modified>
</cp:coreProperties>
</file>