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14:paraId="00CAAF3A" w14:textId="77777777" w:rsidTr="00C14945">
        <w:trPr>
          <w:trHeight w:val="851"/>
        </w:trPr>
        <w:tc>
          <w:tcPr>
            <w:tcW w:w="1259" w:type="dxa"/>
            <w:tcBorders>
              <w:top w:val="nil"/>
              <w:left w:val="nil"/>
              <w:bottom w:val="single" w:sz="4" w:space="0" w:color="auto"/>
              <w:right w:val="nil"/>
            </w:tcBorders>
            <w:shd w:val="clear" w:color="auto" w:fill="auto"/>
          </w:tcPr>
          <w:p w14:paraId="4FF11462" w14:textId="77777777" w:rsidR="00C14945"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14:paraId="6EA7D1DC" w14:textId="77777777" w:rsidR="00C14945" w:rsidRPr="000B4E5A" w:rsidRDefault="00C14945" w:rsidP="00C14945">
            <w:pPr>
              <w:spacing w:after="80" w:line="340" w:lineRule="exact"/>
              <w:rPr>
                <w:sz w:val="28"/>
                <w:szCs w:val="28"/>
              </w:rPr>
            </w:pPr>
            <w:r w:rsidRPr="000B4E5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72AD218" w14:textId="61FAD9A8" w:rsidR="00C14945" w:rsidRPr="002309A7" w:rsidRDefault="00C14945" w:rsidP="004F6785">
            <w:pPr>
              <w:suppressAutoHyphens w:val="0"/>
              <w:spacing w:after="20"/>
              <w:jc w:val="right"/>
            </w:pPr>
            <w:r w:rsidRPr="000B4E5A">
              <w:rPr>
                <w:sz w:val="40"/>
              </w:rPr>
              <w:t>ST</w:t>
            </w:r>
            <w:r>
              <w:t>/SG/AC.10/C.3/201</w:t>
            </w:r>
            <w:r w:rsidR="007A049F">
              <w:t>7</w:t>
            </w:r>
            <w:r>
              <w:t>/</w:t>
            </w:r>
            <w:r w:rsidR="00AC49B1">
              <w:t>4</w:t>
            </w:r>
            <w:r w:rsidR="004F6785">
              <w:t>4</w:t>
            </w:r>
          </w:p>
        </w:tc>
      </w:tr>
      <w:tr w:rsidR="00C14945" w14:paraId="7F0A4038" w14:textId="77777777" w:rsidTr="00C14945">
        <w:trPr>
          <w:trHeight w:val="2835"/>
        </w:trPr>
        <w:tc>
          <w:tcPr>
            <w:tcW w:w="1259" w:type="dxa"/>
            <w:tcBorders>
              <w:top w:val="single" w:sz="4" w:space="0" w:color="auto"/>
              <w:left w:val="nil"/>
              <w:bottom w:val="single" w:sz="12" w:space="0" w:color="auto"/>
              <w:right w:val="nil"/>
            </w:tcBorders>
            <w:shd w:val="clear" w:color="auto" w:fill="auto"/>
          </w:tcPr>
          <w:p w14:paraId="7AB0E2A3" w14:textId="77777777" w:rsidR="00C14945" w:rsidRDefault="00485022" w:rsidP="00C14945">
            <w:pPr>
              <w:spacing w:before="120"/>
              <w:jc w:val="center"/>
            </w:pPr>
            <w:r w:rsidRPr="00EA1890">
              <w:rPr>
                <w:noProof/>
                <w:lang w:eastAsia="en-GB"/>
              </w:rPr>
              <w:drawing>
                <wp:inline distT="0" distB="0" distL="0" distR="0" wp14:anchorId="433D7BFA" wp14:editId="28C9F4F2">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6EF38B9D" w14:textId="77777777" w:rsidR="00C14945" w:rsidRPr="000B4E5A" w:rsidRDefault="00C14945" w:rsidP="00C14945">
            <w:pPr>
              <w:spacing w:before="120" w:line="420" w:lineRule="exact"/>
              <w:rPr>
                <w:b/>
                <w:sz w:val="40"/>
                <w:szCs w:val="40"/>
              </w:rPr>
            </w:pPr>
            <w:r w:rsidRPr="000B4E5A">
              <w:rPr>
                <w:b/>
                <w:sz w:val="40"/>
                <w:szCs w:val="40"/>
              </w:rPr>
              <w:t>Secretariat</w:t>
            </w:r>
          </w:p>
        </w:tc>
        <w:tc>
          <w:tcPr>
            <w:tcW w:w="2930" w:type="dxa"/>
            <w:tcBorders>
              <w:top w:val="single" w:sz="4" w:space="0" w:color="auto"/>
              <w:left w:val="nil"/>
              <w:bottom w:val="single" w:sz="12" w:space="0" w:color="auto"/>
              <w:right w:val="nil"/>
            </w:tcBorders>
            <w:shd w:val="clear" w:color="auto" w:fill="auto"/>
          </w:tcPr>
          <w:p w14:paraId="103FE9EB" w14:textId="77777777" w:rsidR="00C14945" w:rsidRDefault="00C14945" w:rsidP="00C14945">
            <w:pPr>
              <w:suppressAutoHyphens w:val="0"/>
              <w:spacing w:before="240" w:line="240" w:lineRule="exact"/>
            </w:pPr>
            <w:r>
              <w:t>Distr.: General</w:t>
            </w:r>
          </w:p>
          <w:p w14:paraId="7EFD94CA" w14:textId="6A431D39" w:rsidR="00C14945" w:rsidRDefault="00C4029D" w:rsidP="00C14945">
            <w:pPr>
              <w:suppressAutoHyphens w:val="0"/>
            </w:pPr>
            <w:r>
              <w:t>5</w:t>
            </w:r>
            <w:r w:rsidR="004F6785">
              <w:t xml:space="preserve"> September</w:t>
            </w:r>
            <w:r w:rsidR="005A6E47">
              <w:t xml:space="preserve"> </w:t>
            </w:r>
            <w:r w:rsidR="00C14945">
              <w:t>201</w:t>
            </w:r>
            <w:r w:rsidR="005A6E47">
              <w:t>7</w:t>
            </w:r>
          </w:p>
          <w:p w14:paraId="614200F7" w14:textId="77777777" w:rsidR="00C14945" w:rsidRDefault="00C14945" w:rsidP="00C14945">
            <w:pPr>
              <w:suppressAutoHyphens w:val="0"/>
            </w:pPr>
          </w:p>
          <w:p w14:paraId="6B333895" w14:textId="77777777" w:rsidR="00C14945" w:rsidRDefault="00C14945" w:rsidP="00C14945">
            <w:pPr>
              <w:suppressAutoHyphens w:val="0"/>
            </w:pPr>
            <w:r>
              <w:t>Original: English</w:t>
            </w:r>
          </w:p>
          <w:p w14:paraId="4E16E9D3" w14:textId="77777777" w:rsidR="00826D9C" w:rsidRDefault="00826D9C" w:rsidP="00C14945">
            <w:pPr>
              <w:suppressAutoHyphens w:val="0"/>
            </w:pPr>
          </w:p>
          <w:p w14:paraId="3C2C0009" w14:textId="1139FF6D" w:rsidR="00826D9C" w:rsidRPr="00826D9C" w:rsidRDefault="00826D9C" w:rsidP="00C14945">
            <w:pPr>
              <w:suppressAutoHyphens w:val="0"/>
              <w:rPr>
                <w:b/>
              </w:rPr>
            </w:pPr>
          </w:p>
        </w:tc>
      </w:tr>
    </w:tbl>
    <w:p w14:paraId="474E9436" w14:textId="77777777" w:rsidR="00C14945" w:rsidRPr="005315A3" w:rsidRDefault="00C14945" w:rsidP="00C14945">
      <w:pPr>
        <w:spacing w:before="120" w:after="120"/>
        <w:rPr>
          <w:b/>
          <w:sz w:val="24"/>
          <w:szCs w:val="24"/>
        </w:rPr>
      </w:pPr>
      <w:r w:rsidRPr="005315A3">
        <w:rPr>
          <w:b/>
          <w:sz w:val="24"/>
          <w:szCs w:val="24"/>
        </w:rPr>
        <w:t>Committee of Experts on the Transport of Dangerous Goods</w:t>
      </w:r>
      <w:r w:rsidRPr="005315A3">
        <w:rPr>
          <w:b/>
          <w:sz w:val="24"/>
          <w:szCs w:val="24"/>
        </w:rPr>
        <w:br/>
        <w:t>and on the Globally Harmonized System of Classification</w:t>
      </w:r>
      <w:r w:rsidRPr="005315A3">
        <w:rPr>
          <w:b/>
          <w:sz w:val="24"/>
          <w:szCs w:val="24"/>
        </w:rPr>
        <w:br/>
        <w:t>and Labelling of Chemicals</w:t>
      </w:r>
    </w:p>
    <w:p w14:paraId="2C98BCCD" w14:textId="77777777" w:rsidR="00C14945" w:rsidRPr="00C115FA" w:rsidRDefault="00C14945" w:rsidP="00C14945">
      <w:pPr>
        <w:spacing w:before="120"/>
        <w:rPr>
          <w:b/>
          <w:lang w:val="en-US"/>
        </w:rPr>
      </w:pPr>
      <w:r w:rsidRPr="00C115FA">
        <w:rPr>
          <w:b/>
          <w:lang w:val="en-US"/>
        </w:rPr>
        <w:t>Sub-Committee of Experts on the Transport of Dangerous Goods</w:t>
      </w:r>
    </w:p>
    <w:p w14:paraId="7A8FCE80" w14:textId="77777777" w:rsidR="00C353D9" w:rsidRPr="006500BA" w:rsidRDefault="00C353D9" w:rsidP="00C353D9">
      <w:pPr>
        <w:spacing w:before="120"/>
        <w:rPr>
          <w:b/>
        </w:rPr>
      </w:pPr>
      <w:r>
        <w:rPr>
          <w:b/>
        </w:rPr>
        <w:t xml:space="preserve">Fifty-second </w:t>
      </w:r>
      <w:proofErr w:type="gramStart"/>
      <w:r w:rsidRPr="006500BA">
        <w:rPr>
          <w:b/>
        </w:rPr>
        <w:t>session</w:t>
      </w:r>
      <w:proofErr w:type="gramEnd"/>
    </w:p>
    <w:p w14:paraId="79F1F005" w14:textId="77777777" w:rsidR="00C353D9" w:rsidRDefault="00C353D9" w:rsidP="00C353D9">
      <w:r w:rsidRPr="006500BA">
        <w:t>Geneva,</w:t>
      </w:r>
      <w:r>
        <w:t xml:space="preserve"> 27 November-6 December 2017</w:t>
      </w:r>
    </w:p>
    <w:p w14:paraId="5191E2D5" w14:textId="4DCCEBDC" w:rsidR="00EC1580" w:rsidRDefault="00C14945" w:rsidP="00C353D9">
      <w:pPr>
        <w:rPr>
          <w:b/>
        </w:rPr>
      </w:pPr>
      <w:r w:rsidRPr="00372BDC">
        <w:t xml:space="preserve">Item </w:t>
      </w:r>
      <w:r w:rsidR="00694E2C">
        <w:t>3</w:t>
      </w:r>
      <w:r>
        <w:t xml:space="preserve"> o</w:t>
      </w:r>
      <w:r w:rsidRPr="00372BDC">
        <w:t>f the provisional agenda</w:t>
      </w:r>
      <w:r w:rsidRPr="00C115FA">
        <w:rPr>
          <w:b/>
          <w:lang w:val="en-US"/>
        </w:rPr>
        <w:t xml:space="preserve"> </w:t>
      </w:r>
      <w:r w:rsidRPr="00C115FA">
        <w:rPr>
          <w:b/>
          <w:lang w:val="en-US"/>
        </w:rPr>
        <w:br/>
      </w:r>
      <w:proofErr w:type="gramStart"/>
      <w:r w:rsidR="00E721B7" w:rsidRPr="00E721B7">
        <w:rPr>
          <w:b/>
        </w:rPr>
        <w:t>Listing</w:t>
      </w:r>
      <w:proofErr w:type="gramEnd"/>
      <w:r w:rsidR="00E721B7" w:rsidRPr="00E721B7">
        <w:rPr>
          <w:b/>
        </w:rPr>
        <w:t>, classification and packing</w:t>
      </w:r>
    </w:p>
    <w:p w14:paraId="76887300" w14:textId="5D01A366" w:rsidR="004F6785" w:rsidRPr="002D128B" w:rsidRDefault="004F6785" w:rsidP="004F6785">
      <w:pPr>
        <w:pStyle w:val="HChG"/>
      </w:pPr>
      <w:r>
        <w:rPr>
          <w:lang w:val="en"/>
        </w:rPr>
        <w:tab/>
      </w:r>
      <w:r>
        <w:rPr>
          <w:lang w:val="en"/>
        </w:rPr>
        <w:tab/>
      </w:r>
      <w:r w:rsidRPr="008D515E">
        <w:rPr>
          <w:lang w:val="en"/>
        </w:rPr>
        <w:t xml:space="preserve">Revision of packing </w:t>
      </w:r>
      <w:r>
        <w:rPr>
          <w:lang w:val="en"/>
        </w:rPr>
        <w:t>i</w:t>
      </w:r>
      <w:r w:rsidRPr="008D515E">
        <w:rPr>
          <w:lang w:val="en"/>
        </w:rPr>
        <w:t>nstruction</w:t>
      </w:r>
      <w:r>
        <w:rPr>
          <w:lang w:val="en"/>
        </w:rPr>
        <w:t xml:space="preserve"> P</w:t>
      </w:r>
      <w:r w:rsidRPr="008D515E">
        <w:rPr>
          <w:lang w:val="en"/>
        </w:rPr>
        <w:t>801</w:t>
      </w:r>
    </w:p>
    <w:p w14:paraId="6BB0AC87" w14:textId="01FEBF28" w:rsidR="004F6785" w:rsidRPr="002D128B" w:rsidRDefault="004F6785" w:rsidP="004F6785">
      <w:pPr>
        <w:pStyle w:val="H1G"/>
      </w:pPr>
      <w:r w:rsidRPr="002D128B">
        <w:rPr>
          <w:rFonts w:eastAsia="MS Mincho"/>
        </w:rPr>
        <w:tab/>
      </w:r>
      <w:r w:rsidRPr="002D128B">
        <w:rPr>
          <w:rFonts w:eastAsia="MS Mincho"/>
        </w:rPr>
        <w:tab/>
        <w:t xml:space="preserve">Transmitted by the </w:t>
      </w:r>
      <w:r>
        <w:rPr>
          <w:rFonts w:eastAsia="MS Mincho"/>
        </w:rPr>
        <w:t>expert</w:t>
      </w:r>
      <w:r w:rsidRPr="002D128B">
        <w:rPr>
          <w:rFonts w:eastAsia="MS Mincho"/>
        </w:rPr>
        <w:t xml:space="preserve"> from </w:t>
      </w:r>
      <w:r>
        <w:rPr>
          <w:rFonts w:eastAsia="MS Mincho"/>
        </w:rPr>
        <w:t>Canada</w:t>
      </w:r>
      <w:r>
        <w:rPr>
          <w:rStyle w:val="FootnoteReference"/>
          <w:rFonts w:eastAsia="MS Mincho"/>
        </w:rPr>
        <w:footnoteReference w:id="2"/>
      </w:r>
    </w:p>
    <w:p w14:paraId="73D795AD" w14:textId="77777777" w:rsidR="004F6785" w:rsidRDefault="004F6785" w:rsidP="004F6785">
      <w:pPr>
        <w:pStyle w:val="HChG"/>
        <w:rPr>
          <w:lang w:val="en"/>
        </w:rPr>
      </w:pPr>
      <w:r w:rsidRPr="002D128B">
        <w:tab/>
      </w:r>
      <w:r w:rsidRPr="002D128B">
        <w:tab/>
      </w:r>
      <w:r w:rsidRPr="008D515E">
        <w:rPr>
          <w:lang w:val="en"/>
        </w:rPr>
        <w:t>Object</w:t>
      </w:r>
      <w:r>
        <w:rPr>
          <w:lang w:val="en"/>
        </w:rPr>
        <w:t>ives</w:t>
      </w:r>
    </w:p>
    <w:p w14:paraId="3095F793" w14:textId="77777777" w:rsidR="004F6785" w:rsidRPr="0078111F" w:rsidRDefault="004F6785" w:rsidP="004F6785">
      <w:pPr>
        <w:pStyle w:val="SingleTxtG"/>
      </w:pPr>
      <w:r>
        <w:t>1.</w:t>
      </w:r>
      <w:r>
        <w:tab/>
        <w:t xml:space="preserve">To </w:t>
      </w:r>
      <w:r w:rsidRPr="0078111F">
        <w:t>modify</w:t>
      </w:r>
      <w:r>
        <w:t xml:space="preserve"> packing instruction P801 in an effort to improve compliance and the safe </w:t>
      </w:r>
      <w:r w:rsidRPr="0078111F">
        <w:t>transport of</w:t>
      </w:r>
      <w:r>
        <w:t xml:space="preserve"> </w:t>
      </w:r>
      <w:r w:rsidRPr="0078111F">
        <w:t>batteries (UN Nos. 2794, 2795 or 3028).</w:t>
      </w:r>
    </w:p>
    <w:p w14:paraId="04478145" w14:textId="77777777" w:rsidR="004F6785" w:rsidRPr="0078111F" w:rsidRDefault="004F6785" w:rsidP="004F6785">
      <w:pPr>
        <w:pStyle w:val="SingleTxtG"/>
      </w:pPr>
      <w:r>
        <w:t>2.</w:t>
      </w:r>
      <w:r>
        <w:tab/>
      </w:r>
      <w:r w:rsidRPr="0078111F">
        <w:t xml:space="preserve">To clarify the </w:t>
      </w:r>
      <w:r>
        <w:t xml:space="preserve">requirements for the </w:t>
      </w:r>
      <w:r w:rsidRPr="0078111F">
        <w:t>transport of used batteries in</w:t>
      </w:r>
      <w:r>
        <w:t xml:space="preserve"> what is currently referred to as</w:t>
      </w:r>
      <w:r w:rsidRPr="0078111F">
        <w:t xml:space="preserve"> </w:t>
      </w:r>
      <w:r>
        <w:t>“</w:t>
      </w:r>
      <w:r w:rsidRPr="0078111F">
        <w:t>battery boxes</w:t>
      </w:r>
      <w:r>
        <w:t>”</w:t>
      </w:r>
      <w:r w:rsidRPr="0078111F">
        <w:t>.</w:t>
      </w:r>
    </w:p>
    <w:p w14:paraId="4636F6C1" w14:textId="77777777" w:rsidR="004F6785" w:rsidRPr="008D515E" w:rsidRDefault="004F6785" w:rsidP="004F6785">
      <w:pPr>
        <w:pStyle w:val="HChG"/>
        <w:rPr>
          <w:lang w:val="en"/>
        </w:rPr>
      </w:pPr>
      <w:r>
        <w:rPr>
          <w:lang w:val="en"/>
        </w:rPr>
        <w:tab/>
      </w:r>
      <w:r>
        <w:rPr>
          <w:lang w:val="en"/>
        </w:rPr>
        <w:tab/>
      </w:r>
      <w:r w:rsidRPr="008D515E">
        <w:rPr>
          <w:lang w:val="en"/>
        </w:rPr>
        <w:t>Introduction</w:t>
      </w:r>
    </w:p>
    <w:p w14:paraId="45A516EA" w14:textId="69B716F6" w:rsidR="004F6785" w:rsidRDefault="004F6785" w:rsidP="004F6785">
      <w:pPr>
        <w:pStyle w:val="SingleTxtG"/>
      </w:pPr>
      <w:r>
        <w:t>3.</w:t>
      </w:r>
      <w:r>
        <w:tab/>
        <w:t>At the forty-ninth and fifty-firs</w:t>
      </w:r>
      <w:r w:rsidR="00C4029D">
        <w:t>t sessions of the Sub-Committee</w:t>
      </w:r>
      <w:r>
        <w:t>, the expert from Canada submitted a formal document (</w:t>
      </w:r>
      <w:r>
        <w:rPr>
          <w:lang w:val="en-CA"/>
        </w:rPr>
        <w:t xml:space="preserve">ST/SG/AC.10/C.3/2016/25) and </w:t>
      </w:r>
      <w:r>
        <w:t>an informal document INF.32 (51</w:t>
      </w:r>
      <w:r w:rsidR="00C4029D">
        <w:t>st</w:t>
      </w:r>
      <w:r>
        <w:t xml:space="preserve"> session) proposing modifications to packing instruction P801. Based on comments received during the two sessions, the expert from Canada is now submitting a revised formal proposal.</w:t>
      </w:r>
    </w:p>
    <w:p w14:paraId="696CEFD0" w14:textId="77777777" w:rsidR="004F6785" w:rsidRDefault="004F6785" w:rsidP="004F6785">
      <w:pPr>
        <w:pStyle w:val="SingleTxtG"/>
      </w:pPr>
      <w:r>
        <w:t>4.</w:t>
      </w:r>
      <w:r>
        <w:tab/>
        <w:t>The goal of this proposal is to address three aspects of the current P801 packing instruction that need attention because they are either unclear or have not been addressed:</w:t>
      </w:r>
    </w:p>
    <w:p w14:paraId="731B706F" w14:textId="489C5E54" w:rsidR="004F6785" w:rsidRDefault="00CD0C35" w:rsidP="004F6785">
      <w:pPr>
        <w:pStyle w:val="SingleTxtG"/>
        <w:ind w:left="1701" w:firstLine="9"/>
        <w:sectPr w:rsidR="004F6785" w:rsidSect="00181506">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r>
        <w:t>(a</w:t>
      </w:r>
      <w:r w:rsidR="004F6785">
        <w:t>)</w:t>
      </w:r>
      <w:r w:rsidR="004F6785">
        <w:tab/>
      </w:r>
      <w:r w:rsidR="004F6785">
        <w:rPr>
          <w:b/>
        </w:rPr>
        <w:t>Release of electrolyte</w:t>
      </w:r>
      <w:r w:rsidR="004F6785">
        <w:t xml:space="preserve">: </w:t>
      </w:r>
      <w:r w:rsidR="004F6785" w:rsidRPr="0078111F">
        <w:t xml:space="preserve">Packing instruction P801 does not currently address batteries that are likely to leak electrolyte. </w:t>
      </w:r>
      <w:r w:rsidR="004F6785">
        <w:t xml:space="preserve">Batteries may be likely to leak electrolyte </w:t>
      </w:r>
    </w:p>
    <w:p w14:paraId="1338F27B" w14:textId="5F3443D7" w:rsidR="004F6785" w:rsidRDefault="004F6785" w:rsidP="004F6785">
      <w:pPr>
        <w:pStyle w:val="SingleTxtG"/>
        <w:ind w:left="1701" w:firstLine="9"/>
      </w:pPr>
      <w:proofErr w:type="gramStart"/>
      <w:r>
        <w:lastRenderedPageBreak/>
        <w:t>because</w:t>
      </w:r>
      <w:proofErr w:type="gramEnd"/>
      <w:r>
        <w:t xml:space="preserve"> of damage to their casing or by design if they are of the flooded type with vented caps. </w:t>
      </w:r>
      <w:r w:rsidRPr="0078111F">
        <w:t>The potential release of electrolyte should be minimized to promote the safe handling and transport of batteries.</w:t>
      </w:r>
    </w:p>
    <w:p w14:paraId="0ABB0C17" w14:textId="4E9184D6" w:rsidR="004F6785" w:rsidRDefault="004F6785" w:rsidP="004F6785">
      <w:pPr>
        <w:pStyle w:val="SingleTxtG"/>
        <w:ind w:left="1701" w:firstLine="9"/>
      </w:pPr>
      <w:r>
        <w:t>(</w:t>
      </w:r>
      <w:r w:rsidR="00CD0C35">
        <w:t>b</w:t>
      </w:r>
      <w:r>
        <w:t xml:space="preserve">) </w:t>
      </w:r>
      <w:r>
        <w:tab/>
      </w:r>
      <w:r w:rsidRPr="00AC41C6">
        <w:rPr>
          <w:b/>
        </w:rPr>
        <w:t>Concept of “battery boxes”:</w:t>
      </w:r>
      <w:r>
        <w:t xml:space="preserve"> </w:t>
      </w:r>
      <w:r w:rsidRPr="0078111F">
        <w:t>Packing instruction P801 puts forward the notion of transporting used batteries loosely in “battery boxes”. It is not clear to the expert of Canada how used batteries can be transported loose and still meet the additional requirements listed in P801 (e.g., packaged or secured to prevent inadvertent movement).</w:t>
      </w:r>
      <w:r>
        <w:t xml:space="preserve"> Also, it was noted by many experts that this concept of “battery box” is not consistent with the definition of a box found in sub-section 1.2.1 of the Recommendations. </w:t>
      </w:r>
    </w:p>
    <w:p w14:paraId="44CB72B2" w14:textId="403366FE" w:rsidR="004F6785" w:rsidRPr="00AC41C6" w:rsidRDefault="004F6785" w:rsidP="004F6785">
      <w:pPr>
        <w:pStyle w:val="SingleTxtG"/>
        <w:ind w:left="1701" w:firstLine="9"/>
        <w:rPr>
          <w:lang w:val="en-CA"/>
        </w:rPr>
      </w:pPr>
      <w:r>
        <w:t>(</w:t>
      </w:r>
      <w:r w:rsidR="00CD0C35">
        <w:t>c</w:t>
      </w:r>
      <w:r>
        <w:t>)</w:t>
      </w:r>
      <w:r>
        <w:tab/>
      </w:r>
      <w:r w:rsidRPr="00AC41C6">
        <w:rPr>
          <w:b/>
        </w:rPr>
        <w:t>Protection against short-circuits</w:t>
      </w:r>
      <w:r>
        <w:t xml:space="preserve">: Packing instruction P801 also requires that every battery transported under this packing instruction be protected against short-circuits. However, this requirement might be overly stringent for used batteries transported for disposal or recycling. </w:t>
      </w:r>
    </w:p>
    <w:p w14:paraId="0FECE3CE" w14:textId="344DAD20" w:rsidR="004F6785" w:rsidRPr="00E71D39" w:rsidRDefault="004F6785" w:rsidP="004F6785">
      <w:pPr>
        <w:pStyle w:val="HChG"/>
      </w:pPr>
      <w:r>
        <w:rPr>
          <w:lang w:val="en"/>
        </w:rPr>
        <w:tab/>
      </w:r>
      <w:r>
        <w:rPr>
          <w:lang w:val="en"/>
        </w:rPr>
        <w:tab/>
      </w:r>
      <w:r w:rsidRPr="00E71D39">
        <w:rPr>
          <w:lang w:val="en"/>
        </w:rPr>
        <w:t>Context</w:t>
      </w:r>
    </w:p>
    <w:p w14:paraId="0DEC100F" w14:textId="77777777" w:rsidR="004F6785" w:rsidRDefault="004F6785" w:rsidP="004F6785">
      <w:pPr>
        <w:pStyle w:val="SingleTxtG"/>
      </w:pPr>
      <w:r>
        <w:t>5.</w:t>
      </w:r>
      <w:r>
        <w:tab/>
      </w:r>
      <w:r w:rsidRPr="0078111F">
        <w:t>It is the experience of the expert of Canada</w:t>
      </w:r>
      <w:r>
        <w:t>, as well as other sub-committee members as noted at the fifty-first session,</w:t>
      </w:r>
      <w:r w:rsidRPr="0078111F">
        <w:t xml:space="preserve"> that persons have trouble understanding and complying with the existing requirements of packing instruction P801. For instance, in Canada, there have been cases where persons have transported batteries loosely in open top bins, believing they were compliant with P801, yet not adhering to the additional requirements. This paper proposes changes to clarify and strengthen existing requirements.</w:t>
      </w:r>
      <w:r>
        <w:t xml:space="preserve"> Note that it is recognized that used non-</w:t>
      </w:r>
      <w:proofErr w:type="spellStart"/>
      <w:r>
        <w:t>spillable</w:t>
      </w:r>
      <w:proofErr w:type="spellEnd"/>
      <w:r>
        <w:t xml:space="preserve"> wet batteries (UN2800) may be mixed in shipment of the dangerous goods that are the subject of this proposal but since new non-</w:t>
      </w:r>
      <w:proofErr w:type="spellStart"/>
      <w:r>
        <w:t>spillable</w:t>
      </w:r>
      <w:proofErr w:type="spellEnd"/>
      <w:r>
        <w:t xml:space="preserve"> wet batteries (UN2800) are assigned to another packing instruction (P003) the transport of used non-</w:t>
      </w:r>
      <w:proofErr w:type="spellStart"/>
      <w:r>
        <w:t>spillable</w:t>
      </w:r>
      <w:proofErr w:type="spellEnd"/>
      <w:r>
        <w:t xml:space="preserve"> wet batteries should be addressed in a separate proposal. </w:t>
      </w:r>
    </w:p>
    <w:p w14:paraId="4E7926D8" w14:textId="77777777" w:rsidR="004F6785" w:rsidRPr="006925FF" w:rsidRDefault="004F6785" w:rsidP="004F6785">
      <w:pPr>
        <w:pStyle w:val="H1G"/>
        <w:rPr>
          <w:lang w:val="en"/>
        </w:rPr>
      </w:pPr>
      <w:r>
        <w:rPr>
          <w:lang w:val="en"/>
        </w:rPr>
        <w:tab/>
      </w:r>
      <w:r>
        <w:rPr>
          <w:lang w:val="en"/>
        </w:rPr>
        <w:tab/>
      </w:r>
      <w:r w:rsidRPr="006925FF">
        <w:rPr>
          <w:lang w:val="en"/>
        </w:rPr>
        <w:t>Release of electrolyte</w:t>
      </w:r>
    </w:p>
    <w:p w14:paraId="18D41C6A" w14:textId="68F5C464" w:rsidR="004F6785" w:rsidRDefault="004F6785" w:rsidP="004F6785">
      <w:pPr>
        <w:pStyle w:val="SingleTxtG"/>
        <w:ind w:left="1138" w:right="1138"/>
      </w:pPr>
      <w:r>
        <w:t>6.</w:t>
      </w:r>
      <w:r>
        <w:tab/>
      </w:r>
      <w:r w:rsidRPr="0078111F">
        <w:t>Packing instruction P801</w:t>
      </w:r>
      <w:r>
        <w:t xml:space="preserve"> </w:t>
      </w:r>
      <w:r w:rsidRPr="0078111F">
        <w:t>does not currently address batteries that are likely to leak electrolyte</w:t>
      </w:r>
      <w:r>
        <w:t>. However, i</w:t>
      </w:r>
      <w:r w:rsidRPr="0078111F">
        <w:t>n Canada and the United States, major battery distributors have prepared detailed guidance on packing and handling used batteries on pallets for the purpose of shipping them for</w:t>
      </w:r>
      <w:r>
        <w:t xml:space="preserve"> the reclamation of</w:t>
      </w:r>
      <w:r w:rsidRPr="0078111F">
        <w:t xml:space="preserve"> the valuable lead contained in the batteries. For</w:t>
      </w:r>
      <w:r>
        <w:t xml:space="preserve"> batteries that may leak, these distributors recommend using heavyweight clear polyethylene plastic bags that are securely closed to limit the potential for leaking electrolyte</w:t>
      </w:r>
      <w:r>
        <w:rPr>
          <w:rStyle w:val="FootnoteReference"/>
        </w:rPr>
        <w:footnoteReference w:id="3"/>
      </w:r>
      <w:r>
        <w:t>.</w:t>
      </w:r>
    </w:p>
    <w:p w14:paraId="6115950F" w14:textId="29988708" w:rsidR="004F6785" w:rsidRDefault="004F6785" w:rsidP="004F6785">
      <w:pPr>
        <w:pStyle w:val="SingleTxtG"/>
        <w:ind w:left="1138" w:right="1138"/>
      </w:pPr>
      <w:r>
        <w:t>7.</w:t>
      </w:r>
      <w:r>
        <w:tab/>
        <w:t xml:space="preserve">Building on industry practice, the expert from Canada proposed, in </w:t>
      </w:r>
      <w:r w:rsidR="00CD0C35">
        <w:t xml:space="preserve">informal document </w:t>
      </w:r>
      <w:r>
        <w:t>INF.32</w:t>
      </w:r>
      <w:r w:rsidR="00CD0C35">
        <w:t xml:space="preserve"> (51</w:t>
      </w:r>
      <w:r w:rsidR="00C4029D">
        <w:t>st</w:t>
      </w:r>
      <w:r w:rsidR="00CD0C35">
        <w:t xml:space="preserve"> session)</w:t>
      </w:r>
      <w:r>
        <w:t>, to mitigate battery leaks by</w:t>
      </w:r>
      <w:r w:rsidRPr="0078111F">
        <w:t xml:space="preserve"> individually packag</w:t>
      </w:r>
      <w:r>
        <w:t xml:space="preserve">ing the batteries likely to leak before transporting them on pallets or in </w:t>
      </w:r>
      <w:proofErr w:type="spellStart"/>
      <w:r>
        <w:t>packagings</w:t>
      </w:r>
      <w:proofErr w:type="spellEnd"/>
      <w:r>
        <w:t xml:space="preserve"> not capable of retaining liquids. The term “</w:t>
      </w:r>
      <w:proofErr w:type="spellStart"/>
      <w:r>
        <w:t>leakproof</w:t>
      </w:r>
      <w:proofErr w:type="spellEnd"/>
      <w:r>
        <w:t>” had</w:t>
      </w:r>
      <w:r w:rsidRPr="001D6D66">
        <w:t xml:space="preserve"> been used</w:t>
      </w:r>
      <w:r>
        <w:t xml:space="preserve"> in the packing instruction; however, it was</w:t>
      </w:r>
      <w:r w:rsidRPr="001D6D66">
        <w:t xml:space="preserve"> not meant to invoke the </w:t>
      </w:r>
      <w:proofErr w:type="spellStart"/>
      <w:r w:rsidRPr="001D6D66">
        <w:t>leakproofness</w:t>
      </w:r>
      <w:proofErr w:type="spellEnd"/>
      <w:r w:rsidRPr="001D6D66">
        <w:t xml:space="preserve"> test requirements.</w:t>
      </w:r>
      <w:r>
        <w:t xml:space="preserve">  The document also proposed to recognize o</w:t>
      </w:r>
      <w:r w:rsidRPr="0078111F">
        <w:t>ther equally effective methods, such as draining the electrolyte from the battery.</w:t>
      </w:r>
      <w:r>
        <w:t xml:space="preserve">  However, the document did not include a similar provision for metal or solid plastic boxes, </w:t>
      </w:r>
    </w:p>
    <w:p w14:paraId="015119A7" w14:textId="77777777" w:rsidR="004F6785" w:rsidRDefault="004F6785">
      <w:pPr>
        <w:suppressAutoHyphens w:val="0"/>
        <w:spacing w:line="240" w:lineRule="auto"/>
      </w:pPr>
      <w:r>
        <w:br w:type="page"/>
      </w:r>
    </w:p>
    <w:p w14:paraId="1C52D039" w14:textId="14043AD1" w:rsidR="004F6785" w:rsidRDefault="004F6785" w:rsidP="004F6785">
      <w:pPr>
        <w:pStyle w:val="SingleTxtG"/>
        <w:ind w:left="1138" w:right="1138"/>
      </w:pPr>
      <w:proofErr w:type="gramStart"/>
      <w:r>
        <w:lastRenderedPageBreak/>
        <w:t>as</w:t>
      </w:r>
      <w:proofErr w:type="gramEnd"/>
      <w:r>
        <w:t xml:space="preserve"> other additional provisions were proposed (e.g. making the boxes </w:t>
      </w:r>
      <w:r w:rsidRPr="0078111F">
        <w:t xml:space="preserve">resistant to </w:t>
      </w:r>
      <w:r>
        <w:t xml:space="preserve">electrolyte and </w:t>
      </w:r>
      <w:r w:rsidRPr="0078111F">
        <w:t xml:space="preserve">capable of containing any </w:t>
      </w:r>
      <w:r>
        <w:t>electrolyte</w:t>
      </w:r>
      <w:r w:rsidRPr="0078111F">
        <w:t xml:space="preserve"> that ha</w:t>
      </w:r>
      <w:r>
        <w:t>d</w:t>
      </w:r>
      <w:r w:rsidRPr="0078111F">
        <w:t xml:space="preserve"> leaked</w:t>
      </w:r>
      <w:r>
        <w:t xml:space="preserve">). With these additional provisions in place, </w:t>
      </w:r>
      <w:r w:rsidRPr="0078111F">
        <w:t xml:space="preserve">individually </w:t>
      </w:r>
      <w:r>
        <w:t>packaging</w:t>
      </w:r>
      <w:r w:rsidRPr="0078111F">
        <w:t xml:space="preserve"> batteries to limit the potential </w:t>
      </w:r>
      <w:r>
        <w:t>to leak</w:t>
      </w:r>
      <w:r w:rsidRPr="0078111F">
        <w:t xml:space="preserve"> electro</w:t>
      </w:r>
      <w:r>
        <w:t>lyte was</w:t>
      </w:r>
      <w:r w:rsidRPr="0078111F">
        <w:t xml:space="preserve"> deemed unnecessary.</w:t>
      </w:r>
    </w:p>
    <w:p w14:paraId="300AD9A6" w14:textId="3CE9C3F9" w:rsidR="004F6785" w:rsidRDefault="004F6785" w:rsidP="004F6785">
      <w:pPr>
        <w:pStyle w:val="SingleTxtG"/>
        <w:ind w:left="1170"/>
      </w:pPr>
      <w:r>
        <w:t>8.</w:t>
      </w:r>
      <w:r>
        <w:tab/>
        <w:t xml:space="preserve">Despite a lack of consensus on this issue at the end of the fifty-first session, the expert believes that the potential for battery leaks should be addressed and the additional provision proposed in </w:t>
      </w:r>
      <w:r w:rsidR="00CD0C35">
        <w:t xml:space="preserve">informal document </w:t>
      </w:r>
      <w:r>
        <w:t>INF.32</w:t>
      </w:r>
      <w:r w:rsidR="00CD0C35">
        <w:t xml:space="preserve"> (51</w:t>
      </w:r>
      <w:r w:rsidR="00C4029D">
        <w:t>st</w:t>
      </w:r>
      <w:r w:rsidR="00CD0C35">
        <w:t xml:space="preserve"> session)</w:t>
      </w:r>
      <w:r>
        <w:t xml:space="preserve"> should be included in this formal paper</w:t>
      </w:r>
      <w:r w:rsidR="00CD0C35">
        <w:t xml:space="preserve">. </w:t>
      </w:r>
      <w:r>
        <w:t xml:space="preserve">With an eye to developing a more multimodal packing instruction, the expert would like to note that </w:t>
      </w:r>
      <w:r w:rsidR="00C4029D">
        <w:t>the IMDG</w:t>
      </w:r>
      <w:r>
        <w:t xml:space="preserve"> (International Maritime Dangerous Goods)</w:t>
      </w:r>
      <w:r w:rsidR="00C4029D">
        <w:t xml:space="preserve"> Code’s</w:t>
      </w:r>
      <w:r>
        <w:t xml:space="preserve"> packing instruction P801 is very similar to packing instruction P801 of the Model Regulations except for one additional requirement. The packing instruction requires that batteries of UN Nos. 2794 and 2795 be capable of passing a tilt test at an angle of 45</w:t>
      </w:r>
      <w:r w:rsidRPr="00EE6E4D">
        <w:rPr>
          <w:vertAlign w:val="superscript"/>
        </w:rPr>
        <w:t>o</w:t>
      </w:r>
      <w:r>
        <w:t xml:space="preserve"> with no spillage of liquid. The additional provision proposed in </w:t>
      </w:r>
      <w:r w:rsidR="00CD0C35">
        <w:t xml:space="preserve">informal document </w:t>
      </w:r>
      <w:r>
        <w:t xml:space="preserve">INF.32 </w:t>
      </w:r>
      <w:r w:rsidR="00CD0C35">
        <w:t>(51</w:t>
      </w:r>
      <w:r w:rsidR="00C4029D">
        <w:t>st</w:t>
      </w:r>
      <w:r w:rsidR="00CD0C35">
        <w:t xml:space="preserve"> session) </w:t>
      </w:r>
      <w:r>
        <w:t>and the additional provision found in packing instruction P801 of the IMDG Code are essentially trying to achieve the same goal.  However, requiring individual packaging of</w:t>
      </w:r>
      <w:r w:rsidRPr="00011806">
        <w:t xml:space="preserve"> </w:t>
      </w:r>
      <w:r>
        <w:t>potentially leaking batteries i</w:t>
      </w:r>
      <w:r w:rsidRPr="00011806">
        <w:t>n plastic bags</w:t>
      </w:r>
      <w:r>
        <w:t xml:space="preserve"> might achieve a higher rate of compliance than asking individuals to make a determination of whether a battery is capable of passing the tilt test at 45</w:t>
      </w:r>
      <w:r w:rsidRPr="006925FF">
        <w:rPr>
          <w:vertAlign w:val="superscript"/>
        </w:rPr>
        <w:t>o</w:t>
      </w:r>
      <w:r>
        <w:t xml:space="preserve"> without leaking.</w:t>
      </w:r>
      <w:r>
        <w:rPr>
          <w:color w:val="FF0000"/>
        </w:rPr>
        <w:t xml:space="preserve">  </w:t>
      </w:r>
    </w:p>
    <w:p w14:paraId="30AF6C0D" w14:textId="12F70D00" w:rsidR="004F6785" w:rsidRPr="006925FF" w:rsidRDefault="004F6785" w:rsidP="004F6785">
      <w:pPr>
        <w:pStyle w:val="H1G"/>
      </w:pPr>
      <w:r>
        <w:tab/>
      </w:r>
      <w:r>
        <w:tab/>
      </w:r>
      <w:r w:rsidRPr="006925FF">
        <w:t>Battery boxes</w:t>
      </w:r>
    </w:p>
    <w:p w14:paraId="54D0E98A" w14:textId="75E79246" w:rsidR="004F6785" w:rsidRPr="0078111F" w:rsidRDefault="004F6785" w:rsidP="004F6785">
      <w:pPr>
        <w:pStyle w:val="SingleTxtG"/>
      </w:pPr>
      <w:r>
        <w:t>9.</w:t>
      </w:r>
      <w:r>
        <w:tab/>
      </w:r>
      <w:r w:rsidRPr="0078111F">
        <w:t>Packing instruction P801 currently authorizes the transport of loose used batteries in "battery boxes". The expert from Canada understands that the intended use for "battery boxes" is to provide an efficient means for the transport of used batteries from points of collection (</w:t>
      </w:r>
      <w:r>
        <w:t>e.g.</w:t>
      </w:r>
      <w:r w:rsidRPr="0078111F">
        <w:t xml:space="preserve"> retail store</w:t>
      </w:r>
      <w:r>
        <w:t>s selling batteries, automotive</w:t>
      </w:r>
      <w:r w:rsidRPr="0078111F">
        <w:t xml:space="preserve"> repair shops and auto parts distributors) to sorting and repackaging facilities where the batteries are sorted and prepared for transport to </w:t>
      </w:r>
      <w:r>
        <w:t xml:space="preserve">disposal or </w:t>
      </w:r>
      <w:r w:rsidRPr="0078111F">
        <w:t>recycling facilities.</w:t>
      </w:r>
      <w:r w:rsidR="00CD0C35">
        <w:t xml:space="preserve"> </w:t>
      </w:r>
      <w:r w:rsidRPr="007D6F8C">
        <w:t>The use of "battery boxes" minimizes the need for sorting and handling batteries at the collection points</w:t>
      </w:r>
      <w:r>
        <w:t>,</w:t>
      </w:r>
      <w:r w:rsidRPr="007D6F8C">
        <w:t xml:space="preserve"> as these sites are generally not appropriate for such activities.</w:t>
      </w:r>
      <w:r>
        <w:t xml:space="preserve">  </w:t>
      </w:r>
    </w:p>
    <w:p w14:paraId="6D9C4386" w14:textId="77777777" w:rsidR="004F6785" w:rsidRDefault="004F6785" w:rsidP="004F6785">
      <w:pPr>
        <w:pStyle w:val="SingleTxtG"/>
      </w:pPr>
      <w:r>
        <w:t>10.</w:t>
      </w:r>
      <w:r>
        <w:tab/>
      </w:r>
      <w:r w:rsidRPr="0078111F">
        <w:t xml:space="preserve">As it currently reads, packing instruction P801 would require a person to meet all four additional requirements regardless of the type of packaging used. If the intent of packing instruction P801 is to allow the transport of loose used batteries in battery boxes, then meeting the additional requirements may be unachievable. For instance, additional requirement (4) currently requires batteries to be packaged or secured </w:t>
      </w:r>
      <w:r>
        <w:t xml:space="preserve">so as </w:t>
      </w:r>
      <w:r w:rsidRPr="0078111F">
        <w:t>to prevent inadvertent movement. This contradicts the notion that batteries can be transported loose.</w:t>
      </w:r>
    </w:p>
    <w:p w14:paraId="1ED75734" w14:textId="6E5D659C" w:rsidR="004F6785" w:rsidRDefault="004F6785" w:rsidP="004F6785">
      <w:pPr>
        <w:pStyle w:val="SingleTxtG"/>
        <w:rPr>
          <w:lang w:val="en-CA"/>
        </w:rPr>
      </w:pPr>
      <w:r>
        <w:t>11.</w:t>
      </w:r>
      <w:r>
        <w:tab/>
        <w:t xml:space="preserve">Building on </w:t>
      </w:r>
      <w:r w:rsidR="00C4029D">
        <w:t>the European Agreement concerning the international carriage of dangerous goods by road (</w:t>
      </w:r>
      <w:r>
        <w:t>ADR</w:t>
      </w:r>
      <w:r w:rsidR="00C4029D">
        <w:t>)</w:t>
      </w:r>
      <w:r>
        <w:t xml:space="preserve"> </w:t>
      </w:r>
      <w:r>
        <w:rPr>
          <w:lang w:val="en-CA"/>
        </w:rPr>
        <w:t xml:space="preserve">existing P801 and P801a packing instructions, the </w:t>
      </w:r>
      <w:r w:rsidRPr="0078111F">
        <w:t>expert from Canada propose</w:t>
      </w:r>
      <w:r>
        <w:t>d</w:t>
      </w:r>
      <w:r w:rsidRPr="0078111F">
        <w:t xml:space="preserve"> a similar approach </w:t>
      </w:r>
      <w:r>
        <w:t xml:space="preserve">at the fifty-first session in </w:t>
      </w:r>
      <w:r w:rsidR="00CD0C35">
        <w:t xml:space="preserve">informal document </w:t>
      </w:r>
      <w:r>
        <w:t>INF.32</w:t>
      </w:r>
      <w:r w:rsidR="00CD0C35">
        <w:t xml:space="preserve"> (51</w:t>
      </w:r>
      <w:r w:rsidR="00C4029D">
        <w:t>st</w:t>
      </w:r>
      <w:r w:rsidR="00CD0C35">
        <w:t xml:space="preserve"> session)</w:t>
      </w:r>
      <w:r>
        <w:t>, which involved creating a separate packing instruction for used batteries (P801a) and referring to the term "box</w:t>
      </w:r>
      <w:r w:rsidRPr="0078111F">
        <w:t>"</w:t>
      </w:r>
      <w:r>
        <w:t xml:space="preserve"> to describe a packaging with incomplete faces.  However, the proposal </w:t>
      </w:r>
      <w:r w:rsidRPr="00AF7E74">
        <w:rPr>
          <w:lang w:val="en-CA"/>
        </w:rPr>
        <w:t>raised some concerns</w:t>
      </w:r>
      <w:r>
        <w:rPr>
          <w:lang w:val="en-CA"/>
        </w:rPr>
        <w:t xml:space="preserve"> among sub-committee members as they thought, rightly, that:</w:t>
      </w:r>
    </w:p>
    <w:p w14:paraId="4639328B" w14:textId="6462686A" w:rsidR="004F6785" w:rsidRPr="004F6785" w:rsidRDefault="004F6785" w:rsidP="004F6785">
      <w:pPr>
        <w:pStyle w:val="SingleTxtG"/>
        <w:ind w:left="1701"/>
      </w:pPr>
      <w:r>
        <w:t>(a)</w:t>
      </w:r>
      <w:r>
        <w:tab/>
        <w:t>H</w:t>
      </w:r>
      <w:r w:rsidRPr="004F6785">
        <w:t>aving two packing instructions for used batteries could create confusion, as individuals may have difficulty selecting which instruction to use, and</w:t>
      </w:r>
    </w:p>
    <w:p w14:paraId="1B54D15F" w14:textId="4C04B365" w:rsidR="004F6785" w:rsidRPr="004F6785" w:rsidRDefault="004F6785" w:rsidP="004F6785">
      <w:pPr>
        <w:pStyle w:val="SingleTxtG"/>
        <w:ind w:left="1701"/>
      </w:pPr>
      <w:r>
        <w:t>(b)</w:t>
      </w:r>
      <w:r>
        <w:tab/>
        <w:t>R</w:t>
      </w:r>
      <w:r w:rsidRPr="004F6785">
        <w:t xml:space="preserve">eferring to a "box" for a packaging which does not have a cover introduces a discrepancy between the definition of "box" set out in subsection 1.2.1 and the P801 packing instruction, which is not desirable.  </w:t>
      </w:r>
    </w:p>
    <w:p w14:paraId="1FF0D8F2" w14:textId="0F02E456" w:rsidR="004F6785" w:rsidRDefault="00CD0C35" w:rsidP="004F6785">
      <w:pPr>
        <w:pStyle w:val="SingleTxtG"/>
      </w:pPr>
      <w:r>
        <w:rPr>
          <w:lang w:val="en-CA"/>
        </w:rPr>
        <w:t>12.</w:t>
      </w:r>
      <w:r>
        <w:rPr>
          <w:lang w:val="en-CA"/>
        </w:rPr>
        <w:tab/>
      </w:r>
      <w:r w:rsidR="004F6785">
        <w:rPr>
          <w:lang w:val="en-CA"/>
        </w:rPr>
        <w:t xml:space="preserve">Consequently, this formal paper is proposing only one packing instruction for </w:t>
      </w:r>
      <w:r w:rsidR="004F6785" w:rsidRPr="00496061">
        <w:rPr>
          <w:lang w:val="en-CA"/>
        </w:rPr>
        <w:t xml:space="preserve">UN Nos. </w:t>
      </w:r>
      <w:r w:rsidR="004F6785">
        <w:t xml:space="preserve">2794, 2795 and 3028, and is referring to </w:t>
      </w:r>
      <w:r w:rsidR="004F6785" w:rsidRPr="0078111F">
        <w:t>"</w:t>
      </w:r>
      <w:r w:rsidR="004F6785">
        <w:rPr>
          <w:lang w:val="en-US"/>
        </w:rPr>
        <w:t>bins</w:t>
      </w:r>
      <w:r w:rsidR="004F6785" w:rsidRPr="0078111F">
        <w:t>"</w:t>
      </w:r>
      <w:r w:rsidR="004F6785">
        <w:rPr>
          <w:lang w:val="en-US"/>
        </w:rPr>
        <w:t xml:space="preserve"> (</w:t>
      </w:r>
      <w:r w:rsidR="004F6785" w:rsidRPr="0078111F">
        <w:t>"</w:t>
      </w:r>
      <w:proofErr w:type="spellStart"/>
      <w:r w:rsidR="004F6785">
        <w:rPr>
          <w:lang w:val="en-US"/>
        </w:rPr>
        <w:t>bac</w:t>
      </w:r>
      <w:proofErr w:type="spellEnd"/>
      <w:r w:rsidR="004F6785" w:rsidRPr="0078111F">
        <w:t>"</w:t>
      </w:r>
      <w:r w:rsidR="004F6785">
        <w:rPr>
          <w:lang w:val="en-US"/>
        </w:rPr>
        <w:t xml:space="preserve"> in French) instead of </w:t>
      </w:r>
      <w:r w:rsidR="004F6785" w:rsidRPr="0078111F">
        <w:t>"</w:t>
      </w:r>
      <w:r w:rsidR="004F6785">
        <w:rPr>
          <w:lang w:val="en-US"/>
        </w:rPr>
        <w:t>box</w:t>
      </w:r>
      <w:r w:rsidR="004F6785" w:rsidRPr="0078111F">
        <w:t>"</w:t>
      </w:r>
      <w:r w:rsidR="004F6785">
        <w:rPr>
          <w:lang w:val="en-US"/>
        </w:rPr>
        <w:t xml:space="preserve">.  The expert also considered using other words already defined in the Model Regulations </w:t>
      </w:r>
      <w:r w:rsidR="004F6785">
        <w:rPr>
          <w:lang w:val="en-US"/>
        </w:rPr>
        <w:lastRenderedPageBreak/>
        <w:t xml:space="preserve">instead of introducing a new term.  The word </w:t>
      </w:r>
      <w:r w:rsidR="004F6785" w:rsidRPr="0078111F">
        <w:t>"</w:t>
      </w:r>
      <w:r w:rsidR="004F6785">
        <w:rPr>
          <w:lang w:val="en-US"/>
        </w:rPr>
        <w:t>crate</w:t>
      </w:r>
      <w:r w:rsidR="004F6785" w:rsidRPr="0078111F">
        <w:t>"</w:t>
      </w:r>
      <w:r w:rsidR="004F6785">
        <w:t xml:space="preserve"> was considered but discarded because the packaging must have at least five complete surfaces (sides and bottom) to prevent electrolyte from leaking outside the packaging under normal conditions of transport.  Referring to a </w:t>
      </w:r>
      <w:r w:rsidR="004F6785" w:rsidRPr="0078111F">
        <w:t>"</w:t>
      </w:r>
      <w:r w:rsidR="004F6785">
        <w:rPr>
          <w:lang w:val="en-US"/>
        </w:rPr>
        <w:t>crate</w:t>
      </w:r>
      <w:r w:rsidR="004F6785" w:rsidRPr="0078111F">
        <w:t>"</w:t>
      </w:r>
      <w:r w:rsidR="004F6785">
        <w:t xml:space="preserve"> in this case would introduce another non-desirable discrepancy.  </w:t>
      </w:r>
    </w:p>
    <w:p w14:paraId="4C01826C" w14:textId="5206B902" w:rsidR="004F6785" w:rsidRPr="006925FF" w:rsidRDefault="004F6785" w:rsidP="004F6785">
      <w:pPr>
        <w:pStyle w:val="H1G"/>
      </w:pPr>
      <w:r>
        <w:tab/>
      </w:r>
      <w:r>
        <w:tab/>
      </w:r>
      <w:r w:rsidRPr="006925FF">
        <w:t>Protection against short-circuits</w:t>
      </w:r>
    </w:p>
    <w:p w14:paraId="70F549AA" w14:textId="61B4FC8B" w:rsidR="004F6785" w:rsidRDefault="00CD0C35" w:rsidP="004F6785">
      <w:pPr>
        <w:pStyle w:val="SingleTxtG"/>
      </w:pPr>
      <w:r>
        <w:t>13</w:t>
      </w:r>
      <w:r w:rsidR="004F6785">
        <w:t>.</w:t>
      </w:r>
      <w:r w:rsidR="004F6785">
        <w:tab/>
        <w:t>The expert from Canada had already submitted a formal proposal (</w:t>
      </w:r>
      <w:r w:rsidR="004F6785">
        <w:rPr>
          <w:lang w:val="en-CA"/>
        </w:rPr>
        <w:t>ST/SG/AC.10/C.3/2016/25) during the forty-ninth session</w:t>
      </w:r>
      <w:r w:rsidR="004F6785" w:rsidRPr="006329D5">
        <w:t xml:space="preserve"> </w:t>
      </w:r>
      <w:r w:rsidR="004F6785">
        <w:t xml:space="preserve">of the Sub-Committee </w:t>
      </w:r>
      <w:r>
        <w:t xml:space="preserve">in 2016. </w:t>
      </w:r>
      <w:r w:rsidR="004F6785">
        <w:t>At the time, the proposal did</w:t>
      </w:r>
      <w:r w:rsidR="004F6785">
        <w:rPr>
          <w:lang w:val="en-US"/>
        </w:rPr>
        <w:t xml:space="preserve"> not include a protection against short-circuits for used batteries transported in </w:t>
      </w:r>
      <w:r w:rsidR="004F6785" w:rsidRPr="0078111F">
        <w:t>battery boxes</w:t>
      </w:r>
      <w:r w:rsidR="004F6785">
        <w:rPr>
          <w:lang w:val="en-US"/>
        </w:rPr>
        <w:t>.  Unfortunately, the rationale behind this non-inclusion was insufficiently detailed in the proposal and some Sub-Committee members expressed concerns about the risk of fire. At the end of the session, the expert from Canada had offered to submit a revised proposal for the next session that would include a protection against short-circuits.</w:t>
      </w:r>
    </w:p>
    <w:p w14:paraId="0D17F632" w14:textId="0936F6A0" w:rsidR="004F6785" w:rsidRDefault="00CD0C35" w:rsidP="004F6785">
      <w:pPr>
        <w:pStyle w:val="SingleTxtG"/>
      </w:pPr>
      <w:r>
        <w:t>14</w:t>
      </w:r>
      <w:r w:rsidR="004F6785">
        <w:t>.</w:t>
      </w:r>
      <w:r w:rsidR="004F6785">
        <w:tab/>
        <w:t>The informal document INF.32 (51</w:t>
      </w:r>
      <w:r w:rsidR="00C4029D">
        <w:t>st</w:t>
      </w:r>
      <w:r w:rsidR="004F6785">
        <w:t xml:space="preserve"> session) submitted at the fifty-first session addressed these concerns. Building on ADR</w:t>
      </w:r>
      <w:r w:rsidR="004F6785">
        <w:rPr>
          <w:lang w:val="en-CA"/>
        </w:rPr>
        <w:t xml:space="preserve">’s existing P801a packing instruction, the expert from Canada proposed that a protection against short-circuits for batteries transported in battery boxes be required. However, during the session, some sub-committee members noted that this proposal may be overly stringent. Indeed, used batteries that are transported for disposal or recycling are generally discarded because they no longer hold a charge. The risk of short-circuits causing fire is assessed as low. For this reason, the expert from Canada is recommending returning to the original proposal by removing the requirement for protection against short-circuits.  </w:t>
      </w:r>
    </w:p>
    <w:p w14:paraId="7648B48E" w14:textId="11B8F0B3" w:rsidR="004F6785" w:rsidRDefault="004F6785" w:rsidP="004F6785">
      <w:pPr>
        <w:pStyle w:val="HChG"/>
      </w:pPr>
      <w:r>
        <w:tab/>
      </w:r>
      <w:r>
        <w:tab/>
      </w:r>
      <w:r w:rsidRPr="002D4E42">
        <w:t>Proposal</w:t>
      </w:r>
    </w:p>
    <w:p w14:paraId="5E43929C" w14:textId="4DEF8EF1" w:rsidR="004F6785" w:rsidRDefault="004F6785" w:rsidP="004F6785">
      <w:pPr>
        <w:pStyle w:val="SingleTxtG"/>
      </w:pPr>
      <w:r>
        <w:t>1</w:t>
      </w:r>
      <w:r w:rsidR="00CD0C35">
        <w:t>5</w:t>
      </w:r>
      <w:r>
        <w:t>.</w:t>
      </w:r>
      <w:r>
        <w:tab/>
        <w:t>T</w:t>
      </w:r>
      <w:r w:rsidRPr="0078111F">
        <w:t xml:space="preserve">he proposed </w:t>
      </w:r>
      <w:r>
        <w:t xml:space="preserve">revised P801 </w:t>
      </w:r>
      <w:r w:rsidRPr="0078111F">
        <w:t xml:space="preserve">packing instruction </w:t>
      </w:r>
      <w:r>
        <w:t xml:space="preserve">is divided in two parts; </w:t>
      </w:r>
    </w:p>
    <w:p w14:paraId="615C6195" w14:textId="3B9C7992" w:rsidR="004F6785" w:rsidRPr="004F6785" w:rsidRDefault="004F6785" w:rsidP="004F6785">
      <w:pPr>
        <w:pStyle w:val="SingleTxtG"/>
        <w:ind w:left="1701"/>
      </w:pPr>
      <w:r>
        <w:t>(a)</w:t>
      </w:r>
      <w:r>
        <w:tab/>
      </w:r>
      <w:r w:rsidRPr="004F6785">
        <w:t xml:space="preserve">The first part establishes the provisions applicable to batteries transported in rigid outer </w:t>
      </w:r>
      <w:proofErr w:type="spellStart"/>
      <w:r w:rsidRPr="004F6785">
        <w:t>packagings</w:t>
      </w:r>
      <w:proofErr w:type="spellEnd"/>
      <w:r w:rsidRPr="004F6785">
        <w:t>, wooden slatted crates or on pallets; and</w:t>
      </w:r>
    </w:p>
    <w:p w14:paraId="30187516" w14:textId="1CA008D5" w:rsidR="004F6785" w:rsidRPr="004F6785" w:rsidRDefault="004F6785" w:rsidP="004F6785">
      <w:pPr>
        <w:pStyle w:val="SingleTxtG"/>
        <w:ind w:left="1701"/>
      </w:pPr>
      <w:r>
        <w:t>(b)</w:t>
      </w:r>
      <w:r>
        <w:tab/>
      </w:r>
      <w:r w:rsidRPr="004F6785">
        <w:t>The second part establishes the provisions applicable to used batteries transported in metal or solid plastic bins</w:t>
      </w:r>
      <w:r w:rsidR="00C4029D">
        <w:t>.</w:t>
      </w:r>
    </w:p>
    <w:p w14:paraId="6E2378D4" w14:textId="3EF1B581" w:rsidR="004F6785" w:rsidRPr="00DC32E3" w:rsidRDefault="004F6785" w:rsidP="004F6785">
      <w:pPr>
        <w:pStyle w:val="SingleTxtG"/>
        <w:rPr>
          <w:lang w:val="en-CA"/>
        </w:rPr>
      </w:pPr>
      <w:r>
        <w:t xml:space="preserve">The proposed </w:t>
      </w:r>
      <w:r w:rsidRPr="0078111F">
        <w:t>Packing</w:t>
      </w:r>
      <w:r>
        <w:rPr>
          <w:lang w:val="en"/>
        </w:rPr>
        <w:t xml:space="preserve"> instruction P801 </w:t>
      </w:r>
      <w:r w:rsidRPr="008D515E">
        <w:rPr>
          <w:lang w:val="en"/>
        </w:rPr>
        <w:t>would read as follows</w:t>
      </w:r>
      <w:r>
        <w:rPr>
          <w:lang w:val="en"/>
        </w:rPr>
        <w:t xml:space="preserve"> with new text </w:t>
      </w:r>
      <w:r w:rsidR="004542BB">
        <w:rPr>
          <w:lang w:val="en"/>
        </w:rPr>
        <w:t>underline</w:t>
      </w:r>
      <w:bookmarkStart w:id="0" w:name="_GoBack"/>
      <w:bookmarkEnd w:id="0"/>
      <w:r>
        <w:rPr>
          <w:lang w:val="en"/>
        </w:rPr>
        <w:t xml:space="preserve"> and deleted text </w:t>
      </w:r>
      <w:r w:rsidRPr="006925FF">
        <w:rPr>
          <w:strike/>
          <w:lang w:val="en"/>
        </w:rPr>
        <w:t>strikethrough</w:t>
      </w:r>
      <w:r>
        <w:rPr>
          <w:lang w:val="en"/>
        </w:rPr>
        <w:t xml:space="preserv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4F6785" w:rsidRPr="004602C5" w14:paraId="3E2EB935" w14:textId="77777777" w:rsidTr="00FC0DD5">
        <w:tc>
          <w:tcPr>
            <w:tcW w:w="855" w:type="dxa"/>
            <w:tcBorders>
              <w:bottom w:val="single" w:sz="4" w:space="0" w:color="000000"/>
            </w:tcBorders>
          </w:tcPr>
          <w:p w14:paraId="61DF5DD1" w14:textId="77777777" w:rsidR="004F6785" w:rsidRPr="004602C5" w:rsidRDefault="004F6785" w:rsidP="00FC0DD5">
            <w:pPr>
              <w:spacing w:before="60" w:after="60" w:line="240" w:lineRule="auto"/>
              <w:rPr>
                <w:b/>
                <w:bCs/>
              </w:rPr>
            </w:pPr>
            <w:r w:rsidRPr="004602C5">
              <w:rPr>
                <w:b/>
              </w:rPr>
              <w:t>P</w:t>
            </w:r>
            <w:r>
              <w:rPr>
                <w:b/>
              </w:rPr>
              <w:t>801</w:t>
            </w:r>
          </w:p>
        </w:tc>
        <w:tc>
          <w:tcPr>
            <w:tcW w:w="7938" w:type="dxa"/>
            <w:tcBorders>
              <w:bottom w:val="single" w:sz="4" w:space="0" w:color="000000"/>
            </w:tcBorders>
          </w:tcPr>
          <w:p w14:paraId="511EFE0E" w14:textId="77777777" w:rsidR="004F6785" w:rsidRPr="004602C5" w:rsidRDefault="004F6785" w:rsidP="00FC0DD5">
            <w:pPr>
              <w:spacing w:before="60" w:after="60" w:line="240" w:lineRule="auto"/>
              <w:ind w:right="-904"/>
              <w:jc w:val="center"/>
              <w:rPr>
                <w:b/>
                <w:bCs/>
              </w:rPr>
            </w:pPr>
            <w:r>
              <w:rPr>
                <w:b/>
                <w:bCs/>
              </w:rPr>
              <w:t>PACKING INSTRUCTION</w:t>
            </w:r>
          </w:p>
        </w:tc>
        <w:tc>
          <w:tcPr>
            <w:tcW w:w="850" w:type="dxa"/>
            <w:tcBorders>
              <w:bottom w:val="single" w:sz="4" w:space="0" w:color="000000"/>
            </w:tcBorders>
          </w:tcPr>
          <w:p w14:paraId="2D0544D7" w14:textId="77777777" w:rsidR="004F6785" w:rsidRPr="004602C5" w:rsidRDefault="004F6785" w:rsidP="00FC0DD5">
            <w:pPr>
              <w:spacing w:before="60" w:after="60" w:line="240" w:lineRule="auto"/>
              <w:jc w:val="right"/>
              <w:rPr>
                <w:b/>
                <w:bCs/>
              </w:rPr>
            </w:pPr>
            <w:r>
              <w:rPr>
                <w:b/>
              </w:rPr>
              <w:t>P801</w:t>
            </w:r>
          </w:p>
        </w:tc>
      </w:tr>
      <w:tr w:rsidR="004F6785" w:rsidRPr="004602C5" w14:paraId="5F7D5078" w14:textId="77777777" w:rsidTr="00FC0DD5">
        <w:tc>
          <w:tcPr>
            <w:tcW w:w="9643" w:type="dxa"/>
            <w:gridSpan w:val="3"/>
            <w:tcBorders>
              <w:top w:val="single" w:sz="4" w:space="0" w:color="000000"/>
              <w:bottom w:val="single" w:sz="4" w:space="0" w:color="000000"/>
            </w:tcBorders>
          </w:tcPr>
          <w:p w14:paraId="2183FC93" w14:textId="77777777" w:rsidR="004F6785" w:rsidRPr="004602C5" w:rsidRDefault="004F6785" w:rsidP="00FC0DD5">
            <w:pPr>
              <w:spacing w:before="60" w:after="60" w:line="240" w:lineRule="auto"/>
            </w:pPr>
            <w:r w:rsidRPr="00496061">
              <w:rPr>
                <w:lang w:val="en-CA"/>
              </w:rPr>
              <w:t xml:space="preserve">This instruction applies to batteries assigned to UN Nos. </w:t>
            </w:r>
            <w:r>
              <w:t>2794, 2795 or 3028.</w:t>
            </w:r>
          </w:p>
        </w:tc>
      </w:tr>
      <w:tr w:rsidR="004F6785" w:rsidRPr="00496061" w14:paraId="309A7FF3" w14:textId="77777777" w:rsidTr="00FC0DD5">
        <w:tc>
          <w:tcPr>
            <w:tcW w:w="9643" w:type="dxa"/>
            <w:gridSpan w:val="3"/>
          </w:tcPr>
          <w:p w14:paraId="6584E6DB" w14:textId="77777777" w:rsidR="004F6785" w:rsidRPr="00FC192F" w:rsidRDefault="004F6785" w:rsidP="004F6785">
            <w:pPr>
              <w:pStyle w:val="ListParagraph"/>
              <w:numPr>
                <w:ilvl w:val="0"/>
                <w:numId w:val="28"/>
              </w:numPr>
              <w:tabs>
                <w:tab w:val="left" w:pos="360"/>
              </w:tabs>
              <w:suppressAutoHyphens/>
              <w:spacing w:before="60" w:after="60" w:line="240" w:lineRule="auto"/>
              <w:ind w:left="155" w:hanging="90"/>
              <w:rPr>
                <w:u w:val="single"/>
                <w:lang w:val="en-CA"/>
              </w:rPr>
            </w:pPr>
            <w:r w:rsidRPr="00FC192F">
              <w:rPr>
                <w:u w:val="single"/>
                <w:lang w:val="en-CA"/>
              </w:rPr>
              <w:t>Batteries shall be packed in accordance with the following:</w:t>
            </w:r>
          </w:p>
          <w:p w14:paraId="3699428A" w14:textId="77777777" w:rsidR="004F6785" w:rsidRPr="00607E39" w:rsidRDefault="004F6785" w:rsidP="004F6785">
            <w:pPr>
              <w:pStyle w:val="ListParagraph"/>
              <w:numPr>
                <w:ilvl w:val="0"/>
                <w:numId w:val="29"/>
              </w:numPr>
              <w:suppressAutoHyphens/>
              <w:spacing w:before="60" w:after="60" w:line="240" w:lineRule="auto"/>
              <w:rPr>
                <w:lang w:val="en-CA"/>
              </w:rPr>
            </w:pPr>
            <w:r w:rsidRPr="00607E39">
              <w:rPr>
                <w:lang w:val="en-CA"/>
              </w:rPr>
              <w:t xml:space="preserve">The following </w:t>
            </w:r>
            <w:proofErr w:type="spellStart"/>
            <w:r w:rsidRPr="00607E39">
              <w:rPr>
                <w:lang w:val="en-CA"/>
              </w:rPr>
              <w:t>packagings</w:t>
            </w:r>
            <w:proofErr w:type="spellEnd"/>
            <w:r w:rsidRPr="00607E39">
              <w:rPr>
                <w:lang w:val="en-CA"/>
              </w:rPr>
              <w:t xml:space="preserve"> are authorized, provided that the general provisions of </w:t>
            </w:r>
            <w:r w:rsidRPr="00607E39">
              <w:rPr>
                <w:b/>
                <w:lang w:val="en-CA"/>
              </w:rPr>
              <w:t>4.1.1</w:t>
            </w:r>
            <w:r w:rsidRPr="00607E39">
              <w:rPr>
                <w:lang w:val="en-CA"/>
              </w:rPr>
              <w:t xml:space="preserve"> </w:t>
            </w:r>
            <w:r>
              <w:rPr>
                <w:lang w:val="en-CA"/>
              </w:rPr>
              <w:t>(</w:t>
            </w:r>
            <w:r w:rsidRPr="00607E39">
              <w:rPr>
                <w:lang w:val="en-CA"/>
              </w:rPr>
              <w:t>except</w:t>
            </w:r>
            <w:r w:rsidRPr="00607E39">
              <w:rPr>
                <w:b/>
                <w:lang w:val="en-CA"/>
              </w:rPr>
              <w:t xml:space="preserve"> </w:t>
            </w:r>
            <w:r w:rsidRPr="00FC192F">
              <w:rPr>
                <w:b/>
                <w:u w:val="single"/>
                <w:lang w:val="en-CA"/>
              </w:rPr>
              <w:t>for</w:t>
            </w:r>
            <w:r w:rsidRPr="00FC192F">
              <w:rPr>
                <w:b/>
                <w:lang w:val="en-CA"/>
              </w:rPr>
              <w:t xml:space="preserve"> </w:t>
            </w:r>
            <w:r w:rsidRPr="00607E39">
              <w:rPr>
                <w:b/>
                <w:lang w:val="en-CA"/>
              </w:rPr>
              <w:t>4.1.1.3</w:t>
            </w:r>
            <w:r>
              <w:rPr>
                <w:b/>
                <w:lang w:val="en-CA"/>
              </w:rPr>
              <w:t>)</w:t>
            </w:r>
            <w:r>
              <w:rPr>
                <w:color w:val="FF0000"/>
                <w:lang w:val="en-CA"/>
              </w:rPr>
              <w:t xml:space="preserve"> </w:t>
            </w:r>
            <w:r w:rsidRPr="00FC192F">
              <w:rPr>
                <w:u w:val="single"/>
                <w:lang w:val="en-CA"/>
              </w:rPr>
              <w:t>and</w:t>
            </w:r>
            <w:r w:rsidRPr="00FC192F">
              <w:rPr>
                <w:lang w:val="en-CA"/>
              </w:rPr>
              <w:t xml:space="preserve"> </w:t>
            </w:r>
            <w:r w:rsidRPr="00607E39">
              <w:rPr>
                <w:b/>
                <w:lang w:val="en-CA"/>
              </w:rPr>
              <w:t>4.1.3</w:t>
            </w:r>
            <w:r w:rsidRPr="00607E39">
              <w:rPr>
                <w:lang w:val="en-CA"/>
              </w:rPr>
              <w:t xml:space="preserve"> </w:t>
            </w:r>
            <w:r w:rsidRPr="00FC192F">
              <w:rPr>
                <w:u w:val="single"/>
                <w:lang w:val="en-CA"/>
              </w:rPr>
              <w:t>are</w:t>
            </w:r>
            <w:r w:rsidRPr="00FC192F">
              <w:rPr>
                <w:lang w:val="en-CA"/>
              </w:rPr>
              <w:t xml:space="preserve"> </w:t>
            </w:r>
            <w:r w:rsidRPr="00607E39">
              <w:rPr>
                <w:lang w:val="en-CA"/>
              </w:rPr>
              <w:t>met:</w:t>
            </w:r>
          </w:p>
        </w:tc>
      </w:tr>
      <w:tr w:rsidR="004F6785" w:rsidRPr="00B940D3" w14:paraId="0B93040F" w14:textId="77777777" w:rsidTr="00FC0DD5">
        <w:tc>
          <w:tcPr>
            <w:tcW w:w="9643" w:type="dxa"/>
            <w:gridSpan w:val="3"/>
          </w:tcPr>
          <w:p w14:paraId="322B629F" w14:textId="77777777" w:rsidR="004F6785" w:rsidRDefault="004F6785" w:rsidP="004F6785">
            <w:pPr>
              <w:numPr>
                <w:ilvl w:val="0"/>
                <w:numId w:val="26"/>
              </w:numPr>
              <w:spacing w:before="60" w:after="60" w:line="240" w:lineRule="auto"/>
              <w:ind w:left="1026" w:hanging="180"/>
            </w:pPr>
            <w:r>
              <w:t xml:space="preserve">Rigid outer </w:t>
            </w:r>
            <w:proofErr w:type="spellStart"/>
            <w:r>
              <w:t>packagings</w:t>
            </w:r>
            <w:proofErr w:type="spellEnd"/>
            <w:r>
              <w:t>;</w:t>
            </w:r>
          </w:p>
          <w:p w14:paraId="45734354" w14:textId="77777777" w:rsidR="004F6785" w:rsidRDefault="004F6785" w:rsidP="004F6785">
            <w:pPr>
              <w:numPr>
                <w:ilvl w:val="0"/>
                <w:numId w:val="26"/>
              </w:numPr>
              <w:spacing w:before="60" w:after="60" w:line="240" w:lineRule="auto"/>
              <w:ind w:left="1026" w:hanging="180"/>
            </w:pPr>
            <w:r>
              <w:t>Wooden slatted crates;</w:t>
            </w:r>
          </w:p>
          <w:p w14:paraId="71EAD7FC" w14:textId="77777777" w:rsidR="004F6785" w:rsidRDefault="004F6785" w:rsidP="004F6785">
            <w:pPr>
              <w:numPr>
                <w:ilvl w:val="0"/>
                <w:numId w:val="26"/>
              </w:numPr>
              <w:spacing w:before="60" w:after="60" w:line="240" w:lineRule="auto"/>
              <w:ind w:left="1026" w:hanging="180"/>
            </w:pPr>
            <w:r>
              <w:t>Pallets.</w:t>
            </w:r>
          </w:p>
          <w:p w14:paraId="596CE305" w14:textId="77777777" w:rsidR="004F6785" w:rsidRPr="00607E39" w:rsidRDefault="004F6785" w:rsidP="004F6785">
            <w:pPr>
              <w:pStyle w:val="ListParagraph"/>
              <w:numPr>
                <w:ilvl w:val="0"/>
                <w:numId w:val="29"/>
              </w:numPr>
              <w:suppressAutoHyphens/>
              <w:spacing w:line="240" w:lineRule="atLeast"/>
            </w:pPr>
            <w:r w:rsidRPr="00AE09E2">
              <w:rPr>
                <w:lang w:val="en-CA"/>
              </w:rPr>
              <w:t>Batteries shall be protected against short circuits</w:t>
            </w:r>
            <w:r>
              <w:rPr>
                <w:lang w:val="en-CA"/>
              </w:rPr>
              <w:t>;</w:t>
            </w:r>
          </w:p>
          <w:p w14:paraId="414E160D" w14:textId="77777777" w:rsidR="004F6785" w:rsidRPr="00607E39" w:rsidRDefault="004F6785" w:rsidP="004F6785">
            <w:pPr>
              <w:pStyle w:val="ListParagraph"/>
              <w:numPr>
                <w:ilvl w:val="0"/>
                <w:numId w:val="29"/>
              </w:numPr>
              <w:suppressAutoHyphens/>
              <w:spacing w:line="240" w:lineRule="atLeast"/>
            </w:pPr>
            <w:r w:rsidRPr="00AE09E2">
              <w:rPr>
                <w:lang w:val="en-CA"/>
              </w:rPr>
              <w:t>Batteries stacked shall be adequately secured in tiers separated by a layer of non-conductive material</w:t>
            </w:r>
            <w:r>
              <w:rPr>
                <w:lang w:val="en-CA"/>
              </w:rPr>
              <w:t>;</w:t>
            </w:r>
          </w:p>
          <w:p w14:paraId="6BB0C564" w14:textId="77777777" w:rsidR="004F6785" w:rsidRPr="00607E39" w:rsidRDefault="004F6785" w:rsidP="004F6785">
            <w:pPr>
              <w:pStyle w:val="ListParagraph"/>
              <w:numPr>
                <w:ilvl w:val="0"/>
                <w:numId w:val="29"/>
              </w:numPr>
              <w:suppressAutoHyphens/>
              <w:spacing w:line="240" w:lineRule="atLeast"/>
            </w:pPr>
            <w:r w:rsidRPr="00AE09E2">
              <w:rPr>
                <w:lang w:val="en-CA"/>
              </w:rPr>
              <w:t>Battery terminals shall not support the weight of other superimposed elements</w:t>
            </w:r>
            <w:r>
              <w:rPr>
                <w:lang w:val="en-CA"/>
              </w:rPr>
              <w:t>;</w:t>
            </w:r>
          </w:p>
          <w:p w14:paraId="779170E8" w14:textId="77777777" w:rsidR="004F6785" w:rsidRPr="00607E39" w:rsidRDefault="004F6785" w:rsidP="004F6785">
            <w:pPr>
              <w:pStyle w:val="ListParagraph"/>
              <w:numPr>
                <w:ilvl w:val="0"/>
                <w:numId w:val="29"/>
              </w:numPr>
              <w:suppressAutoHyphens/>
              <w:spacing w:line="240" w:lineRule="atLeast"/>
            </w:pPr>
            <w:r w:rsidRPr="007C0581">
              <w:rPr>
                <w:lang w:val="en-CA"/>
              </w:rPr>
              <w:t>Batteries shall be packaged or secured to prevent inadvertent movement</w:t>
            </w:r>
            <w:r>
              <w:rPr>
                <w:lang w:val="en-CA"/>
              </w:rPr>
              <w:t>; and</w:t>
            </w:r>
          </w:p>
          <w:p w14:paraId="21A55D8F" w14:textId="77777777" w:rsidR="004F6785" w:rsidRDefault="004F6785" w:rsidP="004F6785">
            <w:pPr>
              <w:pStyle w:val="ListParagraph"/>
              <w:numPr>
                <w:ilvl w:val="0"/>
                <w:numId w:val="29"/>
              </w:numPr>
              <w:suppressAutoHyphens/>
              <w:spacing w:line="240" w:lineRule="atLeast"/>
            </w:pPr>
            <w:r w:rsidRPr="00FC192F">
              <w:rPr>
                <w:u w:val="single"/>
                <w:lang w:val="en-CA"/>
              </w:rPr>
              <w:t>Batteries must not leak in any position and inclination expected in normal conditions of transport or must be</w:t>
            </w:r>
            <w:r w:rsidRPr="00FC192F">
              <w:rPr>
                <w:lang w:val="en-CA"/>
              </w:rPr>
              <w:t xml:space="preserve"> </w:t>
            </w:r>
            <w:r w:rsidRPr="00FC192F">
              <w:rPr>
                <w:u w:val="single"/>
                <w:lang w:val="en-CA"/>
              </w:rPr>
              <w:lastRenderedPageBreak/>
              <w:t xml:space="preserve">made </w:t>
            </w:r>
            <w:proofErr w:type="spellStart"/>
            <w:r w:rsidRPr="00FC192F">
              <w:rPr>
                <w:u w:val="single"/>
                <w:lang w:val="en-CA"/>
              </w:rPr>
              <w:t>leakproof</w:t>
            </w:r>
            <w:proofErr w:type="spellEnd"/>
            <w:r w:rsidRPr="00FC192F">
              <w:rPr>
                <w:u w:val="single"/>
                <w:lang w:val="en-CA"/>
              </w:rPr>
              <w:t xml:space="preserve"> by individually packaging them or by any other equally effective method to prevent the release of electrolyte.</w:t>
            </w:r>
          </w:p>
          <w:p w14:paraId="6002F25E" w14:textId="77777777" w:rsidR="004F6785" w:rsidRDefault="004F6785" w:rsidP="00FC0DD5"/>
          <w:p w14:paraId="6C18DB8F" w14:textId="77777777" w:rsidR="004F6785" w:rsidRPr="00607E39" w:rsidRDefault="004F6785" w:rsidP="00FC0DD5">
            <w:pPr>
              <w:rPr>
                <w:strike/>
                <w:color w:val="000000" w:themeColor="text1"/>
              </w:rPr>
            </w:pPr>
            <w:r w:rsidRPr="00607E39">
              <w:rPr>
                <w:strike/>
                <w:color w:val="000000" w:themeColor="text1"/>
              </w:rPr>
              <w:t>Used storage batteries may also be transported loose in stainless steel or plastics battery boxes capable of containing any free liquid.</w:t>
            </w:r>
          </w:p>
          <w:p w14:paraId="10ABEDDF" w14:textId="77777777" w:rsidR="004F6785" w:rsidRPr="00607E39" w:rsidRDefault="004F6785" w:rsidP="00FC0DD5">
            <w:pPr>
              <w:rPr>
                <w:color w:val="FF0000"/>
              </w:rPr>
            </w:pPr>
          </w:p>
          <w:p w14:paraId="2ED12D4C" w14:textId="77777777" w:rsidR="004F6785" w:rsidRPr="00FC192F" w:rsidRDefault="004F6785" w:rsidP="004F6785">
            <w:pPr>
              <w:pStyle w:val="ListParagraph"/>
              <w:numPr>
                <w:ilvl w:val="0"/>
                <w:numId w:val="28"/>
              </w:numPr>
              <w:suppressAutoHyphens/>
              <w:spacing w:line="240" w:lineRule="atLeast"/>
              <w:ind w:left="306" w:hanging="270"/>
              <w:rPr>
                <w:u w:val="single"/>
              </w:rPr>
            </w:pPr>
            <w:r w:rsidRPr="00FC192F">
              <w:rPr>
                <w:u w:val="single"/>
                <w:lang w:val="en-CA"/>
              </w:rPr>
              <w:t xml:space="preserve">In addition, </w:t>
            </w:r>
            <w:r w:rsidRPr="00FC192F">
              <w:rPr>
                <w:u w:val="single"/>
              </w:rPr>
              <w:t xml:space="preserve">used batteries may be transported in metal or solid plastic bins provided </w:t>
            </w:r>
            <w:r w:rsidRPr="00FC192F">
              <w:rPr>
                <w:u w:val="single"/>
                <w:lang w:val="en-CA"/>
              </w:rPr>
              <w:t xml:space="preserve">that the general provisions of </w:t>
            </w:r>
            <w:r w:rsidRPr="00FC192F">
              <w:rPr>
                <w:b/>
                <w:u w:val="single"/>
                <w:lang w:val="en-CA"/>
              </w:rPr>
              <w:t>4.1.1</w:t>
            </w:r>
            <w:r w:rsidRPr="00FC192F">
              <w:rPr>
                <w:u w:val="single"/>
                <w:lang w:val="en-CA"/>
              </w:rPr>
              <w:t xml:space="preserve"> (except</w:t>
            </w:r>
            <w:r w:rsidRPr="00FC192F">
              <w:rPr>
                <w:b/>
                <w:u w:val="single"/>
                <w:lang w:val="en-CA"/>
              </w:rPr>
              <w:t xml:space="preserve"> for 4.1.1.3)</w:t>
            </w:r>
            <w:r w:rsidRPr="00FC192F">
              <w:rPr>
                <w:u w:val="single"/>
                <w:lang w:val="en-CA"/>
              </w:rPr>
              <w:t xml:space="preserve"> and </w:t>
            </w:r>
            <w:r w:rsidRPr="00FC192F">
              <w:rPr>
                <w:b/>
                <w:u w:val="single"/>
                <w:lang w:val="en-CA"/>
              </w:rPr>
              <w:t>4.1.3</w:t>
            </w:r>
            <w:r w:rsidRPr="00FC192F">
              <w:rPr>
                <w:u w:val="single"/>
                <w:lang w:val="en-CA"/>
              </w:rPr>
              <w:t xml:space="preserve"> and these additional provisions are met:</w:t>
            </w:r>
          </w:p>
          <w:p w14:paraId="29C399AC" w14:textId="77777777" w:rsidR="004F6785" w:rsidRPr="00FC192F" w:rsidRDefault="004F6785" w:rsidP="004F6785">
            <w:pPr>
              <w:pStyle w:val="ListParagraph"/>
              <w:numPr>
                <w:ilvl w:val="0"/>
                <w:numId w:val="30"/>
              </w:numPr>
              <w:suppressAutoHyphens/>
              <w:spacing w:line="240" w:lineRule="atLeast"/>
              <w:rPr>
                <w:u w:val="single"/>
              </w:rPr>
            </w:pPr>
            <w:r w:rsidRPr="00FC192F">
              <w:rPr>
                <w:u w:val="single"/>
                <w:lang w:val="en-CA"/>
              </w:rPr>
              <w:t>The bins shall be resistant to the electrolyte contained in the batteries;</w:t>
            </w:r>
          </w:p>
          <w:p w14:paraId="4FEB25E3" w14:textId="77777777" w:rsidR="004F6785" w:rsidRPr="00FC192F" w:rsidRDefault="004F6785" w:rsidP="004F6785">
            <w:pPr>
              <w:pStyle w:val="ListParagraph"/>
              <w:numPr>
                <w:ilvl w:val="0"/>
                <w:numId w:val="30"/>
              </w:numPr>
              <w:suppressAutoHyphens/>
              <w:spacing w:line="240" w:lineRule="atLeast"/>
              <w:rPr>
                <w:u w:val="single"/>
              </w:rPr>
            </w:pPr>
            <w:r w:rsidRPr="00FC192F">
              <w:rPr>
                <w:u w:val="single"/>
                <w:lang w:val="en-CA"/>
              </w:rPr>
              <w:t>The outside of the bins shall be free of residues of electrolyte contained in the batteries;</w:t>
            </w:r>
          </w:p>
          <w:p w14:paraId="0B195D78" w14:textId="77777777" w:rsidR="004F6785" w:rsidRPr="00FC192F" w:rsidRDefault="004F6785" w:rsidP="004F6785">
            <w:pPr>
              <w:pStyle w:val="ListParagraph"/>
              <w:numPr>
                <w:ilvl w:val="0"/>
                <w:numId w:val="30"/>
              </w:numPr>
              <w:suppressAutoHyphens/>
              <w:spacing w:line="240" w:lineRule="atLeast"/>
              <w:rPr>
                <w:u w:val="single"/>
              </w:rPr>
            </w:pPr>
            <w:r w:rsidRPr="00FC192F">
              <w:rPr>
                <w:u w:val="single"/>
                <w:lang w:val="en-CA"/>
              </w:rPr>
              <w:t>The bins shall not be filled to a height greater than the height of their sides;</w:t>
            </w:r>
          </w:p>
          <w:p w14:paraId="67237C90" w14:textId="77777777" w:rsidR="004F6785" w:rsidRPr="00FC192F" w:rsidRDefault="004F6785" w:rsidP="004F6785">
            <w:pPr>
              <w:pStyle w:val="ListParagraph"/>
              <w:numPr>
                <w:ilvl w:val="0"/>
                <w:numId w:val="30"/>
              </w:numPr>
              <w:suppressAutoHyphens/>
              <w:spacing w:line="240" w:lineRule="atLeast"/>
              <w:rPr>
                <w:u w:val="single"/>
              </w:rPr>
            </w:pPr>
            <w:r w:rsidRPr="00FC192F">
              <w:rPr>
                <w:u w:val="single"/>
                <w:lang w:val="en-CA"/>
              </w:rPr>
              <w:t>Under normal conditions of transport, no electrolyte shall leak from the bins; and</w:t>
            </w:r>
          </w:p>
          <w:p w14:paraId="576E9473" w14:textId="77777777" w:rsidR="004F6785" w:rsidRPr="00FC192F" w:rsidRDefault="004F6785" w:rsidP="004F6785">
            <w:pPr>
              <w:pStyle w:val="ListParagraph"/>
              <w:numPr>
                <w:ilvl w:val="0"/>
                <w:numId w:val="30"/>
              </w:numPr>
              <w:suppressAutoHyphens/>
              <w:spacing w:line="240" w:lineRule="atLeast"/>
              <w:rPr>
                <w:u w:val="single"/>
              </w:rPr>
            </w:pPr>
            <w:r w:rsidRPr="00FC192F">
              <w:rPr>
                <w:u w:val="single"/>
                <w:lang w:val="en-CA"/>
              </w:rPr>
              <w:t>The bins shall be either:</w:t>
            </w:r>
          </w:p>
          <w:p w14:paraId="4841EE72" w14:textId="07199E27" w:rsidR="004F6785" w:rsidRPr="00FC192F" w:rsidRDefault="00431EA9" w:rsidP="00431EA9">
            <w:pPr>
              <w:ind w:left="1386" w:hanging="306"/>
              <w:rPr>
                <w:u w:val="single"/>
              </w:rPr>
            </w:pPr>
            <w:r w:rsidRPr="00FC192F">
              <w:rPr>
                <w:u w:val="single"/>
                <w:lang w:val="en-CA"/>
              </w:rPr>
              <w:t>(</w:t>
            </w:r>
            <w:proofErr w:type="spellStart"/>
            <w:r w:rsidRPr="00FC192F">
              <w:rPr>
                <w:u w:val="single"/>
                <w:lang w:val="en-CA"/>
              </w:rPr>
              <w:t>i</w:t>
            </w:r>
            <w:proofErr w:type="spellEnd"/>
            <w:r w:rsidRPr="00FC192F">
              <w:rPr>
                <w:u w:val="single"/>
                <w:lang w:val="en-CA"/>
              </w:rPr>
              <w:t>)</w:t>
            </w:r>
            <w:r w:rsidRPr="00FC192F">
              <w:rPr>
                <w:u w:val="single"/>
                <w:lang w:val="en-CA"/>
              </w:rPr>
              <w:tab/>
            </w:r>
            <w:r w:rsidR="004F6785" w:rsidRPr="00FC192F">
              <w:rPr>
                <w:u w:val="single"/>
                <w:lang w:val="en-CA"/>
              </w:rPr>
              <w:t>Covered; or</w:t>
            </w:r>
          </w:p>
          <w:p w14:paraId="2465701F" w14:textId="68BE30C9" w:rsidR="004F6785" w:rsidRPr="00935D2B" w:rsidRDefault="00431EA9" w:rsidP="00431EA9">
            <w:pPr>
              <w:ind w:left="1386" w:hanging="306"/>
              <w:rPr>
                <w:i/>
                <w:color w:val="FF0000"/>
              </w:rPr>
            </w:pPr>
            <w:r w:rsidRPr="00FC192F">
              <w:rPr>
                <w:u w:val="single"/>
                <w:lang w:val="en-CA"/>
              </w:rPr>
              <w:t>(ii)</w:t>
            </w:r>
            <w:r w:rsidRPr="00FC192F">
              <w:rPr>
                <w:u w:val="single"/>
                <w:lang w:val="en-CA"/>
              </w:rPr>
              <w:tab/>
            </w:r>
            <w:r w:rsidR="004F6785" w:rsidRPr="00FC192F">
              <w:rPr>
                <w:u w:val="single"/>
                <w:lang w:val="en-CA"/>
              </w:rPr>
              <w:t>Transported inside a closed cargo transport unit.</w:t>
            </w:r>
          </w:p>
          <w:p w14:paraId="628B0D88" w14:textId="77777777" w:rsidR="004F6785" w:rsidRPr="00DB0EC3" w:rsidRDefault="004F6785" w:rsidP="00FC0DD5">
            <w:pPr>
              <w:rPr>
                <w:lang w:val="en-CA"/>
              </w:rPr>
            </w:pPr>
          </w:p>
        </w:tc>
      </w:tr>
      <w:tr w:rsidR="004F6785" w:rsidRPr="004602C5" w14:paraId="44931C45" w14:textId="77777777" w:rsidTr="00FC0DD5">
        <w:trPr>
          <w:trHeight w:val="244"/>
        </w:trPr>
        <w:tc>
          <w:tcPr>
            <w:tcW w:w="9643" w:type="dxa"/>
            <w:gridSpan w:val="3"/>
            <w:tcBorders>
              <w:top w:val="single" w:sz="4" w:space="0" w:color="000000"/>
              <w:bottom w:val="nil"/>
            </w:tcBorders>
          </w:tcPr>
          <w:p w14:paraId="220F6B46" w14:textId="77777777" w:rsidR="004F6785" w:rsidRPr="00607E39" w:rsidRDefault="004F6785" w:rsidP="00FC0DD5">
            <w:pPr>
              <w:spacing w:before="60" w:after="60" w:line="240" w:lineRule="auto"/>
              <w:rPr>
                <w:strike/>
                <w:color w:val="FF0000"/>
              </w:rPr>
            </w:pPr>
            <w:r w:rsidRPr="00607E39">
              <w:rPr>
                <w:b/>
                <w:strike/>
              </w:rPr>
              <w:lastRenderedPageBreak/>
              <w:t>Additional requirements</w:t>
            </w:r>
            <w:r w:rsidRPr="00607E39">
              <w:rPr>
                <w:strike/>
              </w:rPr>
              <w:t>:</w:t>
            </w:r>
          </w:p>
        </w:tc>
      </w:tr>
      <w:tr w:rsidR="004F6785" w:rsidRPr="00496061" w14:paraId="3AC92E59" w14:textId="77777777" w:rsidTr="00FC0DD5">
        <w:trPr>
          <w:trHeight w:val="360"/>
        </w:trPr>
        <w:tc>
          <w:tcPr>
            <w:tcW w:w="9643" w:type="dxa"/>
            <w:gridSpan w:val="3"/>
            <w:tcBorders>
              <w:top w:val="nil"/>
            </w:tcBorders>
            <w:vAlign w:val="center"/>
          </w:tcPr>
          <w:p w14:paraId="5AB0539D" w14:textId="77777777" w:rsidR="004F6785" w:rsidRPr="00607E39" w:rsidRDefault="004F6785" w:rsidP="004F6785">
            <w:pPr>
              <w:numPr>
                <w:ilvl w:val="0"/>
                <w:numId w:val="27"/>
              </w:numPr>
              <w:spacing w:before="60" w:after="60" w:line="240" w:lineRule="auto"/>
              <w:rPr>
                <w:strike/>
                <w:lang w:val="en-CA"/>
              </w:rPr>
            </w:pPr>
            <w:r w:rsidRPr="00607E39">
              <w:rPr>
                <w:strike/>
                <w:lang w:val="en-CA"/>
              </w:rPr>
              <w:t>Batteries shall be protected against short circuits.</w:t>
            </w:r>
          </w:p>
          <w:p w14:paraId="398491FD" w14:textId="77777777" w:rsidR="004F6785" w:rsidRPr="00607E39" w:rsidRDefault="004F6785" w:rsidP="004F6785">
            <w:pPr>
              <w:numPr>
                <w:ilvl w:val="0"/>
                <w:numId w:val="27"/>
              </w:numPr>
              <w:spacing w:before="60" w:after="60" w:line="240" w:lineRule="auto"/>
              <w:rPr>
                <w:strike/>
                <w:lang w:val="en-CA"/>
              </w:rPr>
            </w:pPr>
            <w:r w:rsidRPr="00607E39">
              <w:rPr>
                <w:strike/>
                <w:lang w:val="en-CA"/>
              </w:rPr>
              <w:t>Batteries stacked shall be adequately secured in tiers separated by a layer of non-conductive material.</w:t>
            </w:r>
          </w:p>
          <w:p w14:paraId="2DE17C97" w14:textId="77777777" w:rsidR="004F6785" w:rsidRPr="00607E39" w:rsidRDefault="004F6785" w:rsidP="004F6785">
            <w:pPr>
              <w:numPr>
                <w:ilvl w:val="0"/>
                <w:numId w:val="27"/>
              </w:numPr>
              <w:spacing w:before="60" w:after="60" w:line="240" w:lineRule="auto"/>
              <w:rPr>
                <w:strike/>
                <w:lang w:val="en-CA"/>
              </w:rPr>
            </w:pPr>
            <w:r w:rsidRPr="00607E39">
              <w:rPr>
                <w:strike/>
                <w:lang w:val="en-CA"/>
              </w:rPr>
              <w:t>Battery terminals shall not support the weight of other superimposed elements.</w:t>
            </w:r>
          </w:p>
          <w:p w14:paraId="3E7572FD" w14:textId="77777777" w:rsidR="004F6785" w:rsidRPr="00607E39" w:rsidRDefault="004F6785" w:rsidP="004F6785">
            <w:pPr>
              <w:numPr>
                <w:ilvl w:val="0"/>
                <w:numId w:val="27"/>
              </w:numPr>
              <w:spacing w:before="60" w:after="60" w:line="240" w:lineRule="auto"/>
              <w:rPr>
                <w:strike/>
                <w:lang w:val="en-CA"/>
              </w:rPr>
            </w:pPr>
            <w:r w:rsidRPr="00607E39">
              <w:rPr>
                <w:strike/>
                <w:lang w:val="en-CA"/>
              </w:rPr>
              <w:t>Batteries shall be packaged or secured to prevent inadvertent movement.</w:t>
            </w:r>
          </w:p>
        </w:tc>
      </w:tr>
    </w:tbl>
    <w:p w14:paraId="5303EF63" w14:textId="03991FA1" w:rsidR="004F6785" w:rsidRPr="00CD0C35" w:rsidRDefault="00CD0C35" w:rsidP="00CD0C35">
      <w:pPr>
        <w:pStyle w:val="SingleTxtG"/>
        <w:spacing w:before="240" w:after="0"/>
        <w:jc w:val="center"/>
        <w:rPr>
          <w:u w:val="single"/>
        </w:rPr>
      </w:pPr>
      <w:r>
        <w:rPr>
          <w:u w:val="single"/>
        </w:rPr>
        <w:tab/>
      </w:r>
      <w:r>
        <w:rPr>
          <w:u w:val="single"/>
        </w:rPr>
        <w:tab/>
      </w:r>
      <w:r>
        <w:rPr>
          <w:u w:val="single"/>
        </w:rPr>
        <w:tab/>
      </w:r>
    </w:p>
    <w:p w14:paraId="26DAD5BE" w14:textId="77777777" w:rsidR="004F6785" w:rsidRDefault="004F6785" w:rsidP="00C353D9">
      <w:pPr>
        <w:rPr>
          <w:b/>
        </w:rPr>
      </w:pPr>
    </w:p>
    <w:p w14:paraId="3446A2A1" w14:textId="77777777" w:rsidR="004F6785" w:rsidRDefault="004F6785" w:rsidP="00C353D9">
      <w:pPr>
        <w:rPr>
          <w:b/>
        </w:rPr>
      </w:pPr>
    </w:p>
    <w:p w14:paraId="14D9D4B4" w14:textId="77777777" w:rsidR="004F6785" w:rsidRDefault="004F6785" w:rsidP="00C353D9">
      <w:pPr>
        <w:rPr>
          <w:b/>
        </w:rPr>
      </w:pPr>
    </w:p>
    <w:p w14:paraId="03C1CB8B" w14:textId="77777777" w:rsidR="004F6785" w:rsidRDefault="004F6785" w:rsidP="00C353D9">
      <w:pPr>
        <w:rPr>
          <w:b/>
        </w:rPr>
      </w:pPr>
    </w:p>
    <w:p w14:paraId="3CAA5848" w14:textId="77777777" w:rsidR="004F6785" w:rsidRPr="00A57D6F" w:rsidRDefault="004F6785" w:rsidP="00C353D9">
      <w:pPr>
        <w:rPr>
          <w:b/>
        </w:rPr>
      </w:pPr>
    </w:p>
    <w:sectPr w:rsidR="004F6785" w:rsidRPr="00A57D6F" w:rsidSect="004F6785">
      <w:head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973C0" w14:textId="77777777" w:rsidR="002E2F90" w:rsidRDefault="002E2F90"/>
  </w:endnote>
  <w:endnote w:type="continuationSeparator" w:id="0">
    <w:p w14:paraId="4519A4BE" w14:textId="77777777" w:rsidR="002E2F90" w:rsidRDefault="002E2F90"/>
  </w:endnote>
  <w:endnote w:type="continuationNotice" w:id="1">
    <w:p w14:paraId="24A6F413" w14:textId="77777777" w:rsidR="002E2F90" w:rsidRDefault="002E2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D01D8" w14:textId="2E4115AC" w:rsidR="002E2F90" w:rsidRPr="009D2A5B" w:rsidRDefault="002E2F90"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54682">
      <w:rPr>
        <w:b/>
        <w:noProof/>
        <w:sz w:val="18"/>
      </w:rPr>
      <w:t>4</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A4F10" w14:textId="3A317935" w:rsidR="002E2F90" w:rsidRPr="009D2A5B" w:rsidRDefault="002E2F90"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54682">
      <w:rPr>
        <w:b/>
        <w:noProof/>
        <w:sz w:val="18"/>
      </w:rPr>
      <w:t>5</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3873" w14:textId="77777777" w:rsidR="002E2F90" w:rsidRPr="000B175B" w:rsidRDefault="002E2F90" w:rsidP="000B175B">
      <w:pPr>
        <w:tabs>
          <w:tab w:val="right" w:pos="2155"/>
        </w:tabs>
        <w:spacing w:after="80"/>
        <w:ind w:left="680"/>
        <w:rPr>
          <w:u w:val="single"/>
        </w:rPr>
      </w:pPr>
      <w:r>
        <w:rPr>
          <w:u w:val="single"/>
        </w:rPr>
        <w:tab/>
      </w:r>
    </w:p>
  </w:footnote>
  <w:footnote w:type="continuationSeparator" w:id="0">
    <w:p w14:paraId="686C16EC" w14:textId="77777777" w:rsidR="002E2F90" w:rsidRPr="00FC68B7" w:rsidRDefault="002E2F90" w:rsidP="00FC68B7">
      <w:pPr>
        <w:tabs>
          <w:tab w:val="left" w:pos="2155"/>
        </w:tabs>
        <w:spacing w:after="80"/>
        <w:ind w:left="680"/>
        <w:rPr>
          <w:u w:val="single"/>
        </w:rPr>
      </w:pPr>
      <w:r>
        <w:rPr>
          <w:u w:val="single"/>
        </w:rPr>
        <w:tab/>
      </w:r>
    </w:p>
  </w:footnote>
  <w:footnote w:type="continuationNotice" w:id="1">
    <w:p w14:paraId="580B8D24" w14:textId="77777777" w:rsidR="002E2F90" w:rsidRDefault="002E2F90"/>
  </w:footnote>
  <w:footnote w:id="2">
    <w:p w14:paraId="24F80127" w14:textId="5BC47A9E" w:rsidR="004F6785" w:rsidRPr="004F6785" w:rsidRDefault="004F6785" w:rsidP="004F6785">
      <w:pPr>
        <w:pStyle w:val="FootnoteText"/>
        <w:tabs>
          <w:tab w:val="left" w:pos="1418"/>
        </w:tabs>
        <w:ind w:firstLine="0"/>
        <w:rPr>
          <w:lang w:val="fr-CH"/>
        </w:rPr>
      </w:pPr>
      <w:r>
        <w:rPr>
          <w:rStyle w:val="FootnoteReference"/>
        </w:rPr>
        <w:footnoteRef/>
      </w:r>
      <w:r>
        <w:rPr>
          <w:lang w:val="fr-CH"/>
        </w:rPr>
        <w:tab/>
      </w:r>
      <w:r>
        <w:rPr>
          <w:lang w:val="en-US"/>
        </w:rPr>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 w:id="3">
    <w:p w14:paraId="377C2165" w14:textId="11098FB0" w:rsidR="004F6785" w:rsidRPr="004F6785" w:rsidRDefault="004F6785" w:rsidP="004F6785">
      <w:pPr>
        <w:pStyle w:val="FootnoteText"/>
        <w:tabs>
          <w:tab w:val="left" w:pos="1418"/>
        </w:tabs>
        <w:ind w:firstLine="0"/>
        <w:rPr>
          <w:lang w:val="fr-CH"/>
        </w:rPr>
      </w:pPr>
      <w:r>
        <w:rPr>
          <w:rStyle w:val="FootnoteReference"/>
        </w:rPr>
        <w:footnoteRef/>
      </w:r>
      <w:r>
        <w:rPr>
          <w:i/>
          <w:lang w:val="en-CA"/>
        </w:rPr>
        <w:tab/>
      </w:r>
      <w:r w:rsidRPr="008A523A">
        <w:rPr>
          <w:i/>
          <w:lang w:val="en-CA"/>
        </w:rPr>
        <w:t>Packing and Securing Used Stationary Batteries</w:t>
      </w:r>
      <w:r>
        <w:rPr>
          <w:i/>
          <w:lang w:val="en-CA"/>
        </w:rPr>
        <w:t xml:space="preserve">/Cells, </w:t>
      </w:r>
      <w:r w:rsidRPr="008A523A">
        <w:rPr>
          <w:lang w:val="en-CA"/>
        </w:rPr>
        <w:t>www.eastpennmanufacturing.com/wp-content/uploads/Stationary-Power-Packaging-and-Securing-Stationary-Batteries-Cells.pdf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F68F2" w14:textId="53117BAE" w:rsidR="002E2F90" w:rsidRPr="00C53C49" w:rsidRDefault="002E2F90" w:rsidP="00023445">
    <w:pPr>
      <w:pStyle w:val="Header"/>
      <w:rPr>
        <w:szCs w:val="18"/>
        <w:lang w:val="en-US"/>
      </w:rPr>
    </w:pPr>
    <w:r>
      <w:rPr>
        <w:szCs w:val="18"/>
      </w:rPr>
      <w:t>ST/SG/AC.</w:t>
    </w:r>
    <w:r w:rsidR="004F6785">
      <w:rPr>
        <w:szCs w:val="18"/>
      </w:rPr>
      <w:t>10/C.3/2017/44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3F7C" w14:textId="3ABDBADF" w:rsidR="002E2F90" w:rsidRPr="00023445" w:rsidRDefault="002E2F90" w:rsidP="00AC49B1">
    <w:pPr>
      <w:pStyle w:val="Header"/>
      <w:tabs>
        <w:tab w:val="center" w:pos="4819"/>
        <w:tab w:val="right" w:pos="9639"/>
      </w:tabs>
      <w:rPr>
        <w:szCs w:val="18"/>
      </w:rPr>
    </w:pPr>
    <w:r>
      <w:rPr>
        <w:szCs w:val="18"/>
      </w:rPr>
      <w:tab/>
    </w:r>
    <w:r>
      <w:rPr>
        <w:szCs w:val="18"/>
      </w:rPr>
      <w:tab/>
    </w:r>
    <w:r w:rsidRPr="00023445">
      <w:rPr>
        <w:szCs w:val="18"/>
      </w:rPr>
      <w:t>ST</w:t>
    </w:r>
    <w:r w:rsidR="004F6785">
      <w:rPr>
        <w:szCs w:val="18"/>
      </w:rPr>
      <w:t>/SG/AC.10/C.3/2017/44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B70A" w14:textId="77777777" w:rsidR="004F6785" w:rsidRPr="00023445" w:rsidRDefault="004F6785" w:rsidP="00AC49B1">
    <w:pPr>
      <w:pStyle w:val="Header"/>
      <w:tabs>
        <w:tab w:val="center" w:pos="4819"/>
        <w:tab w:val="right" w:pos="9639"/>
      </w:tabs>
      <w:rPr>
        <w:szCs w:val="18"/>
      </w:rPr>
    </w:pPr>
    <w:r>
      <w:rPr>
        <w:szCs w:val="18"/>
      </w:rPr>
      <w:tab/>
    </w:r>
    <w:r>
      <w:rPr>
        <w:szCs w:val="18"/>
      </w:rPr>
      <w:tab/>
    </w:r>
    <w:r w:rsidRPr="00023445">
      <w:rPr>
        <w:szCs w:val="18"/>
      </w:rPr>
      <w:t>ST</w:t>
    </w:r>
    <w:r>
      <w:rPr>
        <w:szCs w:val="18"/>
      </w:rPr>
      <w:t>/SG/AC.10/C.3/2017/44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63C61" w14:textId="3107494E" w:rsidR="004F6785" w:rsidRPr="004F6785" w:rsidRDefault="004F6785">
    <w:pPr>
      <w:pStyle w:val="Header"/>
      <w:rPr>
        <w:lang w:val="fr-CH"/>
      </w:rPr>
    </w:pPr>
    <w:r>
      <w:rPr>
        <w:lang w:val="fr-CH"/>
      </w:rPr>
      <w:t>ST/SG/AC.10/C.3/2017/44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88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245390"/>
    <w:multiLevelType w:val="hybridMultilevel"/>
    <w:tmpl w:val="FAFADB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D2C9E"/>
    <w:multiLevelType w:val="hybridMultilevel"/>
    <w:tmpl w:val="CBAC22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125FFD"/>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F8938B6"/>
    <w:multiLevelType w:val="hybridMultilevel"/>
    <w:tmpl w:val="A99C3D78"/>
    <w:lvl w:ilvl="0" w:tplc="1932F9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7599B"/>
    <w:multiLevelType w:val="hybridMultilevel"/>
    <w:tmpl w:val="A2262F36"/>
    <w:lvl w:ilvl="0" w:tplc="1CC4EFD0">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nsid w:val="4C6D267C"/>
    <w:multiLevelType w:val="hybridMultilevel"/>
    <w:tmpl w:val="E20C7A9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BD7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66E7E54"/>
    <w:multiLevelType w:val="hybridMultilevel"/>
    <w:tmpl w:val="C72A3362"/>
    <w:lvl w:ilvl="0" w:tplc="7948273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C067D47"/>
    <w:multiLevelType w:val="hybridMultilevel"/>
    <w:tmpl w:val="854C1FC2"/>
    <w:lvl w:ilvl="0" w:tplc="99980B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6C3467D9"/>
    <w:multiLevelType w:val="hybridMultilevel"/>
    <w:tmpl w:val="8474CAD2"/>
    <w:lvl w:ilvl="0" w:tplc="920C5728">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nsid w:val="6DE77674"/>
    <w:multiLevelType w:val="hybridMultilevel"/>
    <w:tmpl w:val="097425FA"/>
    <w:lvl w:ilvl="0" w:tplc="10090019">
      <w:start w:val="1"/>
      <w:numFmt w:val="lowerLetter"/>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9">
    <w:nsid w:val="70BD5884"/>
    <w:multiLevelType w:val="hybridMultilevel"/>
    <w:tmpl w:val="24B21C54"/>
    <w:lvl w:ilvl="0" w:tplc="1932F9F0">
      <w:start w:val="1"/>
      <w:numFmt w:val="lowerLetter"/>
      <w:lvlText w:val="(%1)"/>
      <w:lvlJc w:val="left"/>
      <w:pPr>
        <w:ind w:left="1026" w:hanging="360"/>
      </w:pPr>
      <w:rPr>
        <w:rFonts w:ascii="Times New Roman" w:eastAsia="Times New Roman" w:hAnsi="Times New Roman" w:cs="Times New Roman"/>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0">
    <w:nsid w:val="742E5891"/>
    <w:multiLevelType w:val="hybridMultilevel"/>
    <w:tmpl w:val="FE4E93C6"/>
    <w:lvl w:ilvl="0" w:tplc="23803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F57A1"/>
    <w:multiLevelType w:val="hybridMultilevel"/>
    <w:tmpl w:val="1AA6A0C2"/>
    <w:lvl w:ilvl="0" w:tplc="04090017">
      <w:start w:val="1"/>
      <w:numFmt w:val="lowerLetter"/>
      <w:lvlText w:val="%1)"/>
      <w:lvlJc w:val="left"/>
      <w:pPr>
        <w:ind w:left="1910" w:hanging="360"/>
      </w:p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32">
    <w:nsid w:val="7FD976E4"/>
    <w:multiLevelType w:val="hybridMultilevel"/>
    <w:tmpl w:val="67F6BA06"/>
    <w:lvl w:ilvl="0" w:tplc="AFD88900">
      <w:start w:val="1"/>
      <w:numFmt w:val="decimal"/>
      <w:lvlText w:val="%1."/>
      <w:lvlJc w:val="left"/>
      <w:pPr>
        <w:ind w:left="1689" w:hanging="555"/>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8"/>
  </w:num>
  <w:num w:numId="12">
    <w:abstractNumId w:val="16"/>
  </w:num>
  <w:num w:numId="13">
    <w:abstractNumId w:val="11"/>
  </w:num>
  <w:num w:numId="14">
    <w:abstractNumId w:val="25"/>
  </w:num>
  <w:num w:numId="15">
    <w:abstractNumId w:val="14"/>
  </w:num>
  <w:num w:numId="16">
    <w:abstractNumId w:val="12"/>
  </w:num>
  <w:num w:numId="17">
    <w:abstractNumId w:val="0"/>
  </w:num>
  <w:num w:numId="18">
    <w:abstractNumId w:val="13"/>
  </w:num>
  <w:num w:numId="19">
    <w:abstractNumId w:val="27"/>
  </w:num>
  <w:num w:numId="20">
    <w:abstractNumId w:val="19"/>
  </w:num>
  <w:num w:numId="21">
    <w:abstractNumId w:val="21"/>
  </w:num>
  <w:num w:numId="22">
    <w:abstractNumId w:val="23"/>
  </w:num>
  <w:num w:numId="23">
    <w:abstractNumId w:val="24"/>
  </w:num>
  <w:num w:numId="24">
    <w:abstractNumId w:val="17"/>
  </w:num>
  <w:num w:numId="25">
    <w:abstractNumId w:val="32"/>
  </w:num>
  <w:num w:numId="26">
    <w:abstractNumId w:val="22"/>
  </w:num>
  <w:num w:numId="27">
    <w:abstractNumId w:val="15"/>
  </w:num>
  <w:num w:numId="28">
    <w:abstractNumId w:val="30"/>
  </w:num>
  <w:num w:numId="29">
    <w:abstractNumId w:val="20"/>
  </w:num>
  <w:num w:numId="30">
    <w:abstractNumId w:val="29"/>
  </w:num>
  <w:num w:numId="31">
    <w:abstractNumId w:val="28"/>
  </w:num>
  <w:num w:numId="32">
    <w:abstractNumId w:val="26"/>
  </w:num>
  <w:num w:numId="33">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24BA"/>
    <w:rsid w:val="00004041"/>
    <w:rsid w:val="00015927"/>
    <w:rsid w:val="00023445"/>
    <w:rsid w:val="00030391"/>
    <w:rsid w:val="00037C49"/>
    <w:rsid w:val="00037F90"/>
    <w:rsid w:val="00046B1F"/>
    <w:rsid w:val="00050F6B"/>
    <w:rsid w:val="00051B9C"/>
    <w:rsid w:val="00057447"/>
    <w:rsid w:val="00057E97"/>
    <w:rsid w:val="00066DF5"/>
    <w:rsid w:val="0007088F"/>
    <w:rsid w:val="00072C8C"/>
    <w:rsid w:val="000733B5"/>
    <w:rsid w:val="00076880"/>
    <w:rsid w:val="00081815"/>
    <w:rsid w:val="000931C0"/>
    <w:rsid w:val="000B0595"/>
    <w:rsid w:val="000B175B"/>
    <w:rsid w:val="000B3A0F"/>
    <w:rsid w:val="000B4EF7"/>
    <w:rsid w:val="000C2C03"/>
    <w:rsid w:val="000C2D2E"/>
    <w:rsid w:val="000C4D51"/>
    <w:rsid w:val="000D783A"/>
    <w:rsid w:val="000E0415"/>
    <w:rsid w:val="000E47CA"/>
    <w:rsid w:val="000F0D30"/>
    <w:rsid w:val="00107320"/>
    <w:rsid w:val="001103AA"/>
    <w:rsid w:val="00112FBF"/>
    <w:rsid w:val="0011666B"/>
    <w:rsid w:val="00121DE7"/>
    <w:rsid w:val="001234B8"/>
    <w:rsid w:val="001275B3"/>
    <w:rsid w:val="00133885"/>
    <w:rsid w:val="001370F8"/>
    <w:rsid w:val="00153694"/>
    <w:rsid w:val="00154A06"/>
    <w:rsid w:val="00155068"/>
    <w:rsid w:val="00164ACA"/>
    <w:rsid w:val="00165F3A"/>
    <w:rsid w:val="00181506"/>
    <w:rsid w:val="001979B7"/>
    <w:rsid w:val="001B13A5"/>
    <w:rsid w:val="001B4B04"/>
    <w:rsid w:val="001B6E89"/>
    <w:rsid w:val="001C6663"/>
    <w:rsid w:val="001C7895"/>
    <w:rsid w:val="001C7C7A"/>
    <w:rsid w:val="001D0C8C"/>
    <w:rsid w:val="001D1419"/>
    <w:rsid w:val="001D1E74"/>
    <w:rsid w:val="001D26DF"/>
    <w:rsid w:val="001D3A03"/>
    <w:rsid w:val="001D7F46"/>
    <w:rsid w:val="001E0B9E"/>
    <w:rsid w:val="001E2DB3"/>
    <w:rsid w:val="001E526B"/>
    <w:rsid w:val="001E7B67"/>
    <w:rsid w:val="001F249C"/>
    <w:rsid w:val="001F59B7"/>
    <w:rsid w:val="001F7435"/>
    <w:rsid w:val="00202CD0"/>
    <w:rsid w:val="00202DA8"/>
    <w:rsid w:val="0021157B"/>
    <w:rsid w:val="00211E0B"/>
    <w:rsid w:val="0022221F"/>
    <w:rsid w:val="00222F40"/>
    <w:rsid w:val="002257FB"/>
    <w:rsid w:val="00227A8D"/>
    <w:rsid w:val="00231BA1"/>
    <w:rsid w:val="00234EEE"/>
    <w:rsid w:val="00252215"/>
    <w:rsid w:val="00253215"/>
    <w:rsid w:val="002653E7"/>
    <w:rsid w:val="00267F5F"/>
    <w:rsid w:val="002740C0"/>
    <w:rsid w:val="00286B4D"/>
    <w:rsid w:val="00297EA8"/>
    <w:rsid w:val="002A603B"/>
    <w:rsid w:val="002A6B8F"/>
    <w:rsid w:val="002B0140"/>
    <w:rsid w:val="002C18EF"/>
    <w:rsid w:val="002C37B4"/>
    <w:rsid w:val="002D4643"/>
    <w:rsid w:val="002D4B6C"/>
    <w:rsid w:val="002E2F90"/>
    <w:rsid w:val="002F175C"/>
    <w:rsid w:val="00302E18"/>
    <w:rsid w:val="0030721A"/>
    <w:rsid w:val="00320B22"/>
    <w:rsid w:val="003229D8"/>
    <w:rsid w:val="00324F93"/>
    <w:rsid w:val="0033050B"/>
    <w:rsid w:val="0034446B"/>
    <w:rsid w:val="003453B6"/>
    <w:rsid w:val="00347DDB"/>
    <w:rsid w:val="00350DA4"/>
    <w:rsid w:val="00352709"/>
    <w:rsid w:val="00362296"/>
    <w:rsid w:val="003640F6"/>
    <w:rsid w:val="00371178"/>
    <w:rsid w:val="003772D4"/>
    <w:rsid w:val="00392DE1"/>
    <w:rsid w:val="003A6810"/>
    <w:rsid w:val="003C2CC4"/>
    <w:rsid w:val="003D0E89"/>
    <w:rsid w:val="003D4B23"/>
    <w:rsid w:val="003E3D8A"/>
    <w:rsid w:val="003E6CCC"/>
    <w:rsid w:val="003F2A01"/>
    <w:rsid w:val="00400BEC"/>
    <w:rsid w:val="00407087"/>
    <w:rsid w:val="00410C89"/>
    <w:rsid w:val="00422E03"/>
    <w:rsid w:val="00426B9B"/>
    <w:rsid w:val="00431EA9"/>
    <w:rsid w:val="004325CB"/>
    <w:rsid w:val="0044242F"/>
    <w:rsid w:val="00442A83"/>
    <w:rsid w:val="0045325F"/>
    <w:rsid w:val="004542BB"/>
    <w:rsid w:val="0045495B"/>
    <w:rsid w:val="0048397A"/>
    <w:rsid w:val="00483981"/>
    <w:rsid w:val="00485022"/>
    <w:rsid w:val="004911F5"/>
    <w:rsid w:val="004A12F2"/>
    <w:rsid w:val="004A19DC"/>
    <w:rsid w:val="004C2461"/>
    <w:rsid w:val="004C333F"/>
    <w:rsid w:val="004C7462"/>
    <w:rsid w:val="004D4E04"/>
    <w:rsid w:val="004D5426"/>
    <w:rsid w:val="004D5ABD"/>
    <w:rsid w:val="004D7E81"/>
    <w:rsid w:val="004E0C05"/>
    <w:rsid w:val="004E320B"/>
    <w:rsid w:val="004E77B2"/>
    <w:rsid w:val="004F6785"/>
    <w:rsid w:val="00503DEB"/>
    <w:rsid w:val="00504B2D"/>
    <w:rsid w:val="00512D94"/>
    <w:rsid w:val="0052136D"/>
    <w:rsid w:val="00522B58"/>
    <w:rsid w:val="0052775E"/>
    <w:rsid w:val="00527D3F"/>
    <w:rsid w:val="005315A3"/>
    <w:rsid w:val="0053175B"/>
    <w:rsid w:val="00533623"/>
    <w:rsid w:val="00535C90"/>
    <w:rsid w:val="00540A84"/>
    <w:rsid w:val="00541007"/>
    <w:rsid w:val="00541A13"/>
    <w:rsid w:val="005420F2"/>
    <w:rsid w:val="00542893"/>
    <w:rsid w:val="00546993"/>
    <w:rsid w:val="00557156"/>
    <w:rsid w:val="00562855"/>
    <w:rsid w:val="005628B6"/>
    <w:rsid w:val="0058740B"/>
    <w:rsid w:val="00596FAF"/>
    <w:rsid w:val="005A575C"/>
    <w:rsid w:val="005A6E47"/>
    <w:rsid w:val="005B3DB3"/>
    <w:rsid w:val="005B4E13"/>
    <w:rsid w:val="005C15A0"/>
    <w:rsid w:val="005D2D66"/>
    <w:rsid w:val="005D4BE6"/>
    <w:rsid w:val="005D5790"/>
    <w:rsid w:val="005D68F4"/>
    <w:rsid w:val="005E3A54"/>
    <w:rsid w:val="005E6A77"/>
    <w:rsid w:val="005F4FF4"/>
    <w:rsid w:val="005F7B75"/>
    <w:rsid w:val="006001EE"/>
    <w:rsid w:val="00600576"/>
    <w:rsid w:val="00605042"/>
    <w:rsid w:val="006055D6"/>
    <w:rsid w:val="00611FC4"/>
    <w:rsid w:val="0061365A"/>
    <w:rsid w:val="006174F9"/>
    <w:rsid w:val="006176FB"/>
    <w:rsid w:val="00621BDE"/>
    <w:rsid w:val="00625568"/>
    <w:rsid w:val="00640B26"/>
    <w:rsid w:val="006437D6"/>
    <w:rsid w:val="00645892"/>
    <w:rsid w:val="00652D0A"/>
    <w:rsid w:val="006623D5"/>
    <w:rsid w:val="00662AEF"/>
    <w:rsid w:val="00662BB6"/>
    <w:rsid w:val="00667F8F"/>
    <w:rsid w:val="00680B8B"/>
    <w:rsid w:val="00684C21"/>
    <w:rsid w:val="00694E2C"/>
    <w:rsid w:val="006A2530"/>
    <w:rsid w:val="006A6089"/>
    <w:rsid w:val="006C3589"/>
    <w:rsid w:val="006D37AF"/>
    <w:rsid w:val="006D51D0"/>
    <w:rsid w:val="006E564B"/>
    <w:rsid w:val="006E7191"/>
    <w:rsid w:val="006F01EF"/>
    <w:rsid w:val="00703577"/>
    <w:rsid w:val="00705894"/>
    <w:rsid w:val="00725A6A"/>
    <w:rsid w:val="0072632A"/>
    <w:rsid w:val="00731FF0"/>
    <w:rsid w:val="007327D5"/>
    <w:rsid w:val="007355CA"/>
    <w:rsid w:val="007378EF"/>
    <w:rsid w:val="007443C3"/>
    <w:rsid w:val="00744EC3"/>
    <w:rsid w:val="007611CF"/>
    <w:rsid w:val="007629C8"/>
    <w:rsid w:val="007642A4"/>
    <w:rsid w:val="0077047D"/>
    <w:rsid w:val="00786E2F"/>
    <w:rsid w:val="00793E47"/>
    <w:rsid w:val="007962E4"/>
    <w:rsid w:val="007A049F"/>
    <w:rsid w:val="007B0430"/>
    <w:rsid w:val="007B6BA5"/>
    <w:rsid w:val="007C3390"/>
    <w:rsid w:val="007C4F4B"/>
    <w:rsid w:val="007D08C9"/>
    <w:rsid w:val="007D4851"/>
    <w:rsid w:val="007E01E9"/>
    <w:rsid w:val="007E63F3"/>
    <w:rsid w:val="007F0E18"/>
    <w:rsid w:val="007F13BF"/>
    <w:rsid w:val="007F6611"/>
    <w:rsid w:val="007F7106"/>
    <w:rsid w:val="00811920"/>
    <w:rsid w:val="00815AD0"/>
    <w:rsid w:val="008242D7"/>
    <w:rsid w:val="008257B1"/>
    <w:rsid w:val="00826D9C"/>
    <w:rsid w:val="00826E9A"/>
    <w:rsid w:val="00843767"/>
    <w:rsid w:val="008521A5"/>
    <w:rsid w:val="00853EBC"/>
    <w:rsid w:val="0086081B"/>
    <w:rsid w:val="008679D9"/>
    <w:rsid w:val="00871389"/>
    <w:rsid w:val="00882E80"/>
    <w:rsid w:val="00882F4E"/>
    <w:rsid w:val="00883999"/>
    <w:rsid w:val="00884DAB"/>
    <w:rsid w:val="008878DE"/>
    <w:rsid w:val="008979B1"/>
    <w:rsid w:val="008A1646"/>
    <w:rsid w:val="008A6B25"/>
    <w:rsid w:val="008A6C4F"/>
    <w:rsid w:val="008B2335"/>
    <w:rsid w:val="008B481A"/>
    <w:rsid w:val="008B717B"/>
    <w:rsid w:val="008B7CA2"/>
    <w:rsid w:val="008D359F"/>
    <w:rsid w:val="008D6F3C"/>
    <w:rsid w:val="008E0678"/>
    <w:rsid w:val="008E57F4"/>
    <w:rsid w:val="0090194D"/>
    <w:rsid w:val="0091237E"/>
    <w:rsid w:val="00916E19"/>
    <w:rsid w:val="009223CA"/>
    <w:rsid w:val="00925148"/>
    <w:rsid w:val="00932F3F"/>
    <w:rsid w:val="0093509F"/>
    <w:rsid w:val="009352B4"/>
    <w:rsid w:val="00935D2B"/>
    <w:rsid w:val="00940F93"/>
    <w:rsid w:val="0094558F"/>
    <w:rsid w:val="0095789E"/>
    <w:rsid w:val="009603D2"/>
    <w:rsid w:val="009605B0"/>
    <w:rsid w:val="00961690"/>
    <w:rsid w:val="00962F62"/>
    <w:rsid w:val="009665DB"/>
    <w:rsid w:val="0097469A"/>
    <w:rsid w:val="009760F3"/>
    <w:rsid w:val="00993260"/>
    <w:rsid w:val="009A0E8D"/>
    <w:rsid w:val="009B1518"/>
    <w:rsid w:val="009B26E7"/>
    <w:rsid w:val="009C454F"/>
    <w:rsid w:val="009C7513"/>
    <w:rsid w:val="009D2A5B"/>
    <w:rsid w:val="009D3E83"/>
    <w:rsid w:val="009F4DE9"/>
    <w:rsid w:val="00A00A3F"/>
    <w:rsid w:val="00A01489"/>
    <w:rsid w:val="00A02DFC"/>
    <w:rsid w:val="00A2573C"/>
    <w:rsid w:val="00A3009E"/>
    <w:rsid w:val="00A3026E"/>
    <w:rsid w:val="00A338F1"/>
    <w:rsid w:val="00A460C8"/>
    <w:rsid w:val="00A51C2B"/>
    <w:rsid w:val="00A57D6F"/>
    <w:rsid w:val="00A658A6"/>
    <w:rsid w:val="00A66C41"/>
    <w:rsid w:val="00A72F22"/>
    <w:rsid w:val="00A7360F"/>
    <w:rsid w:val="00A748A6"/>
    <w:rsid w:val="00A769F4"/>
    <w:rsid w:val="00A776B4"/>
    <w:rsid w:val="00A94361"/>
    <w:rsid w:val="00AA293C"/>
    <w:rsid w:val="00AA4BD0"/>
    <w:rsid w:val="00AA59F7"/>
    <w:rsid w:val="00AA64F8"/>
    <w:rsid w:val="00AB1C7D"/>
    <w:rsid w:val="00AC0582"/>
    <w:rsid w:val="00AC49B1"/>
    <w:rsid w:val="00AC72CA"/>
    <w:rsid w:val="00AE76C0"/>
    <w:rsid w:val="00AF0E53"/>
    <w:rsid w:val="00AF1569"/>
    <w:rsid w:val="00AF2AF3"/>
    <w:rsid w:val="00B046D1"/>
    <w:rsid w:val="00B108C4"/>
    <w:rsid w:val="00B11BB4"/>
    <w:rsid w:val="00B22BC2"/>
    <w:rsid w:val="00B30179"/>
    <w:rsid w:val="00B421C1"/>
    <w:rsid w:val="00B44FA2"/>
    <w:rsid w:val="00B45128"/>
    <w:rsid w:val="00B518AA"/>
    <w:rsid w:val="00B55C71"/>
    <w:rsid w:val="00B55E77"/>
    <w:rsid w:val="00B56E4A"/>
    <w:rsid w:val="00B56E9C"/>
    <w:rsid w:val="00B60F4B"/>
    <w:rsid w:val="00B61320"/>
    <w:rsid w:val="00B63F84"/>
    <w:rsid w:val="00B64B1F"/>
    <w:rsid w:val="00B6553F"/>
    <w:rsid w:val="00B70F1E"/>
    <w:rsid w:val="00B75230"/>
    <w:rsid w:val="00B77C49"/>
    <w:rsid w:val="00B77D05"/>
    <w:rsid w:val="00B81206"/>
    <w:rsid w:val="00B81E12"/>
    <w:rsid w:val="00B858B2"/>
    <w:rsid w:val="00BA79B2"/>
    <w:rsid w:val="00BB1538"/>
    <w:rsid w:val="00BB7CD1"/>
    <w:rsid w:val="00BC3FA0"/>
    <w:rsid w:val="00BC74E9"/>
    <w:rsid w:val="00BE248B"/>
    <w:rsid w:val="00BF07A0"/>
    <w:rsid w:val="00BF68A8"/>
    <w:rsid w:val="00C00584"/>
    <w:rsid w:val="00C02351"/>
    <w:rsid w:val="00C050DF"/>
    <w:rsid w:val="00C10FE6"/>
    <w:rsid w:val="00C11A03"/>
    <w:rsid w:val="00C14945"/>
    <w:rsid w:val="00C22C0C"/>
    <w:rsid w:val="00C349D8"/>
    <w:rsid w:val="00C353D9"/>
    <w:rsid w:val="00C4029D"/>
    <w:rsid w:val="00C4527F"/>
    <w:rsid w:val="00C463DD"/>
    <w:rsid w:val="00C4724C"/>
    <w:rsid w:val="00C53C49"/>
    <w:rsid w:val="00C557D6"/>
    <w:rsid w:val="00C57E4A"/>
    <w:rsid w:val="00C629A0"/>
    <w:rsid w:val="00C64629"/>
    <w:rsid w:val="00C745C3"/>
    <w:rsid w:val="00C749D9"/>
    <w:rsid w:val="00C90189"/>
    <w:rsid w:val="00C95FD3"/>
    <w:rsid w:val="00CB3E03"/>
    <w:rsid w:val="00CB5F93"/>
    <w:rsid w:val="00CC1ADB"/>
    <w:rsid w:val="00CD0C35"/>
    <w:rsid w:val="00CE4A8F"/>
    <w:rsid w:val="00CF559A"/>
    <w:rsid w:val="00D07D06"/>
    <w:rsid w:val="00D2031B"/>
    <w:rsid w:val="00D25FE2"/>
    <w:rsid w:val="00D33DA6"/>
    <w:rsid w:val="00D3635C"/>
    <w:rsid w:val="00D43252"/>
    <w:rsid w:val="00D47EEA"/>
    <w:rsid w:val="00D54682"/>
    <w:rsid w:val="00D550D4"/>
    <w:rsid w:val="00D5586A"/>
    <w:rsid w:val="00D66F7C"/>
    <w:rsid w:val="00D74808"/>
    <w:rsid w:val="00D773DF"/>
    <w:rsid w:val="00D838E4"/>
    <w:rsid w:val="00D84201"/>
    <w:rsid w:val="00D84C5B"/>
    <w:rsid w:val="00D9255F"/>
    <w:rsid w:val="00D94663"/>
    <w:rsid w:val="00D95303"/>
    <w:rsid w:val="00D978C6"/>
    <w:rsid w:val="00DA3C1C"/>
    <w:rsid w:val="00DA5C80"/>
    <w:rsid w:val="00DB6726"/>
    <w:rsid w:val="00DC179E"/>
    <w:rsid w:val="00DF469C"/>
    <w:rsid w:val="00E046DF"/>
    <w:rsid w:val="00E04FEB"/>
    <w:rsid w:val="00E10FF1"/>
    <w:rsid w:val="00E13D8D"/>
    <w:rsid w:val="00E15557"/>
    <w:rsid w:val="00E23895"/>
    <w:rsid w:val="00E240D2"/>
    <w:rsid w:val="00E27346"/>
    <w:rsid w:val="00E300A7"/>
    <w:rsid w:val="00E36F73"/>
    <w:rsid w:val="00E50E13"/>
    <w:rsid w:val="00E56889"/>
    <w:rsid w:val="00E71610"/>
    <w:rsid w:val="00E71BC8"/>
    <w:rsid w:val="00E721B7"/>
    <w:rsid w:val="00E7260F"/>
    <w:rsid w:val="00E73F5D"/>
    <w:rsid w:val="00E77E4E"/>
    <w:rsid w:val="00E870B7"/>
    <w:rsid w:val="00E94887"/>
    <w:rsid w:val="00E96630"/>
    <w:rsid w:val="00EB5A8B"/>
    <w:rsid w:val="00EC106A"/>
    <w:rsid w:val="00EC1580"/>
    <w:rsid w:val="00EC330C"/>
    <w:rsid w:val="00EC73C8"/>
    <w:rsid w:val="00ED3EFF"/>
    <w:rsid w:val="00ED5F4D"/>
    <w:rsid w:val="00ED7A2A"/>
    <w:rsid w:val="00EE5ACF"/>
    <w:rsid w:val="00EE6B3A"/>
    <w:rsid w:val="00EF1D7F"/>
    <w:rsid w:val="00F01202"/>
    <w:rsid w:val="00F06BC4"/>
    <w:rsid w:val="00F2270C"/>
    <w:rsid w:val="00F31E5F"/>
    <w:rsid w:val="00F32BB7"/>
    <w:rsid w:val="00F37110"/>
    <w:rsid w:val="00F455F4"/>
    <w:rsid w:val="00F6100A"/>
    <w:rsid w:val="00F66565"/>
    <w:rsid w:val="00F82591"/>
    <w:rsid w:val="00F84A91"/>
    <w:rsid w:val="00F93781"/>
    <w:rsid w:val="00FA765E"/>
    <w:rsid w:val="00FB613B"/>
    <w:rsid w:val="00FC192F"/>
    <w:rsid w:val="00FC5B4A"/>
    <w:rsid w:val="00FC660D"/>
    <w:rsid w:val="00FC68B7"/>
    <w:rsid w:val="00FD473F"/>
    <w:rsid w:val="00FD516D"/>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BC1E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character" w:customStyle="1" w:styleId="SingleTxtGChar">
    <w:name w:val="_ Single Txt_G Char"/>
    <w:link w:val="SingleTxtG"/>
    <w:rsid w:val="00E56889"/>
    <w:rPr>
      <w:lang w:eastAsia="en-US"/>
    </w:rPr>
  </w:style>
  <w:style w:type="paragraph" w:styleId="CommentSubject">
    <w:name w:val="annotation subject"/>
    <w:basedOn w:val="CommentText"/>
    <w:next w:val="CommentText"/>
    <w:link w:val="CommentSubjectChar"/>
    <w:rsid w:val="007378EF"/>
    <w:pPr>
      <w:spacing w:line="240" w:lineRule="auto"/>
    </w:pPr>
    <w:rPr>
      <w:b/>
      <w:bCs/>
    </w:rPr>
  </w:style>
  <w:style w:type="character" w:customStyle="1" w:styleId="CommentTextChar">
    <w:name w:val="Comment Text Char"/>
    <w:basedOn w:val="DefaultParagraphFont"/>
    <w:link w:val="CommentText"/>
    <w:semiHidden/>
    <w:rsid w:val="007378EF"/>
    <w:rPr>
      <w:lang w:eastAsia="en-US"/>
    </w:rPr>
  </w:style>
  <w:style w:type="character" w:customStyle="1" w:styleId="CommentSubjectChar">
    <w:name w:val="Comment Subject Char"/>
    <w:basedOn w:val="CommentTextChar"/>
    <w:link w:val="CommentSubject"/>
    <w:rsid w:val="007378E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character" w:customStyle="1" w:styleId="SingleTxtGChar">
    <w:name w:val="_ Single Txt_G Char"/>
    <w:link w:val="SingleTxtG"/>
    <w:rsid w:val="00E56889"/>
    <w:rPr>
      <w:lang w:eastAsia="en-US"/>
    </w:rPr>
  </w:style>
  <w:style w:type="paragraph" w:styleId="CommentSubject">
    <w:name w:val="annotation subject"/>
    <w:basedOn w:val="CommentText"/>
    <w:next w:val="CommentText"/>
    <w:link w:val="CommentSubjectChar"/>
    <w:rsid w:val="007378EF"/>
    <w:pPr>
      <w:spacing w:line="240" w:lineRule="auto"/>
    </w:pPr>
    <w:rPr>
      <w:b/>
      <w:bCs/>
    </w:rPr>
  </w:style>
  <w:style w:type="character" w:customStyle="1" w:styleId="CommentTextChar">
    <w:name w:val="Comment Text Char"/>
    <w:basedOn w:val="DefaultParagraphFont"/>
    <w:link w:val="CommentText"/>
    <w:semiHidden/>
    <w:rsid w:val="007378EF"/>
    <w:rPr>
      <w:lang w:eastAsia="en-US"/>
    </w:rPr>
  </w:style>
  <w:style w:type="character" w:customStyle="1" w:styleId="CommentSubjectChar">
    <w:name w:val="Comment Subject Char"/>
    <w:basedOn w:val="CommentTextChar"/>
    <w:link w:val="CommentSubject"/>
    <w:rsid w:val="007378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2CDD-E59D-4682-A831-B4651862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1924</Words>
  <Characters>10835</Characters>
  <Application>Microsoft Office Word</Application>
  <DocSecurity>0</DocSecurity>
  <Lines>198</Lines>
  <Paragraphs>73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12732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cp:lastModifiedBy>Laurence Berthet</cp:lastModifiedBy>
  <cp:revision>10</cp:revision>
  <cp:lastPrinted>2017-09-05T08:25:00Z</cp:lastPrinted>
  <dcterms:created xsi:type="dcterms:W3CDTF">2017-09-04T05:27:00Z</dcterms:created>
  <dcterms:modified xsi:type="dcterms:W3CDTF">2017-09-05T08:26:00Z</dcterms:modified>
</cp:coreProperties>
</file>