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3C1DDE" w:rsidP="006D12B1">
            <w:pPr>
              <w:spacing w:after="80" w:line="340" w:lineRule="exact"/>
            </w:pPr>
            <w:r>
              <w:t>.</w:t>
            </w: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43278A">
            <w:pPr>
              <w:jc w:val="right"/>
            </w:pPr>
            <w:r w:rsidRPr="006D12B1">
              <w:rPr>
                <w:sz w:val="40"/>
              </w:rPr>
              <w:t>ST</w:t>
            </w:r>
            <w:r>
              <w:t>/SG/AC.10/C.3/201</w:t>
            </w:r>
            <w:r w:rsidR="00F101C5">
              <w:t>7/27</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F101C5" w:rsidRDefault="00F101C5" w:rsidP="00F101C5">
            <w:pPr>
              <w:spacing w:before="240" w:line="240" w:lineRule="exact"/>
            </w:pPr>
            <w:r>
              <w:t>Distr.: General</w:t>
            </w:r>
          </w:p>
          <w:p w:rsidR="00F101C5" w:rsidRDefault="003D7A66" w:rsidP="00F101C5">
            <w:pPr>
              <w:spacing w:line="240" w:lineRule="exact"/>
            </w:pPr>
            <w:r>
              <w:t>11</w:t>
            </w:r>
            <w:r w:rsidR="00F101C5">
              <w:t xml:space="preserve"> April 2017</w:t>
            </w:r>
          </w:p>
          <w:p w:rsidR="00F101C5" w:rsidRDefault="00F101C5" w:rsidP="00F101C5">
            <w:pPr>
              <w:spacing w:line="240" w:lineRule="exact"/>
            </w:pPr>
          </w:p>
          <w:p w:rsidR="006D12B1" w:rsidRPr="006500BA" w:rsidRDefault="00F101C5" w:rsidP="00F101C5">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w:t>
      </w:r>
      <w:r w:rsidR="00787BB8">
        <w:rPr>
          <w:b/>
        </w:rPr>
        <w:t>y-f</w:t>
      </w:r>
      <w:r w:rsidR="0043278A">
        <w:rPr>
          <w:b/>
        </w:rPr>
        <w:t xml:space="preserve">irst </w:t>
      </w:r>
      <w:r w:rsidR="00B51A46" w:rsidRPr="00432930">
        <w:rPr>
          <w:b/>
        </w:rPr>
        <w:t>session</w:t>
      </w:r>
    </w:p>
    <w:p w:rsidR="00BD0239" w:rsidRPr="003D7A66" w:rsidRDefault="00B51A46" w:rsidP="00DF1C31">
      <w:pPr>
        <w:pStyle w:val="NormalWeb"/>
        <w:rPr>
          <w:b/>
          <w:sz w:val="20"/>
          <w:szCs w:val="20"/>
        </w:rPr>
      </w:pPr>
      <w:r w:rsidRPr="00432930">
        <w:rPr>
          <w:sz w:val="20"/>
          <w:szCs w:val="20"/>
        </w:rPr>
        <w:t xml:space="preserve">Geneva, </w:t>
      </w:r>
      <w:r w:rsidR="00787BB8">
        <w:rPr>
          <w:sz w:val="20"/>
          <w:szCs w:val="20"/>
        </w:rPr>
        <w:t>3-7 July</w:t>
      </w:r>
      <w:r w:rsidR="0043278A">
        <w:rPr>
          <w:sz w:val="20"/>
          <w:szCs w:val="20"/>
        </w:rPr>
        <w:t xml:space="preserve"> 2017</w:t>
      </w:r>
      <w:r w:rsidRPr="00432930">
        <w:rPr>
          <w:color w:val="333333"/>
          <w:sz w:val="20"/>
          <w:szCs w:val="20"/>
          <w:lang w:eastAsia="it-IT"/>
        </w:rPr>
        <w:br/>
      </w:r>
      <w:r w:rsidRPr="00DB63BF">
        <w:rPr>
          <w:sz w:val="20"/>
          <w:szCs w:val="20"/>
        </w:rPr>
        <w:t xml:space="preserve">Item </w:t>
      </w:r>
      <w:r w:rsidR="003D7A66">
        <w:rPr>
          <w:sz w:val="20"/>
          <w:szCs w:val="20"/>
        </w:rPr>
        <w:t>4 (a)</w:t>
      </w:r>
      <w:r w:rsidRPr="00DB63BF">
        <w:rPr>
          <w:sz w:val="20"/>
          <w:szCs w:val="20"/>
        </w:rPr>
        <w:t xml:space="preserve"> of the provisional agenda</w:t>
      </w:r>
      <w:r w:rsidRPr="00DB63BF">
        <w:rPr>
          <w:sz w:val="20"/>
          <w:szCs w:val="20"/>
        </w:rPr>
        <w:br/>
      </w:r>
      <w:r w:rsidR="003D7A66" w:rsidRPr="003D7A66">
        <w:rPr>
          <w:b/>
          <w:sz w:val="20"/>
          <w:szCs w:val="20"/>
        </w:rPr>
        <w:t>Electric storage systems: testing of lithium batteries</w:t>
      </w:r>
    </w:p>
    <w:p w:rsidR="006B4408" w:rsidRPr="006B4408" w:rsidRDefault="00783107" w:rsidP="00C35DF2">
      <w:pPr>
        <w:pStyle w:val="HChG"/>
      </w:pPr>
      <w:r>
        <w:rPr>
          <w:lang w:val="en-US"/>
        </w:rPr>
        <w:tab/>
      </w:r>
      <w:r>
        <w:rPr>
          <w:lang w:val="en-US"/>
        </w:rPr>
        <w:tab/>
      </w:r>
      <w:r w:rsidR="003D7A66">
        <w:t>Lithium battery test summary d</w:t>
      </w:r>
      <w:r w:rsidR="0043278A">
        <w:t>ocument</w:t>
      </w:r>
    </w:p>
    <w:p w:rsidR="006B4408" w:rsidRPr="006B4408" w:rsidRDefault="006B4408" w:rsidP="00C35DF2">
      <w:pPr>
        <w:pStyle w:val="H1G"/>
      </w:pPr>
      <w:r w:rsidRPr="006B4408">
        <w:tab/>
      </w:r>
      <w:r w:rsidRPr="006B4408">
        <w:tab/>
        <w:t xml:space="preserve">Submitted by the </w:t>
      </w:r>
      <w:r w:rsidR="0043278A">
        <w:t>Medical Device Battery Transport Council (MDBTC)</w:t>
      </w:r>
      <w:r w:rsidR="00BA3047" w:rsidRPr="00BA3047">
        <w:rPr>
          <w:rStyle w:val="FootnoteReference"/>
          <w:sz w:val="20"/>
        </w:rPr>
        <w:footnoteReference w:id="2"/>
      </w:r>
    </w:p>
    <w:p w:rsidR="001776F2" w:rsidRDefault="00C35DF2" w:rsidP="00787BB8">
      <w:pPr>
        <w:pStyle w:val="SingleTxtG"/>
        <w:numPr>
          <w:ilvl w:val="0"/>
          <w:numId w:val="25"/>
        </w:numPr>
        <w:ind w:left="1134" w:firstLine="0"/>
      </w:pPr>
      <w:r w:rsidRPr="00C42CA8">
        <w:t>At the f</w:t>
      </w:r>
      <w:r w:rsidR="0043278A">
        <w:t>iftieth session of the Sub-Committee the requirement for manufacturers and subsequent di</w:t>
      </w:r>
      <w:r w:rsidR="00396A85">
        <w:t xml:space="preserve">stributors of lithium battery cells, batteries and products </w:t>
      </w:r>
      <w:r w:rsidR="0043278A">
        <w:t xml:space="preserve">to make available a test summary </w:t>
      </w:r>
      <w:r w:rsidR="00396A85">
        <w:t>w</w:t>
      </w:r>
      <w:r w:rsidR="0043278A">
        <w:t>as adopted in 2.9.4 of the Model Regulations</w:t>
      </w:r>
      <w:r>
        <w:t>.</w:t>
      </w:r>
      <w:r w:rsidR="00787BB8">
        <w:t xml:space="preserve"> </w:t>
      </w:r>
      <w:r w:rsidR="0043278A">
        <w:t xml:space="preserve">The elements of the test summary were incorporated in </w:t>
      </w:r>
      <w:r w:rsidR="00C34075">
        <w:t xml:space="preserve">38.3.5 of the Manual of Test and Criteria.  The MDBTC has </w:t>
      </w:r>
      <w:r w:rsidR="001776F2">
        <w:t xml:space="preserve">considered how the test summary information can be made available and has </w:t>
      </w:r>
      <w:r w:rsidR="00C34075">
        <w:t>developed a sample test summary fo</w:t>
      </w:r>
      <w:r w:rsidR="00787BB8">
        <w:t xml:space="preserve">r review by the Sub-Committee. </w:t>
      </w:r>
      <w:r w:rsidR="00216153">
        <w:t>The</w:t>
      </w:r>
      <w:r w:rsidR="00C625F0">
        <w:t xml:space="preserve"> sample </w:t>
      </w:r>
      <w:r w:rsidR="00396A85">
        <w:t>test summary</w:t>
      </w:r>
      <w:r w:rsidR="00C625F0">
        <w:t xml:space="preserve"> </w:t>
      </w:r>
      <w:r w:rsidR="004218B1">
        <w:t>address</w:t>
      </w:r>
      <w:r w:rsidR="00216153">
        <w:t>es a single cell battery from one manufacturer</w:t>
      </w:r>
      <w:r w:rsidR="00787BB8">
        <w:t xml:space="preserve">. </w:t>
      </w:r>
      <w:r w:rsidR="004218B1">
        <w:t xml:space="preserve">Documenting multiple cells, batteries or products containing </w:t>
      </w:r>
      <w:r w:rsidR="00396A85">
        <w:t xml:space="preserve">cells or </w:t>
      </w:r>
      <w:r w:rsidR="004218B1">
        <w:t>batteries is more challenging</w:t>
      </w:r>
      <w:r w:rsidR="00787BB8">
        <w:t xml:space="preserve">. </w:t>
      </w:r>
      <w:r w:rsidR="001776F2">
        <w:t>W</w:t>
      </w:r>
      <w:r w:rsidR="003A4664">
        <w:t xml:space="preserve">hen a product </w:t>
      </w:r>
      <w:r w:rsidR="001776F2">
        <w:t>has</w:t>
      </w:r>
      <w:r w:rsidR="003A4664">
        <w:t xml:space="preserve"> cells or batteries manufactured by several suppliers </w:t>
      </w:r>
      <w:r w:rsidR="00216153">
        <w:t xml:space="preserve">and </w:t>
      </w:r>
      <w:r w:rsidR="001776F2">
        <w:t xml:space="preserve">tested by individual </w:t>
      </w:r>
      <w:r w:rsidR="00216153">
        <w:t xml:space="preserve">test houses </w:t>
      </w:r>
      <w:r w:rsidR="001776F2">
        <w:t>consolidating the information can prove to be challenging</w:t>
      </w:r>
      <w:r w:rsidR="004218B1">
        <w:t xml:space="preserve">. </w:t>
      </w:r>
      <w:r w:rsidR="001776F2">
        <w:t xml:space="preserve">There are a number of ways to document and make the test </w:t>
      </w:r>
      <w:r w:rsidR="00873511">
        <w:t xml:space="preserve">summary information available. </w:t>
      </w:r>
      <w:r w:rsidR="001776F2">
        <w:t>The sample provided in this paper is only one means of doing so and MDBTC believes that as long as the information is provided the format of the form need not be speci</w:t>
      </w:r>
      <w:r w:rsidR="00787BB8">
        <w:t xml:space="preserve">fied in the Model Regulations. </w:t>
      </w:r>
      <w:r w:rsidR="00576C00">
        <w:t>We have been in consultation with other organizations including PRBA and understand that lithium battery and battery powered products manufacturers and distributors are considering how to comply with the new requirement</w:t>
      </w:r>
      <w:r w:rsidR="00D229DE">
        <w:t xml:space="preserve"> and may have views on how the relevant information can be made available</w:t>
      </w:r>
      <w:r w:rsidR="00576C00">
        <w:t xml:space="preserve">. </w:t>
      </w:r>
    </w:p>
    <w:p w:rsidR="00576C00" w:rsidRDefault="00C625F0" w:rsidP="00787BB8">
      <w:pPr>
        <w:pStyle w:val="SingleTxtG"/>
        <w:numPr>
          <w:ilvl w:val="0"/>
          <w:numId w:val="25"/>
        </w:numPr>
        <w:ind w:left="1134" w:firstLine="0"/>
      </w:pPr>
      <w:r>
        <w:t xml:space="preserve">The MDBTC also believes that the new </w:t>
      </w:r>
      <w:r w:rsidR="00396A85">
        <w:t>t</w:t>
      </w:r>
      <w:r>
        <w:t>est summary should only apply to cells, batteries or products that are produced after adoption of the requirement in national, regional and international regulations</w:t>
      </w:r>
      <w:r w:rsidR="00396A85">
        <w:t xml:space="preserve"> (i.e</w:t>
      </w:r>
      <w:r>
        <w:t>.</w:t>
      </w:r>
      <w:r w:rsidR="00396A85">
        <w:t xml:space="preserve"> </w:t>
      </w:r>
      <w:r w:rsidR="00787BB8">
        <w:t xml:space="preserve">1 January </w:t>
      </w:r>
      <w:r w:rsidR="00396A85">
        <w:t>2019).</w:t>
      </w:r>
      <w:r>
        <w:t xml:space="preserve">  It will not be practical to </w:t>
      </w:r>
      <w:r>
        <w:lastRenderedPageBreak/>
        <w:t xml:space="preserve">require </w:t>
      </w:r>
      <w:r w:rsidR="00396A85">
        <w:t>a test summary</w:t>
      </w:r>
      <w:r w:rsidR="00221E89">
        <w:t xml:space="preserve"> for all products previously manufactured</w:t>
      </w:r>
      <w:r w:rsidR="00396A85">
        <w:t xml:space="preserve"> before</w:t>
      </w:r>
      <w:r w:rsidR="00787BB8">
        <w:t xml:space="preserve"> 1 January</w:t>
      </w:r>
      <w:r w:rsidR="00396A85">
        <w:t xml:space="preserve"> 2019</w:t>
      </w:r>
      <w:r w:rsidR="00787BB8">
        <w:t>.</w:t>
      </w:r>
      <w:r w:rsidR="00576C00">
        <w:t xml:space="preserve">While considering how to complete the test summary some suggestions for improvement were identified including:  </w:t>
      </w:r>
    </w:p>
    <w:p w:rsidR="00576C00" w:rsidRDefault="00576C00" w:rsidP="00576C00">
      <w:pPr>
        <w:pStyle w:val="SingleTxtG"/>
        <w:ind w:left="1699"/>
      </w:pPr>
      <w:r>
        <w:t>-</w:t>
      </w:r>
      <w:r w:rsidR="00787BB8">
        <w:tab/>
      </w:r>
      <w:r>
        <w:t>Paragraph (f) should apply to products as well as cells or batteries;</w:t>
      </w:r>
      <w:r w:rsidR="00D229DE">
        <w:t xml:space="preserve"> and</w:t>
      </w:r>
    </w:p>
    <w:p w:rsidR="00576C00" w:rsidRDefault="00576C00" w:rsidP="00576C00">
      <w:pPr>
        <w:pStyle w:val="SingleTxtG"/>
        <w:ind w:left="1699"/>
      </w:pPr>
      <w:r>
        <w:t>-</w:t>
      </w:r>
      <w:r w:rsidR="00787BB8">
        <w:tab/>
      </w:r>
      <w:r>
        <w:t>Paragraph (f)</w:t>
      </w:r>
      <w:r w:rsidRPr="00221E89">
        <w:t xml:space="preserve"> (iv) </w:t>
      </w:r>
      <w:r>
        <w:t>should apply to products as well as cells or batteries</w:t>
      </w:r>
      <w:r w:rsidR="00D229DE">
        <w:t>.</w:t>
      </w:r>
    </w:p>
    <w:p w:rsidR="00576C00" w:rsidRDefault="004B6912" w:rsidP="00787BB8">
      <w:pPr>
        <w:pStyle w:val="SingleTxtG"/>
        <w:numPr>
          <w:ilvl w:val="0"/>
          <w:numId w:val="25"/>
        </w:numPr>
        <w:ind w:left="1134" w:firstLine="0"/>
      </w:pPr>
      <w:r>
        <w:t xml:space="preserve">The Sub-Committee is invited to consider the amendments suggested in this paper.  </w:t>
      </w:r>
      <w:r w:rsidR="00576C00">
        <w:t>The MDBTC suggests that a discussion be held during the session to address specific challenges related to providing the test summary including those that address multiple</w:t>
      </w:r>
      <w:r w:rsidR="00787BB8">
        <w:t xml:space="preserve"> cells, batteries or products. </w:t>
      </w:r>
      <w:r w:rsidR="00576C00">
        <w:t xml:space="preserve">We have developed a series of questions and answers to be used to guide the discussions and to ensure consensus in interpretation and request that they be reviewed and considered by the Sub-Committee.   </w:t>
      </w:r>
    </w:p>
    <w:p w:rsidR="00D41F76" w:rsidRDefault="00D41F76">
      <w:pPr>
        <w:suppressAutoHyphens w:val="0"/>
        <w:spacing w:line="240" w:lineRule="auto"/>
        <w:rPr>
          <w:u w:val="single"/>
          <w:lang w:val="en-US"/>
        </w:rPr>
      </w:pPr>
      <w:r>
        <w:rPr>
          <w:u w:val="single"/>
          <w:lang w:val="en-US"/>
        </w:rPr>
        <w:br w:type="page"/>
      </w:r>
    </w:p>
    <w:p w:rsidR="00D41F76" w:rsidRPr="00873511" w:rsidRDefault="00D41F76" w:rsidP="00C82269">
      <w:pPr>
        <w:pStyle w:val="HChG"/>
        <w:rPr>
          <w:lang w:val="en-US"/>
        </w:rPr>
      </w:pPr>
      <w:r w:rsidRPr="00873511">
        <w:rPr>
          <w:lang w:val="en-US"/>
        </w:rPr>
        <w:lastRenderedPageBreak/>
        <w:t>A</w:t>
      </w:r>
      <w:r w:rsidR="003D7A66">
        <w:rPr>
          <w:lang w:val="en-US"/>
        </w:rPr>
        <w:t>nnex</w:t>
      </w:r>
    </w:p>
    <w:p w:rsidR="00D41F76" w:rsidRPr="00873511" w:rsidRDefault="00C82269" w:rsidP="00C82269">
      <w:pPr>
        <w:pStyle w:val="H1G"/>
        <w:rPr>
          <w:lang w:val="en-US"/>
        </w:rPr>
      </w:pPr>
      <w:r>
        <w:rPr>
          <w:lang w:val="en-US"/>
        </w:rPr>
        <w:tab/>
      </w:r>
      <w:r>
        <w:rPr>
          <w:lang w:val="en-US"/>
        </w:rPr>
        <w:tab/>
      </w:r>
      <w:r w:rsidR="003D7A66">
        <w:rPr>
          <w:lang w:val="en-US"/>
        </w:rPr>
        <w:t>Questions and answers r</w:t>
      </w:r>
      <w:r w:rsidR="00D41F76" w:rsidRPr="00873511">
        <w:rPr>
          <w:lang w:val="en-US"/>
        </w:rPr>
        <w:t xml:space="preserve">elated to the Test Summary </w:t>
      </w:r>
      <w:r w:rsidR="00396A85" w:rsidRPr="00873511">
        <w:rPr>
          <w:lang w:val="en-US"/>
        </w:rPr>
        <w:t>(TS)</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Does the </w:t>
      </w:r>
      <w:r w:rsidR="00396A85" w:rsidRPr="00EE1E6B">
        <w:rPr>
          <w:lang w:val="en-US"/>
        </w:rPr>
        <w:t>TS</w:t>
      </w:r>
      <w:r w:rsidR="00D41F76" w:rsidRPr="00EE1E6B">
        <w:rPr>
          <w:lang w:val="en-US"/>
        </w:rPr>
        <w:t xml:space="preserve"> apply to products and cells or batteries contained within products/parts or just stand alone cells or batteries?</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The </w:t>
      </w:r>
      <w:r w:rsidR="00396A85" w:rsidRPr="00EE1E6B">
        <w:rPr>
          <w:lang w:val="en-US"/>
        </w:rPr>
        <w:t>TS</w:t>
      </w:r>
      <w:r w:rsidR="00D41F76" w:rsidRPr="00EE1E6B">
        <w:rPr>
          <w:lang w:val="en-US"/>
        </w:rPr>
        <w:t xml:space="preserve"> applies to the batteries themselves which ship as </w:t>
      </w:r>
      <w:r w:rsidR="00D229DE" w:rsidRPr="00EE1E6B">
        <w:rPr>
          <w:lang w:val="en-US"/>
        </w:rPr>
        <w:t>standalone</w:t>
      </w:r>
      <w:r w:rsidR="00D41F76" w:rsidRPr="00EE1E6B">
        <w:rPr>
          <w:lang w:val="en-US"/>
        </w:rPr>
        <w:t xml:space="preserve"> batteries and subsequently to the cells and batteries contained in at such time when the cell or battery is added to a product.</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Can multiple batteries/manufacturers/products be listed on one report?</w:t>
      </w:r>
    </w:p>
    <w:p w:rsidR="00D41F76" w:rsidRPr="00EE1E6B" w:rsidRDefault="00D41F76" w:rsidP="00C82269">
      <w:pPr>
        <w:suppressAutoHyphens w:val="0"/>
        <w:spacing w:before="120" w:after="120" w:line="240" w:lineRule="auto"/>
        <w:ind w:left="1134" w:right="1134"/>
        <w:rPr>
          <w:lang w:val="en-US"/>
        </w:rPr>
      </w:pPr>
      <w:r w:rsidRPr="00EE1E6B">
        <w:rPr>
          <w:lang w:val="en-US"/>
        </w:rPr>
        <w:t>A:</w:t>
      </w:r>
      <w:r w:rsidR="007E46CF" w:rsidRPr="00EE1E6B">
        <w:rPr>
          <w:lang w:val="en-US"/>
        </w:rPr>
        <w:tab/>
      </w:r>
      <w:r w:rsidRPr="00EE1E6B">
        <w:rPr>
          <w:lang w:val="en-US"/>
        </w:rPr>
        <w:t>Yes, it is acceptable to have a single document that addresses multiple batteries/manufacturers/products, provided all required information is stated.</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Is it acceptable to list the various test houses, tests and range of revisions tested to for the UN 38.3 revision and amendments.</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Yes, it is acceptable to have multiple test houses and their addresses, email </w:t>
      </w:r>
      <w:r w:rsidR="00D229DE" w:rsidRPr="00EE1E6B">
        <w:rPr>
          <w:lang w:val="en-US"/>
        </w:rPr>
        <w:t>etc.</w:t>
      </w:r>
      <w:r w:rsidR="00D41F76" w:rsidRPr="00EE1E6B">
        <w:rPr>
          <w:lang w:val="en-US"/>
        </w:rPr>
        <w:t xml:space="preserve"> information listed provided all required information is stated. The Test house is not required to be aligned to a specific battery or product </w:t>
      </w:r>
      <w:r w:rsidR="00D229DE" w:rsidRPr="00EE1E6B">
        <w:rPr>
          <w:lang w:val="en-US"/>
        </w:rPr>
        <w:t>on</w:t>
      </w:r>
      <w:r w:rsidR="00D41F76" w:rsidRPr="00EE1E6B">
        <w:rPr>
          <w:lang w:val="en-US"/>
        </w:rPr>
        <w:t xml:space="preserve"> </w:t>
      </w:r>
      <w:r w:rsidR="00396A85" w:rsidRPr="00EE1E6B">
        <w:rPr>
          <w:lang w:val="en-US"/>
        </w:rPr>
        <w:t>TS</w:t>
      </w:r>
      <w:r w:rsidR="00D41F76" w:rsidRPr="00EE1E6B">
        <w:rPr>
          <w:lang w:val="en-US"/>
        </w:rPr>
        <w:t xml:space="preserve"> when the </w:t>
      </w:r>
      <w:r w:rsidR="00396A85" w:rsidRPr="00EE1E6B">
        <w:rPr>
          <w:lang w:val="en-US"/>
        </w:rPr>
        <w:t>TS</w:t>
      </w:r>
      <w:r w:rsidR="00D41F76" w:rsidRPr="00EE1E6B">
        <w:rPr>
          <w:lang w:val="en-US"/>
        </w:rPr>
        <w:t xml:space="preserve"> covers multiple batteries/products.  It is required to have the test report number and date of test for each cell/battery/product listed on the </w:t>
      </w:r>
      <w:r w:rsidR="00396A85" w:rsidRPr="00EE1E6B">
        <w:rPr>
          <w:lang w:val="en-US"/>
        </w:rPr>
        <w:t>TS</w:t>
      </w:r>
      <w:r w:rsidR="00D41F76" w:rsidRPr="00EE1E6B">
        <w:rPr>
          <w:lang w:val="en-US"/>
        </w:rPr>
        <w:t>.</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What is meant by physical description of cell or battery?   (Should read physical description of cell/battery/product.) </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A physical description is intended to provide a check for the person requesting the </w:t>
      </w:r>
      <w:r w:rsidR="00396A85" w:rsidRPr="00EE1E6B">
        <w:rPr>
          <w:lang w:val="en-US"/>
        </w:rPr>
        <w:t>TS</w:t>
      </w:r>
      <w:r w:rsidR="00D41F76" w:rsidRPr="00EE1E6B">
        <w:rPr>
          <w:lang w:val="en-US"/>
        </w:rPr>
        <w:t xml:space="preserve"> to know that it applies to the cell/battery/product covered by the </w:t>
      </w:r>
      <w:r w:rsidR="00396A85" w:rsidRPr="00EE1E6B">
        <w:rPr>
          <w:lang w:val="en-US"/>
        </w:rPr>
        <w:t>TS</w:t>
      </w:r>
      <w:r w:rsidR="00D41F76" w:rsidRPr="00EE1E6B">
        <w:rPr>
          <w:lang w:val="en-US"/>
        </w:rPr>
        <w:t xml:space="preserve">.  </w:t>
      </w:r>
      <w:r w:rsidR="00D229DE" w:rsidRPr="00EE1E6B">
        <w:rPr>
          <w:lang w:val="en-US"/>
        </w:rPr>
        <w:t>i.e.</w:t>
      </w:r>
      <w:r w:rsidR="00D41F76" w:rsidRPr="00EE1E6B">
        <w:rPr>
          <w:lang w:val="en-US"/>
        </w:rPr>
        <w:t xml:space="preserve"> if cell phone, description could be the invoice description or marketing name of the product as the physical description.  </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What does availability of report mean: </w:t>
      </w:r>
      <w:r w:rsidR="003A4664" w:rsidRPr="00EE1E6B">
        <w:rPr>
          <w:lang w:val="en-US"/>
        </w:rPr>
        <w:t>“</w:t>
      </w:r>
      <w:r w:rsidR="00D41F76" w:rsidRPr="00EE1E6B">
        <w:rPr>
          <w:lang w:val="en-US"/>
        </w:rPr>
        <w:t>When requested</w:t>
      </w:r>
      <w:r w:rsidR="00D229DE" w:rsidRPr="00EE1E6B">
        <w:rPr>
          <w:lang w:val="en-US"/>
        </w:rPr>
        <w:t>?</w:t>
      </w:r>
      <w:r w:rsidR="003A4664" w:rsidRPr="00EE1E6B">
        <w:rPr>
          <w:lang w:val="en-US"/>
        </w:rPr>
        <w:t>”</w:t>
      </w:r>
      <w:r w:rsidR="00D41F76" w:rsidRPr="00EE1E6B">
        <w:rPr>
          <w:lang w:val="en-US"/>
        </w:rPr>
        <w:t>.</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Any individual or entity in the supply chain may request the </w:t>
      </w:r>
      <w:r w:rsidR="00396A85" w:rsidRPr="00EE1E6B">
        <w:rPr>
          <w:lang w:val="en-US"/>
        </w:rPr>
        <w:t>TS</w:t>
      </w:r>
      <w:r w:rsidR="00D41F76" w:rsidRPr="00EE1E6B">
        <w:rPr>
          <w:lang w:val="en-US"/>
        </w:rPr>
        <w:t xml:space="preserve">. </w:t>
      </w:r>
      <w:r w:rsidR="00D229DE" w:rsidRPr="00EE1E6B">
        <w:rPr>
          <w:lang w:val="en-US"/>
        </w:rPr>
        <w:t>i.e.</w:t>
      </w:r>
      <w:r w:rsidR="00D41F76" w:rsidRPr="00EE1E6B">
        <w:rPr>
          <w:lang w:val="en-US"/>
        </w:rPr>
        <w:t xml:space="preserve"> regulator, consumer, transport provider. </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Can the </w:t>
      </w:r>
      <w:r w:rsidR="00396A85" w:rsidRPr="00EE1E6B">
        <w:rPr>
          <w:lang w:val="en-US"/>
        </w:rPr>
        <w:t>TS</w:t>
      </w:r>
      <w:r w:rsidR="00D41F76" w:rsidRPr="00EE1E6B">
        <w:rPr>
          <w:lang w:val="en-US"/>
        </w:rPr>
        <w:t xml:space="preserve"> provider require requestor to obtain from </w:t>
      </w:r>
      <w:r w:rsidR="003A4664" w:rsidRPr="00EE1E6B">
        <w:rPr>
          <w:lang w:val="en-US"/>
        </w:rPr>
        <w:t xml:space="preserve">a </w:t>
      </w:r>
      <w:r w:rsidR="00D41F76" w:rsidRPr="00EE1E6B">
        <w:rPr>
          <w:lang w:val="en-US"/>
        </w:rPr>
        <w:t>website.</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Yes, it is acceptable for provider to require requestor to obtain electronically from provider's website.   The provider must ensure that the cell/battery/product has appropriate identifiers to align to the </w:t>
      </w:r>
      <w:r w:rsidR="00396A85" w:rsidRPr="00EE1E6B">
        <w:rPr>
          <w:lang w:val="en-US"/>
        </w:rPr>
        <w:t>TS</w:t>
      </w:r>
      <w:r w:rsidR="00D41F76" w:rsidRPr="00EE1E6B">
        <w:rPr>
          <w:lang w:val="en-US"/>
        </w:rPr>
        <w:t xml:space="preserve">.   </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Is the </w:t>
      </w:r>
      <w:r w:rsidR="00396A85" w:rsidRPr="00EE1E6B">
        <w:rPr>
          <w:lang w:val="en-US"/>
        </w:rPr>
        <w:t>TS</w:t>
      </w:r>
      <w:r w:rsidR="00D41F76" w:rsidRPr="00EE1E6B">
        <w:rPr>
          <w:lang w:val="en-US"/>
        </w:rPr>
        <w:t xml:space="preserve"> required for all batteries currently in the supply chain or just batteries manufactured after the required start date for </w:t>
      </w:r>
      <w:r w:rsidR="00396A85" w:rsidRPr="00EE1E6B">
        <w:rPr>
          <w:lang w:val="en-US"/>
        </w:rPr>
        <w:t>TS</w:t>
      </w:r>
      <w:r w:rsidR="00D41F76" w:rsidRPr="00EE1E6B">
        <w:rPr>
          <w:lang w:val="en-US"/>
        </w:rPr>
        <w:t>? (Currently scheduled to be Jan.1, 2019)</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The </w:t>
      </w:r>
      <w:r w:rsidR="00396A85" w:rsidRPr="00EE1E6B">
        <w:rPr>
          <w:lang w:val="en-US"/>
        </w:rPr>
        <w:t>TS</w:t>
      </w:r>
      <w:r w:rsidR="00D41F76" w:rsidRPr="00EE1E6B">
        <w:rPr>
          <w:lang w:val="en-US"/>
        </w:rPr>
        <w:t xml:space="preserve"> is required for all li-ion and li-metal batteries, batteries contained in product shipping via airfreight on or after Jan. 1, 2019.</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Is there a grace period for shippers to comply?</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No, all impacted suppliers, manufacturers, </w:t>
      </w:r>
      <w:r w:rsidR="00C951C1" w:rsidRPr="00EE1E6B">
        <w:rPr>
          <w:lang w:val="en-US"/>
        </w:rPr>
        <w:t>distributors</w:t>
      </w:r>
      <w:r w:rsidR="00D41F76" w:rsidRPr="00EE1E6B">
        <w:rPr>
          <w:lang w:val="en-US"/>
        </w:rPr>
        <w:t xml:space="preserve">, etc should have a method established to obtain the </w:t>
      </w:r>
      <w:r w:rsidR="00396A85" w:rsidRPr="00EE1E6B">
        <w:rPr>
          <w:lang w:val="en-US"/>
        </w:rPr>
        <w:t>TS</w:t>
      </w:r>
      <w:r w:rsidR="00D41F76" w:rsidRPr="00EE1E6B">
        <w:rPr>
          <w:lang w:val="en-US"/>
        </w:rPr>
        <w:t xml:space="preserve">’s as of Jan. 1, 2019.   This also includes </w:t>
      </w:r>
      <w:r w:rsidR="00396A85" w:rsidRPr="00EE1E6B">
        <w:rPr>
          <w:lang w:val="en-US"/>
        </w:rPr>
        <w:t>TS</w:t>
      </w:r>
      <w:r w:rsidR="00D41F76" w:rsidRPr="00EE1E6B">
        <w:rPr>
          <w:lang w:val="en-US"/>
        </w:rPr>
        <w:t>s for products not manufactured but is di</w:t>
      </w:r>
      <w:r w:rsidR="003A4664" w:rsidRPr="00EE1E6B">
        <w:rPr>
          <w:lang w:val="en-US"/>
        </w:rPr>
        <w:t>str</w:t>
      </w:r>
      <w:r w:rsidR="00D41F76" w:rsidRPr="00EE1E6B">
        <w:rPr>
          <w:lang w:val="en-US"/>
        </w:rPr>
        <w:t xml:space="preserve">ibuted by entities in the supply chain.   This includes reverse logistics where airfreight is deployed. </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What is meant by model number? </w:t>
      </w:r>
    </w:p>
    <w:p w:rsidR="00D41F76"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The model number is what is located on the unit(s) or packaging or units covered by the </w:t>
      </w:r>
      <w:r w:rsidR="00396A85" w:rsidRPr="00EE1E6B">
        <w:rPr>
          <w:lang w:val="en-US"/>
        </w:rPr>
        <w:t>TS</w:t>
      </w:r>
      <w:r w:rsidR="00D41F76" w:rsidRPr="00EE1E6B">
        <w:rPr>
          <w:lang w:val="en-US"/>
        </w:rPr>
        <w:t xml:space="preserve">.  </w:t>
      </w:r>
    </w:p>
    <w:p w:rsidR="00D41F76" w:rsidRPr="00EE1E6B" w:rsidRDefault="00D41F76" w:rsidP="003D7A66">
      <w:pPr>
        <w:suppressAutoHyphens w:val="0"/>
        <w:spacing w:before="120" w:after="120" w:line="240" w:lineRule="auto"/>
        <w:ind w:left="1134" w:right="1134" w:firstLine="567"/>
        <w:rPr>
          <w:lang w:val="en-US"/>
        </w:rPr>
      </w:pPr>
      <w:r w:rsidRPr="00EE1E6B">
        <w:rPr>
          <w:lang w:val="en-US"/>
        </w:rPr>
        <w:lastRenderedPageBreak/>
        <w:t xml:space="preserve">If the </w:t>
      </w:r>
      <w:r w:rsidR="00396A85" w:rsidRPr="00EE1E6B">
        <w:rPr>
          <w:lang w:val="en-US"/>
        </w:rPr>
        <w:t>TS</w:t>
      </w:r>
      <w:r w:rsidRPr="00EE1E6B">
        <w:rPr>
          <w:lang w:val="en-US"/>
        </w:rPr>
        <w:t xml:space="preserve"> is for a product containing batteries the model number(s) would be those of </w:t>
      </w:r>
      <w:r w:rsidR="003D7A66" w:rsidRPr="00EE1E6B">
        <w:rPr>
          <w:lang w:val="en-US"/>
        </w:rPr>
        <w:tab/>
      </w:r>
      <w:r w:rsidRPr="00EE1E6B">
        <w:rPr>
          <w:lang w:val="en-US"/>
        </w:rPr>
        <w:t xml:space="preserve">the product.  </w:t>
      </w:r>
    </w:p>
    <w:p w:rsidR="00D41F76" w:rsidRPr="00EE1E6B" w:rsidRDefault="00D41F76" w:rsidP="003D7A66">
      <w:pPr>
        <w:suppressAutoHyphens w:val="0"/>
        <w:spacing w:before="120" w:after="120" w:line="240" w:lineRule="auto"/>
        <w:ind w:left="1134" w:right="1134" w:firstLine="555"/>
        <w:rPr>
          <w:lang w:val="en-US"/>
        </w:rPr>
      </w:pPr>
      <w:r w:rsidRPr="00EE1E6B">
        <w:rPr>
          <w:lang w:val="en-US"/>
        </w:rPr>
        <w:t xml:space="preserve">It the </w:t>
      </w:r>
      <w:r w:rsidR="00396A85" w:rsidRPr="00EE1E6B">
        <w:rPr>
          <w:lang w:val="en-US"/>
        </w:rPr>
        <w:t>TS</w:t>
      </w:r>
      <w:r w:rsidRPr="00EE1E6B">
        <w:rPr>
          <w:lang w:val="en-US"/>
        </w:rPr>
        <w:t xml:space="preserve"> is for </w:t>
      </w:r>
      <w:r w:rsidR="00D229DE" w:rsidRPr="00EE1E6B">
        <w:rPr>
          <w:lang w:val="en-US"/>
        </w:rPr>
        <w:t>standalone</w:t>
      </w:r>
      <w:r w:rsidRPr="00EE1E6B">
        <w:rPr>
          <w:lang w:val="en-US"/>
        </w:rPr>
        <w:t xml:space="preserve"> batteries / </w:t>
      </w:r>
      <w:r w:rsidR="00D229DE" w:rsidRPr="00EE1E6B">
        <w:rPr>
          <w:lang w:val="en-US"/>
        </w:rPr>
        <w:t>standalone</w:t>
      </w:r>
      <w:r w:rsidRPr="00EE1E6B">
        <w:rPr>
          <w:lang w:val="en-US"/>
        </w:rPr>
        <w:t xml:space="preserve"> cells, the model number would that </w:t>
      </w:r>
      <w:r w:rsidR="003D7A66" w:rsidRPr="00EE1E6B">
        <w:rPr>
          <w:lang w:val="en-US"/>
        </w:rPr>
        <w:tab/>
      </w:r>
      <w:r w:rsidRPr="00EE1E6B">
        <w:rPr>
          <w:lang w:val="en-US"/>
        </w:rPr>
        <w:t xml:space="preserve">of the batteries/cells.  </w:t>
      </w:r>
    </w:p>
    <w:p w:rsidR="00D41F76" w:rsidRPr="00EE1E6B" w:rsidRDefault="00D41F76" w:rsidP="00C82269">
      <w:pPr>
        <w:suppressAutoHyphens w:val="0"/>
        <w:spacing w:before="120" w:after="120" w:line="240" w:lineRule="auto"/>
        <w:ind w:left="1689" w:right="1134"/>
        <w:rPr>
          <w:lang w:val="en-US"/>
        </w:rPr>
      </w:pPr>
      <w:r w:rsidRPr="00EE1E6B">
        <w:rPr>
          <w:lang w:val="en-US"/>
        </w:rPr>
        <w:t xml:space="preserve">If the </w:t>
      </w:r>
      <w:r w:rsidR="00396A85" w:rsidRPr="00EE1E6B">
        <w:rPr>
          <w:lang w:val="en-US"/>
        </w:rPr>
        <w:t>TS</w:t>
      </w:r>
      <w:r w:rsidRPr="00EE1E6B">
        <w:rPr>
          <w:lang w:val="en-US"/>
        </w:rPr>
        <w:t xml:space="preserve"> is for a battery packed with equipment, the model number would reference the model of the battery.</w:t>
      </w:r>
    </w:p>
    <w:p w:rsidR="00D41F76" w:rsidRPr="00EE1E6B" w:rsidRDefault="007E46CF" w:rsidP="00C82269">
      <w:pPr>
        <w:suppressAutoHyphens w:val="0"/>
        <w:spacing w:before="120" w:after="120"/>
        <w:ind w:left="1134" w:right="1134"/>
        <w:rPr>
          <w:lang w:val="en-US"/>
        </w:rPr>
      </w:pPr>
      <w:r w:rsidRPr="00EE1E6B">
        <w:rPr>
          <w:lang w:val="en-US"/>
        </w:rPr>
        <w:t>Q:</w:t>
      </w:r>
      <w:r w:rsidRPr="00EE1E6B">
        <w:rPr>
          <w:lang w:val="en-US"/>
        </w:rPr>
        <w:tab/>
      </w:r>
      <w:r w:rsidR="00D41F76" w:rsidRPr="00EE1E6B">
        <w:rPr>
          <w:lang w:val="en-US"/>
        </w:rPr>
        <w:t xml:space="preserve">If a manufacturer considers their suppliers, test house and battery data confidential and competitive information, how would </w:t>
      </w:r>
      <w:r w:rsidR="00396A85" w:rsidRPr="00EE1E6B">
        <w:rPr>
          <w:lang w:val="en-US"/>
        </w:rPr>
        <w:t>TS</w:t>
      </w:r>
      <w:r w:rsidR="00D41F76" w:rsidRPr="00EE1E6B">
        <w:rPr>
          <w:lang w:val="en-US"/>
        </w:rPr>
        <w:t xml:space="preserve"> compliance be achieved.</w:t>
      </w:r>
    </w:p>
    <w:p w:rsidR="0016328D" w:rsidRPr="00EE1E6B" w:rsidRDefault="007E46CF" w:rsidP="00C82269">
      <w:pPr>
        <w:suppressAutoHyphens w:val="0"/>
        <w:spacing w:before="120" w:after="120" w:line="240" w:lineRule="auto"/>
        <w:ind w:left="1134" w:right="1134"/>
        <w:rPr>
          <w:lang w:val="en-US"/>
        </w:rPr>
      </w:pPr>
      <w:r w:rsidRPr="00EE1E6B">
        <w:rPr>
          <w:lang w:val="en-US"/>
        </w:rPr>
        <w:t>A:</w:t>
      </w:r>
      <w:r w:rsidRPr="00EE1E6B">
        <w:rPr>
          <w:lang w:val="en-US"/>
        </w:rPr>
        <w:tab/>
      </w:r>
      <w:r w:rsidR="00D41F76" w:rsidRPr="00EE1E6B">
        <w:rPr>
          <w:lang w:val="en-US"/>
        </w:rPr>
        <w:t xml:space="preserve">All 10 data elements and listed subsets of information is required to be on the </w:t>
      </w:r>
      <w:r w:rsidR="00396A85" w:rsidRPr="00EE1E6B">
        <w:rPr>
          <w:lang w:val="en-US"/>
        </w:rPr>
        <w:t>TS</w:t>
      </w:r>
      <w:r w:rsidR="0016328D" w:rsidRPr="00EE1E6B">
        <w:rPr>
          <w:lang w:val="en-US"/>
        </w:rPr>
        <w:t xml:space="preserve">. </w:t>
      </w:r>
      <w:r w:rsidR="00D41F76" w:rsidRPr="00EE1E6B">
        <w:rPr>
          <w:lang w:val="en-US"/>
        </w:rPr>
        <w:t xml:space="preserve">As indicated above, test house information may be listed to cover a range of products. </w:t>
      </w:r>
    </w:p>
    <w:p w:rsidR="00BB16E5" w:rsidRDefault="00BB16E5" w:rsidP="0016328D">
      <w:pPr>
        <w:suppressAutoHyphens w:val="0"/>
        <w:spacing w:line="240" w:lineRule="auto"/>
        <w:ind w:left="1134" w:right="1134"/>
        <w:rPr>
          <w:u w:val="single"/>
          <w:lang w:val="en-US"/>
        </w:rPr>
      </w:pPr>
      <w:r>
        <w:rPr>
          <w:u w:val="single"/>
          <w:lang w:val="en-US"/>
        </w:rPr>
        <w:br w:type="page"/>
      </w:r>
    </w:p>
    <w:p w:rsidR="00BB16E5" w:rsidRPr="00BB16E5" w:rsidRDefault="003D7A66" w:rsidP="00BB16E5">
      <w:pPr>
        <w:spacing w:before="240"/>
        <w:ind w:left="90" w:right="1134"/>
        <w:jc w:val="center"/>
        <w:rPr>
          <w:u w:val="single"/>
          <w:lang w:val="en-US"/>
        </w:rPr>
      </w:pPr>
      <w:r w:rsidRPr="003D7A66">
        <w:rPr>
          <w:noProof/>
          <w:u w:val="single"/>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2437765</wp:posOffset>
                </wp:positionH>
                <wp:positionV relativeFrom="paragraph">
                  <wp:posOffset>8464954</wp:posOffset>
                </wp:positionV>
                <wp:extent cx="1385454" cy="1403985"/>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454" cy="1403985"/>
                        </a:xfrm>
                        <a:prstGeom prst="rect">
                          <a:avLst/>
                        </a:prstGeom>
                        <a:solidFill>
                          <a:srgbClr val="FFFFFF"/>
                        </a:solidFill>
                        <a:ln w="9525">
                          <a:solidFill>
                            <a:schemeClr val="bg1"/>
                          </a:solidFill>
                          <a:miter lim="800000"/>
                          <a:headEnd/>
                          <a:tailEnd/>
                        </a:ln>
                      </wps:spPr>
                      <wps:txbx>
                        <w:txbxContent>
                          <w:p w:rsidR="003D7A66" w:rsidRDefault="003D7A66">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95pt;margin-top:666.55pt;width:10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" strokecolor="white [3212]">
                <v:textbox style="mso-fit-shape-to-text:t">
                  <w:txbxContent>
                    <w:p w:rsidR="003D7A66" w:rsidRDefault="003D7A66">
                      <w:bookmarkStart w:id="1" w:name="_GoBack"/>
                      <w:r>
                        <w:t>_________________</w:t>
                      </w:r>
                      <w:bookmarkEnd w:id="1"/>
                    </w:p>
                  </w:txbxContent>
                </v:textbox>
              </v:shape>
            </w:pict>
          </mc:Fallback>
        </mc:AlternateContent>
      </w:r>
      <w:r w:rsidR="00DD59BC">
        <w:rPr>
          <w:noProof/>
          <w:u w:val="single"/>
          <w:lang w:eastAsia="en-GB"/>
        </w:rPr>
        <w:drawing>
          <wp:inline distT="0" distB="0" distL="0" distR="0">
            <wp:extent cx="5951131" cy="818865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402" cy="8200038"/>
                    </a:xfrm>
                    <a:prstGeom prst="rect">
                      <a:avLst/>
                    </a:prstGeom>
                    <a:noFill/>
                    <a:ln>
                      <a:noFill/>
                    </a:ln>
                  </pic:spPr>
                </pic:pic>
              </a:graphicData>
            </a:graphic>
          </wp:inline>
        </w:drawing>
      </w:r>
    </w:p>
    <w:sectPr w:rsidR="00BB16E5" w:rsidRPr="00BB16E5" w:rsidSect="009D3E53">
      <w:headerReference w:type="even" r:id="rId11"/>
      <w:headerReference w:type="default" r:id="rId12"/>
      <w:footerReference w:type="even" r:id="rId13"/>
      <w:footerReference w:type="default" r:id="rId14"/>
      <w:headerReference w:type="first" r:id="rId15"/>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82" w:rsidRDefault="002A1782"/>
  </w:endnote>
  <w:endnote w:type="continuationSeparator" w:id="0">
    <w:p w:rsidR="002A1782" w:rsidRDefault="002A1782"/>
  </w:endnote>
  <w:endnote w:type="continuationNotice" w:id="1">
    <w:p w:rsidR="002A1782" w:rsidRDefault="002A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A" w:rsidRPr="006D12B1" w:rsidRDefault="00DC088A"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3C1DDE">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A" w:rsidRPr="006D12B1" w:rsidRDefault="00DC088A"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3C1DDE">
      <w:rPr>
        <w:b/>
        <w:noProof/>
        <w:sz w:val="18"/>
      </w:rPr>
      <w:t>5</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82" w:rsidRPr="000B175B" w:rsidRDefault="002A1782" w:rsidP="000B175B">
      <w:pPr>
        <w:tabs>
          <w:tab w:val="right" w:pos="2155"/>
        </w:tabs>
        <w:spacing w:after="80"/>
        <w:ind w:left="680"/>
        <w:rPr>
          <w:u w:val="single"/>
        </w:rPr>
      </w:pPr>
      <w:r>
        <w:rPr>
          <w:u w:val="single"/>
        </w:rPr>
        <w:tab/>
      </w:r>
    </w:p>
  </w:footnote>
  <w:footnote w:type="continuationSeparator" w:id="0">
    <w:p w:rsidR="002A1782" w:rsidRPr="00FC68B7" w:rsidRDefault="002A1782" w:rsidP="00FC68B7">
      <w:pPr>
        <w:tabs>
          <w:tab w:val="left" w:pos="2155"/>
        </w:tabs>
        <w:spacing w:after="80"/>
        <w:ind w:left="680"/>
        <w:rPr>
          <w:u w:val="single"/>
        </w:rPr>
      </w:pPr>
      <w:r>
        <w:rPr>
          <w:u w:val="single"/>
        </w:rPr>
        <w:tab/>
      </w:r>
    </w:p>
  </w:footnote>
  <w:footnote w:type="continuationNotice" w:id="1">
    <w:p w:rsidR="002A1782" w:rsidRDefault="002A1782"/>
  </w:footnote>
  <w:footnote w:id="2">
    <w:p w:rsidR="00BA3047" w:rsidRPr="00FF2274" w:rsidRDefault="00BA3047" w:rsidP="00BA3047">
      <w:pPr>
        <w:pStyle w:val="FootnoteText"/>
        <w:tabs>
          <w:tab w:val="left" w:pos="1418"/>
        </w:tabs>
        <w:ind w:firstLine="0"/>
        <w:rPr>
          <w:lang w:val="fr-CH"/>
        </w:rPr>
      </w:pPr>
      <w:r w:rsidRPr="00BA3047">
        <w:rPr>
          <w:rStyle w:val="FootnoteReference"/>
          <w:sz w:val="20"/>
        </w:rPr>
        <w:footnoteRef/>
      </w:r>
      <w:r>
        <w:tab/>
        <w:t>In accordance with the programme of work of the Sub-Committee for 2017–2018 approved by the Committee at its eighth session (see ST/SG/AC.10/C.3/100, paragraph 98 and ST/SG/AC.10/44, para</w:t>
      </w:r>
      <w:r w:rsidR="003D7A66">
        <w:t>graph</w:t>
      </w:r>
      <w: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A" w:rsidRPr="006D12B1" w:rsidRDefault="00787BB8" w:rsidP="00C35DF2">
    <w:pPr>
      <w:pStyle w:val="Header"/>
    </w:pPr>
    <w:r>
      <w:t>ST/SG/AC.10/C.3/2017/27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A" w:rsidRPr="006D12B1" w:rsidRDefault="00873511" w:rsidP="00C35DF2">
    <w:pPr>
      <w:pStyle w:val="Header"/>
      <w:jc w:val="right"/>
    </w:pPr>
    <w:r>
      <w:t>ST/SG/AC.10/C.3/2017/27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A" w:rsidRDefault="00DC088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0C85D67"/>
    <w:multiLevelType w:val="hybridMultilevel"/>
    <w:tmpl w:val="1F5201CC"/>
    <w:lvl w:ilvl="0" w:tplc="00FC3C64">
      <w:start w:val="1"/>
      <w:numFmt w:val="decimal"/>
      <w:lvlText w:val="%1."/>
      <w:lvlJc w:val="left"/>
      <w:pPr>
        <w:ind w:left="1699" w:hanging="56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3"/>
  </w:num>
  <w:num w:numId="16">
    <w:abstractNumId w:val="15"/>
  </w:num>
  <w:num w:numId="17">
    <w:abstractNumId w:val="17"/>
  </w:num>
  <w:num w:numId="18">
    <w:abstractNumId w:val="18"/>
  </w:num>
  <w:num w:numId="19">
    <w:abstractNumId w:val="13"/>
  </w:num>
  <w:num w:numId="20">
    <w:abstractNumId w:val="24"/>
  </w:num>
  <w:num w:numId="21">
    <w:abstractNumId w:val="11"/>
  </w:num>
  <w:num w:numId="22">
    <w:abstractNumId w:val="19"/>
  </w:num>
  <w:num w:numId="23">
    <w:abstractNumId w:val="20"/>
  </w:num>
  <w:num w:numId="24">
    <w:abstractNumId w:val="1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2A92"/>
    <w:rsid w:val="000166D2"/>
    <w:rsid w:val="00023F08"/>
    <w:rsid w:val="00044590"/>
    <w:rsid w:val="00047F82"/>
    <w:rsid w:val="000504CE"/>
    <w:rsid w:val="00050F6B"/>
    <w:rsid w:val="00053E46"/>
    <w:rsid w:val="000572CA"/>
    <w:rsid w:val="00072C8C"/>
    <w:rsid w:val="00075D2A"/>
    <w:rsid w:val="00082AB3"/>
    <w:rsid w:val="00083B73"/>
    <w:rsid w:val="00091419"/>
    <w:rsid w:val="000931C0"/>
    <w:rsid w:val="000B175B"/>
    <w:rsid w:val="000B3A0F"/>
    <w:rsid w:val="000C2086"/>
    <w:rsid w:val="000D58F6"/>
    <w:rsid w:val="000D734E"/>
    <w:rsid w:val="000E0415"/>
    <w:rsid w:val="000E5CD5"/>
    <w:rsid w:val="000F6C26"/>
    <w:rsid w:val="000F7AB3"/>
    <w:rsid w:val="00105236"/>
    <w:rsid w:val="00117787"/>
    <w:rsid w:val="00131D42"/>
    <w:rsid w:val="0015797C"/>
    <w:rsid w:val="0016328D"/>
    <w:rsid w:val="001633FB"/>
    <w:rsid w:val="00165620"/>
    <w:rsid w:val="00167786"/>
    <w:rsid w:val="00171E10"/>
    <w:rsid w:val="001776F2"/>
    <w:rsid w:val="001810F7"/>
    <w:rsid w:val="00184E75"/>
    <w:rsid w:val="001924C5"/>
    <w:rsid w:val="001A0EB0"/>
    <w:rsid w:val="001A537C"/>
    <w:rsid w:val="001B4B04"/>
    <w:rsid w:val="001C47E0"/>
    <w:rsid w:val="001C6663"/>
    <w:rsid w:val="001C7526"/>
    <w:rsid w:val="001C7895"/>
    <w:rsid w:val="001C7D7B"/>
    <w:rsid w:val="001D26DF"/>
    <w:rsid w:val="001D2FDC"/>
    <w:rsid w:val="001D79DB"/>
    <w:rsid w:val="001E0B44"/>
    <w:rsid w:val="001F3FA0"/>
    <w:rsid w:val="00201F4E"/>
    <w:rsid w:val="00210B9C"/>
    <w:rsid w:val="00211E0B"/>
    <w:rsid w:val="00213AFD"/>
    <w:rsid w:val="00216153"/>
    <w:rsid w:val="0021704A"/>
    <w:rsid w:val="00221E89"/>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A1782"/>
    <w:rsid w:val="002B1CDA"/>
    <w:rsid w:val="002B4076"/>
    <w:rsid w:val="002C1AE8"/>
    <w:rsid w:val="002C2549"/>
    <w:rsid w:val="002C62D2"/>
    <w:rsid w:val="002D460D"/>
    <w:rsid w:val="002D63AE"/>
    <w:rsid w:val="0030379C"/>
    <w:rsid w:val="003107FA"/>
    <w:rsid w:val="0032058E"/>
    <w:rsid w:val="003229D8"/>
    <w:rsid w:val="00323424"/>
    <w:rsid w:val="0032486A"/>
    <w:rsid w:val="00337633"/>
    <w:rsid w:val="0034759C"/>
    <w:rsid w:val="0036127B"/>
    <w:rsid w:val="003637DE"/>
    <w:rsid w:val="00375E8A"/>
    <w:rsid w:val="0039277A"/>
    <w:rsid w:val="00392D73"/>
    <w:rsid w:val="0039435E"/>
    <w:rsid w:val="00396A85"/>
    <w:rsid w:val="003972E0"/>
    <w:rsid w:val="003A0447"/>
    <w:rsid w:val="003A0C75"/>
    <w:rsid w:val="003A4664"/>
    <w:rsid w:val="003A5CDB"/>
    <w:rsid w:val="003C1DDE"/>
    <w:rsid w:val="003C2CC4"/>
    <w:rsid w:val="003D4B23"/>
    <w:rsid w:val="003D679A"/>
    <w:rsid w:val="003D7A66"/>
    <w:rsid w:val="003E5A57"/>
    <w:rsid w:val="004043C0"/>
    <w:rsid w:val="00410D08"/>
    <w:rsid w:val="004218B1"/>
    <w:rsid w:val="0042233A"/>
    <w:rsid w:val="004262E2"/>
    <w:rsid w:val="00431FA3"/>
    <w:rsid w:val="004325CB"/>
    <w:rsid w:val="0043278A"/>
    <w:rsid w:val="00432930"/>
    <w:rsid w:val="0043569E"/>
    <w:rsid w:val="00437F3F"/>
    <w:rsid w:val="00442DF8"/>
    <w:rsid w:val="00446DE4"/>
    <w:rsid w:val="00451925"/>
    <w:rsid w:val="00454036"/>
    <w:rsid w:val="00465AFB"/>
    <w:rsid w:val="00470BF5"/>
    <w:rsid w:val="00477D30"/>
    <w:rsid w:val="00483009"/>
    <w:rsid w:val="004914ED"/>
    <w:rsid w:val="004B2C9D"/>
    <w:rsid w:val="004B6912"/>
    <w:rsid w:val="004C35BA"/>
    <w:rsid w:val="004C6FBA"/>
    <w:rsid w:val="004C71B6"/>
    <w:rsid w:val="004E05DD"/>
    <w:rsid w:val="004E76F8"/>
    <w:rsid w:val="004F0095"/>
    <w:rsid w:val="004F0881"/>
    <w:rsid w:val="004F60F8"/>
    <w:rsid w:val="00527910"/>
    <w:rsid w:val="005420F2"/>
    <w:rsid w:val="005458AF"/>
    <w:rsid w:val="00547C8F"/>
    <w:rsid w:val="005500DD"/>
    <w:rsid w:val="005501BE"/>
    <w:rsid w:val="00562335"/>
    <w:rsid w:val="00563498"/>
    <w:rsid w:val="00576C00"/>
    <w:rsid w:val="00580E82"/>
    <w:rsid w:val="0058442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7392"/>
    <w:rsid w:val="006B4408"/>
    <w:rsid w:val="006C0D34"/>
    <w:rsid w:val="006D12B1"/>
    <w:rsid w:val="006E564B"/>
    <w:rsid w:val="006F3973"/>
    <w:rsid w:val="00704CDB"/>
    <w:rsid w:val="00705B77"/>
    <w:rsid w:val="00711C13"/>
    <w:rsid w:val="0072632A"/>
    <w:rsid w:val="007277E4"/>
    <w:rsid w:val="007413E7"/>
    <w:rsid w:val="007434BC"/>
    <w:rsid w:val="00744314"/>
    <w:rsid w:val="00746605"/>
    <w:rsid w:val="00783107"/>
    <w:rsid w:val="00787BB8"/>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46CF"/>
    <w:rsid w:val="007F6611"/>
    <w:rsid w:val="007F6894"/>
    <w:rsid w:val="00812689"/>
    <w:rsid w:val="008175E9"/>
    <w:rsid w:val="00823B1A"/>
    <w:rsid w:val="008242D7"/>
    <w:rsid w:val="00824C37"/>
    <w:rsid w:val="00826F19"/>
    <w:rsid w:val="00847442"/>
    <w:rsid w:val="0085449F"/>
    <w:rsid w:val="00854B0D"/>
    <w:rsid w:val="00860540"/>
    <w:rsid w:val="00871FD5"/>
    <w:rsid w:val="00873511"/>
    <w:rsid w:val="00875EAC"/>
    <w:rsid w:val="00884FD0"/>
    <w:rsid w:val="00894BC2"/>
    <w:rsid w:val="00895E97"/>
    <w:rsid w:val="008979B1"/>
    <w:rsid w:val="008A6B25"/>
    <w:rsid w:val="008A6C4F"/>
    <w:rsid w:val="008B0B57"/>
    <w:rsid w:val="008B57B7"/>
    <w:rsid w:val="008C1297"/>
    <w:rsid w:val="008C1C03"/>
    <w:rsid w:val="008D53CE"/>
    <w:rsid w:val="008E0E46"/>
    <w:rsid w:val="008F79EE"/>
    <w:rsid w:val="00904FD7"/>
    <w:rsid w:val="009306B7"/>
    <w:rsid w:val="00945A5D"/>
    <w:rsid w:val="00946A04"/>
    <w:rsid w:val="00953226"/>
    <w:rsid w:val="00957117"/>
    <w:rsid w:val="00962AD6"/>
    <w:rsid w:val="00963CBA"/>
    <w:rsid w:val="00970B69"/>
    <w:rsid w:val="0097518C"/>
    <w:rsid w:val="00980A0F"/>
    <w:rsid w:val="009854F2"/>
    <w:rsid w:val="00986450"/>
    <w:rsid w:val="0099124E"/>
    <w:rsid w:val="00991261"/>
    <w:rsid w:val="009C19A5"/>
    <w:rsid w:val="009C48E5"/>
    <w:rsid w:val="009D1AAE"/>
    <w:rsid w:val="009D3E53"/>
    <w:rsid w:val="009D5AD6"/>
    <w:rsid w:val="009E38E3"/>
    <w:rsid w:val="009F0F06"/>
    <w:rsid w:val="009F1F45"/>
    <w:rsid w:val="00A1427D"/>
    <w:rsid w:val="00A72F22"/>
    <w:rsid w:val="00A73040"/>
    <w:rsid w:val="00A748A6"/>
    <w:rsid w:val="00A75B6F"/>
    <w:rsid w:val="00A75EC9"/>
    <w:rsid w:val="00A8523D"/>
    <w:rsid w:val="00A879A4"/>
    <w:rsid w:val="00A87CAE"/>
    <w:rsid w:val="00A929B2"/>
    <w:rsid w:val="00A93914"/>
    <w:rsid w:val="00A93EFD"/>
    <w:rsid w:val="00AA04C0"/>
    <w:rsid w:val="00AC1D2F"/>
    <w:rsid w:val="00AC6697"/>
    <w:rsid w:val="00AD22A1"/>
    <w:rsid w:val="00AD4A2A"/>
    <w:rsid w:val="00AE06E2"/>
    <w:rsid w:val="00AE5C5F"/>
    <w:rsid w:val="00AF523B"/>
    <w:rsid w:val="00AF56F0"/>
    <w:rsid w:val="00B04648"/>
    <w:rsid w:val="00B06A8F"/>
    <w:rsid w:val="00B20FD5"/>
    <w:rsid w:val="00B250D7"/>
    <w:rsid w:val="00B30179"/>
    <w:rsid w:val="00B3094C"/>
    <w:rsid w:val="00B30FA9"/>
    <w:rsid w:val="00B3317B"/>
    <w:rsid w:val="00B41E3C"/>
    <w:rsid w:val="00B44060"/>
    <w:rsid w:val="00B51A46"/>
    <w:rsid w:val="00B55093"/>
    <w:rsid w:val="00B707EC"/>
    <w:rsid w:val="00B81E12"/>
    <w:rsid w:val="00B8726A"/>
    <w:rsid w:val="00B91753"/>
    <w:rsid w:val="00B93068"/>
    <w:rsid w:val="00BA3047"/>
    <w:rsid w:val="00BA6930"/>
    <w:rsid w:val="00BB0133"/>
    <w:rsid w:val="00BB027F"/>
    <w:rsid w:val="00BB16E5"/>
    <w:rsid w:val="00BC1BF4"/>
    <w:rsid w:val="00BC4EA5"/>
    <w:rsid w:val="00BC74E9"/>
    <w:rsid w:val="00BD0239"/>
    <w:rsid w:val="00BE09AA"/>
    <w:rsid w:val="00BE618E"/>
    <w:rsid w:val="00BF1067"/>
    <w:rsid w:val="00BF169C"/>
    <w:rsid w:val="00BF7DE7"/>
    <w:rsid w:val="00C031EF"/>
    <w:rsid w:val="00C07513"/>
    <w:rsid w:val="00C07A73"/>
    <w:rsid w:val="00C34075"/>
    <w:rsid w:val="00C35DF2"/>
    <w:rsid w:val="00C373E5"/>
    <w:rsid w:val="00C44E98"/>
    <w:rsid w:val="00C463DD"/>
    <w:rsid w:val="00C625F0"/>
    <w:rsid w:val="00C62F76"/>
    <w:rsid w:val="00C70190"/>
    <w:rsid w:val="00C745C3"/>
    <w:rsid w:val="00C82269"/>
    <w:rsid w:val="00C94877"/>
    <w:rsid w:val="00C951C1"/>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E6EA5"/>
    <w:rsid w:val="00CF5E82"/>
    <w:rsid w:val="00CF74F9"/>
    <w:rsid w:val="00CF7E49"/>
    <w:rsid w:val="00D05D1A"/>
    <w:rsid w:val="00D12328"/>
    <w:rsid w:val="00D1524C"/>
    <w:rsid w:val="00D16675"/>
    <w:rsid w:val="00D2031B"/>
    <w:rsid w:val="00D229DE"/>
    <w:rsid w:val="00D25FE2"/>
    <w:rsid w:val="00D265D3"/>
    <w:rsid w:val="00D268BC"/>
    <w:rsid w:val="00D40043"/>
    <w:rsid w:val="00D41F76"/>
    <w:rsid w:val="00D43252"/>
    <w:rsid w:val="00D43B9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C088A"/>
    <w:rsid w:val="00DD3691"/>
    <w:rsid w:val="00DD59BC"/>
    <w:rsid w:val="00DD62B9"/>
    <w:rsid w:val="00DE71E5"/>
    <w:rsid w:val="00DF1C31"/>
    <w:rsid w:val="00DF6FE9"/>
    <w:rsid w:val="00E130AB"/>
    <w:rsid w:val="00E1345B"/>
    <w:rsid w:val="00E1679E"/>
    <w:rsid w:val="00E25396"/>
    <w:rsid w:val="00E55A9E"/>
    <w:rsid w:val="00E5644E"/>
    <w:rsid w:val="00E65168"/>
    <w:rsid w:val="00E7260F"/>
    <w:rsid w:val="00E81230"/>
    <w:rsid w:val="00E8535A"/>
    <w:rsid w:val="00E877D6"/>
    <w:rsid w:val="00E96630"/>
    <w:rsid w:val="00E96952"/>
    <w:rsid w:val="00EA3854"/>
    <w:rsid w:val="00EA6E78"/>
    <w:rsid w:val="00EA772F"/>
    <w:rsid w:val="00EB459A"/>
    <w:rsid w:val="00EB5B4F"/>
    <w:rsid w:val="00EB6832"/>
    <w:rsid w:val="00EC271A"/>
    <w:rsid w:val="00EC4D9F"/>
    <w:rsid w:val="00EC6F05"/>
    <w:rsid w:val="00ED14CB"/>
    <w:rsid w:val="00ED4A3F"/>
    <w:rsid w:val="00ED4BE1"/>
    <w:rsid w:val="00ED7A2A"/>
    <w:rsid w:val="00ED7CE1"/>
    <w:rsid w:val="00EE1E6B"/>
    <w:rsid w:val="00EE2823"/>
    <w:rsid w:val="00EF1D7F"/>
    <w:rsid w:val="00F0135D"/>
    <w:rsid w:val="00F101C5"/>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4046-3BAE-4158-893C-6B6DBC03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23</TotalTime>
  <Pages>5</Pages>
  <Words>1046</Words>
  <Characters>5508</Characters>
  <Application>Microsoft Office Word</Application>
  <DocSecurity>0</DocSecurity>
  <Lines>105</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9</cp:revision>
  <cp:lastPrinted>2017-04-11T09:12:00Z</cp:lastPrinted>
  <dcterms:created xsi:type="dcterms:W3CDTF">2017-04-10T08:08:00Z</dcterms:created>
  <dcterms:modified xsi:type="dcterms:W3CDTF">2017-04-11T09:14:00Z</dcterms:modified>
</cp:coreProperties>
</file>