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C142AA">
            <w:bookmarkStart w:id="0" w:name="_GoBack"/>
            <w:bookmarkEnd w:id="0"/>
          </w:p>
        </w:tc>
        <w:tc>
          <w:tcPr>
            <w:tcW w:w="2268" w:type="dxa"/>
            <w:tcBorders>
              <w:bottom w:val="single" w:sz="4" w:space="0" w:color="auto"/>
            </w:tcBorders>
            <w:vAlign w:val="bottom"/>
          </w:tcPr>
          <w:p w:rsidR="00132EA9" w:rsidRPr="00DB58B5" w:rsidRDefault="00132EA9" w:rsidP="00FC76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142AA" w:rsidP="00C142AA">
            <w:pPr>
              <w:jc w:val="right"/>
            </w:pPr>
            <w:r w:rsidRPr="00C142AA">
              <w:rPr>
                <w:sz w:val="40"/>
              </w:rPr>
              <w:t>ST</w:t>
            </w:r>
            <w:r>
              <w:t>/SG/AC.10/C.3/2017/25</w:t>
            </w:r>
          </w:p>
        </w:tc>
      </w:tr>
      <w:tr w:rsidR="00132EA9" w:rsidRPr="00DB58B5" w:rsidTr="00FC76E0">
        <w:trPr>
          <w:trHeight w:hRule="exact" w:val="2835"/>
        </w:trPr>
        <w:tc>
          <w:tcPr>
            <w:tcW w:w="1276" w:type="dxa"/>
            <w:tcBorders>
              <w:top w:val="single" w:sz="4" w:space="0" w:color="auto"/>
              <w:bottom w:val="single" w:sz="12" w:space="0" w:color="auto"/>
            </w:tcBorders>
          </w:tcPr>
          <w:p w:rsidR="00132EA9" w:rsidRPr="00DB58B5" w:rsidRDefault="00132EA9" w:rsidP="00FC76E0">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C76E0">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142AA" w:rsidP="00FC76E0">
            <w:pPr>
              <w:spacing w:before="240"/>
            </w:pPr>
            <w:proofErr w:type="spellStart"/>
            <w:r>
              <w:t>Distr</w:t>
            </w:r>
            <w:proofErr w:type="spellEnd"/>
            <w:r>
              <w:t>. générale</w:t>
            </w:r>
          </w:p>
          <w:p w:rsidR="00C142AA" w:rsidRDefault="00C142AA" w:rsidP="00C142AA">
            <w:pPr>
              <w:spacing w:line="240" w:lineRule="exact"/>
            </w:pPr>
            <w:r>
              <w:t>13 avril 2017</w:t>
            </w:r>
          </w:p>
          <w:p w:rsidR="00C142AA" w:rsidRDefault="00C142AA" w:rsidP="00C142AA">
            <w:pPr>
              <w:spacing w:line="240" w:lineRule="exact"/>
            </w:pPr>
            <w:r>
              <w:t>Français</w:t>
            </w:r>
          </w:p>
          <w:p w:rsidR="00C142AA" w:rsidRPr="00DB58B5" w:rsidRDefault="00C142AA" w:rsidP="00C142AA">
            <w:pPr>
              <w:spacing w:line="240" w:lineRule="exact"/>
            </w:pPr>
            <w:r>
              <w:t>Original</w:t>
            </w:r>
            <w:r w:rsidR="00A057A2">
              <w:t> :</w:t>
            </w:r>
            <w:r>
              <w:t xml:space="preserve"> anglais</w:t>
            </w:r>
          </w:p>
        </w:tc>
      </w:tr>
    </w:tbl>
    <w:p w:rsidR="00C142AA" w:rsidRPr="00CA0680" w:rsidRDefault="00C142AA" w:rsidP="000305D3">
      <w:pPr>
        <w:spacing w:before="120"/>
        <w:rPr>
          <w:b/>
          <w:sz w:val="24"/>
          <w:szCs w:val="24"/>
        </w:rPr>
      </w:pPr>
      <w:r w:rsidRPr="00CA0680">
        <w:rPr>
          <w:b/>
          <w:sz w:val="24"/>
          <w:szCs w:val="24"/>
        </w:rPr>
        <w:t>Comité d</w:t>
      </w:r>
      <w:r w:rsidR="00BB7FD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BB7FD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C142AA" w:rsidRPr="00CA0680" w:rsidRDefault="00C142AA" w:rsidP="000305D3">
      <w:pPr>
        <w:spacing w:before="120"/>
        <w:rPr>
          <w:b/>
        </w:rPr>
      </w:pPr>
      <w:r w:rsidRPr="00CA0680">
        <w:rPr>
          <w:b/>
        </w:rPr>
        <w:t>Sous</w:t>
      </w:r>
      <w:r>
        <w:rPr>
          <w:b/>
        </w:rPr>
        <w:t>-</w:t>
      </w:r>
      <w:r w:rsidRPr="00CA0680">
        <w:rPr>
          <w:b/>
        </w:rPr>
        <w:t>Comité d</w:t>
      </w:r>
      <w:r w:rsidR="00BB7FD4">
        <w:rPr>
          <w:b/>
        </w:rPr>
        <w:t>’</w:t>
      </w:r>
      <w:r w:rsidRPr="00CA0680">
        <w:rPr>
          <w:b/>
        </w:rPr>
        <w:t>experts du transport des marchandises dangereuses</w:t>
      </w:r>
    </w:p>
    <w:p w:rsidR="00C142AA" w:rsidRDefault="00C142AA" w:rsidP="000305D3">
      <w:pPr>
        <w:spacing w:before="120"/>
        <w:rPr>
          <w:b/>
        </w:rPr>
      </w:pPr>
      <w:r>
        <w:rPr>
          <w:b/>
        </w:rPr>
        <w:t xml:space="preserve">Cinquante et unième </w:t>
      </w:r>
      <w:r w:rsidRPr="00CA0680">
        <w:rPr>
          <w:b/>
        </w:rPr>
        <w:t>session</w:t>
      </w:r>
    </w:p>
    <w:p w:rsidR="00C142AA" w:rsidRDefault="00C142AA" w:rsidP="000305D3">
      <w:r>
        <w:t>Genève, 3-7 juillet 2017</w:t>
      </w:r>
    </w:p>
    <w:p w:rsidR="00C142AA" w:rsidRDefault="00C142AA" w:rsidP="000305D3">
      <w:r>
        <w:t>Point 3 de l</w:t>
      </w:r>
      <w:r w:rsidR="00BB7FD4">
        <w:t>’</w:t>
      </w:r>
      <w:r>
        <w:t>ordre du jour provisoire</w:t>
      </w:r>
    </w:p>
    <w:p w:rsidR="00C142AA" w:rsidRPr="00C142AA" w:rsidRDefault="00C142AA" w:rsidP="00AC3823">
      <w:pPr>
        <w:rPr>
          <w:b/>
        </w:rPr>
      </w:pPr>
      <w:r w:rsidRPr="00C142AA">
        <w:rPr>
          <w:b/>
        </w:rPr>
        <w:t>Inscription, classement et emballages</w:t>
      </w:r>
    </w:p>
    <w:p w:rsidR="00DF5544" w:rsidRPr="006F6375" w:rsidRDefault="00DF5544" w:rsidP="00DF5544">
      <w:pPr>
        <w:pStyle w:val="HChG"/>
      </w:pPr>
      <w:r>
        <w:rPr>
          <w:lang w:val="fr-FR"/>
        </w:rPr>
        <w:tab/>
      </w:r>
      <w:r>
        <w:rPr>
          <w:lang w:val="fr-FR"/>
        </w:rPr>
        <w:tab/>
        <w:t xml:space="preserve">Classement et emballage des matières infectieuses </w:t>
      </w:r>
      <w:r>
        <w:rPr>
          <w:lang w:val="fr-FR"/>
        </w:rPr>
        <w:br/>
        <w:t>de la catégorie A</w:t>
      </w:r>
    </w:p>
    <w:p w:rsidR="00DF5544" w:rsidRPr="006F6375" w:rsidRDefault="00DF5544" w:rsidP="00DF5544">
      <w:pPr>
        <w:pStyle w:val="H1G"/>
      </w:pPr>
      <w:r>
        <w:rPr>
          <w:lang w:val="fr-FR"/>
        </w:rPr>
        <w:tab/>
      </w:r>
      <w:r>
        <w:rPr>
          <w:lang w:val="fr-FR"/>
        </w:rPr>
        <w:tab/>
        <w:t>Communication des experts du Canada et du Royaume-Uni</w:t>
      </w:r>
      <w:r w:rsidR="00930C5A" w:rsidRPr="00930C5A">
        <w:rPr>
          <w:rStyle w:val="FootnoteReference"/>
          <w:b w:val="0"/>
          <w:sz w:val="20"/>
          <w:vertAlign w:val="baseline"/>
        </w:rPr>
        <w:footnoteReference w:customMarkFollows="1" w:id="2"/>
        <w:t>*</w:t>
      </w:r>
    </w:p>
    <w:p w:rsidR="00DF5544" w:rsidRDefault="00DF5544" w:rsidP="00DF5544">
      <w:pPr>
        <w:pStyle w:val="HChG"/>
      </w:pPr>
      <w:r>
        <w:rPr>
          <w:lang w:val="fr-FR"/>
        </w:rPr>
        <w:tab/>
      </w:r>
      <w:r>
        <w:rPr>
          <w:lang w:val="fr-FR"/>
        </w:rPr>
        <w:tab/>
        <w:t>Introduction</w:t>
      </w:r>
    </w:p>
    <w:p w:rsidR="00DF5544" w:rsidRPr="00EC0856" w:rsidRDefault="00DF5544" w:rsidP="00A057A2">
      <w:pPr>
        <w:pStyle w:val="ParNoG"/>
      </w:pPr>
      <w:r>
        <w:rPr>
          <w:lang w:val="fr-FR"/>
        </w:rPr>
        <w:t>Le présent document propose de nouvelles prescriptions relatives à l</w:t>
      </w:r>
      <w:r w:rsidR="00BB7FD4">
        <w:rPr>
          <w:lang w:val="fr-FR"/>
        </w:rPr>
        <w:t>’</w:t>
      </w:r>
      <w:r>
        <w:rPr>
          <w:lang w:val="fr-FR"/>
        </w:rPr>
        <w:t>emballage des déchets de la catégorie A qui soient pratiques et garantissent la sécurité. Préconiser l</w:t>
      </w:r>
      <w:r w:rsidR="00BB7FD4">
        <w:rPr>
          <w:lang w:val="fr-FR"/>
        </w:rPr>
        <w:t>’</w:t>
      </w:r>
      <w:r>
        <w:rPr>
          <w:lang w:val="fr-FR"/>
        </w:rPr>
        <w:t>utilisation d</w:t>
      </w:r>
      <w:r w:rsidR="00BB7FD4">
        <w:rPr>
          <w:lang w:val="fr-FR"/>
        </w:rPr>
        <w:t>’</w:t>
      </w:r>
      <w:r>
        <w:rPr>
          <w:lang w:val="fr-FR"/>
        </w:rPr>
        <w:t xml:space="preserve">emballages faciles à obtenir </w:t>
      </w:r>
      <w:r w:rsidR="00F9168D">
        <w:rPr>
          <w:lang w:val="fr-FR"/>
        </w:rPr>
        <w:t>conformes aux prescriptions</w:t>
      </w:r>
      <w:r>
        <w:rPr>
          <w:lang w:val="fr-FR"/>
        </w:rPr>
        <w:t xml:space="preserve"> des chapitres</w:t>
      </w:r>
      <w:r w:rsidR="00A057A2">
        <w:rPr>
          <w:lang w:val="fr-FR"/>
        </w:rPr>
        <w:t> </w:t>
      </w:r>
      <w:r>
        <w:rPr>
          <w:lang w:val="fr-FR"/>
        </w:rPr>
        <w:t>6.1 et 6.6 permettra aux hôpitaux et aux autorités des zones susceptibles d</w:t>
      </w:r>
      <w:r w:rsidR="00BB7FD4">
        <w:rPr>
          <w:lang w:val="fr-FR"/>
        </w:rPr>
        <w:t>’</w:t>
      </w:r>
      <w:r>
        <w:rPr>
          <w:lang w:val="fr-FR"/>
        </w:rPr>
        <w:t>être touchées par des épidémies d</w:t>
      </w:r>
      <w:r w:rsidR="00BB7FD4">
        <w:rPr>
          <w:lang w:val="fr-FR"/>
        </w:rPr>
        <w:t>’</w:t>
      </w:r>
      <w:r>
        <w:rPr>
          <w:lang w:val="fr-FR"/>
        </w:rPr>
        <w:t>intervenir rapidement et en toute sécurité à l</w:t>
      </w:r>
      <w:r w:rsidR="00BB7FD4">
        <w:rPr>
          <w:lang w:val="fr-FR"/>
        </w:rPr>
        <w:t>’</w:t>
      </w:r>
      <w:r>
        <w:rPr>
          <w:lang w:val="fr-FR"/>
        </w:rPr>
        <w:t>avenir.</w:t>
      </w:r>
    </w:p>
    <w:p w:rsidR="00DF5544" w:rsidRDefault="00DF5544" w:rsidP="00A057A2">
      <w:pPr>
        <w:pStyle w:val="ParNoG"/>
        <w:tabs>
          <w:tab w:val="clear" w:pos="1701"/>
        </w:tabs>
      </w:pPr>
      <w:r>
        <w:rPr>
          <w:lang w:val="fr-FR"/>
        </w:rPr>
        <w:t xml:space="preserve">Un groupe de travail </w:t>
      </w:r>
      <w:r w:rsidR="00F9168D">
        <w:rPr>
          <w:lang w:val="fr-FR"/>
        </w:rPr>
        <w:t xml:space="preserve">par téléconférences </w:t>
      </w:r>
      <w:r>
        <w:rPr>
          <w:lang w:val="fr-FR"/>
        </w:rPr>
        <w:t>informel sur le classement et l</w:t>
      </w:r>
      <w:r w:rsidR="00BB7FD4">
        <w:rPr>
          <w:lang w:val="fr-FR"/>
        </w:rPr>
        <w:t>’</w:t>
      </w:r>
      <w:r>
        <w:rPr>
          <w:lang w:val="fr-FR"/>
        </w:rPr>
        <w:t>emballage des déc</w:t>
      </w:r>
      <w:r w:rsidR="00A057A2">
        <w:rPr>
          <w:lang w:val="fr-FR"/>
        </w:rPr>
        <w:t>hets infectieux de la catégorie </w:t>
      </w:r>
      <w:r>
        <w:rPr>
          <w:lang w:val="fr-FR"/>
        </w:rPr>
        <w:t xml:space="preserve">A </w:t>
      </w:r>
      <w:proofErr w:type="spellStart"/>
      <w:r>
        <w:rPr>
          <w:lang w:val="fr-FR"/>
        </w:rPr>
        <w:t>a</w:t>
      </w:r>
      <w:proofErr w:type="spellEnd"/>
      <w:r>
        <w:rPr>
          <w:lang w:val="fr-FR"/>
        </w:rPr>
        <w:t xml:space="preserve"> été créé après la dernière session d</w:t>
      </w:r>
      <w:r w:rsidR="00F9168D">
        <w:rPr>
          <w:lang w:val="fr-FR"/>
        </w:rPr>
        <w:t>u Sous-Comité en décembre 2016</w:t>
      </w:r>
      <w:r>
        <w:rPr>
          <w:lang w:val="fr-FR"/>
        </w:rPr>
        <w:t xml:space="preserve">. Il rassemble </w:t>
      </w:r>
      <w:r w:rsidR="00F9168D">
        <w:rPr>
          <w:lang w:val="fr-FR"/>
        </w:rPr>
        <w:t>des experts d’un certain nombre de pays (</w:t>
      </w:r>
      <w:r>
        <w:rPr>
          <w:lang w:val="fr-FR"/>
        </w:rPr>
        <w:t>Allemagne, Belgique, Canada, États-Unis d</w:t>
      </w:r>
      <w:r w:rsidR="00BB7FD4">
        <w:rPr>
          <w:lang w:val="fr-FR"/>
        </w:rPr>
        <w:t>’</w:t>
      </w:r>
      <w:r>
        <w:rPr>
          <w:lang w:val="fr-FR"/>
        </w:rPr>
        <w:t>Amérique, Norvège, Pays-</w:t>
      </w:r>
      <w:r w:rsidR="00F9168D">
        <w:rPr>
          <w:lang w:val="fr-FR"/>
        </w:rPr>
        <w:t>Bas, Royaume-Uni, Suède, Suisse),</w:t>
      </w:r>
      <w:r>
        <w:rPr>
          <w:lang w:val="fr-FR"/>
        </w:rPr>
        <w:t xml:space="preserve"> ainsi que des représentants de l</w:t>
      </w:r>
      <w:r w:rsidR="00BB7FD4">
        <w:rPr>
          <w:lang w:val="fr-FR"/>
        </w:rPr>
        <w:t>’</w:t>
      </w:r>
      <w:r>
        <w:rPr>
          <w:lang w:val="fr-FR"/>
        </w:rPr>
        <w:t xml:space="preserve">Organisation mondiale de la </w:t>
      </w:r>
      <w:r w:rsidR="00F9168D">
        <w:rPr>
          <w:lang w:val="fr-FR"/>
        </w:rPr>
        <w:t>S</w:t>
      </w:r>
      <w:r>
        <w:rPr>
          <w:lang w:val="fr-FR"/>
        </w:rPr>
        <w:t>anté, de l</w:t>
      </w:r>
      <w:r w:rsidR="00BB7FD4">
        <w:rPr>
          <w:lang w:val="fr-FR"/>
        </w:rPr>
        <w:t>’</w:t>
      </w:r>
      <w:r>
        <w:rPr>
          <w:lang w:val="fr-FR"/>
        </w:rPr>
        <w:t>Organisation des Nations Unies pour l</w:t>
      </w:r>
      <w:r w:rsidR="00BB7FD4">
        <w:rPr>
          <w:lang w:val="fr-FR"/>
        </w:rPr>
        <w:t>’</w:t>
      </w:r>
      <w:r>
        <w:rPr>
          <w:lang w:val="fr-FR"/>
        </w:rPr>
        <w:t>alimentation et l</w:t>
      </w:r>
      <w:r w:rsidR="00BB7FD4">
        <w:rPr>
          <w:lang w:val="fr-FR"/>
        </w:rPr>
        <w:t>’</w:t>
      </w:r>
      <w:r w:rsidR="00F9168D">
        <w:rPr>
          <w:lang w:val="fr-FR"/>
        </w:rPr>
        <w:t>a</w:t>
      </w:r>
      <w:r>
        <w:rPr>
          <w:lang w:val="fr-FR"/>
        </w:rPr>
        <w:t xml:space="preserve">griculture et du secteur des transports. </w:t>
      </w:r>
    </w:p>
    <w:p w:rsidR="00DF5544" w:rsidRDefault="00DF5544" w:rsidP="00A057A2">
      <w:pPr>
        <w:pStyle w:val="ParNoG"/>
        <w:tabs>
          <w:tab w:val="clear" w:pos="1701"/>
        </w:tabs>
        <w:rPr>
          <w:lang w:val="fr-FR"/>
        </w:rPr>
      </w:pPr>
      <w:r>
        <w:rPr>
          <w:lang w:val="fr-FR"/>
        </w:rPr>
        <w:t xml:space="preserve">Le </w:t>
      </w:r>
      <w:r w:rsidR="0083676D">
        <w:rPr>
          <w:lang w:val="fr-FR"/>
        </w:rPr>
        <w:t>gr</w:t>
      </w:r>
      <w:r>
        <w:rPr>
          <w:lang w:val="fr-FR"/>
        </w:rPr>
        <w:t xml:space="preserve">oupe de travail </w:t>
      </w:r>
      <w:r w:rsidR="0083676D">
        <w:rPr>
          <w:lang w:val="fr-FR"/>
        </w:rPr>
        <w:t xml:space="preserve">informel </w:t>
      </w:r>
      <w:r>
        <w:rPr>
          <w:lang w:val="fr-FR"/>
        </w:rPr>
        <w:t>a tenu des téléconférences les 10</w:t>
      </w:r>
      <w:r w:rsidR="00A057A2">
        <w:rPr>
          <w:lang w:val="fr-FR"/>
        </w:rPr>
        <w:t> </w:t>
      </w:r>
      <w:r>
        <w:rPr>
          <w:lang w:val="fr-FR"/>
        </w:rPr>
        <w:t>février, 3</w:t>
      </w:r>
      <w:r w:rsidR="00A057A2">
        <w:rPr>
          <w:lang w:val="fr-FR"/>
        </w:rPr>
        <w:t> </w:t>
      </w:r>
      <w:r>
        <w:rPr>
          <w:lang w:val="fr-FR"/>
        </w:rPr>
        <w:t>mars, 17</w:t>
      </w:r>
      <w:r w:rsidR="00A057A2">
        <w:rPr>
          <w:lang w:val="fr-FR"/>
        </w:rPr>
        <w:t> </w:t>
      </w:r>
      <w:r>
        <w:rPr>
          <w:lang w:val="fr-FR"/>
        </w:rPr>
        <w:t>mars et 31</w:t>
      </w:r>
      <w:r w:rsidR="00A057A2">
        <w:rPr>
          <w:lang w:val="fr-FR"/>
        </w:rPr>
        <w:t> </w:t>
      </w:r>
      <w:r>
        <w:rPr>
          <w:lang w:val="fr-FR"/>
        </w:rPr>
        <w:t>mars 2017, sous la présidence du Canada, dont le compte-rendu peut être obtenu sur demande auprès de la délégation du Canada. Les propositions figurant dans le présent document sont fondées sur les résultats de ces discussions.</w:t>
      </w:r>
    </w:p>
    <w:p w:rsidR="00DF5544" w:rsidRPr="00EC0856" w:rsidRDefault="00DF5544" w:rsidP="00A057A2">
      <w:pPr>
        <w:pStyle w:val="ParNoG"/>
        <w:tabs>
          <w:tab w:val="clear" w:pos="1701"/>
        </w:tabs>
      </w:pPr>
      <w:r>
        <w:rPr>
          <w:lang w:val="fr-FR"/>
        </w:rPr>
        <w:lastRenderedPageBreak/>
        <w:t>Les épidémies dues à ces agents pathogènes sont rares, mais constituent un risque important pour la santé et le bien-être des êtres humains et des animaux lorsqu</w:t>
      </w:r>
      <w:r w:rsidR="00BB7FD4">
        <w:rPr>
          <w:lang w:val="fr-FR"/>
        </w:rPr>
        <w:t>’</w:t>
      </w:r>
      <w:r>
        <w:rPr>
          <w:lang w:val="fr-FR"/>
        </w:rPr>
        <w:t xml:space="preserve">elles se déclarent. La lutte contre ces épidémies </w:t>
      </w:r>
      <w:r w:rsidR="0083676D">
        <w:rPr>
          <w:lang w:val="fr-FR"/>
        </w:rPr>
        <w:t>n’est pas seulement le fait des établissements de santé</w:t>
      </w:r>
      <w:r>
        <w:rPr>
          <w:lang w:val="fr-FR"/>
        </w:rPr>
        <w:t xml:space="preserve"> bien dotés, mais </w:t>
      </w:r>
      <w:r w:rsidR="0083676D">
        <w:rPr>
          <w:lang w:val="fr-FR"/>
        </w:rPr>
        <w:t>d’</w:t>
      </w:r>
      <w:r>
        <w:rPr>
          <w:lang w:val="fr-FR"/>
        </w:rPr>
        <w:t>établissements se trouvant dans des zones éloignées et disposant d</w:t>
      </w:r>
      <w:r w:rsidR="00BB7FD4">
        <w:rPr>
          <w:lang w:val="fr-FR"/>
        </w:rPr>
        <w:t>’</w:t>
      </w:r>
      <w:r>
        <w:rPr>
          <w:lang w:val="fr-FR"/>
        </w:rPr>
        <w:t xml:space="preserve">équipements rudimentaires. Dans tous les cas, les interventions des autorités de santé publique et les mesures de lutte contre les épidémies doivent être rapides et efficaces et ne devraient pas être inutilement entravées par des </w:t>
      </w:r>
      <w:r w:rsidR="00F91FCE">
        <w:rPr>
          <w:lang w:val="fr-FR"/>
        </w:rPr>
        <w:t>problèmes de collecte et de transport dus à des difficultés d’ordre financier ou technique</w:t>
      </w:r>
      <w:r>
        <w:rPr>
          <w:lang w:val="fr-FR"/>
        </w:rPr>
        <w:t>.</w:t>
      </w:r>
    </w:p>
    <w:p w:rsidR="00DF5544" w:rsidRPr="00EC0856" w:rsidRDefault="00DF5544" w:rsidP="00A057A2">
      <w:pPr>
        <w:pStyle w:val="ParNoG"/>
        <w:tabs>
          <w:tab w:val="clear" w:pos="1701"/>
        </w:tabs>
      </w:pPr>
      <w:r>
        <w:rPr>
          <w:lang w:val="fr-FR"/>
        </w:rPr>
        <w:t>Les experts du Canada et du Royaume-Uni estiment que les recommandations du Comité d</w:t>
      </w:r>
      <w:r w:rsidR="00BB7FD4">
        <w:rPr>
          <w:lang w:val="fr-FR"/>
        </w:rPr>
        <w:t>’</w:t>
      </w:r>
      <w:r>
        <w:rPr>
          <w:lang w:val="fr-FR"/>
        </w:rPr>
        <w:t>experts doivent aider les autorités de santé publique responsables de l</w:t>
      </w:r>
      <w:r w:rsidR="00BB7FD4">
        <w:rPr>
          <w:lang w:val="fr-FR"/>
        </w:rPr>
        <w:t>’</w:t>
      </w:r>
      <w:r>
        <w:rPr>
          <w:lang w:val="fr-FR"/>
        </w:rPr>
        <w:t xml:space="preserve">intervention à mettre en place des conditions de transport sûres et à faire des recommandations qui ne porteront </w:t>
      </w:r>
      <w:r w:rsidR="00D75FE4">
        <w:rPr>
          <w:lang w:val="fr-FR"/>
        </w:rPr>
        <w:t>pas préjudice aux autres phases, à savoir</w:t>
      </w:r>
      <w:r>
        <w:rPr>
          <w:lang w:val="fr-FR"/>
        </w:rPr>
        <w:t xml:space="preserve"> la collecte, l</w:t>
      </w:r>
      <w:r w:rsidR="00BB7FD4">
        <w:rPr>
          <w:lang w:val="fr-FR"/>
        </w:rPr>
        <w:t>’</w:t>
      </w:r>
      <w:r>
        <w:rPr>
          <w:lang w:val="fr-FR"/>
        </w:rPr>
        <w:t>emballage, la préparation pour le transport et l</w:t>
      </w:r>
      <w:r w:rsidR="00BB7FD4">
        <w:rPr>
          <w:lang w:val="fr-FR"/>
        </w:rPr>
        <w:t>’</w:t>
      </w:r>
      <w:r>
        <w:rPr>
          <w:lang w:val="fr-FR"/>
        </w:rPr>
        <w:t xml:space="preserve">élimination </w:t>
      </w:r>
      <w:r w:rsidR="00D75FE4">
        <w:rPr>
          <w:lang w:val="fr-FR"/>
        </w:rPr>
        <w:t>dans les délais prévus</w:t>
      </w:r>
      <w:r>
        <w:rPr>
          <w:lang w:val="fr-FR"/>
        </w:rPr>
        <w:t xml:space="preserve"> des déchets de la catégorie A. Dans ce cadre, les compétences techniques du Comité sont sollicitées pour établir des prescriptions minimum d</w:t>
      </w:r>
      <w:r w:rsidR="00BB7FD4">
        <w:rPr>
          <w:lang w:val="fr-FR"/>
        </w:rPr>
        <w:t>’</w:t>
      </w:r>
      <w:r>
        <w:rPr>
          <w:lang w:val="fr-FR"/>
        </w:rPr>
        <w:t>emballage pour garantir le transport en toute sécurité de</w:t>
      </w:r>
      <w:r w:rsidR="009B72A8">
        <w:rPr>
          <w:lang w:val="fr-FR"/>
        </w:rPr>
        <w:t xml:space="preserve"> </w:t>
      </w:r>
      <w:r>
        <w:rPr>
          <w:lang w:val="fr-FR"/>
        </w:rPr>
        <w:t xml:space="preserve">ces marchandises dangereuses. </w:t>
      </w:r>
    </w:p>
    <w:p w:rsidR="00DF5544" w:rsidRPr="00EC0856" w:rsidRDefault="00DF5544" w:rsidP="00A057A2">
      <w:pPr>
        <w:pStyle w:val="ParNoG"/>
        <w:tabs>
          <w:tab w:val="clear" w:pos="1701"/>
        </w:tabs>
      </w:pPr>
      <w:r>
        <w:rPr>
          <w:lang w:val="fr-FR"/>
        </w:rPr>
        <w:t xml:space="preserve">La plus grande partie des déchets de la catégorie A produits dans les établissements </w:t>
      </w:r>
      <w:r w:rsidR="00393053">
        <w:rPr>
          <w:lang w:val="fr-FR"/>
        </w:rPr>
        <w:t>médicaux</w:t>
      </w:r>
      <w:r>
        <w:rPr>
          <w:lang w:val="fr-FR"/>
        </w:rPr>
        <w:t xml:space="preserve"> </w:t>
      </w:r>
      <w:r w:rsidR="00393053">
        <w:rPr>
          <w:lang w:val="fr-FR"/>
        </w:rPr>
        <w:t>sont des</w:t>
      </w:r>
      <w:r>
        <w:rPr>
          <w:lang w:val="fr-FR"/>
        </w:rPr>
        <w:t xml:space="preserve"> équipements de protection individuelle jetables (gants, masques, </w:t>
      </w:r>
      <w:r w:rsidR="00393053">
        <w:rPr>
          <w:lang w:val="fr-FR"/>
        </w:rPr>
        <w:t>écrans</w:t>
      </w:r>
      <w:r>
        <w:rPr>
          <w:lang w:val="fr-FR"/>
        </w:rPr>
        <w:t xml:space="preserve"> faciaux, </w:t>
      </w:r>
      <w:r w:rsidR="00393053">
        <w:rPr>
          <w:lang w:val="fr-FR"/>
        </w:rPr>
        <w:t>sur-chaussures</w:t>
      </w:r>
      <w:r>
        <w:rPr>
          <w:lang w:val="fr-FR"/>
        </w:rPr>
        <w:t xml:space="preserve">, tabliers, combinaisons et autres vêtements), </w:t>
      </w:r>
      <w:r w:rsidR="00393053">
        <w:rPr>
          <w:lang w:val="fr-FR"/>
        </w:rPr>
        <w:t xml:space="preserve">des </w:t>
      </w:r>
      <w:r>
        <w:rPr>
          <w:lang w:val="fr-FR"/>
        </w:rPr>
        <w:t>matériaux absorbants de tout type</w:t>
      </w:r>
      <w:r w:rsidR="00393053">
        <w:rPr>
          <w:lang w:val="fr-FR"/>
        </w:rPr>
        <w:t xml:space="preserve"> (tapis, compresses, </w:t>
      </w:r>
      <w:r>
        <w:rPr>
          <w:lang w:val="fr-FR"/>
        </w:rPr>
        <w:t>bandes</w:t>
      </w:r>
      <w:r w:rsidR="00393053">
        <w:rPr>
          <w:lang w:val="fr-FR"/>
        </w:rPr>
        <w:t xml:space="preserve"> </w:t>
      </w:r>
      <w:r>
        <w:rPr>
          <w:lang w:val="fr-FR"/>
        </w:rPr>
        <w:t>de gaze, lingettes et articles similaires</w:t>
      </w:r>
      <w:r w:rsidR="00393053">
        <w:rPr>
          <w:lang w:val="fr-FR"/>
        </w:rPr>
        <w:t>)</w:t>
      </w:r>
      <w:r>
        <w:rPr>
          <w:lang w:val="fr-FR"/>
        </w:rPr>
        <w:t>,</w:t>
      </w:r>
      <w:r w:rsidR="00393053">
        <w:rPr>
          <w:lang w:val="fr-FR"/>
        </w:rPr>
        <w:t xml:space="preserve"> du</w:t>
      </w:r>
      <w:r>
        <w:rPr>
          <w:lang w:val="fr-FR"/>
        </w:rPr>
        <w:t xml:space="preserve"> linge de lit </w:t>
      </w:r>
      <w:r w:rsidR="00393053">
        <w:rPr>
          <w:lang w:val="fr-FR"/>
        </w:rPr>
        <w:t>(</w:t>
      </w:r>
      <w:r>
        <w:rPr>
          <w:lang w:val="fr-FR"/>
        </w:rPr>
        <w:t>draps et alèses</w:t>
      </w:r>
      <w:r w:rsidR="00393053">
        <w:rPr>
          <w:lang w:val="fr-FR"/>
        </w:rPr>
        <w:t>)</w:t>
      </w:r>
      <w:r>
        <w:rPr>
          <w:lang w:val="fr-FR"/>
        </w:rPr>
        <w:t xml:space="preserve">, </w:t>
      </w:r>
      <w:r w:rsidR="00393053">
        <w:rPr>
          <w:lang w:val="fr-FR"/>
        </w:rPr>
        <w:t xml:space="preserve">des </w:t>
      </w:r>
      <w:r>
        <w:rPr>
          <w:lang w:val="fr-FR"/>
        </w:rPr>
        <w:t xml:space="preserve">serviettes et tissus jetables, </w:t>
      </w:r>
      <w:r w:rsidR="00393053">
        <w:rPr>
          <w:lang w:val="fr-FR"/>
        </w:rPr>
        <w:t xml:space="preserve">du linge pour les patients, des </w:t>
      </w:r>
      <w:r>
        <w:rPr>
          <w:lang w:val="fr-FR"/>
        </w:rPr>
        <w:t xml:space="preserve">articles médicaux comme des tampons et enfin </w:t>
      </w:r>
      <w:r w:rsidR="00393053">
        <w:rPr>
          <w:lang w:val="fr-FR"/>
        </w:rPr>
        <w:t>les emballages</w:t>
      </w:r>
      <w:r>
        <w:rPr>
          <w:lang w:val="fr-FR"/>
        </w:rPr>
        <w:t xml:space="preserve"> de la plupart des articles précités, </w:t>
      </w:r>
      <w:r w:rsidR="00393053">
        <w:rPr>
          <w:lang w:val="fr-FR"/>
        </w:rPr>
        <w:t xml:space="preserve">qui ont été ouverts </w:t>
      </w:r>
      <w:r>
        <w:rPr>
          <w:lang w:val="fr-FR"/>
        </w:rPr>
        <w:t>dans la zone contaminée.</w:t>
      </w:r>
    </w:p>
    <w:p w:rsidR="00DF5544" w:rsidRDefault="00DF5544" w:rsidP="00A057A2">
      <w:pPr>
        <w:pStyle w:val="ParNoG"/>
        <w:tabs>
          <w:tab w:val="clear" w:pos="1701"/>
        </w:tabs>
      </w:pPr>
      <w:r>
        <w:rPr>
          <w:lang w:val="fr-FR"/>
        </w:rPr>
        <w:t>En raison de sa portée limitée (les déchets solides de catégorie A), le présent document ne traite pas des prescriptions d</w:t>
      </w:r>
      <w:r w:rsidR="00BB7FD4">
        <w:rPr>
          <w:lang w:val="fr-FR"/>
        </w:rPr>
        <w:t>’</w:t>
      </w:r>
      <w:r>
        <w:rPr>
          <w:lang w:val="fr-FR"/>
        </w:rPr>
        <w:t>emballage pour les grandes quantités de matières infectieuses liquides. Le</w:t>
      </w:r>
      <w:r w:rsidR="00393053">
        <w:rPr>
          <w:lang w:val="fr-FR"/>
        </w:rPr>
        <w:t>s liquides doivent être traités, à part</w:t>
      </w:r>
      <w:r>
        <w:rPr>
          <w:lang w:val="fr-FR"/>
        </w:rPr>
        <w:t>.</w:t>
      </w:r>
    </w:p>
    <w:p w:rsidR="00DF5544" w:rsidRPr="0079750F" w:rsidRDefault="00DF5544" w:rsidP="008B2D3D">
      <w:pPr>
        <w:pStyle w:val="H1G"/>
      </w:pPr>
      <w:r>
        <w:rPr>
          <w:lang w:val="fr-FR"/>
        </w:rPr>
        <w:tab/>
      </w:r>
      <w:r>
        <w:rPr>
          <w:lang w:val="fr-FR"/>
        </w:rPr>
        <w:tab/>
        <w:t>Classification</w:t>
      </w:r>
    </w:p>
    <w:p w:rsidR="00DF5544" w:rsidRDefault="00DF5544" w:rsidP="00A057A2">
      <w:pPr>
        <w:pStyle w:val="ParNoG"/>
        <w:tabs>
          <w:tab w:val="clear" w:pos="1701"/>
        </w:tabs>
      </w:pPr>
      <w:r>
        <w:rPr>
          <w:lang w:val="fr-FR"/>
        </w:rPr>
        <w:t>Les experts du Canada et du Royaume-Uni proposent la création d</w:t>
      </w:r>
      <w:r w:rsidR="00BB7FD4">
        <w:rPr>
          <w:lang w:val="fr-FR"/>
        </w:rPr>
        <w:t>’</w:t>
      </w:r>
      <w:r>
        <w:rPr>
          <w:lang w:val="fr-FR"/>
        </w:rPr>
        <w:t>une nouvelle rubrique dans la liste des marchandises dangereuses pour les déchets infectieux solides de la catégorie A.</w:t>
      </w:r>
    </w:p>
    <w:p w:rsidR="00DF5544" w:rsidRPr="00F53E10" w:rsidRDefault="00DF5544" w:rsidP="00A057A2">
      <w:pPr>
        <w:pStyle w:val="ParNoG"/>
        <w:tabs>
          <w:tab w:val="clear" w:pos="1701"/>
        </w:tabs>
      </w:pPr>
      <w:r>
        <w:rPr>
          <w:lang w:val="fr-FR"/>
        </w:rPr>
        <w:t>Ce nouveau numéro ONU ne doit pas être utilisé pour les déchets des laboratoires de recherche biologique ou d</w:t>
      </w:r>
      <w:r w:rsidR="00BB7FD4">
        <w:rPr>
          <w:lang w:val="fr-FR"/>
        </w:rPr>
        <w:t>’</w:t>
      </w:r>
      <w:r>
        <w:rPr>
          <w:lang w:val="fr-FR"/>
        </w:rPr>
        <w:t xml:space="preserve">autres laboratoires ou pour le transport de liquides. Les liquides doivent être traités </w:t>
      </w:r>
      <w:r w:rsidR="00972769">
        <w:rPr>
          <w:lang w:val="fr-FR"/>
        </w:rPr>
        <w:t>à part</w:t>
      </w:r>
      <w:r>
        <w:rPr>
          <w:lang w:val="fr-FR"/>
        </w:rPr>
        <w:t>. Cette nouvelle rubrique doit comprendre uniquement les déchets solides générés par le traitement médical des êtres humains ou les soins vétérinaires. Tout liquide résiduel sera absorbé avant le transport.</w:t>
      </w:r>
    </w:p>
    <w:p w:rsidR="00DF5544" w:rsidRPr="00F53E10" w:rsidRDefault="00DF5544" w:rsidP="008B2D3D">
      <w:pPr>
        <w:pStyle w:val="H1G"/>
      </w:pPr>
      <w:r>
        <w:rPr>
          <w:lang w:val="fr-FR"/>
        </w:rPr>
        <w:tab/>
      </w:r>
      <w:r>
        <w:rPr>
          <w:lang w:val="fr-FR"/>
        </w:rPr>
        <w:tab/>
        <w:t>Instructions d</w:t>
      </w:r>
      <w:r w:rsidR="00BB7FD4">
        <w:rPr>
          <w:lang w:val="fr-FR"/>
        </w:rPr>
        <w:t>’</w:t>
      </w:r>
      <w:r>
        <w:rPr>
          <w:lang w:val="fr-FR"/>
        </w:rPr>
        <w:t>emballage</w:t>
      </w:r>
    </w:p>
    <w:p w:rsidR="00DF5544" w:rsidRPr="00EC0856" w:rsidRDefault="00DF5544" w:rsidP="00A057A2">
      <w:pPr>
        <w:pStyle w:val="ParNoG"/>
        <w:tabs>
          <w:tab w:val="clear" w:pos="1701"/>
        </w:tabs>
      </w:pPr>
      <w:r>
        <w:rPr>
          <w:lang w:val="fr-FR"/>
        </w:rPr>
        <w:t>Les experts du Canada et du Royaume-Uni proposent deux nouvelles instructions d</w:t>
      </w:r>
      <w:r w:rsidR="00BB7FD4">
        <w:rPr>
          <w:lang w:val="fr-FR"/>
        </w:rPr>
        <w:t>’</w:t>
      </w:r>
      <w:r>
        <w:rPr>
          <w:lang w:val="fr-FR"/>
        </w:rPr>
        <w:t>emballage pour les déchets de la catégorie A</w:t>
      </w:r>
      <w:r w:rsidR="00A057A2">
        <w:rPr>
          <w:lang w:val="fr-FR"/>
        </w:rPr>
        <w:t> ;</w:t>
      </w:r>
      <w:r>
        <w:rPr>
          <w:lang w:val="fr-FR"/>
        </w:rPr>
        <w:t xml:space="preserve"> l</w:t>
      </w:r>
      <w:r w:rsidR="00BB7FD4">
        <w:rPr>
          <w:lang w:val="fr-FR"/>
        </w:rPr>
        <w:t>’</w:t>
      </w:r>
      <w:r>
        <w:rPr>
          <w:lang w:val="fr-FR"/>
        </w:rPr>
        <w:t>une pour l</w:t>
      </w:r>
      <w:r w:rsidR="00BB7FD4">
        <w:rPr>
          <w:lang w:val="fr-FR"/>
        </w:rPr>
        <w:t>’</w:t>
      </w:r>
      <w:r>
        <w:rPr>
          <w:lang w:val="fr-FR"/>
        </w:rPr>
        <w:t>utilisation d</w:t>
      </w:r>
      <w:r w:rsidR="00BB7FD4">
        <w:rPr>
          <w:lang w:val="fr-FR"/>
        </w:rPr>
        <w:t>’</w:t>
      </w:r>
      <w:r>
        <w:rPr>
          <w:lang w:val="fr-FR"/>
        </w:rPr>
        <w:t>emballages (P6XX) et l</w:t>
      </w:r>
      <w:r w:rsidR="00BB7FD4">
        <w:rPr>
          <w:lang w:val="fr-FR"/>
        </w:rPr>
        <w:t>’</w:t>
      </w:r>
      <w:r>
        <w:rPr>
          <w:lang w:val="fr-FR"/>
        </w:rPr>
        <w:t>autre pour l</w:t>
      </w:r>
      <w:r w:rsidR="00BB7FD4">
        <w:rPr>
          <w:lang w:val="fr-FR"/>
        </w:rPr>
        <w:t>’</w:t>
      </w:r>
      <w:r>
        <w:rPr>
          <w:lang w:val="fr-FR"/>
        </w:rPr>
        <w:t xml:space="preserve">utilisation de grands emballages (LP6XX). </w:t>
      </w:r>
    </w:p>
    <w:p w:rsidR="00DF5544" w:rsidRDefault="00DF5544" w:rsidP="00A057A2">
      <w:pPr>
        <w:pStyle w:val="ParNoG"/>
        <w:tabs>
          <w:tab w:val="clear" w:pos="1701"/>
        </w:tabs>
      </w:pPr>
      <w:r>
        <w:rPr>
          <w:lang w:val="fr-FR"/>
        </w:rPr>
        <w:t>Les nouvelles instructions d</w:t>
      </w:r>
      <w:r w:rsidR="00BB7FD4">
        <w:rPr>
          <w:lang w:val="fr-FR"/>
        </w:rPr>
        <w:t>’</w:t>
      </w:r>
      <w:r>
        <w:rPr>
          <w:lang w:val="fr-FR"/>
        </w:rPr>
        <w:t>emballage requièrent toutes deux l</w:t>
      </w:r>
      <w:r w:rsidR="00BB7FD4">
        <w:rPr>
          <w:lang w:val="fr-FR"/>
        </w:rPr>
        <w:t>’</w:t>
      </w:r>
      <w:r>
        <w:rPr>
          <w:lang w:val="fr-FR"/>
        </w:rPr>
        <w:t>utilisation d</w:t>
      </w:r>
      <w:r w:rsidR="00BB7FD4">
        <w:rPr>
          <w:lang w:val="fr-FR"/>
        </w:rPr>
        <w:t>’</w:t>
      </w:r>
      <w:r>
        <w:rPr>
          <w:lang w:val="fr-FR"/>
        </w:rPr>
        <w:t>un système d</w:t>
      </w:r>
      <w:r w:rsidR="00BB7FD4">
        <w:rPr>
          <w:lang w:val="fr-FR"/>
        </w:rPr>
        <w:t>’</w:t>
      </w:r>
      <w:r>
        <w:rPr>
          <w:lang w:val="fr-FR"/>
        </w:rPr>
        <w:t>emballage triple conforme aux prescriptions relatives aux épr</w:t>
      </w:r>
      <w:r w:rsidR="008A0E36">
        <w:rPr>
          <w:lang w:val="fr-FR"/>
        </w:rPr>
        <w:t>e</w:t>
      </w:r>
      <w:r>
        <w:rPr>
          <w:lang w:val="fr-FR"/>
        </w:rPr>
        <w:t>uves, au marquage et à la certification contenues dans les chapitres 6.1 et 6.6.</w:t>
      </w:r>
    </w:p>
    <w:p w:rsidR="00DF5544" w:rsidRPr="00EC0856" w:rsidRDefault="00DF5544" w:rsidP="00037284">
      <w:pPr>
        <w:pStyle w:val="ParNoG"/>
        <w:keepLines/>
        <w:tabs>
          <w:tab w:val="clear" w:pos="1701"/>
        </w:tabs>
      </w:pPr>
      <w:r>
        <w:rPr>
          <w:lang w:val="fr-FR"/>
        </w:rPr>
        <w:t>Ces instructions d</w:t>
      </w:r>
      <w:r w:rsidR="00BB7FD4">
        <w:rPr>
          <w:lang w:val="fr-FR"/>
        </w:rPr>
        <w:t>’</w:t>
      </w:r>
      <w:r>
        <w:rPr>
          <w:lang w:val="fr-FR"/>
        </w:rPr>
        <w:t>emballage peuvent aussi s</w:t>
      </w:r>
      <w:r w:rsidR="00BB7FD4">
        <w:rPr>
          <w:lang w:val="fr-FR"/>
        </w:rPr>
        <w:t>’</w:t>
      </w:r>
      <w:r>
        <w:rPr>
          <w:lang w:val="fr-FR"/>
        </w:rPr>
        <w:t xml:space="preserve">appliquer à de petites quantités de marchandises dangereuses </w:t>
      </w:r>
      <w:r w:rsidRPr="00651643">
        <w:rPr>
          <w:lang w:val="fr-FR"/>
        </w:rPr>
        <w:t>utilisé</w:t>
      </w:r>
      <w:r>
        <w:rPr>
          <w:lang w:val="fr-FR"/>
        </w:rPr>
        <w:t>e</w:t>
      </w:r>
      <w:r w:rsidRPr="00651643">
        <w:rPr>
          <w:lang w:val="fr-FR"/>
        </w:rPr>
        <w:t>s comme agents de nettoyage ou désinfectants lors d</w:t>
      </w:r>
      <w:r w:rsidR="00BB7FD4">
        <w:rPr>
          <w:lang w:val="fr-FR"/>
        </w:rPr>
        <w:t>’</w:t>
      </w:r>
      <w:r w:rsidRPr="00651643">
        <w:rPr>
          <w:lang w:val="fr-FR"/>
        </w:rPr>
        <w:t>un traitement ou d</w:t>
      </w:r>
      <w:r w:rsidR="00BB7FD4">
        <w:rPr>
          <w:lang w:val="fr-FR"/>
        </w:rPr>
        <w:t>’</w:t>
      </w:r>
      <w:r w:rsidRPr="00651643">
        <w:rPr>
          <w:lang w:val="fr-FR"/>
        </w:rPr>
        <w:t xml:space="preserve">un nettoyage et mélangées </w:t>
      </w:r>
      <w:r>
        <w:rPr>
          <w:lang w:val="fr-FR"/>
        </w:rPr>
        <w:t>aux</w:t>
      </w:r>
      <w:r w:rsidRPr="00651643">
        <w:rPr>
          <w:lang w:val="fr-FR"/>
        </w:rPr>
        <w:t xml:space="preserve"> déchets</w:t>
      </w:r>
      <w:r>
        <w:rPr>
          <w:lang w:val="fr-FR"/>
        </w:rPr>
        <w:t xml:space="preserve"> </w:t>
      </w:r>
      <w:r w:rsidR="00972769">
        <w:rPr>
          <w:lang w:val="fr-FR"/>
        </w:rPr>
        <w:t>relevant de</w:t>
      </w:r>
      <w:r>
        <w:rPr>
          <w:lang w:val="fr-FR"/>
        </w:rPr>
        <w:t xml:space="preserve"> classes ou </w:t>
      </w:r>
      <w:r w:rsidR="00972769">
        <w:rPr>
          <w:lang w:val="fr-FR"/>
        </w:rPr>
        <w:t xml:space="preserve">de </w:t>
      </w:r>
      <w:r>
        <w:rPr>
          <w:lang w:val="fr-FR"/>
        </w:rPr>
        <w:t>divisions autres que la division 6.2. Toutes les petites quantités de marchandise dangereuse à l</w:t>
      </w:r>
      <w:r w:rsidR="00BB7FD4">
        <w:rPr>
          <w:lang w:val="fr-FR"/>
        </w:rPr>
        <w:t>’</w:t>
      </w:r>
      <w:r>
        <w:rPr>
          <w:lang w:val="fr-FR"/>
        </w:rPr>
        <w:t xml:space="preserve">état liquide présentes de manière fortuite dans les déchets seront absorbées ou solidifiées avant le transport. </w:t>
      </w:r>
    </w:p>
    <w:p w:rsidR="00DF5544" w:rsidRPr="00EC0856" w:rsidRDefault="00DF5544" w:rsidP="00A057A2">
      <w:pPr>
        <w:pStyle w:val="ParNoG"/>
        <w:tabs>
          <w:tab w:val="clear" w:pos="1701"/>
        </w:tabs>
      </w:pPr>
      <w:r>
        <w:rPr>
          <w:lang w:val="fr-FR"/>
        </w:rPr>
        <w:t>Les emballages actuellement autorisés par l</w:t>
      </w:r>
      <w:r w:rsidR="00BB7FD4">
        <w:rPr>
          <w:lang w:val="fr-FR"/>
        </w:rPr>
        <w:t>’</w:t>
      </w:r>
      <w:r>
        <w:rPr>
          <w:lang w:val="fr-FR"/>
        </w:rPr>
        <w:t>instruction d</w:t>
      </w:r>
      <w:r w:rsidR="00BB7FD4">
        <w:rPr>
          <w:lang w:val="fr-FR"/>
        </w:rPr>
        <w:t>’</w:t>
      </w:r>
      <w:r>
        <w:rPr>
          <w:lang w:val="fr-FR"/>
        </w:rPr>
        <w:t>emballage P620 sont appropriés pour le transport de petites quantités de matières inf</w:t>
      </w:r>
      <w:r w:rsidR="00CE64A2">
        <w:rPr>
          <w:lang w:val="fr-FR"/>
        </w:rPr>
        <w:t>ectieuses de la catégorie </w:t>
      </w:r>
      <w:r>
        <w:rPr>
          <w:lang w:val="fr-FR"/>
        </w:rPr>
        <w:t xml:space="preserve">A, comme les cultures et les </w:t>
      </w:r>
      <w:r w:rsidR="00972769">
        <w:rPr>
          <w:lang w:val="fr-FR"/>
        </w:rPr>
        <w:t>échantillons,</w:t>
      </w:r>
      <w:r>
        <w:rPr>
          <w:lang w:val="fr-FR"/>
        </w:rPr>
        <w:t xml:space="preserve"> ainsi que pour de petites quantités de déchets provenant des activités des laboratoires. Toutefois, ces emballages ne conviennent pas au transport de grandes quantités de déchets de la catégorie A, </w:t>
      </w:r>
      <w:r w:rsidR="00972769">
        <w:rPr>
          <w:lang w:val="fr-FR"/>
        </w:rPr>
        <w:t>par exemple</w:t>
      </w:r>
      <w:r>
        <w:rPr>
          <w:lang w:val="fr-FR"/>
        </w:rPr>
        <w:t xml:space="preserve"> ceux qu</w:t>
      </w:r>
      <w:r w:rsidR="00BB7FD4">
        <w:rPr>
          <w:lang w:val="fr-FR"/>
        </w:rPr>
        <w:t>’</w:t>
      </w:r>
      <w:r>
        <w:rPr>
          <w:lang w:val="fr-FR"/>
        </w:rPr>
        <w:t>a généré</w:t>
      </w:r>
      <w:r w:rsidR="00972769">
        <w:rPr>
          <w:lang w:val="fr-FR"/>
        </w:rPr>
        <w:t>s</w:t>
      </w:r>
      <w:r>
        <w:rPr>
          <w:lang w:val="fr-FR"/>
        </w:rPr>
        <w:t xml:space="preserve"> l</w:t>
      </w:r>
      <w:r w:rsidR="00BB7FD4">
        <w:rPr>
          <w:lang w:val="fr-FR"/>
        </w:rPr>
        <w:t>’</w:t>
      </w:r>
      <w:r>
        <w:rPr>
          <w:lang w:val="fr-FR"/>
        </w:rPr>
        <w:t>épidémie d</w:t>
      </w:r>
      <w:r w:rsidR="00BB7FD4">
        <w:rPr>
          <w:lang w:val="fr-FR"/>
        </w:rPr>
        <w:t>’</w:t>
      </w:r>
      <w:r>
        <w:rPr>
          <w:lang w:val="fr-FR"/>
        </w:rPr>
        <w:t>Ebola en 2014. Les emballages sélectionnés en application de l</w:t>
      </w:r>
      <w:r w:rsidR="00BB7FD4">
        <w:rPr>
          <w:lang w:val="fr-FR"/>
        </w:rPr>
        <w:t>’</w:t>
      </w:r>
      <w:r>
        <w:rPr>
          <w:lang w:val="fr-FR"/>
        </w:rPr>
        <w:t>instruction d</w:t>
      </w:r>
      <w:r w:rsidR="00BB7FD4">
        <w:rPr>
          <w:lang w:val="fr-FR"/>
        </w:rPr>
        <w:t>’</w:t>
      </w:r>
      <w:r>
        <w:rPr>
          <w:lang w:val="fr-FR"/>
        </w:rPr>
        <w:t>emballage P620 doivent également se conform</w:t>
      </w:r>
      <w:r w:rsidR="00CE64A2">
        <w:rPr>
          <w:lang w:val="fr-FR"/>
        </w:rPr>
        <w:t>er aux dispositions du chapitre </w:t>
      </w:r>
      <w:r>
        <w:rPr>
          <w:lang w:val="fr-FR"/>
        </w:rPr>
        <w:t>6.3. Les experts du Canada et du Royaume-Uni soulignent l</w:t>
      </w:r>
      <w:r w:rsidR="00BB7FD4">
        <w:rPr>
          <w:lang w:val="fr-FR"/>
        </w:rPr>
        <w:t>’</w:t>
      </w:r>
      <w:r>
        <w:rPr>
          <w:lang w:val="fr-FR"/>
        </w:rPr>
        <w:t>importance du triple emballage</w:t>
      </w:r>
      <w:r w:rsidR="00A057A2">
        <w:rPr>
          <w:lang w:val="fr-FR"/>
        </w:rPr>
        <w:t> ;</w:t>
      </w:r>
      <w:r>
        <w:rPr>
          <w:lang w:val="fr-FR"/>
        </w:rPr>
        <w:t xml:space="preserve"> cependant, toutes les prescriptions relatives au con</w:t>
      </w:r>
      <w:r w:rsidR="00CE64A2">
        <w:rPr>
          <w:lang w:val="fr-FR"/>
        </w:rPr>
        <w:t>trôle figurant dans le chapitre </w:t>
      </w:r>
      <w:r>
        <w:rPr>
          <w:lang w:val="fr-FR"/>
        </w:rPr>
        <w:t xml:space="preserve">6.3 ne sont pas applicables </w:t>
      </w:r>
      <w:r w:rsidR="00156D44">
        <w:rPr>
          <w:lang w:val="fr-FR"/>
        </w:rPr>
        <w:t>au</w:t>
      </w:r>
      <w:r>
        <w:rPr>
          <w:lang w:val="fr-FR"/>
        </w:rPr>
        <w:t xml:space="preserve"> transport de grandes quantités de déchets solides de la catégorie A.</w:t>
      </w:r>
    </w:p>
    <w:p w:rsidR="00DF5544" w:rsidRPr="0079750F" w:rsidRDefault="00DF5544" w:rsidP="008A0E36">
      <w:pPr>
        <w:pStyle w:val="H23G"/>
      </w:pPr>
      <w:r>
        <w:rPr>
          <w:lang w:val="fr-FR"/>
        </w:rPr>
        <w:tab/>
      </w:r>
      <w:r>
        <w:rPr>
          <w:lang w:val="fr-FR"/>
        </w:rPr>
        <w:tab/>
        <w:t>Différence de pression et</w:t>
      </w:r>
      <w:r w:rsidR="009B72A8">
        <w:rPr>
          <w:lang w:val="fr-FR"/>
        </w:rPr>
        <w:t xml:space="preserve"> </w:t>
      </w:r>
      <w:r>
        <w:rPr>
          <w:lang w:val="fr-FR"/>
        </w:rPr>
        <w:t>épreuves d</w:t>
      </w:r>
      <w:r w:rsidR="00BB7FD4">
        <w:rPr>
          <w:lang w:val="fr-FR"/>
        </w:rPr>
        <w:t>’</w:t>
      </w:r>
      <w:r>
        <w:rPr>
          <w:lang w:val="fr-FR"/>
        </w:rPr>
        <w:t>étanchéité</w:t>
      </w:r>
    </w:p>
    <w:p w:rsidR="00DF5544" w:rsidRPr="00EC0856" w:rsidRDefault="00DF5544" w:rsidP="00A057A2">
      <w:pPr>
        <w:pStyle w:val="ParNoG"/>
        <w:tabs>
          <w:tab w:val="clear" w:pos="1701"/>
        </w:tabs>
      </w:pPr>
      <w:r>
        <w:rPr>
          <w:lang w:val="fr-FR"/>
        </w:rPr>
        <w:t xml:space="preserve">Comme indiqué précédemment, les options proposées ne </w:t>
      </w:r>
      <w:proofErr w:type="gramStart"/>
      <w:r>
        <w:rPr>
          <w:lang w:val="fr-FR"/>
        </w:rPr>
        <w:t>doivent pas</w:t>
      </w:r>
      <w:proofErr w:type="gramEnd"/>
      <w:r>
        <w:rPr>
          <w:lang w:val="fr-FR"/>
        </w:rPr>
        <w:t xml:space="preserve"> s</w:t>
      </w:r>
      <w:r w:rsidR="00BB7FD4">
        <w:rPr>
          <w:lang w:val="fr-FR"/>
        </w:rPr>
        <w:t>’</w:t>
      </w:r>
      <w:r>
        <w:rPr>
          <w:lang w:val="fr-FR"/>
        </w:rPr>
        <w:t>appliquer au transport de grandes quantités de liquides, et tout liquide présent doit être absorbé avant le transport. Par conséquent, la prescription selon laquelle les emballages intérieurs et intermédiaires doivent avoir la capacité de résister à une différence de pression d</w:t>
      </w:r>
      <w:r w:rsidR="00BB7FD4">
        <w:rPr>
          <w:lang w:val="fr-FR"/>
        </w:rPr>
        <w:t>’</w:t>
      </w:r>
      <w:r>
        <w:rPr>
          <w:lang w:val="fr-FR"/>
        </w:rPr>
        <w:t>au moins 95</w:t>
      </w:r>
      <w:r w:rsidR="008A0E36">
        <w:rPr>
          <w:lang w:val="fr-FR"/>
        </w:rPr>
        <w:t> </w:t>
      </w:r>
      <w:r>
        <w:rPr>
          <w:lang w:val="fr-FR"/>
        </w:rPr>
        <w:t>kPa lorsque les déchets infectieux sont transportés par la route est considérée comme trop stricte et inutile. Une différence de pression de cette importance ne serait pas considérée comme une condition normale de transport de surface.</w:t>
      </w:r>
    </w:p>
    <w:p w:rsidR="00DF5544" w:rsidRPr="00EC0856" w:rsidRDefault="00DF5544" w:rsidP="00A057A2">
      <w:pPr>
        <w:pStyle w:val="ParNoG"/>
        <w:tabs>
          <w:tab w:val="clear" w:pos="1701"/>
        </w:tabs>
      </w:pPr>
      <w:r>
        <w:rPr>
          <w:lang w:val="fr-FR"/>
        </w:rPr>
        <w:t>De la même façon, les experts du Canada et du Royaume-Uni sont d</w:t>
      </w:r>
      <w:r w:rsidR="00BB7FD4">
        <w:rPr>
          <w:lang w:val="fr-FR"/>
        </w:rPr>
        <w:t>’</w:t>
      </w:r>
      <w:r>
        <w:rPr>
          <w:lang w:val="fr-FR"/>
        </w:rPr>
        <w:t>avis qu</w:t>
      </w:r>
      <w:r w:rsidR="00BB7FD4">
        <w:rPr>
          <w:lang w:val="fr-FR"/>
        </w:rPr>
        <w:t>’</w:t>
      </w:r>
      <w:r>
        <w:rPr>
          <w:lang w:val="fr-FR"/>
        </w:rPr>
        <w:t>il est inutile pour l</w:t>
      </w:r>
      <w:r w:rsidR="00BB7FD4">
        <w:rPr>
          <w:lang w:val="fr-FR"/>
        </w:rPr>
        <w:t>’</w:t>
      </w:r>
      <w:r>
        <w:rPr>
          <w:lang w:val="fr-FR"/>
        </w:rPr>
        <w:t>emballage intérieur et l</w:t>
      </w:r>
      <w:r w:rsidR="00BB7FD4">
        <w:rPr>
          <w:lang w:val="fr-FR"/>
        </w:rPr>
        <w:t>’</w:t>
      </w:r>
      <w:r>
        <w:rPr>
          <w:lang w:val="fr-FR"/>
        </w:rPr>
        <w:t>emballage intermédiaire des emballages simples de pouvoir résister à une épreuve d</w:t>
      </w:r>
      <w:r w:rsidR="00BB7FD4">
        <w:rPr>
          <w:lang w:val="fr-FR"/>
        </w:rPr>
        <w:t>’</w:t>
      </w:r>
      <w:r>
        <w:rPr>
          <w:lang w:val="fr-FR"/>
        </w:rPr>
        <w:t>étan</w:t>
      </w:r>
      <w:r w:rsidR="008A0E36">
        <w:rPr>
          <w:lang w:val="fr-FR"/>
        </w:rPr>
        <w:t>chéité conformément au chapitre </w:t>
      </w:r>
      <w:r>
        <w:rPr>
          <w:lang w:val="fr-FR"/>
        </w:rPr>
        <w:t>6.1. Cette épreuve est prescrite pour les emballages simples destinés à contenir des liquides, ce qui n</w:t>
      </w:r>
      <w:r w:rsidR="00BB7FD4">
        <w:rPr>
          <w:lang w:val="fr-FR"/>
        </w:rPr>
        <w:t>’</w:t>
      </w:r>
      <w:r>
        <w:rPr>
          <w:lang w:val="fr-FR"/>
        </w:rPr>
        <w:t>est pas le cas en l</w:t>
      </w:r>
      <w:r w:rsidR="00BB7FD4">
        <w:rPr>
          <w:lang w:val="fr-FR"/>
        </w:rPr>
        <w:t>’</w:t>
      </w:r>
      <w:r>
        <w:rPr>
          <w:lang w:val="fr-FR"/>
        </w:rPr>
        <w:t xml:space="preserve">espèce. Il suffit, </w:t>
      </w:r>
      <w:r w:rsidRPr="004D02B9">
        <w:rPr>
          <w:lang w:val="fr-FR"/>
        </w:rPr>
        <w:t>pour les matières solides et pour une très faible quantité de liquide absorbé ou solidifié</w:t>
      </w:r>
      <w:r>
        <w:rPr>
          <w:lang w:val="fr-FR"/>
        </w:rPr>
        <w:t>, que l</w:t>
      </w:r>
      <w:r w:rsidR="00BB7FD4">
        <w:rPr>
          <w:lang w:val="fr-FR"/>
        </w:rPr>
        <w:t>’</w:t>
      </w:r>
      <w:r>
        <w:rPr>
          <w:lang w:val="fr-FR"/>
        </w:rPr>
        <w:t>emballage intérieur tout comme l</w:t>
      </w:r>
      <w:r w:rsidR="00BB7FD4">
        <w:rPr>
          <w:lang w:val="fr-FR"/>
        </w:rPr>
        <w:t>’</w:t>
      </w:r>
      <w:r>
        <w:rPr>
          <w:lang w:val="fr-FR"/>
        </w:rPr>
        <w:t xml:space="preserve">emballage intermédiaire </w:t>
      </w:r>
      <w:r w:rsidR="00156D44">
        <w:rPr>
          <w:lang w:val="fr-FR"/>
        </w:rPr>
        <w:t>soient étanches aux</w:t>
      </w:r>
      <w:r>
        <w:rPr>
          <w:lang w:val="fr-FR"/>
        </w:rPr>
        <w:t xml:space="preserve"> liquides. </w:t>
      </w:r>
    </w:p>
    <w:p w:rsidR="00DF5544" w:rsidRPr="0079750F" w:rsidRDefault="00DF5544" w:rsidP="008A0E36">
      <w:pPr>
        <w:pStyle w:val="H23G"/>
      </w:pPr>
      <w:r>
        <w:rPr>
          <w:lang w:val="fr-FR"/>
        </w:rPr>
        <w:tab/>
      </w:r>
      <w:r>
        <w:rPr>
          <w:lang w:val="fr-FR"/>
        </w:rPr>
        <w:tab/>
        <w:t>Épreuves de chute et de perforation</w:t>
      </w:r>
    </w:p>
    <w:p w:rsidR="00DF5544" w:rsidRDefault="00DF5544" w:rsidP="00A057A2">
      <w:pPr>
        <w:pStyle w:val="ParNoG"/>
        <w:tabs>
          <w:tab w:val="clear" w:pos="1701"/>
        </w:tabs>
      </w:pPr>
      <w:r>
        <w:rPr>
          <w:lang w:val="fr-FR"/>
        </w:rPr>
        <w:t>Actuel</w:t>
      </w:r>
      <w:r w:rsidR="008A0E36">
        <w:rPr>
          <w:lang w:val="fr-FR"/>
        </w:rPr>
        <w:t>lement, l</w:t>
      </w:r>
      <w:r w:rsidR="00BB7FD4">
        <w:rPr>
          <w:lang w:val="fr-FR"/>
        </w:rPr>
        <w:t>’</w:t>
      </w:r>
      <w:r w:rsidR="008A0E36">
        <w:rPr>
          <w:lang w:val="fr-FR"/>
        </w:rPr>
        <w:t>épreuve de chute de 9 m prescrite au </w:t>
      </w:r>
      <w:r>
        <w:rPr>
          <w:lang w:val="fr-FR"/>
        </w:rPr>
        <w:t>6.3.5.3 n</w:t>
      </w:r>
      <w:r w:rsidR="00BB7FD4">
        <w:rPr>
          <w:lang w:val="fr-FR"/>
        </w:rPr>
        <w:t>’</w:t>
      </w:r>
      <w:r>
        <w:rPr>
          <w:lang w:val="fr-FR"/>
        </w:rPr>
        <w:t xml:space="preserve">est exigée que pour les emballages destinés aux matières infectieuses de la catégorie A et pour certains emballages à haute intégrité (de </w:t>
      </w:r>
      <w:r w:rsidR="008A0E36">
        <w:rPr>
          <w:lang w:val="fr-FR"/>
        </w:rPr>
        <w:t>t</w:t>
      </w:r>
      <w:r>
        <w:rPr>
          <w:lang w:val="fr-FR"/>
        </w:rPr>
        <w:t xml:space="preserve">ype B et de </w:t>
      </w:r>
      <w:r w:rsidR="008A0E36">
        <w:rPr>
          <w:lang w:val="fr-FR"/>
        </w:rPr>
        <w:t>t</w:t>
      </w:r>
      <w:r>
        <w:rPr>
          <w:lang w:val="fr-FR"/>
        </w:rPr>
        <w:t>ype A pour les l</w:t>
      </w:r>
      <w:r w:rsidR="008A0E36">
        <w:rPr>
          <w:lang w:val="fr-FR"/>
        </w:rPr>
        <w:t>iquides et les gaz de la classe 7) du chapitre </w:t>
      </w:r>
      <w:r>
        <w:rPr>
          <w:lang w:val="fr-FR"/>
        </w:rPr>
        <w:t xml:space="preserve">6.4, comme prescrit par le </w:t>
      </w:r>
      <w:r w:rsidRPr="004D02B9">
        <w:rPr>
          <w:lang w:val="fr-FR"/>
        </w:rPr>
        <w:t>Règlement de transport des matières radioactives</w:t>
      </w:r>
      <w:r>
        <w:rPr>
          <w:lang w:val="fr-FR"/>
        </w:rPr>
        <w:t xml:space="preserve"> de l</w:t>
      </w:r>
      <w:r w:rsidR="00BB7FD4">
        <w:rPr>
          <w:lang w:val="fr-FR"/>
        </w:rPr>
        <w:t>’</w:t>
      </w:r>
      <w:r>
        <w:rPr>
          <w:lang w:val="fr-FR"/>
        </w:rPr>
        <w:t>AIEA. Il ressort que la norme de sécurité de l</w:t>
      </w:r>
      <w:r w:rsidR="00BB7FD4">
        <w:rPr>
          <w:lang w:val="fr-FR"/>
        </w:rPr>
        <w:t>’</w:t>
      </w:r>
      <w:r>
        <w:rPr>
          <w:lang w:val="fr-FR"/>
        </w:rPr>
        <w:t>AIEA a été utilisé</w:t>
      </w:r>
      <w:r w:rsidR="00156D44">
        <w:rPr>
          <w:lang w:val="fr-FR"/>
        </w:rPr>
        <w:t>e</w:t>
      </w:r>
      <w:r>
        <w:rPr>
          <w:lang w:val="fr-FR"/>
        </w:rPr>
        <w:t xml:space="preserve"> dans</w:t>
      </w:r>
      <w:r w:rsidR="00037284">
        <w:rPr>
          <w:lang w:val="fr-FR"/>
        </w:rPr>
        <w:t> </w:t>
      </w:r>
      <w:r>
        <w:rPr>
          <w:lang w:val="fr-FR"/>
        </w:rPr>
        <w:t>l</w:t>
      </w:r>
      <w:r w:rsidR="00BB7FD4">
        <w:rPr>
          <w:lang w:val="fr-FR"/>
        </w:rPr>
        <w:t>’</w:t>
      </w:r>
      <w:r>
        <w:rPr>
          <w:lang w:val="fr-FR"/>
        </w:rPr>
        <w:t xml:space="preserve">élaboration </w:t>
      </w:r>
      <w:r w:rsidR="00FD4A2A">
        <w:rPr>
          <w:lang w:val="fr-FR"/>
        </w:rPr>
        <w:t>des épreuves que l’instruction d’emballage 620</w:t>
      </w:r>
      <w:r>
        <w:rPr>
          <w:lang w:val="fr-FR"/>
        </w:rPr>
        <w:t xml:space="preserve"> </w:t>
      </w:r>
      <w:r w:rsidR="00FD4A2A">
        <w:rPr>
          <w:lang w:val="fr-FR"/>
        </w:rPr>
        <w:t xml:space="preserve">exige </w:t>
      </w:r>
      <w:r>
        <w:rPr>
          <w:lang w:val="fr-FR"/>
        </w:rPr>
        <w:t>de</w:t>
      </w:r>
      <w:r w:rsidR="00FD4A2A">
        <w:rPr>
          <w:lang w:val="fr-FR"/>
        </w:rPr>
        <w:t xml:space="preserve">s </w:t>
      </w:r>
      <w:r>
        <w:rPr>
          <w:lang w:val="fr-FR"/>
        </w:rPr>
        <w:t>emballage</w:t>
      </w:r>
      <w:r w:rsidR="00FD4A2A">
        <w:rPr>
          <w:lang w:val="fr-FR"/>
        </w:rPr>
        <w:t>s</w:t>
      </w:r>
      <w:r>
        <w:rPr>
          <w:lang w:val="fr-FR"/>
        </w:rPr>
        <w:t xml:space="preserve"> des matières infectieuses de la c</w:t>
      </w:r>
      <w:r w:rsidR="00FD4A2A">
        <w:rPr>
          <w:lang w:val="fr-FR"/>
        </w:rPr>
        <w:t>atégorie A</w:t>
      </w:r>
      <w:r>
        <w:rPr>
          <w:lang w:val="fr-FR"/>
        </w:rPr>
        <w:t>.</w:t>
      </w:r>
    </w:p>
    <w:p w:rsidR="00DF5544" w:rsidRPr="008A0E36" w:rsidRDefault="00DF5544" w:rsidP="00BB7FD4">
      <w:pPr>
        <w:pStyle w:val="ParNoG"/>
        <w:rPr>
          <w:u w:val="single"/>
        </w:rPr>
      </w:pPr>
      <w:r>
        <w:rPr>
          <w:lang w:val="fr-FR"/>
        </w:rPr>
        <w:t>Des prescriptions d</w:t>
      </w:r>
      <w:r w:rsidR="00BB7FD4">
        <w:rPr>
          <w:lang w:val="fr-FR"/>
        </w:rPr>
        <w:t>’</w:t>
      </w:r>
      <w:r>
        <w:rPr>
          <w:lang w:val="fr-FR"/>
        </w:rPr>
        <w:t>emballage supplémentaires prévoyant un triple emballage et l</w:t>
      </w:r>
      <w:r w:rsidR="00BB7FD4">
        <w:rPr>
          <w:lang w:val="fr-FR"/>
        </w:rPr>
        <w:t>’</w:t>
      </w:r>
      <w:r>
        <w:rPr>
          <w:lang w:val="fr-FR"/>
        </w:rPr>
        <w:t xml:space="preserve">obligation de limiter le transport </w:t>
      </w:r>
      <w:r w:rsidR="009A45ED">
        <w:rPr>
          <w:lang w:val="fr-FR"/>
        </w:rPr>
        <w:t>aux</w:t>
      </w:r>
      <w:r>
        <w:rPr>
          <w:lang w:val="fr-FR"/>
        </w:rPr>
        <w:t xml:space="preserve"> seules fins d</w:t>
      </w:r>
      <w:r w:rsidR="00BB7FD4">
        <w:rPr>
          <w:lang w:val="fr-FR"/>
        </w:rPr>
        <w:t>’</w:t>
      </w:r>
      <w:r>
        <w:rPr>
          <w:lang w:val="fr-FR"/>
        </w:rPr>
        <w:t>élimination ne feront que réduire le risque d</w:t>
      </w:r>
      <w:r w:rsidR="00BB7FD4">
        <w:rPr>
          <w:lang w:val="fr-FR"/>
        </w:rPr>
        <w:t>’</w:t>
      </w:r>
      <w:r>
        <w:rPr>
          <w:lang w:val="fr-FR"/>
        </w:rPr>
        <w:t>exposition dans des conditions normales de transport. Il est peu probable que ces emballages soient exp</w:t>
      </w:r>
      <w:r w:rsidR="008A0E36">
        <w:rPr>
          <w:lang w:val="fr-FR"/>
        </w:rPr>
        <w:t>osés au risque d</w:t>
      </w:r>
      <w:r w:rsidR="00BB7FD4">
        <w:rPr>
          <w:lang w:val="fr-FR"/>
        </w:rPr>
        <w:t>’</w:t>
      </w:r>
      <w:r w:rsidR="008A0E36">
        <w:rPr>
          <w:lang w:val="fr-FR"/>
        </w:rPr>
        <w:t>une chute de 9 </w:t>
      </w:r>
      <w:r>
        <w:rPr>
          <w:lang w:val="fr-FR"/>
        </w:rPr>
        <w:t>m dans les conditions de transport prévues. Plutôt que d</w:t>
      </w:r>
      <w:r w:rsidR="00BB7FD4">
        <w:rPr>
          <w:lang w:val="fr-FR"/>
        </w:rPr>
        <w:t>’</w:t>
      </w:r>
      <w:r>
        <w:rPr>
          <w:lang w:val="fr-FR"/>
        </w:rPr>
        <w:t xml:space="preserve">élaborer de nouvelles prescriptions relatives à la hauteur de chute, les experts du Canada et du Royaume-Uni recommandent de prévoir </w:t>
      </w:r>
      <w:r w:rsidR="008A0E36">
        <w:rPr>
          <w:lang w:val="fr-FR"/>
        </w:rPr>
        <w:t>une hauteur de chute de 1,8 </w:t>
      </w:r>
      <w:r>
        <w:rPr>
          <w:lang w:val="fr-FR"/>
        </w:rPr>
        <w:t>m, soit le minimum requis pour les matières dangereuses solides du groupe d</w:t>
      </w:r>
      <w:r w:rsidR="00BB7FD4">
        <w:rPr>
          <w:lang w:val="fr-FR"/>
        </w:rPr>
        <w:t>’</w:t>
      </w:r>
      <w:r>
        <w:rPr>
          <w:lang w:val="fr-FR"/>
        </w:rPr>
        <w:t>emballage I de toute autre classe. Ces informations sont clairement indiquées sur le marquage ONU de l</w:t>
      </w:r>
      <w:r w:rsidR="00BB7FD4">
        <w:rPr>
          <w:lang w:val="fr-FR"/>
        </w:rPr>
        <w:t>’</w:t>
      </w:r>
      <w:r>
        <w:rPr>
          <w:lang w:val="fr-FR"/>
        </w:rPr>
        <w:t>emballage extérieur. En outre, dès que les déchets parviennent à l</w:t>
      </w:r>
      <w:r w:rsidR="00BB7FD4">
        <w:rPr>
          <w:lang w:val="fr-FR"/>
        </w:rPr>
        <w:t>’</w:t>
      </w:r>
      <w:r>
        <w:rPr>
          <w:lang w:val="fr-FR"/>
        </w:rPr>
        <w:t>usine d</w:t>
      </w:r>
      <w:r w:rsidR="00BB7FD4">
        <w:rPr>
          <w:lang w:val="fr-FR"/>
        </w:rPr>
        <w:t>’</w:t>
      </w:r>
      <w:r>
        <w:rPr>
          <w:lang w:val="fr-FR"/>
        </w:rPr>
        <w:t>incinération et qu</w:t>
      </w:r>
      <w:r w:rsidR="00BB7FD4">
        <w:rPr>
          <w:lang w:val="fr-FR"/>
        </w:rPr>
        <w:t>’</w:t>
      </w:r>
      <w:r>
        <w:rPr>
          <w:lang w:val="fr-FR"/>
        </w:rPr>
        <w:t>ils sont déchargés, ces emballages ne sont plus considérés comme étant transportés. Par conséquent, une fois que les emballages se trouvent à l</w:t>
      </w:r>
      <w:r w:rsidR="00BB7FD4">
        <w:rPr>
          <w:lang w:val="fr-FR"/>
        </w:rPr>
        <w:t>’</w:t>
      </w:r>
      <w:r>
        <w:rPr>
          <w:lang w:val="fr-FR"/>
        </w:rPr>
        <w:t>intérieur de l</w:t>
      </w:r>
      <w:r w:rsidR="00BB7FD4">
        <w:rPr>
          <w:lang w:val="fr-FR"/>
        </w:rPr>
        <w:t>’</w:t>
      </w:r>
      <w:r>
        <w:rPr>
          <w:lang w:val="fr-FR"/>
        </w:rPr>
        <w:t>usine, la hauteur à laquelle ils peuvent être manipulés ne devrait pas avoir d</w:t>
      </w:r>
      <w:r w:rsidR="00BB7FD4">
        <w:rPr>
          <w:lang w:val="fr-FR"/>
        </w:rPr>
        <w:t>’</w:t>
      </w:r>
      <w:r>
        <w:rPr>
          <w:lang w:val="fr-FR"/>
        </w:rPr>
        <w:t>effet direct sur les prescriptions minimales applicables au transport</w:t>
      </w:r>
      <w:r w:rsidRPr="009B72A8">
        <w:rPr>
          <w:lang w:val="fr-FR"/>
        </w:rPr>
        <w:t xml:space="preserve">. </w:t>
      </w:r>
      <w:r w:rsidR="008A0E36" w:rsidRPr="009B72A8">
        <w:rPr>
          <w:lang w:val="fr-FR"/>
        </w:rPr>
        <w:tab/>
      </w:r>
    </w:p>
    <w:p w:rsidR="00DF5544" w:rsidRPr="00EC0856" w:rsidRDefault="00DF5544" w:rsidP="00A057A2">
      <w:pPr>
        <w:pStyle w:val="ParNoG"/>
        <w:tabs>
          <w:tab w:val="clear" w:pos="1701"/>
        </w:tabs>
      </w:pPr>
      <w:r w:rsidRPr="00930C5A">
        <w:rPr>
          <w:spacing w:val="-1"/>
          <w:lang w:val="fr-FR"/>
        </w:rPr>
        <w:t>Les experts du Canada et du Royaume-Uni proposent de ne pas inclure l</w:t>
      </w:r>
      <w:r w:rsidR="00BB7FD4" w:rsidRPr="00930C5A">
        <w:rPr>
          <w:spacing w:val="-1"/>
          <w:lang w:val="fr-FR"/>
        </w:rPr>
        <w:t>’</w:t>
      </w:r>
      <w:r w:rsidRPr="00930C5A">
        <w:rPr>
          <w:spacing w:val="-1"/>
          <w:lang w:val="fr-FR"/>
        </w:rPr>
        <w:t>épreuve de</w:t>
      </w:r>
      <w:r w:rsidR="007F55F0" w:rsidRPr="00930C5A">
        <w:rPr>
          <w:spacing w:val="-1"/>
          <w:lang w:val="fr-FR"/>
        </w:rPr>
        <w:t> </w:t>
      </w:r>
      <w:r w:rsidRPr="00930C5A">
        <w:rPr>
          <w:spacing w:val="-1"/>
          <w:lang w:val="fr-FR"/>
        </w:rPr>
        <w:t>perforation requise au chapitre 6.3 pour les emballa</w:t>
      </w:r>
      <w:r w:rsidR="007F55F0" w:rsidRPr="00930C5A">
        <w:rPr>
          <w:spacing w:val="-1"/>
          <w:lang w:val="fr-FR"/>
        </w:rPr>
        <w:t>ges des déchets de la catégorie </w:t>
      </w:r>
      <w:r w:rsidRPr="00930C5A">
        <w:rPr>
          <w:spacing w:val="-1"/>
          <w:lang w:val="fr-FR"/>
        </w:rPr>
        <w:t xml:space="preserve">A. Cette épreuve </w:t>
      </w:r>
      <w:r w:rsidR="00A14F84" w:rsidRPr="00930C5A">
        <w:rPr>
          <w:spacing w:val="-1"/>
          <w:lang w:val="fr-FR"/>
        </w:rPr>
        <w:t>est réservée aux</w:t>
      </w:r>
      <w:r w:rsidRPr="00930C5A">
        <w:rPr>
          <w:spacing w:val="-1"/>
          <w:lang w:val="fr-FR"/>
        </w:rPr>
        <w:t xml:space="preserve"> emballages destinés aux matières infectieuses de la catégorie</w:t>
      </w:r>
      <w:r w:rsidR="00A14F84" w:rsidRPr="00930C5A">
        <w:rPr>
          <w:spacing w:val="-1"/>
          <w:lang w:val="fr-FR"/>
        </w:rPr>
        <w:t> </w:t>
      </w:r>
      <w:r w:rsidRPr="00930C5A">
        <w:rPr>
          <w:spacing w:val="-1"/>
          <w:lang w:val="fr-FR"/>
        </w:rPr>
        <w:t xml:space="preserve">A et </w:t>
      </w:r>
      <w:r w:rsidR="00A14F84" w:rsidRPr="00930C5A">
        <w:rPr>
          <w:spacing w:val="-1"/>
          <w:lang w:val="fr-FR"/>
        </w:rPr>
        <w:t>à</w:t>
      </w:r>
      <w:r w:rsidRPr="00930C5A">
        <w:rPr>
          <w:spacing w:val="-1"/>
          <w:lang w:val="fr-FR"/>
        </w:rPr>
        <w:t xml:space="preserve"> certains emballages à haute intégrité du chapitre 6.4 en application du Règlement de transport des matières radioactives de l</w:t>
      </w:r>
      <w:r w:rsidR="00BB7FD4" w:rsidRPr="00930C5A">
        <w:rPr>
          <w:spacing w:val="-1"/>
          <w:lang w:val="fr-FR"/>
        </w:rPr>
        <w:t>’</w:t>
      </w:r>
      <w:r w:rsidRPr="00930C5A">
        <w:rPr>
          <w:spacing w:val="-1"/>
          <w:lang w:val="fr-FR"/>
        </w:rPr>
        <w:t>AIEA. Pour les déchets solides de la catégorie</w:t>
      </w:r>
      <w:r w:rsidR="00A14F84" w:rsidRPr="00930C5A">
        <w:rPr>
          <w:spacing w:val="-1"/>
          <w:lang w:val="fr-FR"/>
        </w:rPr>
        <w:t> </w:t>
      </w:r>
      <w:r w:rsidRPr="00930C5A">
        <w:rPr>
          <w:spacing w:val="-1"/>
          <w:lang w:val="fr-FR"/>
        </w:rPr>
        <w:t>A, le risque d</w:t>
      </w:r>
      <w:r w:rsidR="00BB7FD4" w:rsidRPr="00930C5A">
        <w:rPr>
          <w:spacing w:val="-1"/>
          <w:lang w:val="fr-FR"/>
        </w:rPr>
        <w:t>’</w:t>
      </w:r>
      <w:r w:rsidRPr="00930C5A">
        <w:rPr>
          <w:spacing w:val="-1"/>
          <w:lang w:val="fr-FR"/>
        </w:rPr>
        <w:t xml:space="preserve">exposition </w:t>
      </w:r>
      <w:r w:rsidR="00A14F84" w:rsidRPr="00930C5A">
        <w:rPr>
          <w:spacing w:val="-1"/>
          <w:lang w:val="fr-FR"/>
        </w:rPr>
        <w:t>d’une matière</w:t>
      </w:r>
      <w:r w:rsidRPr="00930C5A">
        <w:rPr>
          <w:spacing w:val="-1"/>
          <w:lang w:val="fr-FR"/>
        </w:rPr>
        <w:t xml:space="preserve"> solide en cas de perforation d</w:t>
      </w:r>
      <w:r w:rsidR="00BB7FD4" w:rsidRPr="00930C5A">
        <w:rPr>
          <w:spacing w:val="-1"/>
          <w:lang w:val="fr-FR"/>
        </w:rPr>
        <w:t>’</w:t>
      </w:r>
      <w:r w:rsidRPr="00930C5A">
        <w:rPr>
          <w:spacing w:val="-1"/>
          <w:lang w:val="fr-FR"/>
        </w:rPr>
        <w:t>un emballage triple de déchets est perçu comme inférieur au risque entraîné par la perforation d</w:t>
      </w:r>
      <w:r w:rsidR="00BB7FD4" w:rsidRPr="00930C5A">
        <w:rPr>
          <w:spacing w:val="-1"/>
          <w:lang w:val="fr-FR"/>
        </w:rPr>
        <w:t>’</w:t>
      </w:r>
      <w:r w:rsidRPr="00930C5A">
        <w:rPr>
          <w:spacing w:val="-1"/>
          <w:lang w:val="fr-FR"/>
        </w:rPr>
        <w:t>un emballage de matières radioactives en phase liquide ou gazeuse ou d</w:t>
      </w:r>
      <w:r w:rsidR="00BB7FD4" w:rsidRPr="00930C5A">
        <w:rPr>
          <w:spacing w:val="-1"/>
          <w:lang w:val="fr-FR"/>
        </w:rPr>
        <w:t>’</w:t>
      </w:r>
      <w:r w:rsidRPr="00930C5A">
        <w:rPr>
          <w:spacing w:val="-1"/>
          <w:lang w:val="fr-FR"/>
        </w:rPr>
        <w:t>un emballage contenant des cultures de matières infectieuses de la catégorie A. En outre, si l</w:t>
      </w:r>
      <w:r w:rsidR="00BB7FD4" w:rsidRPr="00930C5A">
        <w:rPr>
          <w:spacing w:val="-1"/>
          <w:lang w:val="fr-FR"/>
        </w:rPr>
        <w:t>’</w:t>
      </w:r>
      <w:r w:rsidRPr="00930C5A">
        <w:rPr>
          <w:spacing w:val="-1"/>
          <w:lang w:val="fr-FR"/>
        </w:rPr>
        <w:t xml:space="preserve">on examine les </w:t>
      </w:r>
      <w:r w:rsidR="00A14F84" w:rsidRPr="00930C5A">
        <w:rPr>
          <w:spacing w:val="-1"/>
          <w:lang w:val="fr-FR"/>
        </w:rPr>
        <w:t>instructions</w:t>
      </w:r>
      <w:r w:rsidRPr="00930C5A">
        <w:rPr>
          <w:spacing w:val="-1"/>
          <w:lang w:val="fr-FR"/>
        </w:rPr>
        <w:t xml:space="preserve"> d</w:t>
      </w:r>
      <w:r w:rsidR="00BB7FD4" w:rsidRPr="00930C5A">
        <w:rPr>
          <w:spacing w:val="-1"/>
          <w:lang w:val="fr-FR"/>
        </w:rPr>
        <w:t>’</w:t>
      </w:r>
      <w:r w:rsidR="00A14F84" w:rsidRPr="00930C5A">
        <w:rPr>
          <w:spacing w:val="-1"/>
          <w:lang w:val="fr-FR"/>
        </w:rPr>
        <w:t>emballage P601 et P602</w:t>
      </w:r>
      <w:r w:rsidRPr="00930C5A">
        <w:rPr>
          <w:spacing w:val="-1"/>
          <w:lang w:val="fr-FR"/>
        </w:rPr>
        <w:t xml:space="preserve"> pour les marchandises dangereuses classées comme toxiques à l</w:t>
      </w:r>
      <w:r w:rsidR="00BB7FD4" w:rsidRPr="00930C5A">
        <w:rPr>
          <w:spacing w:val="-1"/>
          <w:lang w:val="fr-FR"/>
        </w:rPr>
        <w:t>’</w:t>
      </w:r>
      <w:r w:rsidRPr="00930C5A">
        <w:rPr>
          <w:spacing w:val="-1"/>
          <w:lang w:val="fr-FR"/>
        </w:rPr>
        <w:t>inhalation, on remarque que ces emballages ne sont pas soumis à l</w:t>
      </w:r>
      <w:r w:rsidR="00BB7FD4" w:rsidRPr="00930C5A">
        <w:rPr>
          <w:spacing w:val="-1"/>
          <w:lang w:val="fr-FR"/>
        </w:rPr>
        <w:t>’</w:t>
      </w:r>
      <w:r w:rsidRPr="00930C5A">
        <w:rPr>
          <w:spacing w:val="-1"/>
          <w:lang w:val="fr-FR"/>
        </w:rPr>
        <w:t>épreuve de perforation, même lorsqu</w:t>
      </w:r>
      <w:r w:rsidR="00BB7FD4" w:rsidRPr="00930C5A">
        <w:rPr>
          <w:spacing w:val="-1"/>
          <w:lang w:val="fr-FR"/>
        </w:rPr>
        <w:t>’</w:t>
      </w:r>
      <w:r w:rsidRPr="00930C5A">
        <w:rPr>
          <w:spacing w:val="-1"/>
          <w:lang w:val="fr-FR"/>
        </w:rPr>
        <w:t>ils sont combinés avec un emballage extérieur en</w:t>
      </w:r>
      <w:r w:rsidR="007F55F0" w:rsidRPr="00930C5A">
        <w:rPr>
          <w:spacing w:val="-1"/>
          <w:lang w:val="fr-FR"/>
        </w:rPr>
        <w:t> </w:t>
      </w:r>
      <w:r w:rsidRPr="00930C5A">
        <w:rPr>
          <w:spacing w:val="-1"/>
          <w:lang w:val="fr-FR"/>
        </w:rPr>
        <w:t>carton</w:t>
      </w:r>
      <w:r>
        <w:rPr>
          <w:lang w:val="fr-FR"/>
        </w:rPr>
        <w:t xml:space="preserve">. </w:t>
      </w:r>
    </w:p>
    <w:p w:rsidR="00DF5544" w:rsidRPr="00EC0856" w:rsidRDefault="00DF5544" w:rsidP="00A057A2">
      <w:pPr>
        <w:pStyle w:val="ParNoG"/>
        <w:tabs>
          <w:tab w:val="clear" w:pos="1701"/>
        </w:tabs>
      </w:pPr>
      <w:r>
        <w:rPr>
          <w:lang w:val="fr-FR"/>
        </w:rPr>
        <w:t>Les déchets de la catégorie A ne devraient pas être acheminés par le réseau logistique commercial ordinaire. Il est prévu que la manipulation et le transport d</w:t>
      </w:r>
      <w:r w:rsidR="00BB7FD4">
        <w:rPr>
          <w:lang w:val="fr-FR"/>
        </w:rPr>
        <w:t>’</w:t>
      </w:r>
      <w:r>
        <w:rPr>
          <w:lang w:val="fr-FR"/>
        </w:rPr>
        <w:t>emballages de déchets de la catégorie A à des fins d</w:t>
      </w:r>
      <w:r w:rsidR="00BB7FD4">
        <w:rPr>
          <w:lang w:val="fr-FR"/>
        </w:rPr>
        <w:t>’</w:t>
      </w:r>
      <w:r>
        <w:rPr>
          <w:lang w:val="fr-FR"/>
        </w:rPr>
        <w:t xml:space="preserve">élimination ne pourront être effectués que dans une unité de transport </w:t>
      </w:r>
      <w:r w:rsidR="00A14F84">
        <w:rPr>
          <w:lang w:val="fr-FR"/>
        </w:rPr>
        <w:t>réservée à cet effet</w:t>
      </w:r>
      <w:r>
        <w:rPr>
          <w:lang w:val="fr-FR"/>
        </w:rPr>
        <w:t>, par une entreprise compétente spécialisée dans ce type de transport ou par du personnel formé, sous la supervision de l</w:t>
      </w:r>
      <w:r w:rsidR="00BB7FD4">
        <w:rPr>
          <w:lang w:val="fr-FR"/>
        </w:rPr>
        <w:t>’</w:t>
      </w:r>
      <w:r>
        <w:rPr>
          <w:lang w:val="fr-FR"/>
        </w:rPr>
        <w:t xml:space="preserve">autorité de santé publique locale. </w:t>
      </w:r>
    </w:p>
    <w:p w:rsidR="00DF5544" w:rsidRPr="0079750F" w:rsidRDefault="00DF5544" w:rsidP="00BB7FD4">
      <w:pPr>
        <w:pStyle w:val="H23G"/>
      </w:pPr>
      <w:r>
        <w:rPr>
          <w:lang w:val="fr-FR"/>
        </w:rPr>
        <w:tab/>
      </w:r>
      <w:r>
        <w:rPr>
          <w:lang w:val="fr-FR"/>
        </w:rPr>
        <w:tab/>
        <w:t>Emballages intérieurs et intermédiaires souples</w:t>
      </w:r>
    </w:p>
    <w:p w:rsidR="00DF5544" w:rsidRPr="00EC0856" w:rsidRDefault="00DF5544" w:rsidP="00A057A2">
      <w:pPr>
        <w:pStyle w:val="ParNoG"/>
        <w:tabs>
          <w:tab w:val="clear" w:pos="1701"/>
        </w:tabs>
      </w:pPr>
      <w:r>
        <w:rPr>
          <w:lang w:val="fr-FR"/>
        </w:rPr>
        <w:t xml:space="preserve">Dans de nombreux pays, des sacs en plastique sont également utilisés pour la collecte primaire de produits jetables non rigides de faible densité. </w:t>
      </w:r>
    </w:p>
    <w:p w:rsidR="00DF5544" w:rsidRPr="00EC0856" w:rsidRDefault="00DF5544" w:rsidP="00A057A2">
      <w:pPr>
        <w:pStyle w:val="ParNoG"/>
        <w:tabs>
          <w:tab w:val="clear" w:pos="1701"/>
        </w:tabs>
      </w:pPr>
      <w:r>
        <w:rPr>
          <w:lang w:val="fr-FR"/>
        </w:rPr>
        <w:t>Un volume important d</w:t>
      </w:r>
      <w:r w:rsidR="00BB7FD4">
        <w:rPr>
          <w:lang w:val="fr-FR"/>
        </w:rPr>
        <w:t>’</w:t>
      </w:r>
      <w:r>
        <w:rPr>
          <w:lang w:val="fr-FR"/>
        </w:rPr>
        <w:t>emballages de faible densité est généré par les établissements désignés pour la prise en charge médicale des personnes ou des animaux atteints de pathologies générant des matières infectieuse</w:t>
      </w:r>
      <w:r w:rsidR="00BB7FD4">
        <w:rPr>
          <w:lang w:val="fr-FR"/>
        </w:rPr>
        <w:t>s de la catégorie </w:t>
      </w:r>
      <w:r>
        <w:rPr>
          <w:lang w:val="fr-FR"/>
        </w:rPr>
        <w:t>A. Lors de l</w:t>
      </w:r>
      <w:r w:rsidR="00BB7FD4">
        <w:rPr>
          <w:lang w:val="fr-FR"/>
        </w:rPr>
        <w:t>’</w:t>
      </w:r>
      <w:r>
        <w:rPr>
          <w:lang w:val="fr-FR"/>
        </w:rPr>
        <w:t>épidémie d</w:t>
      </w:r>
      <w:r w:rsidR="00BB7FD4">
        <w:rPr>
          <w:lang w:val="fr-FR"/>
        </w:rPr>
        <w:t>’</w:t>
      </w:r>
      <w:r>
        <w:rPr>
          <w:lang w:val="fr-FR"/>
        </w:rPr>
        <w:t>Ebola en 2014, l</w:t>
      </w:r>
      <w:r w:rsidR="00BB7FD4">
        <w:rPr>
          <w:lang w:val="fr-FR"/>
        </w:rPr>
        <w:t>’</w:t>
      </w:r>
      <w:r>
        <w:rPr>
          <w:lang w:val="fr-FR"/>
        </w:rPr>
        <w:t>unité de confinement biologique du Nebraska (États-Unis d</w:t>
      </w:r>
      <w:r w:rsidR="00BB7FD4">
        <w:rPr>
          <w:lang w:val="fr-FR"/>
        </w:rPr>
        <w:t>’</w:t>
      </w:r>
      <w:r>
        <w:rPr>
          <w:lang w:val="fr-FR"/>
        </w:rPr>
        <w:t>Amérique</w:t>
      </w:r>
      <w:r w:rsidR="00BB7FD4">
        <w:rPr>
          <w:lang w:val="fr-FR"/>
        </w:rPr>
        <w:t>) produisait au total 13,15 m</w:t>
      </w:r>
      <w:r w:rsidR="00BB7FD4" w:rsidRPr="00BB7FD4">
        <w:rPr>
          <w:vertAlign w:val="superscript"/>
          <w:lang w:val="fr-FR"/>
        </w:rPr>
        <w:t>3</w:t>
      </w:r>
      <w:r w:rsidR="00BB7FD4">
        <w:rPr>
          <w:lang w:val="fr-FR"/>
        </w:rPr>
        <w:t xml:space="preserve"> (pesant 1 011 </w:t>
      </w:r>
      <w:r>
        <w:rPr>
          <w:lang w:val="fr-FR"/>
        </w:rPr>
        <w:t>livres) de déchets solides par patient</w:t>
      </w:r>
      <w:r w:rsidRPr="002015E7">
        <w:rPr>
          <w:rStyle w:val="FootnoteReference"/>
        </w:rPr>
        <w:footnoteReference w:id="3"/>
      </w:r>
      <w:r w:rsidR="009B72A8">
        <w:rPr>
          <w:lang w:val="fr-FR"/>
        </w:rPr>
        <w:t>.</w:t>
      </w:r>
      <w:r>
        <w:rPr>
          <w:lang w:val="fr-FR"/>
        </w:rPr>
        <w:t xml:space="preserve"> Dans de nombreux pays, comme le Canada et les États-Unis, le protocole consiste à utiliser des sacs en plastique résistants comme emballage intérieur pour les déchets biomédicaux. </w:t>
      </w:r>
    </w:p>
    <w:p w:rsidR="00DF5544" w:rsidRPr="00EC0856" w:rsidRDefault="00DF5544" w:rsidP="00A057A2">
      <w:pPr>
        <w:pStyle w:val="ParNoG"/>
        <w:tabs>
          <w:tab w:val="clear" w:pos="1701"/>
        </w:tabs>
      </w:pPr>
      <w:r>
        <w:rPr>
          <w:lang w:val="fr-FR"/>
        </w:rPr>
        <w:t>Lors de l</w:t>
      </w:r>
      <w:r w:rsidR="00BB7FD4">
        <w:rPr>
          <w:lang w:val="fr-FR"/>
        </w:rPr>
        <w:t>’</w:t>
      </w:r>
      <w:r>
        <w:rPr>
          <w:lang w:val="fr-FR"/>
        </w:rPr>
        <w:t>épidémie d</w:t>
      </w:r>
      <w:r w:rsidR="00BB7FD4">
        <w:rPr>
          <w:lang w:val="fr-FR"/>
        </w:rPr>
        <w:t>’</w:t>
      </w:r>
      <w:r>
        <w:rPr>
          <w:lang w:val="fr-FR"/>
        </w:rPr>
        <w:t xml:space="preserve">Ebola en 2014, les autorités compétentes du Canada et des États-Unis ont publié </w:t>
      </w:r>
      <w:r w:rsidR="00930C5A">
        <w:rPr>
          <w:lang w:val="fr-FR"/>
        </w:rPr>
        <w:t xml:space="preserve">respectivement </w:t>
      </w:r>
      <w:r>
        <w:rPr>
          <w:lang w:val="fr-FR"/>
        </w:rPr>
        <w:t>des certificats d</w:t>
      </w:r>
      <w:r w:rsidR="00BB7FD4">
        <w:rPr>
          <w:lang w:val="fr-FR"/>
        </w:rPr>
        <w:t>’</w:t>
      </w:r>
      <w:r>
        <w:rPr>
          <w:lang w:val="fr-FR"/>
        </w:rPr>
        <w:t>équivalence</w:t>
      </w:r>
      <w:r w:rsidRPr="002015E7">
        <w:rPr>
          <w:rStyle w:val="FootnoteReference"/>
        </w:rPr>
        <w:footnoteReference w:id="4"/>
      </w:r>
      <w:r w:rsidR="00930C5A">
        <w:rPr>
          <w:lang w:val="fr-FR"/>
        </w:rPr>
        <w:t xml:space="preserve"> </w:t>
      </w:r>
      <w:r>
        <w:rPr>
          <w:lang w:val="fr-FR"/>
        </w:rPr>
        <w:t>et des permis spéciaux</w:t>
      </w:r>
      <w:r w:rsidRPr="002015E7">
        <w:rPr>
          <w:rStyle w:val="FootnoteReference"/>
        </w:rPr>
        <w:footnoteReference w:id="5"/>
      </w:r>
      <w:r>
        <w:rPr>
          <w:lang w:val="fr-FR"/>
        </w:rPr>
        <w:t>, autorisant sous conditions l</w:t>
      </w:r>
      <w:r w:rsidR="00BB7FD4">
        <w:rPr>
          <w:lang w:val="fr-FR"/>
        </w:rPr>
        <w:t>’</w:t>
      </w:r>
      <w:r>
        <w:rPr>
          <w:lang w:val="fr-FR"/>
        </w:rPr>
        <w:t>utilisation d</w:t>
      </w:r>
      <w:r w:rsidR="00BB7FD4">
        <w:rPr>
          <w:lang w:val="fr-FR"/>
        </w:rPr>
        <w:t>’</w:t>
      </w:r>
      <w:r>
        <w:rPr>
          <w:lang w:val="fr-FR"/>
        </w:rPr>
        <w:t>emballages intérieurs et intermédiaires souples (c</w:t>
      </w:r>
      <w:r w:rsidR="00BB7FD4">
        <w:rPr>
          <w:lang w:val="fr-FR"/>
        </w:rPr>
        <w:t>’</w:t>
      </w:r>
      <w:r>
        <w:rPr>
          <w:lang w:val="fr-FR"/>
        </w:rPr>
        <w:t xml:space="preserve">est-à-dire de sacs) </w:t>
      </w:r>
      <w:r w:rsidR="00930C5A">
        <w:rPr>
          <w:lang w:val="fr-FR"/>
        </w:rPr>
        <w:t>pour</w:t>
      </w:r>
      <w:r>
        <w:rPr>
          <w:lang w:val="fr-FR"/>
        </w:rPr>
        <w:t xml:space="preserve"> le transport de certains déchets contaminés par le virus Ebola aux fins de leur élimination. L</w:t>
      </w:r>
      <w:r w:rsidR="00BB7FD4">
        <w:rPr>
          <w:lang w:val="fr-FR"/>
        </w:rPr>
        <w:t>’</w:t>
      </w:r>
      <w:r>
        <w:rPr>
          <w:lang w:val="fr-FR"/>
        </w:rPr>
        <w:t>accord multilatéral M281 conclu au titre de l</w:t>
      </w:r>
      <w:r w:rsidR="00BB7FD4">
        <w:rPr>
          <w:lang w:val="fr-FR"/>
        </w:rPr>
        <w:t>’</w:t>
      </w:r>
      <w:r>
        <w:rPr>
          <w:lang w:val="fr-FR"/>
        </w:rPr>
        <w:t>Accord européen relatif au transport international des marchandises dangereuses par route a fait de l</w:t>
      </w:r>
      <w:r w:rsidR="00BB7FD4">
        <w:rPr>
          <w:lang w:val="fr-FR"/>
        </w:rPr>
        <w:t>’</w:t>
      </w:r>
      <w:r>
        <w:rPr>
          <w:lang w:val="fr-FR"/>
        </w:rPr>
        <w:t>emballage souple la composante intermédiaire du système d</w:t>
      </w:r>
      <w:r w:rsidR="00BB7FD4">
        <w:rPr>
          <w:lang w:val="fr-FR"/>
        </w:rPr>
        <w:t>’</w:t>
      </w:r>
      <w:r>
        <w:rPr>
          <w:lang w:val="fr-FR"/>
        </w:rPr>
        <w:t>emballage triple.</w:t>
      </w:r>
    </w:p>
    <w:p w:rsidR="00DF5544" w:rsidRPr="00EC0856" w:rsidRDefault="00DF5544" w:rsidP="00A057A2">
      <w:pPr>
        <w:pStyle w:val="ParNoG"/>
        <w:tabs>
          <w:tab w:val="clear" w:pos="1701"/>
        </w:tabs>
      </w:pPr>
      <w:r>
        <w:rPr>
          <w:lang w:val="fr-FR"/>
        </w:rPr>
        <w:t xml:space="preserve">En décembre 2014, les </w:t>
      </w:r>
      <w:proofErr w:type="spellStart"/>
      <w:r>
        <w:rPr>
          <w:lang w:val="fr-FR"/>
        </w:rPr>
        <w:t>Centers</w:t>
      </w:r>
      <w:proofErr w:type="spellEnd"/>
      <w:r>
        <w:rPr>
          <w:lang w:val="fr-FR"/>
        </w:rPr>
        <w:t xml:space="preserve"> for </w:t>
      </w:r>
      <w:proofErr w:type="spellStart"/>
      <w:r>
        <w:rPr>
          <w:lang w:val="fr-FR"/>
        </w:rPr>
        <w:t>Disease</w:t>
      </w:r>
      <w:proofErr w:type="spellEnd"/>
      <w:r>
        <w:rPr>
          <w:lang w:val="fr-FR"/>
        </w:rPr>
        <w:t xml:space="preserve"> Control and </w:t>
      </w:r>
      <w:proofErr w:type="spellStart"/>
      <w:r>
        <w:rPr>
          <w:lang w:val="fr-FR"/>
        </w:rPr>
        <w:t>Prevention</w:t>
      </w:r>
      <w:proofErr w:type="spellEnd"/>
      <w:r>
        <w:rPr>
          <w:lang w:val="fr-FR"/>
        </w:rPr>
        <w:t xml:space="preserve"> (Centres de lutte contre la maladie, CDC) des États-Unis ont mis en place des procédures pour la manipulation et la gestion sans risque des déchets liés à Ebola</w:t>
      </w:r>
      <w:r w:rsidRPr="002015E7">
        <w:rPr>
          <w:rStyle w:val="FootnoteReference"/>
        </w:rPr>
        <w:footnoteReference w:id="6"/>
      </w:r>
      <w:r w:rsidR="00C07568">
        <w:rPr>
          <w:lang w:val="fr-FR"/>
        </w:rPr>
        <w:t>.</w:t>
      </w:r>
      <w:r>
        <w:rPr>
          <w:lang w:val="fr-FR"/>
        </w:rPr>
        <w:t xml:space="preserve"> En ce qui concerne les déchets solides non tranchants, les procédures d</w:t>
      </w:r>
      <w:r w:rsidR="00930C5A">
        <w:rPr>
          <w:lang w:val="fr-FR"/>
        </w:rPr>
        <w:t>es</w:t>
      </w:r>
      <w:r>
        <w:rPr>
          <w:lang w:val="fr-FR"/>
        </w:rPr>
        <w:t xml:space="preserve"> CDC décrivent en détail l</w:t>
      </w:r>
      <w:r w:rsidR="00BB7FD4">
        <w:rPr>
          <w:lang w:val="fr-FR"/>
        </w:rPr>
        <w:t>’</w:t>
      </w:r>
      <w:r>
        <w:rPr>
          <w:lang w:val="fr-FR"/>
        </w:rPr>
        <w:t>utilisation devant être faite des sacs en plastique pour l</w:t>
      </w:r>
      <w:r w:rsidR="00BB7FD4">
        <w:rPr>
          <w:lang w:val="fr-FR"/>
        </w:rPr>
        <w:t>’</w:t>
      </w:r>
      <w:r>
        <w:rPr>
          <w:lang w:val="fr-FR"/>
        </w:rPr>
        <w:t>emballage intérieur et l</w:t>
      </w:r>
      <w:r w:rsidR="00BB7FD4">
        <w:rPr>
          <w:lang w:val="fr-FR"/>
        </w:rPr>
        <w:t>’</w:t>
      </w:r>
      <w:r>
        <w:rPr>
          <w:lang w:val="fr-FR"/>
        </w:rPr>
        <w:t>emballage intermédiaire.</w:t>
      </w:r>
    </w:p>
    <w:p w:rsidR="00DF5544" w:rsidRDefault="00DF5544" w:rsidP="00A057A2">
      <w:pPr>
        <w:pStyle w:val="ParNoG"/>
        <w:tabs>
          <w:tab w:val="clear" w:pos="1701"/>
        </w:tabs>
      </w:pPr>
      <w:r>
        <w:rPr>
          <w:lang w:val="fr-FR"/>
        </w:rPr>
        <w:t>Les experts du Canada et du Royaume-Uni proposent que l</w:t>
      </w:r>
      <w:r w:rsidR="00BB7FD4">
        <w:rPr>
          <w:lang w:val="fr-FR"/>
        </w:rPr>
        <w:t>’</w:t>
      </w:r>
      <w:r>
        <w:rPr>
          <w:lang w:val="fr-FR"/>
        </w:rPr>
        <w:t>on autorise l</w:t>
      </w:r>
      <w:r w:rsidR="00BB7FD4">
        <w:rPr>
          <w:lang w:val="fr-FR"/>
        </w:rPr>
        <w:t>’</w:t>
      </w:r>
      <w:r>
        <w:rPr>
          <w:lang w:val="fr-FR"/>
        </w:rPr>
        <w:t>utilisation de ces sacs en plastique résistants car il est facile de s</w:t>
      </w:r>
      <w:r w:rsidR="00BB7FD4">
        <w:rPr>
          <w:lang w:val="fr-FR"/>
        </w:rPr>
        <w:t>’</w:t>
      </w:r>
      <w:r>
        <w:rPr>
          <w:lang w:val="fr-FR"/>
        </w:rPr>
        <w:t xml:space="preserve">en procurer, les médecins connaissent bien leur usage et ils sont conformes aux protocoles existants. </w:t>
      </w:r>
    </w:p>
    <w:p w:rsidR="00DF5544" w:rsidRDefault="00DF5544" w:rsidP="00A057A2">
      <w:pPr>
        <w:pStyle w:val="ParNoG"/>
        <w:tabs>
          <w:tab w:val="clear" w:pos="1701"/>
        </w:tabs>
      </w:pPr>
      <w:r>
        <w:rPr>
          <w:lang w:val="fr-FR"/>
        </w:rPr>
        <w:t>Le secrétariat a proposé aux auteurs du présent document d</w:t>
      </w:r>
      <w:r w:rsidR="00BB7FD4">
        <w:rPr>
          <w:lang w:val="fr-FR"/>
        </w:rPr>
        <w:t>’</w:t>
      </w:r>
      <w:r>
        <w:rPr>
          <w:lang w:val="fr-FR"/>
        </w:rPr>
        <w:t>ajouter l</w:t>
      </w:r>
      <w:r w:rsidR="00BB7FD4">
        <w:rPr>
          <w:lang w:val="fr-FR"/>
        </w:rPr>
        <w:t>’</w:t>
      </w:r>
      <w:r>
        <w:rPr>
          <w:lang w:val="fr-FR"/>
        </w:rPr>
        <w:t>instruction d</w:t>
      </w:r>
      <w:r w:rsidR="00BB7FD4">
        <w:rPr>
          <w:lang w:val="fr-FR"/>
        </w:rPr>
        <w:t>’</w:t>
      </w:r>
      <w:r>
        <w:rPr>
          <w:lang w:val="fr-FR"/>
        </w:rPr>
        <w:t xml:space="preserve">emballage P207 au </w:t>
      </w:r>
      <w:r w:rsidR="00561494">
        <w:rPr>
          <w:lang w:val="fr-FR"/>
        </w:rPr>
        <w:t>n</w:t>
      </w:r>
      <w:r>
        <w:rPr>
          <w:lang w:val="fr-FR"/>
        </w:rPr>
        <w:t xml:space="preserve">ota du 4.1.1 dont ils proposent la modification. Cette suggestion est présentée dans le présent document. </w:t>
      </w:r>
    </w:p>
    <w:p w:rsidR="00DF5544" w:rsidRPr="002C2D2A" w:rsidRDefault="00DF5544" w:rsidP="00C07568">
      <w:pPr>
        <w:pStyle w:val="H1G"/>
      </w:pPr>
      <w:r>
        <w:rPr>
          <w:lang w:val="fr-FR"/>
        </w:rPr>
        <w:tab/>
      </w:r>
      <w:r>
        <w:rPr>
          <w:lang w:val="fr-FR"/>
        </w:rPr>
        <w:tab/>
        <w:t>Proposition</w:t>
      </w:r>
    </w:p>
    <w:p w:rsidR="00DF5544" w:rsidRPr="00C07568" w:rsidRDefault="00DF5544" w:rsidP="00C07568">
      <w:pPr>
        <w:pStyle w:val="SingleTxtG"/>
        <w:rPr>
          <w:u w:val="single"/>
        </w:rPr>
      </w:pPr>
      <w:r w:rsidRPr="00C07568">
        <w:rPr>
          <w:u w:val="single"/>
          <w:lang w:val="fr-FR"/>
        </w:rPr>
        <w:t>Créer un nouveau numéro ONU</w:t>
      </w:r>
    </w:p>
    <w:p w:rsidR="00DF5544" w:rsidRDefault="00DF5544" w:rsidP="00C07568">
      <w:pPr>
        <w:pStyle w:val="SingleTxtG"/>
        <w:keepNext/>
        <w:rPr>
          <w:lang w:val="fr-FR"/>
        </w:rPr>
      </w:pPr>
      <w:r>
        <w:rPr>
          <w:lang w:val="fr-FR"/>
        </w:rPr>
        <w:t xml:space="preserve">Modifier le texte du tableau 1.4.1 du 1.4.3.1.2 concernant les matières infectieuses, comme suit (nouveau texte </w:t>
      </w:r>
      <w:r w:rsidRPr="0083240F">
        <w:rPr>
          <w:u w:val="single"/>
          <w:lang w:val="fr-FR"/>
        </w:rPr>
        <w:t>souligné</w:t>
      </w:r>
      <w:r>
        <w:rPr>
          <w:lang w:val="fr-FR"/>
        </w:rPr>
        <w:t>)</w:t>
      </w:r>
      <w:r w:rsidR="00A057A2">
        <w:rPr>
          <w:lang w:val="fr-FR"/>
        </w:rPr>
        <w:t> :</w:t>
      </w:r>
    </w:p>
    <w:p w:rsidR="00C07568" w:rsidRPr="00EC0856" w:rsidRDefault="00FC76E0" w:rsidP="00FC76E0">
      <w:pPr>
        <w:pStyle w:val="SingleTxtG"/>
        <w:ind w:left="2552" w:hanging="1418"/>
      </w:pPr>
      <w:r>
        <w:rPr>
          <w:lang w:val="fr-FR"/>
        </w:rPr>
        <w:t>« Division 6.2</w:t>
      </w:r>
      <w:r>
        <w:rPr>
          <w:lang w:val="fr-FR"/>
        </w:rPr>
        <w:tab/>
        <w:t xml:space="preserve">Matières infectieuses de la catégorie A (Nos ONU 2814 et 2900) </w:t>
      </w:r>
      <w:r w:rsidRPr="00FC76E0">
        <w:rPr>
          <w:u w:val="single"/>
          <w:lang w:val="fr-FR"/>
        </w:rPr>
        <w:t>et</w:t>
      </w:r>
      <w:r>
        <w:rPr>
          <w:lang w:val="fr-FR"/>
        </w:rPr>
        <w:t xml:space="preserve"> </w:t>
      </w:r>
      <w:r w:rsidRPr="0083240F">
        <w:rPr>
          <w:u w:val="single"/>
          <w:lang w:val="fr-FR"/>
        </w:rPr>
        <w:t>déchets médicaux de la catégorie A (No ONU 35XX)</w:t>
      </w:r>
      <w:r>
        <w:rPr>
          <w:lang w:val="fr-FR"/>
        </w:rPr>
        <w:t>. ».</w:t>
      </w:r>
    </w:p>
    <w:p w:rsidR="00DF5544" w:rsidRDefault="00DF5544" w:rsidP="00DF5544">
      <w:pPr>
        <w:pStyle w:val="SingleTxtG"/>
      </w:pPr>
      <w:r>
        <w:rPr>
          <w:lang w:val="fr-FR"/>
        </w:rPr>
        <w:t xml:space="preserve">Modifier le 2.6.3.1.6 comme suit (nouveau texte </w:t>
      </w:r>
      <w:r w:rsidRPr="0083240F">
        <w:rPr>
          <w:u w:val="single"/>
          <w:lang w:val="fr-FR"/>
        </w:rPr>
        <w:t>souligné</w:t>
      </w:r>
      <w:r>
        <w:rPr>
          <w:lang w:val="fr-FR"/>
        </w:rPr>
        <w:t>)</w:t>
      </w:r>
      <w:r w:rsidR="00A057A2">
        <w:rPr>
          <w:lang w:val="fr-FR"/>
        </w:rPr>
        <w:t> :</w:t>
      </w:r>
    </w:p>
    <w:p w:rsidR="00DF5544" w:rsidRDefault="00FC76E0" w:rsidP="00FC76E0">
      <w:pPr>
        <w:pStyle w:val="SingleTxtG"/>
        <w:ind w:left="2552" w:hanging="1418"/>
      </w:pPr>
      <w:r>
        <w:rPr>
          <w:lang w:val="fr-FR"/>
        </w:rPr>
        <w:t>2.6.3.1.6</w:t>
      </w:r>
      <w:r>
        <w:rPr>
          <w:lang w:val="fr-FR"/>
        </w:rPr>
        <w:tab/>
      </w:r>
      <w:r w:rsidR="00DF5544">
        <w:rPr>
          <w:lang w:val="fr-FR"/>
        </w:rPr>
        <w:t>Par déchets médicaux ou déchets d</w:t>
      </w:r>
      <w:r w:rsidR="00BB7FD4">
        <w:rPr>
          <w:lang w:val="fr-FR"/>
        </w:rPr>
        <w:t>’</w:t>
      </w:r>
      <w:r w:rsidR="00DF5544">
        <w:rPr>
          <w:lang w:val="fr-FR"/>
        </w:rPr>
        <w:t xml:space="preserve">hôpital, des déchets provenant de </w:t>
      </w:r>
      <w:r w:rsidR="00DF5544" w:rsidRPr="00B923B1">
        <w:rPr>
          <w:u w:val="single"/>
          <w:lang w:val="fr-FR"/>
        </w:rPr>
        <w:t>traitements médicaux</w:t>
      </w:r>
      <w:r w:rsidR="00DF5544">
        <w:rPr>
          <w:lang w:val="fr-FR"/>
        </w:rPr>
        <w:t xml:space="preserve"> administrés à des êtres humains ou de </w:t>
      </w:r>
      <w:r w:rsidR="00DF5544" w:rsidRPr="00142913">
        <w:rPr>
          <w:lang w:val="fr-FR"/>
        </w:rPr>
        <w:t xml:space="preserve">traitements vétérinaires administrés à des animaux </w:t>
      </w:r>
      <w:r w:rsidR="00DF5544">
        <w:rPr>
          <w:lang w:val="fr-FR"/>
        </w:rPr>
        <w:t>ou de la recherche biologique</w:t>
      </w:r>
      <w:r w:rsidR="009B72A8">
        <w:rPr>
          <w:lang w:val="fr-FR"/>
        </w:rPr>
        <w:t>.</w:t>
      </w:r>
    </w:p>
    <w:p w:rsidR="00DF5544" w:rsidRPr="00EC0856" w:rsidRDefault="00DF5544" w:rsidP="00FC76E0">
      <w:pPr>
        <w:pStyle w:val="SingleTxtG"/>
        <w:keepNext/>
      </w:pPr>
      <w:r>
        <w:rPr>
          <w:lang w:val="fr-FR"/>
        </w:rPr>
        <w:t xml:space="preserve">Modifier le 2.6.3.2.1 comme suit (nouveau texte </w:t>
      </w:r>
      <w:r w:rsidRPr="00B923B1">
        <w:rPr>
          <w:u w:val="single"/>
          <w:lang w:val="fr-FR"/>
        </w:rPr>
        <w:t>souligné</w:t>
      </w:r>
      <w:r>
        <w:rPr>
          <w:lang w:val="fr-FR"/>
        </w:rPr>
        <w:t>)</w:t>
      </w:r>
      <w:r w:rsidR="00A057A2">
        <w:rPr>
          <w:lang w:val="fr-FR"/>
        </w:rPr>
        <w:t> :</w:t>
      </w:r>
    </w:p>
    <w:p w:rsidR="00DF5544" w:rsidRPr="00EC0856" w:rsidRDefault="00DF5544" w:rsidP="00FC76E0">
      <w:pPr>
        <w:pStyle w:val="SingleTxtG"/>
        <w:ind w:left="2552" w:hanging="1418"/>
      </w:pPr>
      <w:r>
        <w:rPr>
          <w:lang w:val="fr-FR"/>
        </w:rPr>
        <w:t>«</w:t>
      </w:r>
      <w:r w:rsidR="00FC76E0">
        <w:rPr>
          <w:lang w:val="fr-FR"/>
        </w:rPr>
        <w:t> </w:t>
      </w:r>
      <w:r>
        <w:rPr>
          <w:lang w:val="fr-FR"/>
        </w:rPr>
        <w:t>2.6.3.2.1</w:t>
      </w:r>
      <w:r>
        <w:rPr>
          <w:lang w:val="fr-FR"/>
        </w:rPr>
        <w:tab/>
        <w:t xml:space="preserve">Les matières infectieuses doivent être classées dans la division 6.2 et affectées aux Nos ONU 2814, 2900, 3291, 3373 </w:t>
      </w:r>
      <w:r w:rsidRPr="00B923B1">
        <w:rPr>
          <w:u w:val="single"/>
          <w:lang w:val="fr-FR"/>
        </w:rPr>
        <w:t>ou 35XX</w:t>
      </w:r>
      <w:r>
        <w:rPr>
          <w:lang w:val="fr-FR"/>
        </w:rPr>
        <w:t>, selon le cas.</w:t>
      </w:r>
      <w:r w:rsidR="00FC76E0">
        <w:rPr>
          <w:lang w:val="fr-FR"/>
        </w:rPr>
        <w:t> </w:t>
      </w:r>
      <w:r w:rsidRPr="00B923B1">
        <w:rPr>
          <w:lang w:val="fr-FR"/>
        </w:rPr>
        <w:t>»</w:t>
      </w:r>
      <w:r w:rsidR="00FC76E0">
        <w:rPr>
          <w:lang w:val="fr-FR"/>
        </w:rPr>
        <w:t>.</w:t>
      </w:r>
    </w:p>
    <w:p w:rsidR="00DF5544" w:rsidRPr="00EC0856" w:rsidRDefault="00DF5544" w:rsidP="00DF5544">
      <w:pPr>
        <w:pStyle w:val="SingleTxtG"/>
      </w:pPr>
      <w:r>
        <w:rPr>
          <w:lang w:val="fr-FR"/>
        </w:rPr>
        <w:t>Modifier l</w:t>
      </w:r>
      <w:r w:rsidR="00BB7FD4">
        <w:rPr>
          <w:lang w:val="fr-FR"/>
        </w:rPr>
        <w:t>’</w:t>
      </w:r>
      <w:r>
        <w:rPr>
          <w:lang w:val="fr-FR"/>
        </w:rPr>
        <w:t xml:space="preserve">alinéa a) du 2.6.3.2.3.9 comme suit (nouveau texte </w:t>
      </w:r>
      <w:r w:rsidRPr="009B72A8">
        <w:rPr>
          <w:u w:val="single"/>
          <w:lang w:val="fr-FR"/>
        </w:rPr>
        <w:t>souligné</w:t>
      </w:r>
      <w:r>
        <w:rPr>
          <w:lang w:val="fr-FR"/>
        </w:rPr>
        <w:t>)</w:t>
      </w:r>
      <w:r w:rsidR="00A057A2">
        <w:rPr>
          <w:lang w:val="fr-FR"/>
        </w:rPr>
        <w:t> :</w:t>
      </w:r>
    </w:p>
    <w:p w:rsidR="00DF5544" w:rsidRPr="00EC0856" w:rsidRDefault="00FC76E0" w:rsidP="00FC76E0">
      <w:pPr>
        <w:pStyle w:val="SingleTxtG"/>
        <w:ind w:left="2552" w:hanging="1418"/>
      </w:pPr>
      <w:r>
        <w:rPr>
          <w:lang w:val="fr-FR"/>
        </w:rPr>
        <w:t>« </w:t>
      </w:r>
      <w:r w:rsidR="00DF5544">
        <w:rPr>
          <w:lang w:val="fr-FR"/>
        </w:rPr>
        <w:t>2.6.3.2.3.9</w:t>
      </w:r>
      <w:r>
        <w:rPr>
          <w:lang w:val="fr-FR"/>
        </w:rPr>
        <w:tab/>
      </w:r>
      <w:proofErr w:type="gramStart"/>
      <w:r w:rsidR="00DF5544">
        <w:rPr>
          <w:lang w:val="fr-FR"/>
        </w:rPr>
        <w:t>a</w:t>
      </w:r>
      <w:proofErr w:type="gramEnd"/>
      <w:r w:rsidR="00DF5544">
        <w:rPr>
          <w:lang w:val="fr-FR"/>
        </w:rPr>
        <w:t>)</w:t>
      </w:r>
      <w:r>
        <w:rPr>
          <w:lang w:val="fr-FR"/>
        </w:rPr>
        <w:tab/>
      </w:r>
      <w:r w:rsidR="00DF5544">
        <w:rPr>
          <w:lang w:val="fr-FR"/>
        </w:rPr>
        <w:t xml:space="preserve">des déchets médicaux (Nos ONU 3291 </w:t>
      </w:r>
      <w:r w:rsidR="00DF5544" w:rsidRPr="00B923B1">
        <w:rPr>
          <w:u w:val="single"/>
          <w:lang w:val="fr-FR"/>
        </w:rPr>
        <w:t>et ONU 35XX</w:t>
      </w:r>
      <w:r w:rsidR="00DF5544">
        <w:rPr>
          <w:lang w:val="fr-FR"/>
        </w:rPr>
        <w:t>)</w:t>
      </w:r>
      <w:r>
        <w:rPr>
          <w:lang w:val="fr-FR"/>
        </w:rPr>
        <w:t>. </w:t>
      </w:r>
      <w:r w:rsidR="00DF5544" w:rsidRPr="00B923B1">
        <w:rPr>
          <w:lang w:val="fr-FR"/>
        </w:rPr>
        <w:t>»</w:t>
      </w:r>
      <w:r w:rsidR="00A057A2">
        <w:rPr>
          <w:lang w:val="fr-FR"/>
        </w:rPr>
        <w:t> ;</w:t>
      </w:r>
    </w:p>
    <w:p w:rsidR="00DF5544" w:rsidRPr="00EC0856" w:rsidRDefault="00DF5544" w:rsidP="00FC76E0">
      <w:pPr>
        <w:pStyle w:val="SingleTxtG"/>
        <w:keepNext/>
      </w:pPr>
      <w:r>
        <w:rPr>
          <w:lang w:val="fr-FR"/>
        </w:rPr>
        <w:t xml:space="preserve">Modifier le 2.6.3.5.1 comme suit (nouveau texte </w:t>
      </w:r>
      <w:r w:rsidRPr="00B923B1">
        <w:rPr>
          <w:u w:val="single"/>
          <w:lang w:val="fr-FR"/>
        </w:rPr>
        <w:t>souligné</w:t>
      </w:r>
      <w:r>
        <w:rPr>
          <w:lang w:val="fr-FR"/>
        </w:rPr>
        <w:t>)</w:t>
      </w:r>
      <w:r w:rsidR="00A057A2">
        <w:rPr>
          <w:lang w:val="fr-FR"/>
        </w:rPr>
        <w:t> :</w:t>
      </w:r>
    </w:p>
    <w:p w:rsidR="00DF5544" w:rsidRDefault="00FC76E0" w:rsidP="00FC76E0">
      <w:pPr>
        <w:pStyle w:val="SingleTxtG"/>
        <w:ind w:left="2552" w:hanging="1418"/>
      </w:pPr>
      <w:r>
        <w:rPr>
          <w:lang w:val="fr-FR"/>
        </w:rPr>
        <w:t>« </w:t>
      </w:r>
      <w:r w:rsidR="00DF5544">
        <w:rPr>
          <w:lang w:val="fr-FR"/>
        </w:rPr>
        <w:t>2.6.3.5.1</w:t>
      </w:r>
      <w:r w:rsidR="00DF5544">
        <w:rPr>
          <w:lang w:val="fr-FR"/>
        </w:rPr>
        <w:tab/>
        <w:t>Les déchets médicaux ou déchets d</w:t>
      </w:r>
      <w:r w:rsidR="00BB7FD4">
        <w:rPr>
          <w:lang w:val="fr-FR"/>
        </w:rPr>
        <w:t>’</w:t>
      </w:r>
      <w:r w:rsidR="00DF5544">
        <w:rPr>
          <w:lang w:val="fr-FR"/>
        </w:rPr>
        <w:t>hôpital contenant</w:t>
      </w:r>
      <w:r w:rsidR="00A057A2">
        <w:rPr>
          <w:lang w:val="fr-FR"/>
        </w:rPr>
        <w:t> :</w:t>
      </w:r>
    </w:p>
    <w:p w:rsidR="00DF5544" w:rsidRDefault="00DF5544" w:rsidP="00FC76E0">
      <w:pPr>
        <w:pStyle w:val="SingleTxtG"/>
        <w:ind w:left="3119" w:hanging="567"/>
      </w:pPr>
      <w:r>
        <w:rPr>
          <w:lang w:val="fr-FR"/>
        </w:rPr>
        <w:t>a)</w:t>
      </w:r>
      <w:r>
        <w:rPr>
          <w:lang w:val="fr-FR"/>
        </w:rPr>
        <w:tab/>
        <w:t>Des matières infectieuses de la catégorie A sont affectées aux Nos</w:t>
      </w:r>
      <w:r w:rsidR="00FC76E0">
        <w:rPr>
          <w:lang w:val="fr-FR"/>
        </w:rPr>
        <w:t> </w:t>
      </w:r>
      <w:r>
        <w:rPr>
          <w:lang w:val="fr-FR"/>
        </w:rPr>
        <w:t xml:space="preserve">ONU 2814, ONU 2900 </w:t>
      </w:r>
      <w:r w:rsidRPr="00B923B1">
        <w:rPr>
          <w:u w:val="single"/>
          <w:lang w:val="fr-FR"/>
        </w:rPr>
        <w:t>ou ONU 35XX</w:t>
      </w:r>
      <w:r>
        <w:rPr>
          <w:lang w:val="fr-FR"/>
        </w:rPr>
        <w:t xml:space="preserve">, selon le cas. </w:t>
      </w:r>
      <w:r w:rsidRPr="00B923B1">
        <w:rPr>
          <w:u w:val="single"/>
          <w:lang w:val="fr-FR"/>
        </w:rPr>
        <w:t>Les déchets médicaux ou déchets d</w:t>
      </w:r>
      <w:r w:rsidR="00BB7FD4">
        <w:rPr>
          <w:u w:val="single"/>
          <w:lang w:val="fr-FR"/>
        </w:rPr>
        <w:t>’</w:t>
      </w:r>
      <w:r w:rsidRPr="00B923B1">
        <w:rPr>
          <w:u w:val="single"/>
          <w:lang w:val="fr-FR"/>
        </w:rPr>
        <w:t>hôpital solides contenant des matières infectieuses de la catégorie A générées par le traitement médical administré à des êtres humains ou par le traitement vétérinaire administré à des animaux peuvent être affectés au No</w:t>
      </w:r>
      <w:r w:rsidR="009B72A8">
        <w:rPr>
          <w:u w:val="single"/>
          <w:lang w:val="fr-FR"/>
        </w:rPr>
        <w:t> ONU 35XX. La rubrique ONU 35</w:t>
      </w:r>
      <w:r w:rsidRPr="00B923B1">
        <w:rPr>
          <w:u w:val="single"/>
          <w:lang w:val="fr-FR"/>
        </w:rPr>
        <w:t>XX ne peut être utilisée pour les déchets de la recherche</w:t>
      </w:r>
      <w:r w:rsidR="00561494">
        <w:rPr>
          <w:u w:val="single"/>
          <w:lang w:val="fr-FR"/>
        </w:rPr>
        <w:t xml:space="preserve"> biologique ;</w:t>
      </w:r>
    </w:p>
    <w:p w:rsidR="00DF5544" w:rsidRDefault="00DF5544" w:rsidP="00FC76E0">
      <w:pPr>
        <w:pStyle w:val="SingleTxtG"/>
        <w:ind w:left="3119" w:hanging="567"/>
        <w:rPr>
          <w:lang w:val="fr-FR"/>
        </w:rPr>
      </w:pPr>
      <w:r>
        <w:rPr>
          <w:lang w:val="fr-FR"/>
        </w:rPr>
        <w:t>b)</w:t>
      </w:r>
      <w:r>
        <w:rPr>
          <w:lang w:val="fr-FR"/>
        </w:rPr>
        <w:tab/>
        <w:t>Les déchets médicaux ou déchets d</w:t>
      </w:r>
      <w:r w:rsidR="00BB7FD4">
        <w:rPr>
          <w:lang w:val="fr-FR"/>
        </w:rPr>
        <w:t>’</w:t>
      </w:r>
      <w:r>
        <w:rPr>
          <w:lang w:val="fr-FR"/>
        </w:rPr>
        <w:t>hôpital contenant des matières infectieuses de la catégorie B sont affectés au No ONU 3291.</w:t>
      </w:r>
      <w:r w:rsidR="00FC76E0">
        <w:rPr>
          <w:lang w:val="fr-FR"/>
        </w:rPr>
        <w:t> ».</w:t>
      </w:r>
    </w:p>
    <w:p w:rsidR="00DF5544" w:rsidRPr="00EC0856" w:rsidRDefault="00FC76E0" w:rsidP="00FC76E0">
      <w:pPr>
        <w:pStyle w:val="SingleTxtG"/>
      </w:pPr>
      <w:r>
        <w:rPr>
          <w:lang w:val="fr-FR"/>
        </w:rPr>
        <w:br w:type="page"/>
      </w:r>
      <w:r w:rsidR="00DF5544">
        <w:rPr>
          <w:lang w:val="fr-FR"/>
        </w:rPr>
        <w:t>Modifier le tableau A du chapitre 3.2 pour créer une nouvelle rubrique contenant deux nouvelles instructions d</w:t>
      </w:r>
      <w:r w:rsidR="00BB7FD4">
        <w:rPr>
          <w:lang w:val="fr-FR"/>
        </w:rPr>
        <w:t>’</w:t>
      </w:r>
      <w:r w:rsidR="00DF5544">
        <w:rPr>
          <w:lang w:val="fr-FR"/>
        </w:rPr>
        <w:t>emballage</w:t>
      </w:r>
      <w:r w:rsidR="00A057A2">
        <w:rPr>
          <w:lang w:val="fr-FR"/>
        </w:rPr>
        <w:t> :</w:t>
      </w:r>
      <w:r w:rsidR="00DF5544">
        <w:rPr>
          <w:lang w:val="fr-FR"/>
        </w:rPr>
        <w:t xml:space="preserve"> </w:t>
      </w:r>
    </w:p>
    <w:tbl>
      <w:tblPr>
        <w:tblW w:w="9637" w:type="dxa"/>
        <w:tblLayout w:type="fixed"/>
        <w:tblCellMar>
          <w:left w:w="0" w:type="dxa"/>
          <w:right w:w="0" w:type="dxa"/>
        </w:tblCellMar>
        <w:tblLook w:val="04A0" w:firstRow="1" w:lastRow="0" w:firstColumn="1" w:lastColumn="0" w:noHBand="0" w:noVBand="1"/>
      </w:tblPr>
      <w:tblGrid>
        <w:gridCol w:w="602"/>
        <w:gridCol w:w="1365"/>
        <w:gridCol w:w="731"/>
        <w:gridCol w:w="747"/>
        <w:gridCol w:w="811"/>
        <w:gridCol w:w="770"/>
        <w:gridCol w:w="501"/>
        <w:gridCol w:w="634"/>
        <w:gridCol w:w="825"/>
        <w:gridCol w:w="936"/>
        <w:gridCol w:w="794"/>
        <w:gridCol w:w="921"/>
      </w:tblGrid>
      <w:tr w:rsidR="00875AF3" w:rsidRPr="00875AF3" w:rsidTr="009B72A8">
        <w:trPr>
          <w:tblHeader/>
        </w:trPr>
        <w:tc>
          <w:tcPr>
            <w:tcW w:w="602" w:type="dxa"/>
            <w:vMerge w:val="restart"/>
            <w:tcBorders>
              <w:top w:val="single" w:sz="4" w:space="0" w:color="auto"/>
              <w:bottom w:val="single" w:sz="12" w:space="0" w:color="auto"/>
            </w:tcBorders>
            <w:shd w:val="clear" w:color="auto" w:fill="auto"/>
            <w:vAlign w:val="bottom"/>
          </w:tcPr>
          <w:p w:rsidR="00DF5544" w:rsidRPr="00875AF3" w:rsidRDefault="00875AF3" w:rsidP="00875AF3">
            <w:pPr>
              <w:spacing w:before="80" w:after="80" w:line="180" w:lineRule="exact"/>
              <w:ind w:right="57"/>
              <w:rPr>
                <w:i/>
                <w:sz w:val="14"/>
                <w:szCs w:val="14"/>
              </w:rPr>
            </w:pPr>
            <w:r w:rsidRPr="00875AF3">
              <w:rPr>
                <w:i/>
                <w:sz w:val="14"/>
                <w:szCs w:val="14"/>
                <w:lang w:val="fr-FR"/>
              </w:rPr>
              <w:t>No</w:t>
            </w:r>
            <w:r w:rsidRPr="00875AF3">
              <w:rPr>
                <w:i/>
                <w:sz w:val="14"/>
                <w:szCs w:val="14"/>
                <w:lang w:val="fr-FR"/>
              </w:rPr>
              <w:br/>
            </w:r>
            <w:r w:rsidR="00DF5544" w:rsidRPr="00875AF3">
              <w:rPr>
                <w:i/>
                <w:sz w:val="14"/>
                <w:szCs w:val="14"/>
                <w:lang w:val="fr-FR"/>
              </w:rPr>
              <w:t>ONU</w:t>
            </w:r>
          </w:p>
        </w:tc>
        <w:tc>
          <w:tcPr>
            <w:tcW w:w="1365" w:type="dxa"/>
            <w:vMerge w:val="restart"/>
            <w:tcBorders>
              <w:top w:val="single" w:sz="4" w:space="0" w:color="auto"/>
              <w:bottom w:val="single" w:sz="12" w:space="0" w:color="auto"/>
            </w:tcBorders>
            <w:shd w:val="clear" w:color="auto" w:fill="auto"/>
            <w:vAlign w:val="bottom"/>
          </w:tcPr>
          <w:p w:rsidR="00DF5544" w:rsidRPr="00875AF3" w:rsidRDefault="00DF5544" w:rsidP="00875AF3">
            <w:pPr>
              <w:spacing w:before="80" w:after="80" w:line="180" w:lineRule="exact"/>
              <w:ind w:right="57"/>
              <w:rPr>
                <w:i/>
                <w:sz w:val="14"/>
                <w:szCs w:val="14"/>
              </w:rPr>
            </w:pPr>
            <w:r w:rsidRPr="00875AF3">
              <w:rPr>
                <w:i/>
                <w:sz w:val="14"/>
                <w:szCs w:val="14"/>
                <w:lang w:val="fr-FR"/>
              </w:rPr>
              <w:t>Nom et description</w:t>
            </w:r>
          </w:p>
        </w:tc>
        <w:tc>
          <w:tcPr>
            <w:tcW w:w="731" w:type="dxa"/>
            <w:vMerge w:val="restart"/>
            <w:tcBorders>
              <w:top w:val="single" w:sz="4" w:space="0" w:color="auto"/>
              <w:bottom w:val="single" w:sz="12" w:space="0" w:color="auto"/>
            </w:tcBorders>
            <w:shd w:val="clear" w:color="auto" w:fill="auto"/>
            <w:vAlign w:val="bottom"/>
          </w:tcPr>
          <w:p w:rsidR="00DF5544" w:rsidRPr="00875AF3" w:rsidRDefault="00DF5544" w:rsidP="00875AF3">
            <w:pPr>
              <w:spacing w:before="80" w:after="80" w:line="180" w:lineRule="exact"/>
              <w:ind w:right="57"/>
              <w:rPr>
                <w:i/>
                <w:sz w:val="14"/>
                <w:szCs w:val="14"/>
              </w:rPr>
            </w:pPr>
            <w:r w:rsidRPr="00875AF3">
              <w:rPr>
                <w:i/>
                <w:sz w:val="14"/>
                <w:szCs w:val="14"/>
                <w:lang w:val="fr-FR"/>
              </w:rPr>
              <w:t xml:space="preserve">Classe </w:t>
            </w:r>
            <w:r w:rsidR="00875AF3" w:rsidRPr="00875AF3">
              <w:rPr>
                <w:i/>
                <w:sz w:val="14"/>
                <w:szCs w:val="14"/>
                <w:lang w:val="fr-FR"/>
              </w:rPr>
              <w:br/>
            </w:r>
            <w:r w:rsidRPr="00875AF3">
              <w:rPr>
                <w:i/>
                <w:sz w:val="14"/>
                <w:szCs w:val="14"/>
                <w:lang w:val="fr-FR"/>
              </w:rPr>
              <w:t>ou division</w:t>
            </w:r>
          </w:p>
        </w:tc>
        <w:tc>
          <w:tcPr>
            <w:tcW w:w="747" w:type="dxa"/>
            <w:vMerge w:val="restart"/>
            <w:tcBorders>
              <w:top w:val="single" w:sz="4" w:space="0" w:color="auto"/>
              <w:bottom w:val="single" w:sz="12" w:space="0" w:color="auto"/>
            </w:tcBorders>
            <w:shd w:val="clear" w:color="auto" w:fill="auto"/>
            <w:vAlign w:val="bottom"/>
          </w:tcPr>
          <w:p w:rsidR="00DF5544" w:rsidRPr="00875AF3" w:rsidRDefault="00DF5544" w:rsidP="00875AF3">
            <w:pPr>
              <w:spacing w:before="80" w:after="80" w:line="180" w:lineRule="exact"/>
              <w:ind w:right="57"/>
              <w:rPr>
                <w:i/>
                <w:sz w:val="14"/>
                <w:szCs w:val="14"/>
              </w:rPr>
            </w:pPr>
            <w:r w:rsidRPr="00875AF3">
              <w:rPr>
                <w:i/>
                <w:sz w:val="14"/>
                <w:szCs w:val="14"/>
                <w:lang w:val="fr-FR"/>
              </w:rPr>
              <w:t>Risque subsidiaire</w:t>
            </w:r>
          </w:p>
        </w:tc>
        <w:tc>
          <w:tcPr>
            <w:tcW w:w="811" w:type="dxa"/>
            <w:vMerge w:val="restart"/>
            <w:tcBorders>
              <w:top w:val="single" w:sz="4" w:space="0" w:color="auto"/>
              <w:bottom w:val="single" w:sz="12" w:space="0" w:color="auto"/>
            </w:tcBorders>
            <w:shd w:val="clear" w:color="auto" w:fill="auto"/>
            <w:vAlign w:val="bottom"/>
          </w:tcPr>
          <w:p w:rsidR="00DF5544" w:rsidRPr="00875AF3" w:rsidRDefault="00DF5544" w:rsidP="00875AF3">
            <w:pPr>
              <w:spacing w:before="80" w:after="80" w:line="180" w:lineRule="exact"/>
              <w:ind w:right="57"/>
              <w:rPr>
                <w:i/>
                <w:sz w:val="14"/>
                <w:szCs w:val="14"/>
              </w:rPr>
            </w:pPr>
            <w:r w:rsidRPr="00875AF3">
              <w:rPr>
                <w:i/>
                <w:sz w:val="14"/>
                <w:szCs w:val="14"/>
                <w:lang w:val="fr-FR"/>
              </w:rPr>
              <w:t>Groupe d</w:t>
            </w:r>
            <w:r w:rsidR="00BB7FD4" w:rsidRPr="00875AF3">
              <w:rPr>
                <w:i/>
                <w:sz w:val="14"/>
                <w:szCs w:val="14"/>
                <w:lang w:val="fr-FR"/>
              </w:rPr>
              <w:t>’</w:t>
            </w:r>
            <w:r w:rsidRPr="00875AF3">
              <w:rPr>
                <w:i/>
                <w:sz w:val="14"/>
                <w:szCs w:val="14"/>
                <w:lang w:val="fr-FR"/>
              </w:rPr>
              <w:t>emballage</w:t>
            </w:r>
          </w:p>
        </w:tc>
        <w:tc>
          <w:tcPr>
            <w:tcW w:w="770" w:type="dxa"/>
            <w:vMerge w:val="restart"/>
            <w:tcBorders>
              <w:top w:val="single" w:sz="4" w:space="0" w:color="auto"/>
              <w:bottom w:val="single" w:sz="12" w:space="0" w:color="auto"/>
            </w:tcBorders>
            <w:shd w:val="clear" w:color="auto" w:fill="auto"/>
            <w:vAlign w:val="bottom"/>
          </w:tcPr>
          <w:p w:rsidR="00DF5544" w:rsidRPr="00875AF3" w:rsidRDefault="00DF5544" w:rsidP="00875AF3">
            <w:pPr>
              <w:spacing w:before="80" w:after="80" w:line="180" w:lineRule="exact"/>
              <w:ind w:right="57"/>
              <w:rPr>
                <w:i/>
                <w:sz w:val="14"/>
                <w:szCs w:val="14"/>
              </w:rPr>
            </w:pPr>
            <w:r w:rsidRPr="00875AF3">
              <w:rPr>
                <w:i/>
                <w:sz w:val="14"/>
                <w:szCs w:val="14"/>
                <w:lang w:val="fr-FR"/>
              </w:rPr>
              <w:t>Dispositions spéciales</w:t>
            </w:r>
          </w:p>
        </w:tc>
        <w:tc>
          <w:tcPr>
            <w:tcW w:w="1135" w:type="dxa"/>
            <w:gridSpan w:val="2"/>
            <w:vMerge w:val="restart"/>
            <w:tcBorders>
              <w:top w:val="single" w:sz="4" w:space="0" w:color="auto"/>
              <w:bottom w:val="single" w:sz="12" w:space="0" w:color="auto"/>
            </w:tcBorders>
            <w:shd w:val="clear" w:color="auto" w:fill="auto"/>
            <w:vAlign w:val="bottom"/>
          </w:tcPr>
          <w:p w:rsidR="00DF5544" w:rsidRPr="00875AF3" w:rsidRDefault="00875AF3" w:rsidP="00875AF3">
            <w:pPr>
              <w:spacing w:before="80" w:after="80" w:line="180" w:lineRule="exact"/>
              <w:ind w:right="57"/>
              <w:jc w:val="center"/>
              <w:rPr>
                <w:i/>
                <w:sz w:val="14"/>
                <w:szCs w:val="14"/>
              </w:rPr>
            </w:pPr>
            <w:r w:rsidRPr="00875AF3">
              <w:rPr>
                <w:i/>
                <w:sz w:val="14"/>
                <w:szCs w:val="14"/>
                <w:lang w:val="fr-FR"/>
              </w:rPr>
              <w:t>Quantités limitées et </w:t>
            </w:r>
            <w:r w:rsidR="00DF5544" w:rsidRPr="00875AF3">
              <w:rPr>
                <w:i/>
                <w:sz w:val="14"/>
                <w:szCs w:val="14"/>
                <w:lang w:val="fr-FR"/>
              </w:rPr>
              <w:t>quantités exceptées</w:t>
            </w:r>
          </w:p>
        </w:tc>
        <w:tc>
          <w:tcPr>
            <w:tcW w:w="1761" w:type="dxa"/>
            <w:gridSpan w:val="2"/>
            <w:tcBorders>
              <w:top w:val="single" w:sz="4" w:space="0" w:color="auto"/>
              <w:bottom w:val="single" w:sz="4" w:space="0" w:color="auto"/>
              <w:right w:val="single" w:sz="24" w:space="0" w:color="FFFFFF" w:themeColor="background1"/>
            </w:tcBorders>
            <w:shd w:val="clear" w:color="auto" w:fill="auto"/>
            <w:vAlign w:val="bottom"/>
          </w:tcPr>
          <w:p w:rsidR="00DF5544" w:rsidRPr="00875AF3" w:rsidRDefault="00DF5544" w:rsidP="00875AF3">
            <w:pPr>
              <w:spacing w:before="80" w:after="80" w:line="180" w:lineRule="exact"/>
              <w:ind w:right="57"/>
              <w:jc w:val="center"/>
              <w:rPr>
                <w:i/>
                <w:sz w:val="14"/>
                <w:szCs w:val="14"/>
              </w:rPr>
            </w:pPr>
            <w:r w:rsidRPr="00875AF3">
              <w:rPr>
                <w:i/>
                <w:sz w:val="14"/>
                <w:szCs w:val="14"/>
                <w:lang w:val="fr-FR"/>
              </w:rPr>
              <w:t>Emballages et GRV</w:t>
            </w:r>
          </w:p>
        </w:tc>
        <w:tc>
          <w:tcPr>
            <w:tcW w:w="1715" w:type="dxa"/>
            <w:gridSpan w:val="2"/>
            <w:tcBorders>
              <w:top w:val="single" w:sz="4" w:space="0" w:color="auto"/>
              <w:left w:val="single" w:sz="24" w:space="0" w:color="FFFFFF" w:themeColor="background1"/>
              <w:bottom w:val="single" w:sz="4" w:space="0" w:color="auto"/>
            </w:tcBorders>
            <w:shd w:val="clear" w:color="auto" w:fill="auto"/>
            <w:vAlign w:val="bottom"/>
          </w:tcPr>
          <w:p w:rsidR="00DF5544" w:rsidRPr="00875AF3" w:rsidRDefault="00DF5544" w:rsidP="00875AF3">
            <w:pPr>
              <w:spacing w:before="80" w:after="80" w:line="180" w:lineRule="exact"/>
              <w:ind w:right="57"/>
              <w:jc w:val="center"/>
              <w:rPr>
                <w:i/>
                <w:sz w:val="14"/>
                <w:szCs w:val="14"/>
              </w:rPr>
            </w:pPr>
            <w:r w:rsidRPr="00875AF3">
              <w:rPr>
                <w:i/>
                <w:sz w:val="14"/>
                <w:szCs w:val="14"/>
                <w:lang w:val="fr-FR"/>
              </w:rPr>
              <w:t>Citernes mobiles et conteneurs pour vrac</w:t>
            </w:r>
          </w:p>
        </w:tc>
      </w:tr>
      <w:tr w:rsidR="00875AF3" w:rsidRPr="00875AF3" w:rsidTr="009B72A8">
        <w:trPr>
          <w:tblHeader/>
        </w:trPr>
        <w:tc>
          <w:tcPr>
            <w:tcW w:w="602" w:type="dxa"/>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1365" w:type="dxa"/>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731" w:type="dxa"/>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747" w:type="dxa"/>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811" w:type="dxa"/>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770" w:type="dxa"/>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1135" w:type="dxa"/>
            <w:gridSpan w:val="2"/>
            <w:vMerge/>
            <w:tcBorders>
              <w:bottom w:val="single" w:sz="12" w:space="0" w:color="auto"/>
            </w:tcBorders>
            <w:shd w:val="clear" w:color="auto" w:fill="auto"/>
          </w:tcPr>
          <w:p w:rsidR="00DF5544" w:rsidRPr="00875AF3" w:rsidRDefault="00DF5544" w:rsidP="00875AF3">
            <w:pPr>
              <w:spacing w:before="40" w:after="120" w:line="180" w:lineRule="exact"/>
              <w:ind w:right="57"/>
              <w:rPr>
                <w:b/>
                <w:i/>
                <w:sz w:val="14"/>
                <w:szCs w:val="14"/>
                <w:lang w:val="fr-FR"/>
              </w:rPr>
            </w:pPr>
          </w:p>
        </w:tc>
        <w:tc>
          <w:tcPr>
            <w:tcW w:w="825" w:type="dxa"/>
            <w:tcBorders>
              <w:top w:val="single" w:sz="4" w:space="0" w:color="auto"/>
              <w:bottom w:val="single" w:sz="12" w:space="0" w:color="auto"/>
            </w:tcBorders>
            <w:shd w:val="clear" w:color="auto" w:fill="auto"/>
          </w:tcPr>
          <w:p w:rsidR="00DF5544" w:rsidRPr="00875AF3" w:rsidRDefault="00DF5544" w:rsidP="00875AF3">
            <w:pPr>
              <w:spacing w:before="40" w:after="120" w:line="180" w:lineRule="exact"/>
              <w:ind w:right="57"/>
              <w:jc w:val="center"/>
              <w:rPr>
                <w:i/>
                <w:sz w:val="14"/>
                <w:szCs w:val="14"/>
              </w:rPr>
            </w:pPr>
            <w:r w:rsidRPr="00875AF3">
              <w:rPr>
                <w:i/>
                <w:sz w:val="14"/>
                <w:szCs w:val="14"/>
                <w:lang w:val="fr-FR"/>
              </w:rPr>
              <w:t>Instructions d</w:t>
            </w:r>
            <w:r w:rsidR="00BB7FD4" w:rsidRPr="00875AF3">
              <w:rPr>
                <w:i/>
                <w:sz w:val="14"/>
                <w:szCs w:val="14"/>
                <w:lang w:val="fr-FR"/>
              </w:rPr>
              <w:t>’</w:t>
            </w:r>
            <w:r w:rsidRPr="00875AF3">
              <w:rPr>
                <w:i/>
                <w:sz w:val="14"/>
                <w:szCs w:val="14"/>
                <w:lang w:val="fr-FR"/>
              </w:rPr>
              <w:t>emballage</w:t>
            </w:r>
          </w:p>
        </w:tc>
        <w:tc>
          <w:tcPr>
            <w:tcW w:w="936" w:type="dxa"/>
            <w:tcBorders>
              <w:top w:val="single" w:sz="4" w:space="0" w:color="auto"/>
              <w:bottom w:val="single" w:sz="12" w:space="0" w:color="auto"/>
              <w:right w:val="single" w:sz="24" w:space="0" w:color="FFFFFF" w:themeColor="background1"/>
            </w:tcBorders>
            <w:shd w:val="clear" w:color="auto" w:fill="auto"/>
          </w:tcPr>
          <w:p w:rsidR="00DF5544" w:rsidRPr="00875AF3" w:rsidRDefault="00DF5544" w:rsidP="00875AF3">
            <w:pPr>
              <w:spacing w:before="40" w:after="120" w:line="180" w:lineRule="exact"/>
              <w:ind w:right="57"/>
              <w:jc w:val="center"/>
              <w:rPr>
                <w:i/>
                <w:sz w:val="14"/>
                <w:szCs w:val="14"/>
              </w:rPr>
            </w:pPr>
            <w:r w:rsidRPr="00875AF3">
              <w:rPr>
                <w:i/>
                <w:sz w:val="14"/>
                <w:szCs w:val="14"/>
                <w:lang w:val="fr-FR"/>
              </w:rPr>
              <w:t>Dispositions spéciales</w:t>
            </w:r>
          </w:p>
        </w:tc>
        <w:tc>
          <w:tcPr>
            <w:tcW w:w="794" w:type="dxa"/>
            <w:tcBorders>
              <w:top w:val="single" w:sz="4" w:space="0" w:color="auto"/>
              <w:left w:val="single" w:sz="24" w:space="0" w:color="FFFFFF" w:themeColor="background1"/>
              <w:bottom w:val="single" w:sz="12" w:space="0" w:color="auto"/>
            </w:tcBorders>
            <w:shd w:val="clear" w:color="auto" w:fill="auto"/>
          </w:tcPr>
          <w:p w:rsidR="00DF5544" w:rsidRPr="00875AF3" w:rsidRDefault="00DF5544" w:rsidP="00875AF3">
            <w:pPr>
              <w:spacing w:before="40" w:after="120" w:line="180" w:lineRule="exact"/>
              <w:ind w:right="57"/>
              <w:jc w:val="center"/>
              <w:rPr>
                <w:i/>
                <w:sz w:val="14"/>
                <w:szCs w:val="14"/>
              </w:rPr>
            </w:pPr>
            <w:r w:rsidRPr="00875AF3">
              <w:rPr>
                <w:i/>
                <w:sz w:val="14"/>
                <w:szCs w:val="14"/>
                <w:lang w:val="fr-FR"/>
              </w:rPr>
              <w:t>Instructions de transport</w:t>
            </w:r>
          </w:p>
        </w:tc>
        <w:tc>
          <w:tcPr>
            <w:tcW w:w="921" w:type="dxa"/>
            <w:tcBorders>
              <w:top w:val="single" w:sz="4" w:space="0" w:color="auto"/>
              <w:bottom w:val="single" w:sz="12" w:space="0" w:color="auto"/>
            </w:tcBorders>
            <w:shd w:val="clear" w:color="auto" w:fill="auto"/>
          </w:tcPr>
          <w:p w:rsidR="00DF5544" w:rsidRPr="00875AF3" w:rsidRDefault="00DF5544" w:rsidP="00875AF3">
            <w:pPr>
              <w:spacing w:before="40" w:after="120" w:line="180" w:lineRule="exact"/>
              <w:ind w:right="57"/>
              <w:jc w:val="center"/>
              <w:rPr>
                <w:i/>
                <w:sz w:val="14"/>
                <w:szCs w:val="14"/>
              </w:rPr>
            </w:pPr>
            <w:r w:rsidRPr="00875AF3">
              <w:rPr>
                <w:i/>
                <w:sz w:val="14"/>
                <w:szCs w:val="14"/>
                <w:lang w:val="fr-FR"/>
              </w:rPr>
              <w:t>Dispositions spéciales</w:t>
            </w:r>
          </w:p>
        </w:tc>
      </w:tr>
      <w:tr w:rsidR="00875AF3" w:rsidRPr="00875AF3" w:rsidTr="009B72A8">
        <w:tc>
          <w:tcPr>
            <w:tcW w:w="602" w:type="dxa"/>
            <w:tcBorders>
              <w:top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1)</w:t>
            </w:r>
          </w:p>
        </w:tc>
        <w:tc>
          <w:tcPr>
            <w:tcW w:w="1365" w:type="dxa"/>
            <w:tcBorders>
              <w:top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2)</w:t>
            </w:r>
          </w:p>
        </w:tc>
        <w:tc>
          <w:tcPr>
            <w:tcW w:w="731" w:type="dxa"/>
            <w:tcBorders>
              <w:top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3)</w:t>
            </w:r>
          </w:p>
        </w:tc>
        <w:tc>
          <w:tcPr>
            <w:tcW w:w="747" w:type="dxa"/>
            <w:tcBorders>
              <w:top w:val="single" w:sz="12" w:space="0" w:color="auto"/>
            </w:tcBorders>
            <w:shd w:val="clear" w:color="auto" w:fill="auto"/>
          </w:tcPr>
          <w:p w:rsidR="00DF5544" w:rsidRPr="00875AF3" w:rsidRDefault="00DF5544" w:rsidP="00875AF3">
            <w:pPr>
              <w:spacing w:before="40" w:after="120" w:line="220" w:lineRule="atLeast"/>
              <w:ind w:right="57"/>
              <w:rPr>
                <w:b/>
                <w:sz w:val="18"/>
                <w:szCs w:val="18"/>
              </w:rPr>
            </w:pPr>
            <w:r w:rsidRPr="00875AF3">
              <w:rPr>
                <w:sz w:val="18"/>
                <w:szCs w:val="18"/>
                <w:lang w:val="fr-FR"/>
              </w:rPr>
              <w:t>4)</w:t>
            </w:r>
          </w:p>
        </w:tc>
        <w:tc>
          <w:tcPr>
            <w:tcW w:w="811" w:type="dxa"/>
            <w:tcBorders>
              <w:top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5)</w:t>
            </w:r>
          </w:p>
        </w:tc>
        <w:tc>
          <w:tcPr>
            <w:tcW w:w="770" w:type="dxa"/>
            <w:tcBorders>
              <w:top w:val="single" w:sz="12" w:space="0" w:color="auto"/>
            </w:tcBorders>
            <w:shd w:val="clear" w:color="auto" w:fill="auto"/>
          </w:tcPr>
          <w:p w:rsidR="00DF5544" w:rsidRPr="00875AF3" w:rsidRDefault="00DF5544" w:rsidP="00875AF3">
            <w:pPr>
              <w:spacing w:before="40" w:after="120" w:line="220" w:lineRule="atLeast"/>
              <w:ind w:right="57"/>
              <w:rPr>
                <w:b/>
                <w:sz w:val="18"/>
                <w:szCs w:val="18"/>
              </w:rPr>
            </w:pPr>
            <w:r w:rsidRPr="00875AF3">
              <w:rPr>
                <w:sz w:val="18"/>
                <w:szCs w:val="18"/>
                <w:lang w:val="fr-FR"/>
              </w:rPr>
              <w:t>6)</w:t>
            </w:r>
          </w:p>
        </w:tc>
        <w:tc>
          <w:tcPr>
            <w:tcW w:w="501" w:type="dxa"/>
            <w:tcBorders>
              <w:top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7a)</w:t>
            </w:r>
          </w:p>
        </w:tc>
        <w:tc>
          <w:tcPr>
            <w:tcW w:w="634" w:type="dxa"/>
            <w:tcBorders>
              <w:top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7b)</w:t>
            </w:r>
          </w:p>
        </w:tc>
        <w:tc>
          <w:tcPr>
            <w:tcW w:w="825" w:type="dxa"/>
            <w:tcBorders>
              <w:top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8)</w:t>
            </w:r>
          </w:p>
        </w:tc>
        <w:tc>
          <w:tcPr>
            <w:tcW w:w="936" w:type="dxa"/>
            <w:tcBorders>
              <w:top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9)</w:t>
            </w:r>
          </w:p>
        </w:tc>
        <w:tc>
          <w:tcPr>
            <w:tcW w:w="794" w:type="dxa"/>
            <w:tcBorders>
              <w:top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10)</w:t>
            </w:r>
          </w:p>
        </w:tc>
        <w:tc>
          <w:tcPr>
            <w:tcW w:w="921" w:type="dxa"/>
            <w:tcBorders>
              <w:top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11)</w:t>
            </w:r>
          </w:p>
        </w:tc>
      </w:tr>
      <w:tr w:rsidR="00875AF3" w:rsidRPr="00875AF3" w:rsidTr="009B72A8">
        <w:tc>
          <w:tcPr>
            <w:tcW w:w="602" w:type="dxa"/>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w:t>
            </w:r>
          </w:p>
        </w:tc>
        <w:tc>
          <w:tcPr>
            <w:tcW w:w="1365" w:type="dxa"/>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3.1.2</w:t>
            </w:r>
          </w:p>
        </w:tc>
        <w:tc>
          <w:tcPr>
            <w:tcW w:w="731" w:type="dxa"/>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2.0</w:t>
            </w:r>
          </w:p>
        </w:tc>
        <w:tc>
          <w:tcPr>
            <w:tcW w:w="747" w:type="dxa"/>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2.0</w:t>
            </w:r>
          </w:p>
        </w:tc>
        <w:tc>
          <w:tcPr>
            <w:tcW w:w="811" w:type="dxa"/>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2.0.1.3</w:t>
            </w:r>
          </w:p>
        </w:tc>
        <w:tc>
          <w:tcPr>
            <w:tcW w:w="770" w:type="dxa"/>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3.3</w:t>
            </w:r>
          </w:p>
        </w:tc>
        <w:tc>
          <w:tcPr>
            <w:tcW w:w="501" w:type="dxa"/>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3.4</w:t>
            </w:r>
          </w:p>
        </w:tc>
        <w:tc>
          <w:tcPr>
            <w:tcW w:w="634" w:type="dxa"/>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3.5</w:t>
            </w:r>
          </w:p>
        </w:tc>
        <w:tc>
          <w:tcPr>
            <w:tcW w:w="825" w:type="dxa"/>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4.1.4</w:t>
            </w:r>
          </w:p>
        </w:tc>
        <w:tc>
          <w:tcPr>
            <w:tcW w:w="936" w:type="dxa"/>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4.1.4</w:t>
            </w:r>
          </w:p>
        </w:tc>
        <w:tc>
          <w:tcPr>
            <w:tcW w:w="794" w:type="dxa"/>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4.2.5/ 4.3.2</w:t>
            </w:r>
          </w:p>
        </w:tc>
        <w:tc>
          <w:tcPr>
            <w:tcW w:w="921" w:type="dxa"/>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4.2.5</w:t>
            </w:r>
          </w:p>
        </w:tc>
      </w:tr>
      <w:tr w:rsidR="00875AF3" w:rsidRPr="00875AF3" w:rsidTr="009B72A8">
        <w:tc>
          <w:tcPr>
            <w:tcW w:w="602" w:type="dxa"/>
            <w:tcBorders>
              <w:bottom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35XX</w:t>
            </w:r>
          </w:p>
        </w:tc>
        <w:tc>
          <w:tcPr>
            <w:tcW w:w="1365" w:type="dxa"/>
            <w:tcBorders>
              <w:bottom w:val="single" w:sz="12" w:space="0" w:color="auto"/>
            </w:tcBorders>
            <w:shd w:val="clear" w:color="auto" w:fill="auto"/>
          </w:tcPr>
          <w:p w:rsidR="00DF5544" w:rsidRPr="00875AF3" w:rsidRDefault="00DF5544" w:rsidP="009B72A8">
            <w:pPr>
              <w:spacing w:before="40" w:after="120" w:line="220" w:lineRule="atLeast"/>
              <w:ind w:right="57"/>
              <w:rPr>
                <w:sz w:val="18"/>
                <w:szCs w:val="18"/>
              </w:rPr>
            </w:pPr>
            <w:r w:rsidRPr="00875AF3">
              <w:rPr>
                <w:sz w:val="18"/>
                <w:szCs w:val="18"/>
                <w:lang w:val="fr-FR"/>
              </w:rPr>
              <w:t xml:space="preserve">DÉCHETS MÉDICAUX </w:t>
            </w:r>
            <w:r w:rsidR="00875AF3">
              <w:rPr>
                <w:sz w:val="18"/>
                <w:szCs w:val="18"/>
                <w:lang w:val="fr-FR"/>
              </w:rPr>
              <w:br/>
            </w:r>
            <w:r w:rsidRPr="00875AF3">
              <w:rPr>
                <w:sz w:val="18"/>
                <w:szCs w:val="18"/>
                <w:lang w:val="fr-FR"/>
              </w:rPr>
              <w:t>DE MATIÈRES INFECTIEUSES POUR L</w:t>
            </w:r>
            <w:r w:rsidR="00BB7FD4" w:rsidRPr="00875AF3">
              <w:rPr>
                <w:sz w:val="18"/>
                <w:szCs w:val="18"/>
                <w:lang w:val="fr-FR"/>
              </w:rPr>
              <w:t>’</w:t>
            </w:r>
            <w:r w:rsidRPr="00875AF3">
              <w:rPr>
                <w:sz w:val="18"/>
                <w:szCs w:val="18"/>
                <w:lang w:val="fr-FR"/>
              </w:rPr>
              <w:t xml:space="preserve">HOMME </w:t>
            </w:r>
            <w:r w:rsidR="00875AF3">
              <w:rPr>
                <w:sz w:val="18"/>
                <w:szCs w:val="18"/>
                <w:lang w:val="fr-FR"/>
              </w:rPr>
              <w:br/>
            </w:r>
            <w:r w:rsidRPr="00875AF3">
              <w:rPr>
                <w:sz w:val="18"/>
                <w:szCs w:val="18"/>
                <w:lang w:val="fr-FR"/>
              </w:rPr>
              <w:t xml:space="preserve">DE LA CATÉGORIE A </w:t>
            </w:r>
            <w:r w:rsidR="009B72A8">
              <w:rPr>
                <w:sz w:val="18"/>
                <w:szCs w:val="18"/>
                <w:lang w:val="fr-FR"/>
              </w:rPr>
              <w:t>ou</w:t>
            </w:r>
            <w:r w:rsidRPr="00875AF3">
              <w:rPr>
                <w:sz w:val="18"/>
                <w:szCs w:val="18"/>
                <w:lang w:val="fr-FR"/>
              </w:rPr>
              <w:t xml:space="preserve"> D</w:t>
            </w:r>
            <w:r w:rsidR="00BC5E37">
              <w:rPr>
                <w:sz w:val="18"/>
                <w:szCs w:val="18"/>
                <w:lang w:val="fr-FR"/>
              </w:rPr>
              <w:t>É</w:t>
            </w:r>
            <w:r w:rsidRPr="00875AF3">
              <w:rPr>
                <w:sz w:val="18"/>
                <w:szCs w:val="18"/>
                <w:lang w:val="fr-FR"/>
              </w:rPr>
              <w:t>CHETS M</w:t>
            </w:r>
            <w:r w:rsidR="00875AF3">
              <w:rPr>
                <w:sz w:val="18"/>
                <w:szCs w:val="18"/>
                <w:lang w:val="fr-FR"/>
              </w:rPr>
              <w:t>É</w:t>
            </w:r>
            <w:r w:rsidRPr="00875AF3">
              <w:rPr>
                <w:sz w:val="18"/>
                <w:szCs w:val="18"/>
                <w:lang w:val="fr-FR"/>
              </w:rPr>
              <w:t xml:space="preserve">DICAUX </w:t>
            </w:r>
            <w:r w:rsidR="00875AF3">
              <w:rPr>
                <w:sz w:val="18"/>
                <w:szCs w:val="18"/>
                <w:lang w:val="fr-FR"/>
              </w:rPr>
              <w:br/>
            </w:r>
            <w:r w:rsidRPr="00875AF3">
              <w:rPr>
                <w:sz w:val="18"/>
                <w:szCs w:val="18"/>
                <w:lang w:val="fr-FR"/>
              </w:rPr>
              <w:t>DE MATI</w:t>
            </w:r>
            <w:r w:rsidR="00875AF3">
              <w:rPr>
                <w:sz w:val="18"/>
                <w:szCs w:val="18"/>
                <w:lang w:val="fr-FR"/>
              </w:rPr>
              <w:t>È</w:t>
            </w:r>
            <w:r w:rsidRPr="00875AF3">
              <w:rPr>
                <w:sz w:val="18"/>
                <w:szCs w:val="18"/>
                <w:lang w:val="fr-FR"/>
              </w:rPr>
              <w:t>RES INFECTIEUSES POUR LES ANIMAUX uniquement</w:t>
            </w:r>
          </w:p>
        </w:tc>
        <w:tc>
          <w:tcPr>
            <w:tcW w:w="731" w:type="dxa"/>
            <w:tcBorders>
              <w:bottom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6.2</w:t>
            </w:r>
          </w:p>
        </w:tc>
        <w:tc>
          <w:tcPr>
            <w:tcW w:w="747" w:type="dxa"/>
            <w:tcBorders>
              <w:bottom w:val="single" w:sz="12" w:space="0" w:color="auto"/>
            </w:tcBorders>
            <w:shd w:val="clear" w:color="auto" w:fill="auto"/>
          </w:tcPr>
          <w:p w:rsidR="00DF5544" w:rsidRPr="00875AF3" w:rsidRDefault="00DF5544" w:rsidP="00875AF3">
            <w:pPr>
              <w:spacing w:before="40" w:after="120" w:line="220" w:lineRule="atLeast"/>
              <w:ind w:right="57"/>
              <w:rPr>
                <w:sz w:val="18"/>
                <w:szCs w:val="18"/>
                <w:lang w:val="en-CA"/>
              </w:rPr>
            </w:pPr>
          </w:p>
        </w:tc>
        <w:tc>
          <w:tcPr>
            <w:tcW w:w="811" w:type="dxa"/>
            <w:tcBorders>
              <w:bottom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w:t>
            </w:r>
          </w:p>
        </w:tc>
        <w:tc>
          <w:tcPr>
            <w:tcW w:w="770" w:type="dxa"/>
            <w:tcBorders>
              <w:bottom w:val="single" w:sz="12" w:space="0" w:color="auto"/>
            </w:tcBorders>
            <w:shd w:val="clear" w:color="auto" w:fill="auto"/>
          </w:tcPr>
          <w:p w:rsidR="00DF5544" w:rsidRPr="00875AF3" w:rsidRDefault="00DF5544" w:rsidP="00875AF3">
            <w:pPr>
              <w:spacing w:before="40" w:after="120" w:line="220" w:lineRule="atLeast"/>
              <w:ind w:right="57"/>
              <w:rPr>
                <w:sz w:val="18"/>
                <w:szCs w:val="18"/>
              </w:rPr>
            </w:pPr>
            <w:r w:rsidRPr="00875AF3">
              <w:rPr>
                <w:sz w:val="18"/>
                <w:szCs w:val="18"/>
                <w:lang w:val="fr-FR"/>
              </w:rPr>
              <w:t>318</w:t>
            </w:r>
          </w:p>
        </w:tc>
        <w:tc>
          <w:tcPr>
            <w:tcW w:w="501" w:type="dxa"/>
            <w:tcBorders>
              <w:bottom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0</w:t>
            </w:r>
          </w:p>
        </w:tc>
        <w:tc>
          <w:tcPr>
            <w:tcW w:w="634" w:type="dxa"/>
            <w:tcBorders>
              <w:bottom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E0</w:t>
            </w:r>
          </w:p>
        </w:tc>
        <w:tc>
          <w:tcPr>
            <w:tcW w:w="825" w:type="dxa"/>
            <w:tcBorders>
              <w:bottom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rPr>
            </w:pPr>
            <w:r w:rsidRPr="00875AF3">
              <w:rPr>
                <w:sz w:val="18"/>
                <w:szCs w:val="18"/>
                <w:lang w:val="fr-FR"/>
              </w:rPr>
              <w:t>P6XX</w:t>
            </w:r>
          </w:p>
          <w:p w:rsidR="00DF5544" w:rsidRPr="00875AF3" w:rsidRDefault="00DF5544" w:rsidP="00875AF3">
            <w:pPr>
              <w:spacing w:before="40" w:after="120" w:line="220" w:lineRule="atLeast"/>
              <w:ind w:right="57"/>
              <w:jc w:val="center"/>
              <w:rPr>
                <w:sz w:val="18"/>
                <w:szCs w:val="18"/>
              </w:rPr>
            </w:pPr>
            <w:r w:rsidRPr="00875AF3">
              <w:rPr>
                <w:sz w:val="18"/>
                <w:szCs w:val="18"/>
                <w:lang w:val="fr-FR"/>
              </w:rPr>
              <w:t>LP6XX</w:t>
            </w:r>
          </w:p>
        </w:tc>
        <w:tc>
          <w:tcPr>
            <w:tcW w:w="936" w:type="dxa"/>
            <w:tcBorders>
              <w:bottom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lang w:val="en-CA"/>
              </w:rPr>
            </w:pPr>
          </w:p>
        </w:tc>
        <w:tc>
          <w:tcPr>
            <w:tcW w:w="794" w:type="dxa"/>
            <w:tcBorders>
              <w:bottom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lang w:val="en-CA"/>
              </w:rPr>
            </w:pPr>
          </w:p>
        </w:tc>
        <w:tc>
          <w:tcPr>
            <w:tcW w:w="921" w:type="dxa"/>
            <w:tcBorders>
              <w:bottom w:val="single" w:sz="12" w:space="0" w:color="auto"/>
            </w:tcBorders>
            <w:shd w:val="clear" w:color="auto" w:fill="auto"/>
          </w:tcPr>
          <w:p w:rsidR="00DF5544" w:rsidRPr="00875AF3" w:rsidRDefault="00DF5544" w:rsidP="00875AF3">
            <w:pPr>
              <w:spacing w:before="40" w:after="120" w:line="220" w:lineRule="atLeast"/>
              <w:ind w:right="57"/>
              <w:jc w:val="center"/>
              <w:rPr>
                <w:sz w:val="18"/>
                <w:szCs w:val="18"/>
                <w:lang w:val="en-CA"/>
              </w:rPr>
            </w:pPr>
          </w:p>
        </w:tc>
      </w:tr>
    </w:tbl>
    <w:p w:rsidR="00DF5544" w:rsidRDefault="00DF5544" w:rsidP="00875AF3">
      <w:pPr>
        <w:pStyle w:val="SingleTxtG"/>
        <w:spacing w:before="240"/>
        <w:rPr>
          <w:lang w:val="fr-FR"/>
        </w:rPr>
      </w:pPr>
      <w:r>
        <w:rPr>
          <w:lang w:val="fr-FR"/>
        </w:rPr>
        <w:t>Modifier l</w:t>
      </w:r>
      <w:r w:rsidR="00BB7FD4">
        <w:rPr>
          <w:lang w:val="fr-FR"/>
        </w:rPr>
        <w:t>’</w:t>
      </w:r>
      <w:r w:rsidR="00BC5E37">
        <w:rPr>
          <w:lang w:val="fr-FR"/>
        </w:rPr>
        <w:t>a</w:t>
      </w:r>
      <w:r>
        <w:rPr>
          <w:lang w:val="fr-FR"/>
        </w:rPr>
        <w:t>ppendice A (Liste des désignations officielles de transport génériques et non spécifiées par ailleurs (N.S.A)) comme suit</w:t>
      </w:r>
      <w:r w:rsidR="00A057A2">
        <w:rPr>
          <w:lang w:val="fr-FR"/>
        </w:rPr>
        <w:t> :</w:t>
      </w:r>
      <w:r>
        <w:rPr>
          <w:lang w:val="fr-FR"/>
        </w:rPr>
        <w:t xml:space="preserve">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1117"/>
        <w:gridCol w:w="1485"/>
        <w:gridCol w:w="5551"/>
      </w:tblGrid>
      <w:tr w:rsidR="00875AF3" w:rsidRPr="007F55F0" w:rsidTr="007F55F0">
        <w:trPr>
          <w:tblHeader/>
        </w:trPr>
        <w:tc>
          <w:tcPr>
            <w:tcW w:w="1484"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Classe ou division</w:t>
            </w:r>
          </w:p>
        </w:tc>
        <w:tc>
          <w:tcPr>
            <w:tcW w:w="1117"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Risque subsidiaire</w:t>
            </w:r>
          </w:p>
        </w:tc>
        <w:tc>
          <w:tcPr>
            <w:tcW w:w="1485"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No ONU</w:t>
            </w:r>
          </w:p>
        </w:tc>
        <w:tc>
          <w:tcPr>
            <w:tcW w:w="5551"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Désignation officielle de transport</w:t>
            </w:r>
          </w:p>
        </w:tc>
      </w:tr>
      <w:tr w:rsidR="007F55F0" w:rsidRPr="007F55F0" w:rsidTr="007F55F0">
        <w:trPr>
          <w:trHeight w:hRule="exact" w:val="113"/>
          <w:tblHeader/>
        </w:trPr>
        <w:tc>
          <w:tcPr>
            <w:tcW w:w="1484" w:type="dxa"/>
            <w:tcBorders>
              <w:top w:val="single" w:sz="12" w:space="0" w:color="auto"/>
            </w:tcBorders>
            <w:shd w:val="clear" w:color="auto" w:fill="auto"/>
          </w:tcPr>
          <w:p w:rsidR="007F55F0" w:rsidRPr="007F55F0" w:rsidRDefault="007F55F0" w:rsidP="007F55F0">
            <w:pPr>
              <w:spacing w:before="40" w:after="120"/>
              <w:ind w:right="113"/>
              <w:rPr>
                <w:lang w:val="fr-FR"/>
              </w:rPr>
            </w:pPr>
          </w:p>
        </w:tc>
        <w:tc>
          <w:tcPr>
            <w:tcW w:w="1117" w:type="dxa"/>
            <w:tcBorders>
              <w:top w:val="single" w:sz="12" w:space="0" w:color="auto"/>
            </w:tcBorders>
            <w:shd w:val="clear" w:color="auto" w:fill="auto"/>
          </w:tcPr>
          <w:p w:rsidR="007F55F0" w:rsidRPr="007F55F0" w:rsidRDefault="007F55F0" w:rsidP="007F55F0">
            <w:pPr>
              <w:spacing w:before="40" w:after="120"/>
              <w:ind w:right="113"/>
              <w:rPr>
                <w:lang w:val="fr-FR"/>
              </w:rPr>
            </w:pPr>
          </w:p>
        </w:tc>
        <w:tc>
          <w:tcPr>
            <w:tcW w:w="1485" w:type="dxa"/>
            <w:tcBorders>
              <w:top w:val="single" w:sz="12" w:space="0" w:color="auto"/>
            </w:tcBorders>
            <w:shd w:val="clear" w:color="auto" w:fill="auto"/>
          </w:tcPr>
          <w:p w:rsidR="007F55F0" w:rsidRPr="007F55F0" w:rsidRDefault="007F55F0" w:rsidP="007F55F0">
            <w:pPr>
              <w:spacing w:before="40" w:after="120"/>
              <w:ind w:right="113"/>
              <w:rPr>
                <w:lang w:val="fr-FR"/>
              </w:rPr>
            </w:pPr>
          </w:p>
        </w:tc>
        <w:tc>
          <w:tcPr>
            <w:tcW w:w="5551" w:type="dxa"/>
            <w:tcBorders>
              <w:top w:val="single" w:sz="12" w:space="0" w:color="auto"/>
            </w:tcBorders>
            <w:shd w:val="clear" w:color="auto" w:fill="auto"/>
          </w:tcPr>
          <w:p w:rsidR="007F55F0" w:rsidRPr="007F55F0" w:rsidRDefault="007F55F0" w:rsidP="007F55F0">
            <w:pPr>
              <w:spacing w:before="40" w:after="120"/>
              <w:ind w:right="113"/>
              <w:rPr>
                <w:lang w:val="fr-FR"/>
              </w:rPr>
            </w:pPr>
          </w:p>
        </w:tc>
      </w:tr>
      <w:tr w:rsidR="00DF5544" w:rsidRPr="007F55F0" w:rsidTr="007F55F0">
        <w:tc>
          <w:tcPr>
            <w:tcW w:w="1484" w:type="dxa"/>
            <w:shd w:val="clear" w:color="auto" w:fill="auto"/>
          </w:tcPr>
          <w:p w:rsidR="00DF5544" w:rsidRPr="007F55F0" w:rsidRDefault="00DF5544" w:rsidP="007F55F0">
            <w:pPr>
              <w:spacing w:before="40" w:after="120"/>
              <w:ind w:right="113"/>
              <w:rPr>
                <w:lang w:val="en-CA"/>
              </w:rPr>
            </w:pPr>
          </w:p>
        </w:tc>
        <w:tc>
          <w:tcPr>
            <w:tcW w:w="1117" w:type="dxa"/>
            <w:shd w:val="clear" w:color="auto" w:fill="auto"/>
          </w:tcPr>
          <w:p w:rsidR="00DF5544" w:rsidRPr="007F55F0" w:rsidRDefault="00DF5544" w:rsidP="007F55F0">
            <w:pPr>
              <w:spacing w:before="40" w:after="120"/>
              <w:ind w:right="113"/>
              <w:rPr>
                <w:lang w:val="en-CA"/>
              </w:rPr>
            </w:pPr>
          </w:p>
        </w:tc>
        <w:tc>
          <w:tcPr>
            <w:tcW w:w="1485" w:type="dxa"/>
            <w:shd w:val="clear" w:color="auto" w:fill="auto"/>
          </w:tcPr>
          <w:p w:rsidR="00DF5544" w:rsidRPr="007F55F0" w:rsidRDefault="00DF5544" w:rsidP="007F55F0">
            <w:pPr>
              <w:spacing w:before="40" w:after="120"/>
              <w:ind w:right="113"/>
              <w:rPr>
                <w:lang w:val="en-CA"/>
              </w:rPr>
            </w:pPr>
          </w:p>
        </w:tc>
        <w:tc>
          <w:tcPr>
            <w:tcW w:w="5551" w:type="dxa"/>
            <w:shd w:val="clear" w:color="auto" w:fill="auto"/>
          </w:tcPr>
          <w:p w:rsidR="00DF5544" w:rsidRPr="007F55F0" w:rsidRDefault="00DF5544" w:rsidP="007F55F0">
            <w:pPr>
              <w:spacing w:before="40" w:after="120"/>
              <w:ind w:right="113"/>
            </w:pPr>
            <w:r w:rsidRPr="007F55F0">
              <w:rPr>
                <w:lang w:val="fr-FR"/>
              </w:rPr>
              <w:t>DIVISION 6.2</w:t>
            </w:r>
          </w:p>
        </w:tc>
      </w:tr>
      <w:tr w:rsidR="00DF5544" w:rsidRPr="007F55F0" w:rsidTr="007F55F0">
        <w:tc>
          <w:tcPr>
            <w:tcW w:w="1484" w:type="dxa"/>
            <w:shd w:val="clear" w:color="auto" w:fill="auto"/>
          </w:tcPr>
          <w:p w:rsidR="00DF5544" w:rsidRPr="007F55F0" w:rsidRDefault="00DF5544" w:rsidP="007F55F0">
            <w:pPr>
              <w:spacing w:before="40" w:after="120"/>
              <w:ind w:right="113"/>
              <w:rPr>
                <w:lang w:val="en-CA"/>
              </w:rPr>
            </w:pPr>
          </w:p>
        </w:tc>
        <w:tc>
          <w:tcPr>
            <w:tcW w:w="1117" w:type="dxa"/>
            <w:shd w:val="clear" w:color="auto" w:fill="auto"/>
          </w:tcPr>
          <w:p w:rsidR="00DF5544" w:rsidRPr="007F55F0" w:rsidRDefault="00DF5544" w:rsidP="007F55F0">
            <w:pPr>
              <w:spacing w:before="40" w:after="120"/>
              <w:ind w:right="113"/>
              <w:rPr>
                <w:lang w:val="en-CA"/>
              </w:rPr>
            </w:pPr>
          </w:p>
        </w:tc>
        <w:tc>
          <w:tcPr>
            <w:tcW w:w="1485" w:type="dxa"/>
            <w:shd w:val="clear" w:color="auto" w:fill="auto"/>
          </w:tcPr>
          <w:p w:rsidR="00DF5544" w:rsidRPr="007F55F0" w:rsidRDefault="00DF5544" w:rsidP="007F55F0">
            <w:pPr>
              <w:spacing w:before="40" w:after="120"/>
              <w:ind w:right="113"/>
              <w:rPr>
                <w:lang w:val="en-CA"/>
              </w:rPr>
            </w:pPr>
          </w:p>
        </w:tc>
        <w:tc>
          <w:tcPr>
            <w:tcW w:w="5551" w:type="dxa"/>
            <w:shd w:val="clear" w:color="auto" w:fill="auto"/>
          </w:tcPr>
          <w:p w:rsidR="00DF5544" w:rsidRPr="007F55F0" w:rsidRDefault="00DF5544" w:rsidP="007F55F0">
            <w:pPr>
              <w:spacing w:before="40" w:after="120"/>
              <w:ind w:right="113"/>
            </w:pPr>
            <w:r w:rsidRPr="007F55F0">
              <w:rPr>
                <w:lang w:val="fr-FR"/>
              </w:rPr>
              <w:t>Rubriques spécifiques</w:t>
            </w:r>
          </w:p>
        </w:tc>
      </w:tr>
      <w:tr w:rsidR="00DF5544" w:rsidRPr="007F55F0" w:rsidTr="007F55F0">
        <w:tc>
          <w:tcPr>
            <w:tcW w:w="1484" w:type="dxa"/>
            <w:tcBorders>
              <w:bottom w:val="single" w:sz="12" w:space="0" w:color="auto"/>
            </w:tcBorders>
            <w:shd w:val="clear" w:color="auto" w:fill="auto"/>
          </w:tcPr>
          <w:p w:rsidR="00DF5544" w:rsidRPr="007F55F0" w:rsidRDefault="00DF5544" w:rsidP="007F55F0">
            <w:pPr>
              <w:spacing w:before="40" w:after="120"/>
              <w:ind w:right="113"/>
            </w:pPr>
            <w:r w:rsidRPr="007F55F0">
              <w:rPr>
                <w:lang w:val="fr-FR"/>
              </w:rPr>
              <w:t>6.2</w:t>
            </w:r>
          </w:p>
        </w:tc>
        <w:tc>
          <w:tcPr>
            <w:tcW w:w="1117" w:type="dxa"/>
            <w:tcBorders>
              <w:bottom w:val="single" w:sz="12" w:space="0" w:color="auto"/>
            </w:tcBorders>
            <w:shd w:val="clear" w:color="auto" w:fill="auto"/>
          </w:tcPr>
          <w:p w:rsidR="00DF5544" w:rsidRPr="007F55F0" w:rsidRDefault="00DF5544" w:rsidP="007F55F0">
            <w:pPr>
              <w:spacing w:before="40" w:after="120"/>
              <w:ind w:right="113"/>
              <w:rPr>
                <w:lang w:val="en-CA"/>
              </w:rPr>
            </w:pPr>
          </w:p>
        </w:tc>
        <w:tc>
          <w:tcPr>
            <w:tcW w:w="1485" w:type="dxa"/>
            <w:tcBorders>
              <w:bottom w:val="single" w:sz="12" w:space="0" w:color="auto"/>
            </w:tcBorders>
            <w:shd w:val="clear" w:color="auto" w:fill="auto"/>
          </w:tcPr>
          <w:p w:rsidR="00DF5544" w:rsidRPr="007F55F0" w:rsidRDefault="00DF5544" w:rsidP="007F55F0">
            <w:pPr>
              <w:spacing w:before="40" w:after="120"/>
              <w:ind w:right="113"/>
            </w:pPr>
            <w:r w:rsidRPr="007F55F0">
              <w:rPr>
                <w:lang w:val="fr-FR"/>
              </w:rPr>
              <w:t>35XX</w:t>
            </w:r>
          </w:p>
        </w:tc>
        <w:tc>
          <w:tcPr>
            <w:tcW w:w="5551" w:type="dxa"/>
            <w:tcBorders>
              <w:bottom w:val="single" w:sz="12" w:space="0" w:color="auto"/>
            </w:tcBorders>
            <w:shd w:val="clear" w:color="auto" w:fill="auto"/>
          </w:tcPr>
          <w:p w:rsidR="00DF5544" w:rsidRPr="007F55F0" w:rsidRDefault="00DF5544" w:rsidP="0083695B">
            <w:pPr>
              <w:spacing w:before="40" w:after="120"/>
              <w:ind w:right="113"/>
            </w:pPr>
            <w:r w:rsidRPr="007F55F0">
              <w:rPr>
                <w:lang w:val="fr-FR"/>
              </w:rPr>
              <w:t>DÉCHETS M</w:t>
            </w:r>
            <w:r w:rsidR="00BC5E37">
              <w:rPr>
                <w:lang w:val="fr-FR"/>
              </w:rPr>
              <w:t>É</w:t>
            </w:r>
            <w:r w:rsidRPr="007F55F0">
              <w:rPr>
                <w:lang w:val="fr-FR"/>
              </w:rPr>
              <w:t>DICAUX DE MATIÈRES INFECTIEUSES POUR L</w:t>
            </w:r>
            <w:r w:rsidR="00BB7FD4" w:rsidRPr="007F55F0">
              <w:rPr>
                <w:lang w:val="fr-FR"/>
              </w:rPr>
              <w:t>’</w:t>
            </w:r>
            <w:r w:rsidRPr="007F55F0">
              <w:rPr>
                <w:lang w:val="fr-FR"/>
              </w:rPr>
              <w:t xml:space="preserve">HOMME DE LA CATÉGORIE A </w:t>
            </w:r>
            <w:r w:rsidR="0083695B">
              <w:rPr>
                <w:lang w:val="fr-FR"/>
              </w:rPr>
              <w:t>ou</w:t>
            </w:r>
            <w:r w:rsidRPr="007F55F0">
              <w:rPr>
                <w:lang w:val="fr-FR"/>
              </w:rPr>
              <w:t xml:space="preserve"> DÉCHETS MÉDICAUX DE MATIÈRES INFECTIEUSES POUR LES ANIMAUX </w:t>
            </w:r>
            <w:r w:rsidR="00BC5E37">
              <w:rPr>
                <w:lang w:val="fr-FR"/>
              </w:rPr>
              <w:t xml:space="preserve">DE LA CATÉGORIE A </w:t>
            </w:r>
            <w:r w:rsidRPr="007F55F0">
              <w:rPr>
                <w:lang w:val="fr-FR"/>
              </w:rPr>
              <w:t>uniquement</w:t>
            </w:r>
          </w:p>
        </w:tc>
      </w:tr>
    </w:tbl>
    <w:p w:rsidR="00DF5544" w:rsidRPr="00D31B8A" w:rsidRDefault="00DF5544" w:rsidP="007F55F0">
      <w:pPr>
        <w:pStyle w:val="SingleTxtG"/>
        <w:keepNext/>
        <w:spacing w:before="240"/>
      </w:pPr>
      <w:r>
        <w:rPr>
          <w:lang w:val="fr-FR"/>
        </w:rPr>
        <w:t>Modifier l</w:t>
      </w:r>
      <w:r w:rsidR="00BB7FD4">
        <w:rPr>
          <w:lang w:val="fr-FR"/>
        </w:rPr>
        <w:t>’</w:t>
      </w:r>
      <w:r>
        <w:rPr>
          <w:lang w:val="fr-FR"/>
        </w:rPr>
        <w:t>index alphabétique des matières et objets comme suit</w:t>
      </w:r>
      <w:r w:rsidR="00A057A2">
        <w:rPr>
          <w:lang w:val="fr-FR"/>
        </w:rPr>
        <w:t>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1297"/>
        <w:gridCol w:w="1482"/>
      </w:tblGrid>
      <w:tr w:rsidR="00DF5544" w:rsidRPr="007F55F0" w:rsidTr="007F55F0">
        <w:trPr>
          <w:tblHeader/>
        </w:trPr>
        <w:tc>
          <w:tcPr>
            <w:tcW w:w="5245"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Nom et description</w:t>
            </w:r>
          </w:p>
        </w:tc>
        <w:tc>
          <w:tcPr>
            <w:tcW w:w="992"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Classe</w:t>
            </w:r>
          </w:p>
        </w:tc>
        <w:tc>
          <w:tcPr>
            <w:tcW w:w="1133" w:type="dxa"/>
            <w:tcBorders>
              <w:top w:val="single" w:sz="4" w:space="0" w:color="auto"/>
              <w:bottom w:val="single" w:sz="12" w:space="0" w:color="auto"/>
            </w:tcBorders>
            <w:shd w:val="clear" w:color="auto" w:fill="auto"/>
            <w:vAlign w:val="bottom"/>
          </w:tcPr>
          <w:p w:rsidR="00DF5544" w:rsidRPr="007F55F0" w:rsidRDefault="00DF5544" w:rsidP="007F55F0">
            <w:pPr>
              <w:spacing w:before="80" w:after="80" w:line="200" w:lineRule="exact"/>
              <w:ind w:right="113"/>
              <w:rPr>
                <w:i/>
                <w:sz w:val="16"/>
              </w:rPr>
            </w:pPr>
            <w:r w:rsidRPr="007F55F0">
              <w:rPr>
                <w:i/>
                <w:sz w:val="16"/>
                <w:lang w:val="fr-FR"/>
              </w:rPr>
              <w:t>No ONU</w:t>
            </w:r>
          </w:p>
        </w:tc>
      </w:tr>
      <w:tr w:rsidR="007F55F0" w:rsidRPr="007F55F0" w:rsidTr="007F55F0">
        <w:trPr>
          <w:trHeight w:hRule="exact" w:val="113"/>
          <w:tblHeader/>
        </w:trPr>
        <w:tc>
          <w:tcPr>
            <w:tcW w:w="5245" w:type="dxa"/>
            <w:tcBorders>
              <w:top w:val="single" w:sz="12" w:space="0" w:color="auto"/>
            </w:tcBorders>
            <w:shd w:val="clear" w:color="auto" w:fill="auto"/>
          </w:tcPr>
          <w:p w:rsidR="007F55F0" w:rsidRPr="007F55F0" w:rsidRDefault="007F55F0" w:rsidP="007F55F0">
            <w:pPr>
              <w:spacing w:before="40" w:after="120"/>
              <w:ind w:right="113"/>
              <w:rPr>
                <w:lang w:val="fr-FR"/>
              </w:rPr>
            </w:pPr>
          </w:p>
        </w:tc>
        <w:tc>
          <w:tcPr>
            <w:tcW w:w="992" w:type="dxa"/>
            <w:tcBorders>
              <w:top w:val="single" w:sz="12" w:space="0" w:color="auto"/>
            </w:tcBorders>
            <w:shd w:val="clear" w:color="auto" w:fill="auto"/>
          </w:tcPr>
          <w:p w:rsidR="007F55F0" w:rsidRPr="007F55F0" w:rsidRDefault="007F55F0" w:rsidP="007F55F0">
            <w:pPr>
              <w:spacing w:before="40" w:after="120"/>
              <w:ind w:right="113"/>
              <w:rPr>
                <w:lang w:val="fr-FR"/>
              </w:rPr>
            </w:pPr>
          </w:p>
        </w:tc>
        <w:tc>
          <w:tcPr>
            <w:tcW w:w="1133" w:type="dxa"/>
            <w:tcBorders>
              <w:top w:val="single" w:sz="12" w:space="0" w:color="auto"/>
            </w:tcBorders>
            <w:shd w:val="clear" w:color="auto" w:fill="auto"/>
          </w:tcPr>
          <w:p w:rsidR="007F55F0" w:rsidRPr="007F55F0" w:rsidRDefault="007F55F0" w:rsidP="007F55F0">
            <w:pPr>
              <w:spacing w:before="40" w:after="120"/>
              <w:ind w:right="113"/>
              <w:rPr>
                <w:lang w:val="fr-FR"/>
              </w:rPr>
            </w:pPr>
          </w:p>
        </w:tc>
      </w:tr>
      <w:tr w:rsidR="00DF5544" w:rsidRPr="007F55F0" w:rsidTr="007F55F0">
        <w:tc>
          <w:tcPr>
            <w:tcW w:w="5245" w:type="dxa"/>
            <w:shd w:val="clear" w:color="auto" w:fill="auto"/>
          </w:tcPr>
          <w:p w:rsidR="00DF5544" w:rsidRPr="007F55F0" w:rsidRDefault="00DF5544" w:rsidP="00BC5E37">
            <w:pPr>
              <w:spacing w:before="40" w:after="120"/>
              <w:ind w:right="113"/>
              <w:rPr>
                <w:b/>
              </w:rPr>
            </w:pPr>
            <w:r w:rsidRPr="007F55F0">
              <w:rPr>
                <w:lang w:val="fr-FR"/>
              </w:rPr>
              <w:t>DÉCHETS MÉDICAUX DE MATIÈRES INFECTIEUSES POUR L</w:t>
            </w:r>
            <w:r w:rsidR="00BB7FD4" w:rsidRPr="007F55F0">
              <w:rPr>
                <w:lang w:val="fr-FR"/>
              </w:rPr>
              <w:t>’</w:t>
            </w:r>
            <w:r w:rsidRPr="007F55F0">
              <w:rPr>
                <w:lang w:val="fr-FR"/>
              </w:rPr>
              <w:t xml:space="preserve">HOMME </w:t>
            </w:r>
            <w:r w:rsidR="007F55F0">
              <w:rPr>
                <w:lang w:val="fr-FR"/>
              </w:rPr>
              <w:br/>
            </w:r>
            <w:r w:rsidRPr="007F55F0">
              <w:rPr>
                <w:lang w:val="fr-FR"/>
              </w:rPr>
              <w:t>DE LA CATÉGORIE A</w:t>
            </w:r>
            <w:r w:rsidR="00BC5E37">
              <w:rPr>
                <w:lang w:val="fr-FR"/>
              </w:rPr>
              <w:t xml:space="preserve"> </w:t>
            </w:r>
          </w:p>
        </w:tc>
        <w:tc>
          <w:tcPr>
            <w:tcW w:w="992" w:type="dxa"/>
            <w:shd w:val="clear" w:color="auto" w:fill="auto"/>
          </w:tcPr>
          <w:p w:rsidR="00DF5544" w:rsidRPr="007F55F0" w:rsidRDefault="00DF5544" w:rsidP="007F55F0">
            <w:pPr>
              <w:spacing w:before="40" w:after="120"/>
              <w:ind w:right="113"/>
              <w:rPr>
                <w:b/>
              </w:rPr>
            </w:pPr>
            <w:r w:rsidRPr="007F55F0">
              <w:rPr>
                <w:b/>
                <w:lang w:val="fr-FR"/>
              </w:rPr>
              <w:t>6.2</w:t>
            </w:r>
          </w:p>
        </w:tc>
        <w:tc>
          <w:tcPr>
            <w:tcW w:w="1133" w:type="dxa"/>
            <w:shd w:val="clear" w:color="auto" w:fill="auto"/>
          </w:tcPr>
          <w:p w:rsidR="00DF5544" w:rsidRPr="007F55F0" w:rsidRDefault="00DF5544" w:rsidP="007F55F0">
            <w:pPr>
              <w:spacing w:before="40" w:after="120"/>
              <w:ind w:right="113"/>
              <w:rPr>
                <w:b/>
              </w:rPr>
            </w:pPr>
            <w:r w:rsidRPr="007F55F0">
              <w:rPr>
                <w:b/>
                <w:lang w:val="fr-FR"/>
              </w:rPr>
              <w:t>35XX</w:t>
            </w:r>
          </w:p>
        </w:tc>
      </w:tr>
      <w:tr w:rsidR="00DF5544" w:rsidRPr="007F55F0" w:rsidTr="007F55F0">
        <w:tc>
          <w:tcPr>
            <w:tcW w:w="5245" w:type="dxa"/>
            <w:tcBorders>
              <w:bottom w:val="single" w:sz="12" w:space="0" w:color="auto"/>
            </w:tcBorders>
            <w:shd w:val="clear" w:color="auto" w:fill="auto"/>
          </w:tcPr>
          <w:p w:rsidR="00DF5544" w:rsidRPr="007F55F0" w:rsidRDefault="00DF5544" w:rsidP="0083695B">
            <w:pPr>
              <w:spacing w:before="40" w:after="120"/>
              <w:ind w:right="113"/>
              <w:rPr>
                <w:b/>
              </w:rPr>
            </w:pPr>
            <w:r w:rsidRPr="007F55F0">
              <w:rPr>
                <w:lang w:val="fr-FR"/>
              </w:rPr>
              <w:t>DÉCHETS MÉDICAUX DE MATI</w:t>
            </w:r>
            <w:r w:rsidR="0083695B">
              <w:rPr>
                <w:lang w:val="fr-FR"/>
              </w:rPr>
              <w:t>È</w:t>
            </w:r>
            <w:r w:rsidRPr="007F55F0">
              <w:rPr>
                <w:lang w:val="fr-FR"/>
              </w:rPr>
              <w:t>R</w:t>
            </w:r>
            <w:r w:rsidR="0083695B">
              <w:rPr>
                <w:lang w:val="fr-FR"/>
              </w:rPr>
              <w:t>E</w:t>
            </w:r>
            <w:r w:rsidRPr="007F55F0">
              <w:rPr>
                <w:lang w:val="fr-FR"/>
              </w:rPr>
              <w:t xml:space="preserve">S INFECTIEUSES </w:t>
            </w:r>
            <w:r w:rsidR="007F55F0">
              <w:rPr>
                <w:lang w:val="fr-FR"/>
              </w:rPr>
              <w:br/>
            </w:r>
            <w:r w:rsidRPr="007F55F0">
              <w:rPr>
                <w:lang w:val="fr-FR"/>
              </w:rPr>
              <w:t>POUR LES ANIMAUX DE LA CATÉGORIE A</w:t>
            </w:r>
            <w:r w:rsidR="00BC5E37">
              <w:rPr>
                <w:lang w:val="fr-FR"/>
              </w:rPr>
              <w:t xml:space="preserve"> </w:t>
            </w:r>
            <w:r w:rsidR="0083695B">
              <w:rPr>
                <w:lang w:val="fr-FR"/>
              </w:rPr>
              <w:t>uniquement</w:t>
            </w:r>
          </w:p>
        </w:tc>
        <w:tc>
          <w:tcPr>
            <w:tcW w:w="992" w:type="dxa"/>
            <w:tcBorders>
              <w:bottom w:val="single" w:sz="12" w:space="0" w:color="auto"/>
            </w:tcBorders>
            <w:shd w:val="clear" w:color="auto" w:fill="auto"/>
          </w:tcPr>
          <w:p w:rsidR="00DF5544" w:rsidRPr="007F55F0" w:rsidRDefault="00DF5544" w:rsidP="007F55F0">
            <w:pPr>
              <w:spacing w:before="40" w:after="120"/>
              <w:ind w:right="113"/>
              <w:rPr>
                <w:b/>
              </w:rPr>
            </w:pPr>
            <w:r w:rsidRPr="007F55F0">
              <w:rPr>
                <w:b/>
                <w:lang w:val="fr-FR"/>
              </w:rPr>
              <w:t>6.2</w:t>
            </w:r>
          </w:p>
        </w:tc>
        <w:tc>
          <w:tcPr>
            <w:tcW w:w="1133" w:type="dxa"/>
            <w:tcBorders>
              <w:bottom w:val="single" w:sz="12" w:space="0" w:color="auto"/>
            </w:tcBorders>
            <w:shd w:val="clear" w:color="auto" w:fill="auto"/>
          </w:tcPr>
          <w:p w:rsidR="00DF5544" w:rsidRPr="007F55F0" w:rsidRDefault="00DF5544" w:rsidP="007F55F0">
            <w:pPr>
              <w:spacing w:before="40" w:after="120"/>
              <w:ind w:right="113"/>
              <w:rPr>
                <w:b/>
              </w:rPr>
            </w:pPr>
            <w:r w:rsidRPr="007F55F0">
              <w:rPr>
                <w:b/>
                <w:lang w:val="fr-FR"/>
              </w:rPr>
              <w:t>35XX</w:t>
            </w:r>
          </w:p>
        </w:tc>
      </w:tr>
    </w:tbl>
    <w:p w:rsidR="00DF5544" w:rsidRPr="00EC0856" w:rsidRDefault="00DF5544" w:rsidP="007F55F0">
      <w:pPr>
        <w:pStyle w:val="SingleTxtG"/>
        <w:keepNext/>
        <w:spacing w:before="240"/>
      </w:pPr>
      <w:r>
        <w:rPr>
          <w:lang w:val="fr-FR"/>
        </w:rPr>
        <w:t xml:space="preserve">Modifier le nota du 4.1.1 comme suit (nouveau texte </w:t>
      </w:r>
      <w:r w:rsidRPr="007F55F0">
        <w:rPr>
          <w:u w:val="single"/>
          <w:lang w:val="fr-FR"/>
        </w:rPr>
        <w:t>souligné</w:t>
      </w:r>
      <w:r>
        <w:rPr>
          <w:lang w:val="fr-FR"/>
        </w:rPr>
        <w:t>)</w:t>
      </w:r>
      <w:r w:rsidR="00A057A2">
        <w:rPr>
          <w:lang w:val="fr-FR"/>
        </w:rPr>
        <w:t> :</w:t>
      </w:r>
    </w:p>
    <w:p w:rsidR="00DF5544" w:rsidRPr="003A0B9A" w:rsidRDefault="00BC5E37" w:rsidP="007F55F0">
      <w:pPr>
        <w:pStyle w:val="SingleTxtG"/>
        <w:rPr>
          <w:b/>
        </w:rPr>
      </w:pPr>
      <w:r w:rsidRPr="00BC5E37">
        <w:rPr>
          <w:b/>
          <w:lang w:val="fr-FR"/>
        </w:rPr>
        <w:t>Nota</w:t>
      </w:r>
      <w:r>
        <w:rPr>
          <w:lang w:val="fr-FR"/>
        </w:rPr>
        <w:t xml:space="preserve"> : </w:t>
      </w:r>
      <w:r w:rsidR="00DF5544">
        <w:rPr>
          <w:lang w:val="fr-FR"/>
        </w:rPr>
        <w:t>Pour l</w:t>
      </w:r>
      <w:r w:rsidR="00BB7FD4">
        <w:rPr>
          <w:lang w:val="fr-FR"/>
        </w:rPr>
        <w:t>’</w:t>
      </w:r>
      <w:r w:rsidR="00DF5544">
        <w:rPr>
          <w:lang w:val="fr-FR"/>
        </w:rPr>
        <w:t xml:space="preserve">emballage des marchandises de la classe 2, de </w:t>
      </w:r>
      <w:r>
        <w:rPr>
          <w:lang w:val="fr-FR"/>
        </w:rPr>
        <w:t>la division 6.2 et de la classe </w:t>
      </w:r>
      <w:r w:rsidR="00DF5544">
        <w:rPr>
          <w:lang w:val="fr-FR"/>
        </w:rPr>
        <w:t>7, les dispositions générales de la présente section s</w:t>
      </w:r>
      <w:r w:rsidR="00BB7FD4">
        <w:rPr>
          <w:lang w:val="fr-FR"/>
        </w:rPr>
        <w:t>’</w:t>
      </w:r>
      <w:r w:rsidR="00DF5544">
        <w:rPr>
          <w:lang w:val="fr-FR"/>
        </w:rPr>
        <w:t xml:space="preserve">appliquent uniquement dans les conditions indiquées aux 4.1.8.2 (division 6.2, </w:t>
      </w:r>
      <w:r w:rsidR="00DF5544" w:rsidRPr="00B923B1">
        <w:rPr>
          <w:u w:val="single"/>
          <w:lang w:val="fr-FR"/>
        </w:rPr>
        <w:t>No</w:t>
      </w:r>
      <w:r w:rsidR="00457BFD">
        <w:rPr>
          <w:u w:val="single"/>
          <w:lang w:val="fr-FR"/>
        </w:rPr>
        <w:t>s</w:t>
      </w:r>
      <w:r w:rsidR="00DF5544" w:rsidRPr="00B923B1">
        <w:rPr>
          <w:u w:val="single"/>
          <w:lang w:val="fr-FR"/>
        </w:rPr>
        <w:t xml:space="preserve"> ONU 2814 et 2900</w:t>
      </w:r>
      <w:r>
        <w:rPr>
          <w:lang w:val="fr-FR"/>
        </w:rPr>
        <w:t>), 4.1.9.1.5 (classe </w:t>
      </w:r>
      <w:r w:rsidR="00DF5544">
        <w:rPr>
          <w:lang w:val="fr-FR"/>
        </w:rPr>
        <w:t>7) et dans les instructions d</w:t>
      </w:r>
      <w:r w:rsidR="00BB7FD4">
        <w:rPr>
          <w:lang w:val="fr-FR"/>
        </w:rPr>
        <w:t>’</w:t>
      </w:r>
      <w:r w:rsidR="00DF5544">
        <w:rPr>
          <w:lang w:val="fr-FR"/>
        </w:rPr>
        <w:t>emballage pertinentes du 4.1.4 (P201, P207 et LP02 pour la classe</w:t>
      </w:r>
      <w:r>
        <w:rPr>
          <w:lang w:val="fr-FR"/>
        </w:rPr>
        <w:t> </w:t>
      </w:r>
      <w:r w:rsidR="00DF5544">
        <w:rPr>
          <w:lang w:val="fr-FR"/>
        </w:rPr>
        <w:t>2 et P620, P621, P6XX, IBC620, LP621 et LP6XX pour la division 6.2).</w:t>
      </w:r>
    </w:p>
    <w:p w:rsidR="00DF5544" w:rsidRPr="009422BD" w:rsidRDefault="00DF5544" w:rsidP="007F55F0">
      <w:pPr>
        <w:pStyle w:val="SingleTxtG"/>
        <w:keepNext/>
      </w:pPr>
      <w:r>
        <w:rPr>
          <w:lang w:val="fr-FR"/>
        </w:rPr>
        <w:t>Modifier le titre du chapitre 6.3 comme suit</w:t>
      </w:r>
      <w:r w:rsidR="00A057A2">
        <w:rPr>
          <w:lang w:val="fr-FR"/>
        </w:rPr>
        <w:t> :</w:t>
      </w:r>
      <w:r>
        <w:rPr>
          <w:lang w:val="fr-FR"/>
        </w:rPr>
        <w:t xml:space="preserve"> </w:t>
      </w:r>
    </w:p>
    <w:p w:rsidR="00DF5544" w:rsidRPr="00180B19" w:rsidRDefault="00DF5544" w:rsidP="007F55F0">
      <w:pPr>
        <w:pStyle w:val="HChG"/>
      </w:pPr>
      <w:r>
        <w:rPr>
          <w:lang w:val="fr-FR"/>
        </w:rPr>
        <w:tab/>
      </w:r>
      <w:r>
        <w:rPr>
          <w:lang w:val="fr-FR"/>
        </w:rPr>
        <w:tab/>
      </w:r>
      <w:r w:rsidRPr="007F55F0">
        <w:rPr>
          <w:b w:val="0"/>
          <w:sz w:val="20"/>
          <w:lang w:val="fr-FR"/>
        </w:rPr>
        <w:t>«</w:t>
      </w:r>
      <w:r w:rsidR="007F55F0">
        <w:rPr>
          <w:b w:val="0"/>
          <w:sz w:val="20"/>
          <w:lang w:val="fr-FR"/>
        </w:rPr>
        <w:t> </w:t>
      </w:r>
      <w:r>
        <w:rPr>
          <w:lang w:val="fr-FR"/>
        </w:rPr>
        <w:t>Chapitre 6.3</w:t>
      </w:r>
    </w:p>
    <w:p w:rsidR="00DF5544" w:rsidRDefault="00DF5544" w:rsidP="007F55F0">
      <w:pPr>
        <w:pStyle w:val="HChG"/>
        <w:rPr>
          <w:sz w:val="24"/>
          <w:szCs w:val="22"/>
        </w:rPr>
      </w:pPr>
      <w:r>
        <w:rPr>
          <w:lang w:val="fr-FR"/>
        </w:rPr>
        <w:tab/>
      </w:r>
      <w:r>
        <w:rPr>
          <w:lang w:val="fr-FR"/>
        </w:rPr>
        <w:tab/>
        <w:t xml:space="preserve">Prescriptions relatives à la fabrication des emballages </w:t>
      </w:r>
      <w:r w:rsidR="007F55F0">
        <w:rPr>
          <w:lang w:val="fr-FR"/>
        </w:rPr>
        <w:br/>
      </w:r>
      <w:r>
        <w:rPr>
          <w:lang w:val="fr-FR"/>
        </w:rPr>
        <w:t xml:space="preserve">pour les matières infectieuses de la </w:t>
      </w:r>
      <w:r w:rsidR="007F55F0">
        <w:rPr>
          <w:lang w:val="fr-FR"/>
        </w:rPr>
        <w:t>c</w:t>
      </w:r>
      <w:r>
        <w:rPr>
          <w:lang w:val="fr-FR"/>
        </w:rPr>
        <w:t xml:space="preserve">atégorie A </w:t>
      </w:r>
      <w:r w:rsidR="007F55F0">
        <w:rPr>
          <w:lang w:val="fr-FR"/>
        </w:rPr>
        <w:br/>
      </w:r>
      <w:r>
        <w:rPr>
          <w:lang w:val="fr-FR"/>
        </w:rPr>
        <w:t xml:space="preserve">de la </w:t>
      </w:r>
      <w:r w:rsidR="00BC5E37">
        <w:rPr>
          <w:lang w:val="fr-FR"/>
        </w:rPr>
        <w:t>d</w:t>
      </w:r>
      <w:r>
        <w:rPr>
          <w:lang w:val="fr-FR"/>
        </w:rPr>
        <w:t xml:space="preserve">ivision 6.2 (ONU 2814 et ONU 2900) </w:t>
      </w:r>
      <w:r w:rsidR="007F55F0">
        <w:rPr>
          <w:lang w:val="fr-FR"/>
        </w:rPr>
        <w:br/>
      </w:r>
      <w:r>
        <w:rPr>
          <w:lang w:val="fr-FR"/>
        </w:rPr>
        <w:t>et aux épreuves auxquelles ils sont soumis</w:t>
      </w:r>
      <w:r w:rsidR="007F55F0">
        <w:rPr>
          <w:lang w:val="fr-FR"/>
        </w:rPr>
        <w:t> </w:t>
      </w:r>
      <w:r w:rsidRPr="007F55F0">
        <w:rPr>
          <w:b w:val="0"/>
          <w:sz w:val="20"/>
          <w:lang w:val="fr-FR"/>
        </w:rPr>
        <w:t>»</w:t>
      </w:r>
    </w:p>
    <w:p w:rsidR="00DF5544" w:rsidRPr="007F55F0" w:rsidRDefault="00DF5544" w:rsidP="007F55F0">
      <w:pPr>
        <w:pStyle w:val="H1G"/>
        <w:rPr>
          <w:lang w:val="fr-FR"/>
        </w:rPr>
      </w:pPr>
      <w:r w:rsidRPr="00AF5B04">
        <w:rPr>
          <w:lang w:val="fr-FR"/>
        </w:rPr>
        <w:br w:type="page"/>
      </w:r>
      <w:r>
        <w:rPr>
          <w:lang w:val="fr-FR"/>
        </w:rPr>
        <w:tab/>
      </w:r>
      <w:r>
        <w:rPr>
          <w:lang w:val="fr-FR"/>
        </w:rPr>
        <w:tab/>
        <w:t>Instructions d</w:t>
      </w:r>
      <w:r w:rsidR="00BB7FD4">
        <w:rPr>
          <w:lang w:val="fr-FR"/>
        </w:rPr>
        <w:t>’</w:t>
      </w:r>
      <w:r>
        <w:rPr>
          <w:lang w:val="fr-FR"/>
        </w:rPr>
        <w:t>emballage</w:t>
      </w:r>
    </w:p>
    <w:p w:rsidR="00DF5544" w:rsidRPr="00EC0856" w:rsidRDefault="00DF5544" w:rsidP="007F55F0">
      <w:pPr>
        <w:pStyle w:val="SingleTxtG"/>
        <w:keepNext/>
      </w:pPr>
      <w:r>
        <w:rPr>
          <w:lang w:val="fr-FR"/>
        </w:rPr>
        <w:t>L</w:t>
      </w:r>
      <w:r w:rsidR="00BB7FD4">
        <w:rPr>
          <w:lang w:val="fr-FR"/>
        </w:rPr>
        <w:t>’</w:t>
      </w:r>
      <w:r>
        <w:rPr>
          <w:lang w:val="fr-FR"/>
        </w:rPr>
        <w:t>instruction pour les emballages serait la suivante</w:t>
      </w:r>
      <w:r w:rsidR="00A057A2">
        <w:rPr>
          <w:lang w:val="fr-FR"/>
        </w:rPr>
        <w:t>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DF5544" w:rsidRPr="004F44C4" w:rsidTr="00FC76E0">
        <w:tc>
          <w:tcPr>
            <w:tcW w:w="855" w:type="dxa"/>
            <w:tcBorders>
              <w:top w:val="single" w:sz="4" w:space="0" w:color="000000"/>
              <w:bottom w:val="single" w:sz="4" w:space="0" w:color="000000"/>
            </w:tcBorders>
          </w:tcPr>
          <w:p w:rsidR="00DF5544" w:rsidRPr="004F44C4" w:rsidRDefault="00DF5544" w:rsidP="00236B1A">
            <w:pPr>
              <w:spacing w:before="40" w:after="40"/>
              <w:rPr>
                <w:b/>
                <w:bCs/>
                <w:color w:val="000000"/>
                <w:sz w:val="18"/>
                <w:szCs w:val="18"/>
              </w:rPr>
            </w:pPr>
            <w:r>
              <w:rPr>
                <w:b/>
                <w:bCs/>
                <w:lang w:val="fr-FR"/>
              </w:rPr>
              <w:t>P6XX</w:t>
            </w:r>
          </w:p>
        </w:tc>
        <w:tc>
          <w:tcPr>
            <w:tcW w:w="7938" w:type="dxa"/>
            <w:gridSpan w:val="3"/>
            <w:tcBorders>
              <w:top w:val="single" w:sz="4" w:space="0" w:color="000000"/>
              <w:bottom w:val="single" w:sz="4" w:space="0" w:color="000000"/>
            </w:tcBorders>
          </w:tcPr>
          <w:p w:rsidR="00DF5544" w:rsidRPr="004F44C4" w:rsidRDefault="00DF5544" w:rsidP="00236B1A">
            <w:pPr>
              <w:spacing w:before="40" w:after="40"/>
              <w:jc w:val="center"/>
              <w:rPr>
                <w:b/>
                <w:bCs/>
                <w:color w:val="000000"/>
                <w:sz w:val="18"/>
                <w:szCs w:val="18"/>
              </w:rPr>
            </w:pPr>
            <w:r>
              <w:rPr>
                <w:b/>
                <w:bCs/>
                <w:lang w:val="fr-FR"/>
              </w:rPr>
              <w:t>INSTRUCTION D</w:t>
            </w:r>
            <w:r w:rsidR="00BB7FD4">
              <w:rPr>
                <w:b/>
                <w:bCs/>
                <w:lang w:val="fr-FR"/>
              </w:rPr>
              <w:t>’</w:t>
            </w:r>
            <w:r>
              <w:rPr>
                <w:b/>
                <w:bCs/>
                <w:lang w:val="fr-FR"/>
              </w:rPr>
              <w:t>EMBALLAGE</w:t>
            </w:r>
          </w:p>
        </w:tc>
        <w:tc>
          <w:tcPr>
            <w:tcW w:w="850" w:type="dxa"/>
            <w:tcBorders>
              <w:top w:val="single" w:sz="4" w:space="0" w:color="000000"/>
              <w:bottom w:val="single" w:sz="4" w:space="0" w:color="000000"/>
            </w:tcBorders>
          </w:tcPr>
          <w:p w:rsidR="00DF5544" w:rsidRPr="004F44C4" w:rsidRDefault="00DF5544" w:rsidP="00236B1A">
            <w:pPr>
              <w:spacing w:before="40" w:after="40"/>
              <w:rPr>
                <w:b/>
                <w:bCs/>
                <w:color w:val="000000"/>
                <w:sz w:val="18"/>
                <w:szCs w:val="18"/>
              </w:rPr>
            </w:pPr>
            <w:r>
              <w:rPr>
                <w:b/>
                <w:bCs/>
                <w:lang w:val="fr-FR"/>
              </w:rPr>
              <w:t>P6XX</w:t>
            </w:r>
          </w:p>
        </w:tc>
      </w:tr>
      <w:tr w:rsidR="00DF5544" w:rsidRPr="004F44C4" w:rsidTr="00FC76E0">
        <w:tc>
          <w:tcPr>
            <w:tcW w:w="9643" w:type="dxa"/>
            <w:gridSpan w:val="5"/>
            <w:tcBorders>
              <w:top w:val="single" w:sz="4" w:space="0" w:color="000000"/>
              <w:bottom w:val="single" w:sz="4" w:space="0" w:color="000000"/>
            </w:tcBorders>
          </w:tcPr>
          <w:p w:rsidR="00DF5544" w:rsidRPr="004F44C4" w:rsidRDefault="00DF5544" w:rsidP="00457BFD">
            <w:pPr>
              <w:kinsoku/>
              <w:overflowPunct/>
              <w:autoSpaceDE/>
              <w:autoSpaceDN/>
              <w:adjustRightInd/>
              <w:snapToGrid/>
              <w:spacing w:before="40" w:after="40" w:line="240" w:lineRule="auto"/>
              <w:rPr>
                <w:color w:val="000000"/>
                <w:sz w:val="18"/>
                <w:szCs w:val="18"/>
              </w:rPr>
            </w:pPr>
            <w:r>
              <w:rPr>
                <w:lang w:val="fr-FR"/>
              </w:rPr>
              <w:t>La présente instruction s</w:t>
            </w:r>
            <w:r w:rsidR="00BB7FD4">
              <w:rPr>
                <w:lang w:val="fr-FR"/>
              </w:rPr>
              <w:t>’</w:t>
            </w:r>
            <w:r>
              <w:rPr>
                <w:lang w:val="fr-FR"/>
              </w:rPr>
              <w:t>applique aux déchets médicaux ou déchets d</w:t>
            </w:r>
            <w:r w:rsidR="00BB7FD4">
              <w:rPr>
                <w:lang w:val="fr-FR"/>
              </w:rPr>
              <w:t>’</w:t>
            </w:r>
            <w:r>
              <w:rPr>
                <w:lang w:val="fr-FR"/>
              </w:rPr>
              <w:t>hôpital solides affectés au No ONU 35XX transportés en vue de leur élimination.</w:t>
            </w:r>
          </w:p>
        </w:tc>
      </w:tr>
      <w:tr w:rsidR="00DF5544" w:rsidRPr="004F44C4" w:rsidTr="00FC76E0">
        <w:tc>
          <w:tcPr>
            <w:tcW w:w="9643" w:type="dxa"/>
            <w:gridSpan w:val="5"/>
            <w:tcBorders>
              <w:top w:val="single" w:sz="4" w:space="0" w:color="000000"/>
              <w:bottom w:val="single" w:sz="4" w:space="0" w:color="000000"/>
            </w:tcBorders>
          </w:tcPr>
          <w:p w:rsidR="00DF5544" w:rsidRPr="004F44C4" w:rsidRDefault="00DF5544" w:rsidP="00236B1A">
            <w:pPr>
              <w:kinsoku/>
              <w:overflowPunct/>
              <w:autoSpaceDE/>
              <w:autoSpaceDN/>
              <w:adjustRightInd/>
              <w:snapToGrid/>
              <w:spacing w:before="40" w:after="40" w:line="240" w:lineRule="auto"/>
              <w:rPr>
                <w:color w:val="000000"/>
                <w:sz w:val="18"/>
                <w:szCs w:val="18"/>
              </w:rPr>
            </w:pPr>
            <w:r>
              <w:rPr>
                <w:lang w:val="fr-FR"/>
              </w:rPr>
              <w:t>Les emballages suivants sont autorisés s</w:t>
            </w:r>
            <w:r w:rsidR="00BB7FD4">
              <w:rPr>
                <w:lang w:val="fr-FR"/>
              </w:rPr>
              <w:t>’</w:t>
            </w:r>
            <w:r>
              <w:rPr>
                <w:lang w:val="fr-FR"/>
              </w:rPr>
              <w:t xml:space="preserve">il est satisfait aux dispositions générales des </w:t>
            </w:r>
            <w:r w:rsidRPr="00B923B1">
              <w:rPr>
                <w:b/>
                <w:lang w:val="fr-FR"/>
              </w:rPr>
              <w:t>4.1.1</w:t>
            </w:r>
            <w:r>
              <w:rPr>
                <w:lang w:val="fr-FR"/>
              </w:rPr>
              <w:t xml:space="preserve"> et </w:t>
            </w:r>
            <w:r w:rsidRPr="00B923B1">
              <w:rPr>
                <w:b/>
                <w:lang w:val="fr-FR"/>
              </w:rPr>
              <w:t>4.1.3</w:t>
            </w:r>
            <w:r w:rsidR="00A057A2">
              <w:rPr>
                <w:lang w:val="fr-FR"/>
              </w:rPr>
              <w:t> :</w:t>
            </w:r>
          </w:p>
        </w:tc>
      </w:tr>
      <w:tr w:rsidR="00DF5544" w:rsidRPr="004F44C4" w:rsidTr="00FC76E0">
        <w:tc>
          <w:tcPr>
            <w:tcW w:w="3214" w:type="dxa"/>
            <w:gridSpan w:val="2"/>
            <w:tcBorders>
              <w:top w:val="single" w:sz="4" w:space="0" w:color="000000"/>
              <w:bottom w:val="single" w:sz="4" w:space="0" w:color="000000"/>
              <w:right w:val="single" w:sz="4" w:space="0" w:color="auto"/>
            </w:tcBorders>
          </w:tcPr>
          <w:p w:rsidR="00DF5544" w:rsidRPr="004F44C4" w:rsidRDefault="00DF5544" w:rsidP="00236B1A">
            <w:pPr>
              <w:spacing w:before="40" w:after="40"/>
              <w:rPr>
                <w:b/>
                <w:color w:val="000000"/>
                <w:sz w:val="18"/>
                <w:szCs w:val="18"/>
              </w:rPr>
            </w:pPr>
            <w:r>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DF5544" w:rsidRPr="004F44C4" w:rsidRDefault="00DF5544" w:rsidP="00236B1A">
            <w:pPr>
              <w:spacing w:before="40" w:after="40"/>
              <w:rPr>
                <w:b/>
                <w:color w:val="000000"/>
                <w:sz w:val="18"/>
                <w:szCs w:val="18"/>
              </w:rPr>
            </w:pPr>
            <w:r>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DF5544" w:rsidRPr="004F44C4" w:rsidRDefault="00DF5544" w:rsidP="00236B1A">
            <w:pPr>
              <w:spacing w:before="40" w:after="40"/>
              <w:rPr>
                <w:b/>
                <w:color w:val="000000"/>
                <w:sz w:val="18"/>
                <w:szCs w:val="18"/>
              </w:rPr>
            </w:pPr>
            <w:r>
              <w:rPr>
                <w:b/>
                <w:bCs/>
                <w:lang w:val="fr-FR"/>
              </w:rPr>
              <w:t>Emballages extérieurs</w:t>
            </w:r>
          </w:p>
        </w:tc>
      </w:tr>
      <w:tr w:rsidR="00DF5544" w:rsidRPr="004F44C4" w:rsidTr="00FC76E0">
        <w:trPr>
          <w:trHeight w:val="2897"/>
        </w:trPr>
        <w:tc>
          <w:tcPr>
            <w:tcW w:w="3214" w:type="dxa"/>
            <w:gridSpan w:val="2"/>
            <w:tcBorders>
              <w:top w:val="single" w:sz="4" w:space="0" w:color="000000"/>
              <w:bottom w:val="single" w:sz="4" w:space="0" w:color="000000"/>
              <w:right w:val="single" w:sz="4" w:space="0" w:color="auto"/>
            </w:tcBorders>
          </w:tcPr>
          <w:p w:rsidR="00DF5544" w:rsidRPr="004F44C4" w:rsidRDefault="00DF5544" w:rsidP="00236B1A">
            <w:pPr>
              <w:spacing w:before="40" w:after="40"/>
              <w:rPr>
                <w:color w:val="000000"/>
                <w:sz w:val="18"/>
                <w:szCs w:val="18"/>
              </w:rPr>
            </w:pPr>
            <w:r>
              <w:rPr>
                <w:lang w:val="fr-FR"/>
              </w:rPr>
              <w:t>en verre</w:t>
            </w:r>
          </w:p>
          <w:p w:rsidR="00DF5544" w:rsidRPr="004F44C4" w:rsidRDefault="00DF5544" w:rsidP="00236B1A">
            <w:pPr>
              <w:spacing w:before="40" w:after="40"/>
              <w:rPr>
                <w:color w:val="000000"/>
                <w:sz w:val="18"/>
                <w:szCs w:val="18"/>
              </w:rPr>
            </w:pPr>
            <w:r>
              <w:rPr>
                <w:lang w:val="fr-FR"/>
              </w:rPr>
              <w:t>en métal</w:t>
            </w:r>
          </w:p>
          <w:p w:rsidR="00DF5544" w:rsidRPr="004F44C4" w:rsidRDefault="00DF5544" w:rsidP="00236B1A">
            <w:pPr>
              <w:spacing w:before="40" w:after="40"/>
              <w:rPr>
                <w:color w:val="000000"/>
                <w:sz w:val="18"/>
                <w:szCs w:val="18"/>
              </w:rPr>
            </w:pPr>
            <w:r>
              <w:rPr>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DF5544" w:rsidRPr="004F44C4" w:rsidRDefault="00DF5544" w:rsidP="00236B1A">
            <w:pPr>
              <w:spacing w:before="40" w:after="40"/>
              <w:rPr>
                <w:color w:val="000000"/>
                <w:sz w:val="18"/>
                <w:szCs w:val="18"/>
              </w:rPr>
            </w:pPr>
            <w:r>
              <w:rPr>
                <w:lang w:val="fr-FR"/>
              </w:rPr>
              <w:t>en métal</w:t>
            </w:r>
          </w:p>
          <w:p w:rsidR="00DF5544" w:rsidRPr="004F44C4" w:rsidRDefault="00DF5544" w:rsidP="00236B1A">
            <w:pPr>
              <w:spacing w:before="40" w:after="40"/>
              <w:rPr>
                <w:color w:val="000000"/>
                <w:sz w:val="18"/>
                <w:szCs w:val="18"/>
              </w:rPr>
            </w:pPr>
            <w:r>
              <w:rPr>
                <w:lang w:val="fr-FR"/>
              </w:rPr>
              <w:t>en plastique</w:t>
            </w:r>
          </w:p>
        </w:tc>
        <w:tc>
          <w:tcPr>
            <w:tcW w:w="3215" w:type="dxa"/>
            <w:gridSpan w:val="2"/>
            <w:tcBorders>
              <w:top w:val="single" w:sz="4" w:space="0" w:color="000000"/>
              <w:left w:val="single" w:sz="4" w:space="0" w:color="auto"/>
              <w:bottom w:val="single" w:sz="4" w:space="0" w:color="000000"/>
            </w:tcBorders>
          </w:tcPr>
          <w:p w:rsidR="00DF5544" w:rsidRPr="004F44C4" w:rsidRDefault="00DF5544" w:rsidP="00236B1A">
            <w:pPr>
              <w:spacing w:before="40" w:after="40"/>
              <w:rPr>
                <w:b/>
                <w:color w:val="000000"/>
                <w:sz w:val="18"/>
                <w:szCs w:val="18"/>
              </w:rPr>
            </w:pPr>
            <w:r>
              <w:rPr>
                <w:b/>
                <w:bCs/>
                <w:lang w:val="fr-FR"/>
              </w:rPr>
              <w:t>Caisses</w:t>
            </w:r>
          </w:p>
          <w:p w:rsidR="00DF5544" w:rsidRPr="004F44C4" w:rsidRDefault="00DF5544" w:rsidP="00236B1A">
            <w:pPr>
              <w:spacing w:before="40" w:after="40"/>
              <w:rPr>
                <w:color w:val="000000"/>
                <w:sz w:val="18"/>
                <w:szCs w:val="18"/>
              </w:rPr>
            </w:pPr>
            <w:r>
              <w:rPr>
                <w:lang w:val="fr-FR"/>
              </w:rPr>
              <w:t>en acier (4A)</w:t>
            </w:r>
          </w:p>
          <w:p w:rsidR="00DF5544" w:rsidRPr="004F44C4" w:rsidRDefault="00DF5544" w:rsidP="00236B1A">
            <w:pPr>
              <w:spacing w:before="40" w:after="40"/>
              <w:rPr>
                <w:color w:val="000000"/>
                <w:sz w:val="18"/>
                <w:szCs w:val="18"/>
              </w:rPr>
            </w:pPr>
            <w:r>
              <w:rPr>
                <w:lang w:val="fr-FR"/>
              </w:rPr>
              <w:t>en aluminium (4B)</w:t>
            </w:r>
          </w:p>
          <w:p w:rsidR="00DF5544" w:rsidRPr="004F44C4" w:rsidRDefault="00457BFD" w:rsidP="00236B1A">
            <w:pPr>
              <w:spacing w:before="40" w:after="40"/>
              <w:rPr>
                <w:color w:val="000000"/>
                <w:sz w:val="18"/>
                <w:szCs w:val="18"/>
              </w:rPr>
            </w:pPr>
            <w:r>
              <w:rPr>
                <w:lang w:val="fr-FR"/>
              </w:rPr>
              <w:t>en contre</w:t>
            </w:r>
            <w:r w:rsidR="00DF5544">
              <w:rPr>
                <w:lang w:val="fr-FR"/>
              </w:rPr>
              <w:t>plaqué (4D)</w:t>
            </w:r>
          </w:p>
          <w:p w:rsidR="00DF5544" w:rsidRPr="004F44C4" w:rsidRDefault="00DF5544" w:rsidP="00236B1A">
            <w:pPr>
              <w:spacing w:before="40" w:after="40"/>
              <w:rPr>
                <w:color w:val="000000"/>
                <w:sz w:val="18"/>
                <w:szCs w:val="18"/>
              </w:rPr>
            </w:pPr>
            <w:r>
              <w:rPr>
                <w:lang w:val="fr-FR"/>
              </w:rPr>
              <w:t>en carton rigide (4G)</w:t>
            </w:r>
          </w:p>
          <w:p w:rsidR="00DF5544" w:rsidRPr="004F44C4" w:rsidRDefault="00DF5544" w:rsidP="00236B1A">
            <w:pPr>
              <w:spacing w:before="40" w:after="40"/>
              <w:rPr>
                <w:color w:val="000000"/>
                <w:sz w:val="18"/>
                <w:szCs w:val="18"/>
              </w:rPr>
            </w:pPr>
            <w:r>
              <w:rPr>
                <w:lang w:val="fr-FR"/>
              </w:rPr>
              <w:t>en un autre métal (4N)</w:t>
            </w:r>
          </w:p>
          <w:p w:rsidR="00DF5544" w:rsidRPr="004F44C4" w:rsidRDefault="00DF5544" w:rsidP="00236B1A">
            <w:pPr>
              <w:spacing w:before="40" w:after="40"/>
              <w:rPr>
                <w:color w:val="000000"/>
                <w:sz w:val="18"/>
                <w:szCs w:val="18"/>
              </w:rPr>
            </w:pPr>
            <w:r>
              <w:rPr>
                <w:lang w:val="fr-FR"/>
              </w:rPr>
              <w:t>en plastique rigide (4H2)</w:t>
            </w:r>
          </w:p>
          <w:p w:rsidR="00DF5544" w:rsidRPr="004F44C4" w:rsidRDefault="00DF5544" w:rsidP="00236B1A">
            <w:pPr>
              <w:spacing w:before="40" w:after="40"/>
              <w:rPr>
                <w:b/>
                <w:color w:val="000000"/>
                <w:sz w:val="18"/>
                <w:szCs w:val="18"/>
              </w:rPr>
            </w:pPr>
            <w:r>
              <w:rPr>
                <w:b/>
                <w:bCs/>
                <w:lang w:val="fr-FR"/>
              </w:rPr>
              <w:t>Fûts</w:t>
            </w:r>
          </w:p>
          <w:p w:rsidR="00DF5544" w:rsidRPr="004F44C4" w:rsidRDefault="00DF5544" w:rsidP="00236B1A">
            <w:pPr>
              <w:spacing w:before="40" w:after="40"/>
              <w:rPr>
                <w:color w:val="000000"/>
                <w:sz w:val="18"/>
                <w:szCs w:val="18"/>
              </w:rPr>
            </w:pPr>
            <w:r>
              <w:rPr>
                <w:lang w:val="fr-FR"/>
              </w:rPr>
              <w:t>en acier (1A2)</w:t>
            </w:r>
          </w:p>
          <w:p w:rsidR="00DF5544" w:rsidRPr="004F44C4" w:rsidRDefault="00DF5544" w:rsidP="00236B1A">
            <w:pPr>
              <w:spacing w:before="40" w:after="40"/>
              <w:rPr>
                <w:color w:val="000000"/>
                <w:sz w:val="18"/>
                <w:szCs w:val="18"/>
              </w:rPr>
            </w:pPr>
            <w:r>
              <w:rPr>
                <w:lang w:val="fr-FR"/>
              </w:rPr>
              <w:t>en aluminium (</w:t>
            </w:r>
            <w:r w:rsidR="002C3963">
              <w:rPr>
                <w:lang w:val="fr-FR"/>
              </w:rPr>
              <w:t>1B2</w:t>
            </w:r>
            <w:r>
              <w:rPr>
                <w:lang w:val="fr-FR"/>
              </w:rPr>
              <w:t>)</w:t>
            </w:r>
          </w:p>
          <w:p w:rsidR="00DF5544" w:rsidRPr="004F44C4" w:rsidRDefault="00DF5544" w:rsidP="00236B1A">
            <w:pPr>
              <w:spacing w:before="40" w:after="40"/>
              <w:rPr>
                <w:color w:val="000000"/>
                <w:sz w:val="18"/>
                <w:szCs w:val="18"/>
              </w:rPr>
            </w:pPr>
            <w:r>
              <w:rPr>
                <w:lang w:val="fr-FR"/>
              </w:rPr>
              <w:t>en contre-plaqué (1D)</w:t>
            </w:r>
          </w:p>
          <w:p w:rsidR="00DF5544" w:rsidRPr="004F44C4" w:rsidRDefault="00DF5544" w:rsidP="00236B1A">
            <w:pPr>
              <w:spacing w:before="40" w:after="40"/>
              <w:rPr>
                <w:color w:val="000000"/>
                <w:sz w:val="18"/>
                <w:szCs w:val="18"/>
              </w:rPr>
            </w:pPr>
            <w:r>
              <w:rPr>
                <w:lang w:val="fr-FR"/>
              </w:rPr>
              <w:t>en carton (1G)</w:t>
            </w:r>
          </w:p>
          <w:p w:rsidR="00DF5544" w:rsidRPr="004F44C4" w:rsidRDefault="00DF5544" w:rsidP="00236B1A">
            <w:pPr>
              <w:spacing w:before="40" w:after="40"/>
              <w:rPr>
                <w:color w:val="000000"/>
                <w:sz w:val="18"/>
                <w:szCs w:val="18"/>
              </w:rPr>
            </w:pPr>
            <w:r>
              <w:rPr>
                <w:lang w:val="fr-FR"/>
              </w:rPr>
              <w:t>en un autre métal (1N2)</w:t>
            </w:r>
          </w:p>
          <w:p w:rsidR="00DF5544" w:rsidRPr="004F44C4" w:rsidRDefault="00DF5544" w:rsidP="00236B1A">
            <w:pPr>
              <w:spacing w:before="40" w:after="40"/>
              <w:rPr>
                <w:color w:val="000000"/>
                <w:sz w:val="18"/>
                <w:szCs w:val="18"/>
              </w:rPr>
            </w:pPr>
            <w:r>
              <w:rPr>
                <w:lang w:val="fr-FR"/>
              </w:rPr>
              <w:t>en plastique (1H2)</w:t>
            </w:r>
          </w:p>
          <w:p w:rsidR="00DF5544" w:rsidRPr="004F44C4" w:rsidRDefault="00DF5544" w:rsidP="00236B1A">
            <w:pPr>
              <w:spacing w:before="40" w:after="40"/>
              <w:rPr>
                <w:b/>
                <w:color w:val="000000"/>
                <w:sz w:val="18"/>
                <w:szCs w:val="18"/>
              </w:rPr>
            </w:pPr>
            <w:r>
              <w:rPr>
                <w:b/>
                <w:bCs/>
                <w:lang w:val="fr-FR"/>
              </w:rPr>
              <w:t>Bidons (jerricans)</w:t>
            </w:r>
          </w:p>
          <w:p w:rsidR="00DF5544" w:rsidRPr="00AF5B04" w:rsidRDefault="00DF5544" w:rsidP="00236B1A">
            <w:pPr>
              <w:spacing w:before="40" w:after="40"/>
              <w:rPr>
                <w:color w:val="000000"/>
                <w:sz w:val="18"/>
                <w:szCs w:val="18"/>
                <w:lang w:val="es-ES"/>
              </w:rPr>
            </w:pPr>
            <w:r w:rsidRPr="00AF5B04">
              <w:rPr>
                <w:lang w:val="es-ES"/>
              </w:rPr>
              <w:t xml:space="preserve">en </w:t>
            </w:r>
            <w:proofErr w:type="spellStart"/>
            <w:r w:rsidRPr="00AF5B04">
              <w:rPr>
                <w:lang w:val="es-ES"/>
              </w:rPr>
              <w:t>acier</w:t>
            </w:r>
            <w:proofErr w:type="spellEnd"/>
            <w:r w:rsidRPr="00AF5B04">
              <w:rPr>
                <w:lang w:val="es-ES"/>
              </w:rPr>
              <w:t xml:space="preserve"> (3A2)</w:t>
            </w:r>
          </w:p>
          <w:p w:rsidR="00DF5544" w:rsidRPr="00AF5B04" w:rsidRDefault="00DF5544" w:rsidP="00236B1A">
            <w:pPr>
              <w:spacing w:before="40" w:after="40"/>
              <w:rPr>
                <w:color w:val="000000"/>
                <w:sz w:val="18"/>
                <w:szCs w:val="18"/>
                <w:lang w:val="es-ES"/>
              </w:rPr>
            </w:pPr>
            <w:r w:rsidRPr="00AF5B04">
              <w:rPr>
                <w:lang w:val="es-ES"/>
              </w:rPr>
              <w:t xml:space="preserve">en </w:t>
            </w:r>
            <w:proofErr w:type="spellStart"/>
            <w:r w:rsidRPr="00AF5B04">
              <w:rPr>
                <w:lang w:val="es-ES"/>
              </w:rPr>
              <w:t>aluminium</w:t>
            </w:r>
            <w:proofErr w:type="spellEnd"/>
            <w:r w:rsidRPr="00AF5B04">
              <w:rPr>
                <w:lang w:val="es-ES"/>
              </w:rPr>
              <w:t xml:space="preserve"> (3B2)</w:t>
            </w:r>
          </w:p>
          <w:p w:rsidR="00DF5544" w:rsidRPr="004F44C4" w:rsidRDefault="00DF5544" w:rsidP="00236B1A">
            <w:pPr>
              <w:spacing w:before="40" w:after="40"/>
              <w:rPr>
                <w:color w:val="000000"/>
                <w:sz w:val="18"/>
                <w:szCs w:val="18"/>
              </w:rPr>
            </w:pPr>
            <w:r>
              <w:rPr>
                <w:lang w:val="fr-FR"/>
              </w:rPr>
              <w:t>en plastique (3H2)</w:t>
            </w:r>
          </w:p>
        </w:tc>
      </w:tr>
      <w:tr w:rsidR="00DF5544" w:rsidRPr="004F44C4" w:rsidTr="00FC76E0">
        <w:tc>
          <w:tcPr>
            <w:tcW w:w="9643" w:type="dxa"/>
            <w:gridSpan w:val="5"/>
          </w:tcPr>
          <w:p w:rsidR="00DF5544" w:rsidRPr="004F44C4" w:rsidRDefault="00DF5544" w:rsidP="00236B1A">
            <w:pPr>
              <w:spacing w:before="40" w:after="40"/>
              <w:rPr>
                <w:color w:val="000000"/>
                <w:sz w:val="18"/>
                <w:szCs w:val="18"/>
              </w:rPr>
            </w:pPr>
            <w:r>
              <w:rPr>
                <w:lang w:val="fr-FR"/>
              </w:rPr>
              <w:t>L</w:t>
            </w:r>
            <w:r w:rsidR="00BB7FD4">
              <w:rPr>
                <w:lang w:val="fr-FR"/>
              </w:rPr>
              <w:t>’</w:t>
            </w:r>
            <w:r>
              <w:rPr>
                <w:lang w:val="fr-FR"/>
              </w:rPr>
              <w:t>emballage doit satisfaire au niveau d</w:t>
            </w:r>
            <w:r w:rsidR="00BB7FD4">
              <w:rPr>
                <w:lang w:val="fr-FR"/>
              </w:rPr>
              <w:t>’</w:t>
            </w:r>
            <w:r>
              <w:rPr>
                <w:lang w:val="fr-FR"/>
              </w:rPr>
              <w:t>épreuve du groupe d</w:t>
            </w:r>
            <w:r w:rsidR="00BB7FD4">
              <w:rPr>
                <w:lang w:val="fr-FR"/>
              </w:rPr>
              <w:t>’</w:t>
            </w:r>
            <w:r>
              <w:rPr>
                <w:lang w:val="fr-FR"/>
              </w:rPr>
              <w:t xml:space="preserve">emballage I pour les matières solides. </w:t>
            </w:r>
          </w:p>
        </w:tc>
      </w:tr>
      <w:tr w:rsidR="00DF5544" w:rsidRPr="004F44C4" w:rsidTr="005D0349">
        <w:trPr>
          <w:trHeight w:val="244"/>
        </w:trPr>
        <w:tc>
          <w:tcPr>
            <w:tcW w:w="9643" w:type="dxa"/>
            <w:gridSpan w:val="5"/>
            <w:tcBorders>
              <w:top w:val="single" w:sz="4" w:space="0" w:color="000000"/>
              <w:bottom w:val="single" w:sz="4" w:space="0" w:color="000000"/>
            </w:tcBorders>
          </w:tcPr>
          <w:p w:rsidR="00DF5544" w:rsidRPr="004F44C4" w:rsidRDefault="00DF5544" w:rsidP="00236B1A">
            <w:pPr>
              <w:spacing w:before="40" w:after="40"/>
              <w:rPr>
                <w:color w:val="000000"/>
                <w:sz w:val="18"/>
                <w:szCs w:val="18"/>
              </w:rPr>
            </w:pPr>
            <w:r>
              <w:rPr>
                <w:b/>
                <w:bCs/>
                <w:lang w:val="fr-FR"/>
              </w:rPr>
              <w:t>Disposition supplémentaire</w:t>
            </w:r>
            <w:r w:rsidR="00A057A2">
              <w:rPr>
                <w:b/>
                <w:bCs/>
                <w:lang w:val="fr-FR"/>
              </w:rPr>
              <w:t> :</w:t>
            </w:r>
          </w:p>
        </w:tc>
      </w:tr>
      <w:tr w:rsidR="00DF5544" w:rsidRPr="004F44C4" w:rsidTr="005D0349">
        <w:trPr>
          <w:trHeight w:val="360"/>
        </w:trPr>
        <w:tc>
          <w:tcPr>
            <w:tcW w:w="9643" w:type="dxa"/>
            <w:gridSpan w:val="5"/>
            <w:tcBorders>
              <w:top w:val="single" w:sz="4" w:space="0" w:color="000000"/>
              <w:bottom w:val="nil"/>
            </w:tcBorders>
            <w:vAlign w:val="center"/>
          </w:tcPr>
          <w:p w:rsidR="00DF5544" w:rsidRPr="00457BFD" w:rsidRDefault="00C121C3" w:rsidP="00C121C3">
            <w:pPr>
              <w:kinsoku/>
              <w:overflowPunct/>
              <w:autoSpaceDE/>
              <w:autoSpaceDN/>
              <w:adjustRightInd/>
              <w:snapToGrid/>
              <w:spacing w:before="40" w:after="40"/>
              <w:ind w:left="284" w:hanging="284"/>
              <w:rPr>
                <w:color w:val="000000"/>
              </w:rPr>
            </w:pPr>
            <w:r>
              <w:rPr>
                <w:lang w:val="fr-FR"/>
              </w:rPr>
              <w:t>1</w:t>
            </w:r>
            <w:r w:rsidRPr="00457BFD">
              <w:rPr>
                <w:lang w:val="fr-FR"/>
              </w:rPr>
              <w:t>.</w:t>
            </w:r>
            <w:r w:rsidRPr="00457BFD">
              <w:rPr>
                <w:lang w:val="fr-FR"/>
              </w:rPr>
              <w:tab/>
            </w:r>
            <w:r w:rsidR="00DF5544" w:rsidRPr="00457BFD">
              <w:rPr>
                <w:lang w:val="fr-FR"/>
              </w:rPr>
              <w:t>Les emballages intérieurs et les objets en verre doivent être contenus dans des emballages intermédiaires rigides uniquement.</w:t>
            </w:r>
          </w:p>
          <w:p w:rsidR="00DF5544" w:rsidRPr="00457BFD" w:rsidRDefault="00C121C3" w:rsidP="00C121C3">
            <w:pPr>
              <w:kinsoku/>
              <w:overflowPunct/>
              <w:autoSpaceDE/>
              <w:autoSpaceDN/>
              <w:adjustRightInd/>
              <w:snapToGrid/>
              <w:spacing w:before="40" w:after="40"/>
              <w:ind w:left="284" w:hanging="284"/>
              <w:rPr>
                <w:color w:val="000000"/>
              </w:rPr>
            </w:pPr>
            <w:r w:rsidRPr="00457BFD">
              <w:rPr>
                <w:lang w:val="fr-FR"/>
              </w:rPr>
              <w:t>2.</w:t>
            </w:r>
            <w:r w:rsidRPr="00457BFD">
              <w:rPr>
                <w:lang w:val="fr-FR"/>
              </w:rPr>
              <w:tab/>
            </w:r>
            <w:r w:rsidR="00DF5544" w:rsidRPr="00457BFD">
              <w:rPr>
                <w:lang w:val="fr-FR"/>
              </w:rPr>
              <w:t xml:space="preserve">Option </w:t>
            </w:r>
            <w:r w:rsidR="00E80F2E" w:rsidRPr="00457BFD">
              <w:rPr>
                <w:rFonts w:eastAsia="MS Mincho"/>
                <w:lang w:val="fr-FR"/>
              </w:rPr>
              <w:t>n</w:t>
            </w:r>
            <w:r w:rsidR="00E80F2E" w:rsidRPr="00457BFD">
              <w:rPr>
                <w:rFonts w:eastAsia="MS Mincho"/>
                <w:vertAlign w:val="superscript"/>
                <w:lang w:val="fr-FR"/>
              </w:rPr>
              <w:t>o</w:t>
            </w:r>
            <w:r w:rsidR="00E80F2E" w:rsidRPr="00457BFD">
              <w:rPr>
                <w:lang w:val="fr-FR"/>
              </w:rPr>
              <w:t> </w:t>
            </w:r>
            <w:r w:rsidR="00DF5544" w:rsidRPr="00457BFD">
              <w:rPr>
                <w:lang w:val="fr-FR"/>
              </w:rPr>
              <w:t>1</w:t>
            </w:r>
            <w:r w:rsidR="00457BFD" w:rsidRPr="00457BFD">
              <w:rPr>
                <w:lang w:val="fr-FR"/>
              </w:rPr>
              <w:t xml:space="preserve"> −</w:t>
            </w:r>
            <w:r w:rsidR="00DF5544" w:rsidRPr="00457BFD">
              <w:rPr>
                <w:lang w:val="fr-FR"/>
              </w:rPr>
              <w:t xml:space="preserve"> [les emballages intérieurs contenant des objets tranchants ou pointus tels que du verre brisé et des aiguilles doivent être résistants à la perforation].</w:t>
            </w:r>
          </w:p>
          <w:p w:rsidR="00DF5544" w:rsidRPr="00457BFD" w:rsidRDefault="00DF5544" w:rsidP="00C121C3">
            <w:pPr>
              <w:kinsoku/>
              <w:overflowPunct/>
              <w:autoSpaceDE/>
              <w:autoSpaceDN/>
              <w:adjustRightInd/>
              <w:snapToGrid/>
              <w:spacing w:before="40" w:after="40"/>
              <w:ind w:left="284" w:hanging="284"/>
              <w:rPr>
                <w:color w:val="000000"/>
              </w:rPr>
            </w:pPr>
            <w:r w:rsidRPr="00457BFD">
              <w:rPr>
                <w:lang w:val="fr-FR"/>
              </w:rPr>
              <w:t>3.</w:t>
            </w:r>
            <w:r w:rsidRPr="00457BFD">
              <w:rPr>
                <w:lang w:val="fr-FR"/>
              </w:rPr>
              <w:tab/>
              <w:t xml:space="preserve">Option </w:t>
            </w:r>
            <w:r w:rsidR="00E80F2E" w:rsidRPr="00457BFD">
              <w:rPr>
                <w:rFonts w:eastAsia="MS Mincho"/>
                <w:lang w:val="fr-FR"/>
              </w:rPr>
              <w:t>n</w:t>
            </w:r>
            <w:r w:rsidR="00E80F2E" w:rsidRPr="00457BFD">
              <w:rPr>
                <w:rFonts w:eastAsia="MS Mincho"/>
                <w:vertAlign w:val="superscript"/>
                <w:lang w:val="fr-FR"/>
              </w:rPr>
              <w:t>o</w:t>
            </w:r>
            <w:r w:rsidR="00E80F2E" w:rsidRPr="00457BFD">
              <w:rPr>
                <w:lang w:val="fr-FR"/>
              </w:rPr>
              <w:t> </w:t>
            </w:r>
            <w:r w:rsidRPr="00457BFD">
              <w:rPr>
                <w:lang w:val="fr-FR"/>
              </w:rPr>
              <w:t>2</w:t>
            </w:r>
            <w:r w:rsidR="00E80F2E" w:rsidRPr="00457BFD">
              <w:rPr>
                <w:lang w:val="fr-FR"/>
              </w:rPr>
              <w:t xml:space="preserve"> −</w:t>
            </w:r>
            <w:r w:rsidRPr="00457BFD">
              <w:rPr>
                <w:lang w:val="fr-FR"/>
              </w:rPr>
              <w:t xml:space="preserve"> [les emballages intérieurs contenant des objets tranchants ou pointus tels que du verre brisé et des aiguilles doivent satisfaire aux épreuves de résistance à la pénétration et de résistance aux dommages et fuites p</w:t>
            </w:r>
            <w:r w:rsidR="002C3963" w:rsidRPr="00457BFD">
              <w:rPr>
                <w:lang w:val="fr-FR"/>
              </w:rPr>
              <w:t>rovoqués par une chute prescrites</w:t>
            </w:r>
            <w:r w:rsidRPr="00457BFD">
              <w:rPr>
                <w:lang w:val="fr-FR"/>
              </w:rPr>
              <w:t xml:space="preserve"> dans la norme ISO 23907-2012 </w:t>
            </w:r>
            <w:r w:rsidR="00E80F2E" w:rsidRPr="00457BFD">
              <w:rPr>
                <w:lang w:val="fr-FR"/>
              </w:rPr>
              <w:t>« </w:t>
            </w:r>
            <w:r w:rsidRPr="00457BFD">
              <w:rPr>
                <w:lang w:val="fr-FR"/>
              </w:rPr>
              <w:t>Protection contre les blessures par perforants</w:t>
            </w:r>
            <w:r w:rsidR="009B72A8" w:rsidRPr="00457BFD">
              <w:rPr>
                <w:lang w:val="fr-FR"/>
              </w:rPr>
              <w:t xml:space="preserve"> </w:t>
            </w:r>
            <w:r w:rsidRPr="00457BFD">
              <w:rPr>
                <w:lang w:val="fr-FR"/>
              </w:rPr>
              <w:t>– Exigences et méthodes d</w:t>
            </w:r>
            <w:r w:rsidR="00BB7FD4" w:rsidRPr="00457BFD">
              <w:rPr>
                <w:lang w:val="fr-FR"/>
              </w:rPr>
              <w:t>’</w:t>
            </w:r>
            <w:r w:rsidRPr="00457BFD">
              <w:rPr>
                <w:lang w:val="fr-FR"/>
              </w:rPr>
              <w:t>essai – Conteneurs pour objets coupants, tranchants et perforants</w:t>
            </w:r>
            <w:r w:rsidR="00E80F2E" w:rsidRPr="00457BFD">
              <w:rPr>
                <w:lang w:val="fr-FR"/>
              </w:rPr>
              <w:t> »</w:t>
            </w:r>
            <w:r w:rsidRPr="00457BFD">
              <w:rPr>
                <w:lang w:val="fr-FR"/>
              </w:rPr>
              <w:t>]</w:t>
            </w:r>
            <w:r w:rsidR="00236B1A" w:rsidRPr="00457BFD">
              <w:rPr>
                <w:lang w:val="fr-FR"/>
              </w:rPr>
              <w:t>.</w:t>
            </w:r>
          </w:p>
          <w:p w:rsidR="00DF5544" w:rsidRPr="00457BFD" w:rsidRDefault="00DF5544" w:rsidP="00C121C3">
            <w:pPr>
              <w:kinsoku/>
              <w:overflowPunct/>
              <w:autoSpaceDE/>
              <w:autoSpaceDN/>
              <w:adjustRightInd/>
              <w:snapToGrid/>
              <w:spacing w:before="40" w:after="40"/>
              <w:ind w:left="284" w:hanging="284"/>
              <w:rPr>
                <w:color w:val="000000"/>
              </w:rPr>
            </w:pPr>
            <w:r w:rsidRPr="00457BFD">
              <w:rPr>
                <w:lang w:val="fr-FR"/>
              </w:rPr>
              <w:t>4.</w:t>
            </w:r>
            <w:r w:rsidRPr="00457BFD">
              <w:rPr>
                <w:lang w:val="fr-FR"/>
              </w:rPr>
              <w:tab/>
              <w:t>L</w:t>
            </w:r>
            <w:r w:rsidR="00BB7FD4" w:rsidRPr="00457BFD">
              <w:rPr>
                <w:lang w:val="fr-FR"/>
              </w:rPr>
              <w:t>’</w:t>
            </w:r>
            <w:r w:rsidRPr="00457BFD">
              <w:rPr>
                <w:lang w:val="fr-FR"/>
              </w:rPr>
              <w:t>emballage intérieur et l</w:t>
            </w:r>
            <w:r w:rsidR="00BB7FD4" w:rsidRPr="00457BFD">
              <w:rPr>
                <w:lang w:val="fr-FR"/>
              </w:rPr>
              <w:t>’</w:t>
            </w:r>
            <w:r w:rsidRPr="00457BFD">
              <w:rPr>
                <w:lang w:val="fr-FR"/>
              </w:rPr>
              <w:t>emballage intermédiaire doivent être étanches aux liquides.</w:t>
            </w:r>
          </w:p>
          <w:p w:rsidR="00DF5544" w:rsidRPr="005D0349" w:rsidRDefault="00DF5544" w:rsidP="00C121C3">
            <w:pPr>
              <w:kinsoku/>
              <w:overflowPunct/>
              <w:autoSpaceDE/>
              <w:autoSpaceDN/>
              <w:adjustRightInd/>
              <w:snapToGrid/>
              <w:spacing w:before="40" w:after="40"/>
              <w:ind w:left="284" w:hanging="284"/>
              <w:rPr>
                <w:color w:val="000000"/>
              </w:rPr>
            </w:pPr>
            <w:r w:rsidRPr="00457BFD">
              <w:rPr>
                <w:lang w:val="fr-FR"/>
              </w:rPr>
              <w:t>5.</w:t>
            </w:r>
            <w:r w:rsidRPr="00457BFD">
              <w:rPr>
                <w:lang w:val="fr-FR"/>
              </w:rPr>
              <w:tab/>
              <w:t>L</w:t>
            </w:r>
            <w:r w:rsidR="00BB7FD4" w:rsidRPr="00457BFD">
              <w:rPr>
                <w:lang w:val="fr-FR"/>
              </w:rPr>
              <w:t>’</w:t>
            </w:r>
            <w:r w:rsidRPr="00457BFD">
              <w:rPr>
                <w:lang w:val="fr-FR"/>
              </w:rPr>
              <w:t>emballage intérieur et l</w:t>
            </w:r>
            <w:r w:rsidR="00BB7FD4" w:rsidRPr="00457BFD">
              <w:rPr>
                <w:lang w:val="fr-FR"/>
              </w:rPr>
              <w:t>’</w:t>
            </w:r>
            <w:r w:rsidRPr="00457BFD">
              <w:rPr>
                <w:lang w:val="fr-FR"/>
              </w:rPr>
              <w:t>emballage intermédiaire peuvent être souples. Lorsque des emballages souples sont utilisés, ils doivent satisfaire aux épreuves de choc et de résistance en application des normes ISO 7765-1</w:t>
            </w:r>
            <w:r w:rsidR="00A057A2" w:rsidRPr="00457BFD">
              <w:rPr>
                <w:lang w:val="fr-FR"/>
              </w:rPr>
              <w:t>:</w:t>
            </w:r>
            <w:r w:rsidRPr="00457BFD">
              <w:rPr>
                <w:lang w:val="fr-FR"/>
              </w:rPr>
              <w:t xml:space="preserve">1988 </w:t>
            </w:r>
            <w:r w:rsidR="00236B1A" w:rsidRPr="00457BFD">
              <w:rPr>
                <w:lang w:val="fr-FR"/>
              </w:rPr>
              <w:t>« </w:t>
            </w:r>
            <w:r w:rsidRPr="00457BFD">
              <w:rPr>
                <w:lang w:val="fr-FR"/>
              </w:rPr>
              <w:t>Films et feuilles de plastique</w:t>
            </w:r>
            <w:r w:rsidR="00236B1A" w:rsidRPr="00457BFD">
              <w:rPr>
                <w:lang w:val="fr-FR"/>
              </w:rPr>
              <w:t xml:space="preserve"> − </w:t>
            </w:r>
            <w:r w:rsidRPr="00457BFD">
              <w:rPr>
                <w:lang w:val="fr-FR"/>
              </w:rPr>
              <w:t xml:space="preserve">Détermination de la résistance au choc par la méthode par chute libre de projectile </w:t>
            </w:r>
            <w:r w:rsidR="00236B1A" w:rsidRPr="00457BFD">
              <w:rPr>
                <w:lang w:val="fr-FR"/>
              </w:rPr>
              <w:t>−</w:t>
            </w:r>
            <w:r w:rsidRPr="00457BFD">
              <w:rPr>
                <w:lang w:val="fr-FR"/>
              </w:rPr>
              <w:t xml:space="preserve"> Partie 1</w:t>
            </w:r>
            <w:r w:rsidR="00A057A2" w:rsidRPr="00457BFD">
              <w:rPr>
                <w:lang w:val="fr-FR"/>
              </w:rPr>
              <w:t> :</w:t>
            </w:r>
            <w:r w:rsidRPr="00457BFD">
              <w:rPr>
                <w:lang w:val="fr-FR"/>
              </w:rPr>
              <w:t xml:space="preserve"> Méthodes dites de l</w:t>
            </w:r>
            <w:r w:rsidR="00BB7FD4" w:rsidRPr="00457BFD">
              <w:rPr>
                <w:lang w:val="fr-FR"/>
              </w:rPr>
              <w:t>’</w:t>
            </w:r>
            <w:r w:rsidR="00236B1A" w:rsidRPr="00457BFD">
              <w:rPr>
                <w:lang w:val="en-US"/>
              </w:rPr>
              <w:t>“</w:t>
            </w:r>
            <w:r w:rsidRPr="00457BFD">
              <w:rPr>
                <w:lang w:val="fr-FR"/>
              </w:rPr>
              <w:t>escalier</w:t>
            </w:r>
            <w:r w:rsidR="00236B1A" w:rsidRPr="00457BFD">
              <w:rPr>
                <w:lang w:val="en-US"/>
              </w:rPr>
              <w:t>”</w:t>
            </w:r>
            <w:r w:rsidR="00236B1A" w:rsidRPr="00457BFD">
              <w:t xml:space="preserve"> » </w:t>
            </w:r>
            <w:r w:rsidRPr="00457BFD">
              <w:rPr>
                <w:lang w:val="fr-FR"/>
              </w:rPr>
              <w:t>et ISO 6383-2</w:t>
            </w:r>
            <w:r w:rsidR="00A057A2" w:rsidRPr="00457BFD">
              <w:rPr>
                <w:lang w:val="fr-FR"/>
              </w:rPr>
              <w:t>:</w:t>
            </w:r>
            <w:r w:rsidRPr="00457BFD">
              <w:rPr>
                <w:lang w:val="fr-FR"/>
              </w:rPr>
              <w:t xml:space="preserve">1983 </w:t>
            </w:r>
            <w:r w:rsidR="00236B1A" w:rsidRPr="00457BFD">
              <w:rPr>
                <w:lang w:val="fr-FR"/>
              </w:rPr>
              <w:t>« </w:t>
            </w:r>
            <w:r w:rsidRPr="00457BFD">
              <w:rPr>
                <w:lang w:val="fr-FR"/>
              </w:rPr>
              <w:t>Films et feuilles de plastique</w:t>
            </w:r>
            <w:r w:rsidR="00236B1A" w:rsidRPr="00457BFD">
              <w:rPr>
                <w:lang w:val="fr-FR"/>
              </w:rPr>
              <w:t xml:space="preserve"> −</w:t>
            </w:r>
            <w:r w:rsidR="00457BFD">
              <w:rPr>
                <w:lang w:val="fr-FR"/>
              </w:rPr>
              <w:t xml:space="preserve"> </w:t>
            </w:r>
            <w:r w:rsidRPr="00457BFD">
              <w:rPr>
                <w:lang w:val="fr-FR"/>
              </w:rPr>
              <w:t xml:space="preserve">Détermination de la résistance au déchirement </w:t>
            </w:r>
            <w:r w:rsidR="00236B1A" w:rsidRPr="00457BFD">
              <w:rPr>
                <w:lang w:val="fr-FR"/>
              </w:rPr>
              <w:t>−</w:t>
            </w:r>
            <w:r w:rsidRPr="00457BFD">
              <w:rPr>
                <w:lang w:val="fr-FR"/>
              </w:rPr>
              <w:t xml:space="preserve"> Partie 2</w:t>
            </w:r>
            <w:r w:rsidR="00A057A2" w:rsidRPr="00457BFD">
              <w:rPr>
                <w:lang w:val="fr-FR"/>
              </w:rPr>
              <w:t> :</w:t>
            </w:r>
            <w:r w:rsidRPr="00457BFD">
              <w:rPr>
                <w:lang w:val="fr-FR"/>
              </w:rPr>
              <w:t xml:space="preserve"> Méthode </w:t>
            </w:r>
            <w:proofErr w:type="spellStart"/>
            <w:r w:rsidRPr="00457BFD">
              <w:rPr>
                <w:lang w:val="fr-FR"/>
              </w:rPr>
              <w:t>Elmendorf</w:t>
            </w:r>
            <w:proofErr w:type="spellEnd"/>
            <w:r w:rsidR="00236B1A" w:rsidRPr="00457BFD">
              <w:rPr>
                <w:lang w:val="fr-FR"/>
              </w:rPr>
              <w:t> »</w:t>
            </w:r>
            <w:r w:rsidRPr="00457BFD">
              <w:rPr>
                <w:lang w:val="fr-FR"/>
              </w:rPr>
              <w:t>. Chacun de ces sacs plastiques doit avoir une résistance au choc d</w:t>
            </w:r>
            <w:r w:rsidR="00BB7FD4" w:rsidRPr="00457BFD">
              <w:rPr>
                <w:lang w:val="fr-FR"/>
              </w:rPr>
              <w:t>’</w:t>
            </w:r>
            <w:r w:rsidRPr="00457BFD">
              <w:rPr>
                <w:lang w:val="fr-FR"/>
              </w:rPr>
              <w:t>au moins 165 g et une résistance au déchirement d</w:t>
            </w:r>
            <w:r w:rsidR="00BB7FD4" w:rsidRPr="00457BFD">
              <w:rPr>
                <w:lang w:val="fr-FR"/>
              </w:rPr>
              <w:t>’</w:t>
            </w:r>
            <w:r w:rsidR="00236B1A" w:rsidRPr="00457BFD">
              <w:rPr>
                <w:lang w:val="fr-FR"/>
              </w:rPr>
              <w:t>au moins 480 </w:t>
            </w:r>
            <w:r w:rsidRPr="00457BFD">
              <w:rPr>
                <w:lang w:val="fr-FR"/>
              </w:rPr>
              <w:t>g sur des plans perpendiculaires et parallèles au plan longitudinal du sac. La masse nette maximale de chaque sac en plastique doit être de 30 kg</w:t>
            </w:r>
            <w:r w:rsidR="00457BFD">
              <w:rPr>
                <w:lang w:val="fr-FR"/>
              </w:rPr>
              <w:t>.</w:t>
            </w:r>
          </w:p>
        </w:tc>
      </w:tr>
      <w:tr w:rsidR="005D0349" w:rsidRPr="004F44C4" w:rsidTr="005D0349">
        <w:trPr>
          <w:trHeight w:val="360"/>
        </w:trPr>
        <w:tc>
          <w:tcPr>
            <w:tcW w:w="9643" w:type="dxa"/>
            <w:gridSpan w:val="5"/>
            <w:tcBorders>
              <w:top w:val="nil"/>
              <w:bottom w:val="single" w:sz="4" w:space="0" w:color="auto"/>
            </w:tcBorders>
            <w:vAlign w:val="center"/>
          </w:tcPr>
          <w:p w:rsidR="005D0349" w:rsidRPr="004F44C4" w:rsidRDefault="005D0349" w:rsidP="005D0349">
            <w:pPr>
              <w:kinsoku/>
              <w:overflowPunct/>
              <w:autoSpaceDE/>
              <w:autoSpaceDN/>
              <w:adjustRightInd/>
              <w:snapToGrid/>
              <w:spacing w:before="40" w:after="40"/>
              <w:ind w:left="284" w:hanging="284"/>
              <w:rPr>
                <w:color w:val="000000"/>
                <w:sz w:val="18"/>
                <w:szCs w:val="18"/>
              </w:rPr>
            </w:pPr>
            <w:r>
              <w:rPr>
                <w:lang w:val="fr-FR"/>
              </w:rPr>
              <w:t>6.</w:t>
            </w:r>
            <w:r>
              <w:rPr>
                <w:lang w:val="fr-FR"/>
              </w:rPr>
              <w:tab/>
              <w:t>Chaque emballage intermédiaire souple ne doit contenir qu’un seul emballage intérieur.</w:t>
            </w:r>
          </w:p>
          <w:p w:rsidR="005D0349" w:rsidRPr="004F44C4" w:rsidRDefault="005D0349" w:rsidP="005D0349">
            <w:pPr>
              <w:kinsoku/>
              <w:overflowPunct/>
              <w:autoSpaceDE/>
              <w:autoSpaceDN/>
              <w:adjustRightInd/>
              <w:snapToGrid/>
              <w:spacing w:before="40" w:after="40"/>
              <w:ind w:left="284" w:hanging="284"/>
              <w:rPr>
                <w:color w:val="000000"/>
                <w:sz w:val="18"/>
                <w:szCs w:val="18"/>
              </w:rPr>
            </w:pPr>
            <w:r>
              <w:rPr>
                <w:lang w:val="fr-FR"/>
              </w:rPr>
              <w:t>7.</w:t>
            </w:r>
            <w:r>
              <w:rPr>
                <w:lang w:val="fr-FR"/>
              </w:rPr>
              <w:tab/>
              <w:t xml:space="preserve">Option </w:t>
            </w:r>
            <w:r w:rsidRPr="00E80F2E">
              <w:rPr>
                <w:rFonts w:eastAsia="MS Mincho"/>
                <w:lang w:val="fr-FR"/>
              </w:rPr>
              <w:t>n</w:t>
            </w:r>
            <w:r w:rsidRPr="00E80F2E">
              <w:rPr>
                <w:rFonts w:eastAsia="MS Mincho"/>
                <w:vertAlign w:val="superscript"/>
                <w:lang w:val="fr-FR"/>
              </w:rPr>
              <w:t>o</w:t>
            </w:r>
            <w:r>
              <w:rPr>
                <w:lang w:val="fr-FR"/>
              </w:rPr>
              <w:t> 1 − [les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pouvant résister aux températures et aux vibrations susceptibles de se produire dans des conditions normales de transport doit être utilisé].</w:t>
            </w:r>
          </w:p>
          <w:p w:rsidR="005D0349" w:rsidRPr="004F44C4" w:rsidRDefault="005D0349" w:rsidP="005D0349">
            <w:pPr>
              <w:kinsoku/>
              <w:overflowPunct/>
              <w:autoSpaceDE/>
              <w:autoSpaceDN/>
              <w:adjustRightInd/>
              <w:snapToGrid/>
              <w:spacing w:before="40" w:after="40"/>
              <w:ind w:left="284" w:hanging="284"/>
              <w:rPr>
                <w:color w:val="000000"/>
                <w:sz w:val="18"/>
                <w:szCs w:val="18"/>
              </w:rPr>
            </w:pPr>
            <w:r>
              <w:rPr>
                <w:lang w:val="fr-FR"/>
              </w:rPr>
              <w:t>8.</w:t>
            </w:r>
            <w:r>
              <w:rPr>
                <w:lang w:val="fr-FR"/>
              </w:rPr>
              <w:tab/>
              <w:t xml:space="preserve">Option </w:t>
            </w:r>
            <w:r w:rsidRPr="00E80F2E">
              <w:rPr>
                <w:rFonts w:eastAsia="MS Mincho"/>
                <w:lang w:val="fr-FR"/>
              </w:rPr>
              <w:t>n</w:t>
            </w:r>
            <w:r w:rsidRPr="00E80F2E">
              <w:rPr>
                <w:rFonts w:eastAsia="MS Mincho"/>
                <w:vertAlign w:val="superscript"/>
                <w:lang w:val="fr-FR"/>
              </w:rPr>
              <w:t>o</w:t>
            </w:r>
            <w:r>
              <w:rPr>
                <w:lang w:val="fr-FR"/>
              </w:rPr>
              <w:t xml:space="preserve"> 2 − [les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et que l’emballage extérieur soit apte à retenir les liquides. Un matériau absorbant pouvant résister aux températures et aux vibrations susceptibles de se produire dans des conditions normales de transport doit être utilisé]. </w:t>
            </w:r>
          </w:p>
          <w:p w:rsidR="005D0349" w:rsidRDefault="005D0349" w:rsidP="005D0349">
            <w:pPr>
              <w:kinsoku/>
              <w:overflowPunct/>
              <w:autoSpaceDE/>
              <w:autoSpaceDN/>
              <w:adjustRightInd/>
              <w:snapToGrid/>
              <w:spacing w:before="40" w:after="40"/>
              <w:ind w:left="284" w:hanging="284"/>
              <w:rPr>
                <w:lang w:val="fr-FR"/>
              </w:rPr>
            </w:pPr>
            <w:r>
              <w:rPr>
                <w:lang w:val="fr-FR"/>
              </w:rPr>
              <w:t>9.</w:t>
            </w:r>
            <w:r>
              <w:rPr>
                <w:lang w:val="fr-FR"/>
              </w:rPr>
              <w:tab/>
              <w:t>Les caisses en contreplaqué (4D), en carton (4G), les fûts en contreplaqué (1D) et les fûts en carton (1G) doivent avoir une doublure ou un revêtement intérieur. Les emballages intermédiaires ne doivent pas remplir ces conditions.]</w:t>
            </w:r>
          </w:p>
        </w:tc>
      </w:tr>
    </w:tbl>
    <w:p w:rsidR="00DF5544" w:rsidRPr="00EC0856" w:rsidRDefault="00C121C3" w:rsidP="00C121C3">
      <w:pPr>
        <w:pStyle w:val="SingleTxtG"/>
        <w:keepNext/>
      </w:pPr>
      <w:r>
        <w:rPr>
          <w:lang w:val="fr-FR"/>
        </w:rPr>
        <w:br w:type="page"/>
      </w:r>
      <w:r w:rsidR="00DF5544">
        <w:rPr>
          <w:lang w:val="fr-FR"/>
        </w:rPr>
        <w:t>L</w:t>
      </w:r>
      <w:r w:rsidR="00BB7FD4">
        <w:rPr>
          <w:lang w:val="fr-FR"/>
        </w:rPr>
        <w:t>’</w:t>
      </w:r>
      <w:r w:rsidR="00DF5544">
        <w:rPr>
          <w:lang w:val="fr-FR"/>
        </w:rPr>
        <w:t>instruction d</w:t>
      </w:r>
      <w:r w:rsidR="00BB7FD4">
        <w:rPr>
          <w:lang w:val="fr-FR"/>
        </w:rPr>
        <w:t>’</w:t>
      </w:r>
      <w:r w:rsidR="00DF5544">
        <w:rPr>
          <w:lang w:val="fr-FR"/>
        </w:rPr>
        <w:t>emballage pour les grands emballages serait la suivante</w:t>
      </w:r>
      <w:r w:rsidR="00A057A2">
        <w:rPr>
          <w:lang w:val="fr-FR"/>
        </w:rPr>
        <w:t>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DF5544" w:rsidRPr="007F0BBC" w:rsidTr="00FC76E0">
        <w:tc>
          <w:tcPr>
            <w:tcW w:w="855" w:type="dxa"/>
            <w:tcBorders>
              <w:bottom w:val="single" w:sz="4" w:space="0" w:color="000000"/>
            </w:tcBorders>
          </w:tcPr>
          <w:p w:rsidR="00DF5544" w:rsidRPr="007F0BBC" w:rsidRDefault="00DF5544" w:rsidP="00C121C3">
            <w:pPr>
              <w:spacing w:before="60" w:after="60"/>
              <w:rPr>
                <w:b/>
                <w:bCs/>
                <w:color w:val="000000"/>
                <w:sz w:val="18"/>
                <w:szCs w:val="18"/>
              </w:rPr>
            </w:pPr>
            <w:r>
              <w:rPr>
                <w:b/>
                <w:bCs/>
                <w:lang w:val="fr-FR"/>
              </w:rPr>
              <w:t>LP6XX</w:t>
            </w:r>
          </w:p>
        </w:tc>
        <w:tc>
          <w:tcPr>
            <w:tcW w:w="7794" w:type="dxa"/>
            <w:gridSpan w:val="3"/>
            <w:tcBorders>
              <w:bottom w:val="single" w:sz="4" w:space="0" w:color="000000"/>
            </w:tcBorders>
          </w:tcPr>
          <w:p w:rsidR="00DF5544" w:rsidRPr="007F0BBC" w:rsidRDefault="00DF5544" w:rsidP="00C121C3">
            <w:pPr>
              <w:spacing w:before="60" w:after="60"/>
              <w:jc w:val="center"/>
              <w:rPr>
                <w:b/>
                <w:bCs/>
                <w:color w:val="000000"/>
                <w:sz w:val="18"/>
                <w:szCs w:val="18"/>
              </w:rPr>
            </w:pPr>
            <w:r>
              <w:rPr>
                <w:b/>
                <w:bCs/>
                <w:lang w:val="fr-FR"/>
              </w:rPr>
              <w:t>INSTRUCTION D</w:t>
            </w:r>
            <w:r w:rsidR="00BB7FD4">
              <w:rPr>
                <w:b/>
                <w:bCs/>
                <w:lang w:val="fr-FR"/>
              </w:rPr>
              <w:t>’</w:t>
            </w:r>
            <w:r>
              <w:rPr>
                <w:b/>
                <w:bCs/>
                <w:lang w:val="fr-FR"/>
              </w:rPr>
              <w:t>EMBALLAGE</w:t>
            </w:r>
          </w:p>
        </w:tc>
        <w:tc>
          <w:tcPr>
            <w:tcW w:w="994" w:type="dxa"/>
            <w:tcBorders>
              <w:bottom w:val="single" w:sz="4" w:space="0" w:color="000000"/>
            </w:tcBorders>
          </w:tcPr>
          <w:p w:rsidR="00DF5544" w:rsidRPr="007F0BBC" w:rsidRDefault="00DF5544" w:rsidP="00C121C3">
            <w:pPr>
              <w:spacing w:before="60" w:after="60"/>
              <w:rPr>
                <w:b/>
                <w:bCs/>
                <w:color w:val="000000"/>
                <w:sz w:val="18"/>
                <w:szCs w:val="18"/>
              </w:rPr>
            </w:pPr>
            <w:r>
              <w:rPr>
                <w:b/>
                <w:bCs/>
                <w:lang w:val="fr-FR"/>
              </w:rPr>
              <w:t>LP 6 XX</w:t>
            </w:r>
          </w:p>
        </w:tc>
      </w:tr>
      <w:tr w:rsidR="00DF5544" w:rsidRPr="007F0BBC" w:rsidTr="00FC76E0">
        <w:tc>
          <w:tcPr>
            <w:tcW w:w="9643" w:type="dxa"/>
            <w:gridSpan w:val="5"/>
            <w:tcBorders>
              <w:top w:val="single" w:sz="4" w:space="0" w:color="000000"/>
              <w:bottom w:val="single" w:sz="4" w:space="0" w:color="000000"/>
            </w:tcBorders>
          </w:tcPr>
          <w:p w:rsidR="00DF5544" w:rsidRPr="007F0BBC" w:rsidRDefault="00DF5544" w:rsidP="00C121C3">
            <w:pPr>
              <w:spacing w:before="60" w:after="60"/>
              <w:rPr>
                <w:color w:val="000000"/>
                <w:sz w:val="18"/>
                <w:szCs w:val="18"/>
              </w:rPr>
            </w:pPr>
            <w:r>
              <w:rPr>
                <w:lang w:val="fr-FR"/>
              </w:rPr>
              <w:t>La présente instruction s</w:t>
            </w:r>
            <w:r w:rsidR="00BB7FD4">
              <w:rPr>
                <w:lang w:val="fr-FR"/>
              </w:rPr>
              <w:t>’</w:t>
            </w:r>
            <w:r>
              <w:rPr>
                <w:lang w:val="fr-FR"/>
              </w:rPr>
              <w:t>applique aux déchets médicaux ou déchets d</w:t>
            </w:r>
            <w:r w:rsidR="00BB7FD4">
              <w:rPr>
                <w:lang w:val="fr-FR"/>
              </w:rPr>
              <w:t>’</w:t>
            </w:r>
            <w:r>
              <w:rPr>
                <w:lang w:val="fr-FR"/>
              </w:rPr>
              <w:t>hôpital solides affectés au No ONU 35XX transportés en vue de leur élimination.</w:t>
            </w:r>
          </w:p>
        </w:tc>
      </w:tr>
      <w:tr w:rsidR="00DF5544" w:rsidRPr="007F0BBC" w:rsidTr="00FC76E0">
        <w:tc>
          <w:tcPr>
            <w:tcW w:w="9643" w:type="dxa"/>
            <w:gridSpan w:val="5"/>
            <w:tcBorders>
              <w:top w:val="single" w:sz="4" w:space="0" w:color="000000"/>
              <w:bottom w:val="single" w:sz="4" w:space="0" w:color="000000"/>
            </w:tcBorders>
          </w:tcPr>
          <w:p w:rsidR="00DF5544" w:rsidRPr="007F0BBC" w:rsidRDefault="00DF5544" w:rsidP="00C121C3">
            <w:pPr>
              <w:spacing w:before="60" w:after="60"/>
              <w:rPr>
                <w:color w:val="000000"/>
                <w:sz w:val="18"/>
                <w:szCs w:val="18"/>
              </w:rPr>
            </w:pPr>
            <w:r>
              <w:rPr>
                <w:lang w:val="fr-FR"/>
              </w:rPr>
              <w:t>Les emballages suivants sont autorisés s</w:t>
            </w:r>
            <w:r w:rsidR="00BB7FD4">
              <w:rPr>
                <w:lang w:val="fr-FR"/>
              </w:rPr>
              <w:t>’</w:t>
            </w:r>
            <w:r>
              <w:rPr>
                <w:lang w:val="fr-FR"/>
              </w:rPr>
              <w:t xml:space="preserve">il est satisfait aux dispositions générales des sections </w:t>
            </w:r>
            <w:r w:rsidRPr="00EA6554">
              <w:rPr>
                <w:b/>
                <w:lang w:val="fr-FR"/>
              </w:rPr>
              <w:t>4.1.1</w:t>
            </w:r>
            <w:r>
              <w:rPr>
                <w:lang w:val="fr-FR"/>
              </w:rPr>
              <w:t xml:space="preserve"> et </w:t>
            </w:r>
            <w:r w:rsidRPr="00EA6554">
              <w:rPr>
                <w:b/>
                <w:lang w:val="fr-FR"/>
              </w:rPr>
              <w:t>4.1.3</w:t>
            </w:r>
            <w:r w:rsidR="00A057A2">
              <w:rPr>
                <w:lang w:val="fr-FR"/>
              </w:rPr>
              <w:t> :</w:t>
            </w:r>
          </w:p>
        </w:tc>
      </w:tr>
      <w:tr w:rsidR="00DF5544" w:rsidRPr="007F0BBC" w:rsidTr="00FC76E0">
        <w:tc>
          <w:tcPr>
            <w:tcW w:w="3214" w:type="dxa"/>
            <w:gridSpan w:val="2"/>
            <w:tcBorders>
              <w:top w:val="single" w:sz="4" w:space="0" w:color="000000"/>
              <w:bottom w:val="single" w:sz="4" w:space="0" w:color="000000"/>
              <w:right w:val="single" w:sz="4" w:space="0" w:color="auto"/>
            </w:tcBorders>
          </w:tcPr>
          <w:p w:rsidR="00DF5544" w:rsidRPr="007F0BBC" w:rsidRDefault="00DF5544" w:rsidP="00C121C3">
            <w:pPr>
              <w:spacing w:before="60" w:after="60"/>
              <w:rPr>
                <w:b/>
                <w:color w:val="000000"/>
                <w:sz w:val="18"/>
                <w:szCs w:val="18"/>
              </w:rPr>
            </w:pPr>
            <w:r>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DF5544" w:rsidRPr="007F0BBC" w:rsidRDefault="00DF5544" w:rsidP="00C121C3">
            <w:pPr>
              <w:spacing w:before="60" w:after="60"/>
              <w:rPr>
                <w:b/>
                <w:color w:val="000000"/>
                <w:sz w:val="18"/>
                <w:szCs w:val="18"/>
              </w:rPr>
            </w:pPr>
            <w:r>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DF5544" w:rsidRPr="007F0BBC" w:rsidRDefault="00DF5544" w:rsidP="00C121C3">
            <w:pPr>
              <w:spacing w:before="60" w:after="60"/>
              <w:rPr>
                <w:b/>
                <w:color w:val="000000"/>
                <w:sz w:val="18"/>
                <w:szCs w:val="18"/>
              </w:rPr>
            </w:pPr>
            <w:r>
              <w:rPr>
                <w:b/>
                <w:bCs/>
                <w:lang w:val="fr-FR"/>
              </w:rPr>
              <w:t>Emballages extérieurs</w:t>
            </w:r>
          </w:p>
        </w:tc>
      </w:tr>
      <w:tr w:rsidR="00DF5544" w:rsidRPr="007F0BBC" w:rsidTr="00FC76E0">
        <w:trPr>
          <w:trHeight w:val="1394"/>
        </w:trPr>
        <w:tc>
          <w:tcPr>
            <w:tcW w:w="3214" w:type="dxa"/>
            <w:gridSpan w:val="2"/>
            <w:tcBorders>
              <w:top w:val="single" w:sz="4" w:space="0" w:color="000000"/>
              <w:bottom w:val="single" w:sz="4" w:space="0" w:color="000000"/>
              <w:right w:val="single" w:sz="4" w:space="0" w:color="auto"/>
            </w:tcBorders>
          </w:tcPr>
          <w:p w:rsidR="00DF5544" w:rsidRPr="007F0BBC" w:rsidRDefault="00DF5544" w:rsidP="00C121C3">
            <w:pPr>
              <w:spacing w:before="60" w:after="60"/>
              <w:rPr>
                <w:color w:val="000000"/>
                <w:sz w:val="18"/>
                <w:szCs w:val="18"/>
              </w:rPr>
            </w:pPr>
            <w:r>
              <w:rPr>
                <w:lang w:val="fr-FR"/>
              </w:rPr>
              <w:t>en verre</w:t>
            </w:r>
          </w:p>
          <w:p w:rsidR="00DF5544" w:rsidRPr="007F0BBC" w:rsidRDefault="00DF5544" w:rsidP="00C121C3">
            <w:pPr>
              <w:spacing w:before="60" w:after="60"/>
              <w:rPr>
                <w:color w:val="000000"/>
                <w:sz w:val="18"/>
                <w:szCs w:val="18"/>
              </w:rPr>
            </w:pPr>
            <w:r>
              <w:rPr>
                <w:lang w:val="fr-FR"/>
              </w:rPr>
              <w:t>en métal</w:t>
            </w:r>
          </w:p>
          <w:p w:rsidR="00DF5544" w:rsidRPr="007F0BBC" w:rsidRDefault="00DF5544" w:rsidP="00C121C3">
            <w:pPr>
              <w:spacing w:before="60" w:after="60"/>
              <w:rPr>
                <w:color w:val="000000"/>
                <w:sz w:val="18"/>
                <w:szCs w:val="18"/>
              </w:rPr>
            </w:pPr>
            <w:r>
              <w:t xml:space="preserve">en </w:t>
            </w:r>
            <w:r>
              <w:rPr>
                <w:lang w:val="fr-FR"/>
              </w:rPr>
              <w:t>plastique</w:t>
            </w:r>
          </w:p>
        </w:tc>
        <w:tc>
          <w:tcPr>
            <w:tcW w:w="3214" w:type="dxa"/>
            <w:tcBorders>
              <w:top w:val="single" w:sz="4" w:space="0" w:color="000000"/>
              <w:left w:val="single" w:sz="4" w:space="0" w:color="auto"/>
              <w:bottom w:val="single" w:sz="4" w:space="0" w:color="000000"/>
              <w:right w:val="single" w:sz="4" w:space="0" w:color="auto"/>
            </w:tcBorders>
          </w:tcPr>
          <w:p w:rsidR="00DF5544" w:rsidRPr="007F0BBC" w:rsidRDefault="00DF5544" w:rsidP="00C121C3">
            <w:pPr>
              <w:spacing w:before="60" w:after="60"/>
              <w:rPr>
                <w:color w:val="000000"/>
                <w:sz w:val="18"/>
                <w:szCs w:val="18"/>
              </w:rPr>
            </w:pPr>
            <w:r>
              <w:rPr>
                <w:lang w:val="fr-FR"/>
              </w:rPr>
              <w:t>en métal</w:t>
            </w:r>
          </w:p>
          <w:p w:rsidR="00DF5544" w:rsidRPr="007F0BBC" w:rsidRDefault="00DF5544" w:rsidP="00C121C3">
            <w:pPr>
              <w:spacing w:before="60" w:after="60"/>
              <w:rPr>
                <w:color w:val="000000"/>
                <w:sz w:val="18"/>
                <w:szCs w:val="18"/>
              </w:rPr>
            </w:pPr>
            <w:r>
              <w:rPr>
                <w:lang w:val="fr-FR"/>
              </w:rPr>
              <w:t>en plastique</w:t>
            </w:r>
          </w:p>
        </w:tc>
        <w:tc>
          <w:tcPr>
            <w:tcW w:w="3215" w:type="dxa"/>
            <w:gridSpan w:val="2"/>
            <w:tcBorders>
              <w:top w:val="single" w:sz="4" w:space="0" w:color="000000"/>
              <w:left w:val="single" w:sz="4" w:space="0" w:color="auto"/>
              <w:bottom w:val="single" w:sz="4" w:space="0" w:color="000000"/>
            </w:tcBorders>
          </w:tcPr>
          <w:p w:rsidR="00DF5544" w:rsidRPr="00D04C66" w:rsidRDefault="00DF5544" w:rsidP="00C121C3">
            <w:pPr>
              <w:spacing w:before="60" w:after="60"/>
              <w:rPr>
                <w:color w:val="000000"/>
                <w:sz w:val="18"/>
                <w:szCs w:val="18"/>
                <w:lang w:val="es-ES"/>
              </w:rPr>
            </w:pPr>
            <w:r w:rsidRPr="00D04C66">
              <w:rPr>
                <w:lang w:val="es-ES"/>
              </w:rPr>
              <w:t xml:space="preserve">en </w:t>
            </w:r>
            <w:proofErr w:type="spellStart"/>
            <w:r w:rsidRPr="00D04C66">
              <w:rPr>
                <w:lang w:val="es-ES"/>
              </w:rPr>
              <w:t>acier</w:t>
            </w:r>
            <w:proofErr w:type="spellEnd"/>
            <w:r w:rsidRPr="00D04C66">
              <w:rPr>
                <w:lang w:val="es-ES"/>
              </w:rPr>
              <w:t xml:space="preserve"> (50A)</w:t>
            </w:r>
          </w:p>
          <w:p w:rsidR="00DF5544" w:rsidRPr="00D04C66" w:rsidRDefault="00DF5544" w:rsidP="00C121C3">
            <w:pPr>
              <w:spacing w:before="60" w:after="60"/>
              <w:rPr>
                <w:color w:val="000000"/>
                <w:sz w:val="18"/>
                <w:szCs w:val="18"/>
                <w:lang w:val="es-ES"/>
              </w:rPr>
            </w:pPr>
            <w:r w:rsidRPr="00D04C66">
              <w:rPr>
                <w:lang w:val="es-ES"/>
              </w:rPr>
              <w:t xml:space="preserve">en </w:t>
            </w:r>
            <w:proofErr w:type="spellStart"/>
            <w:r w:rsidRPr="00D04C66">
              <w:rPr>
                <w:lang w:val="es-ES"/>
              </w:rPr>
              <w:t>aluminium</w:t>
            </w:r>
            <w:proofErr w:type="spellEnd"/>
            <w:r w:rsidRPr="00D04C66">
              <w:rPr>
                <w:lang w:val="es-ES"/>
              </w:rPr>
              <w:t xml:space="preserve"> (50B)</w:t>
            </w:r>
          </w:p>
          <w:p w:rsidR="00DF5544" w:rsidRPr="007F0BBC" w:rsidRDefault="00DF5544" w:rsidP="00C121C3">
            <w:pPr>
              <w:spacing w:before="60" w:after="60"/>
              <w:rPr>
                <w:color w:val="000000"/>
                <w:sz w:val="18"/>
                <w:szCs w:val="18"/>
              </w:rPr>
            </w:pPr>
            <w:r>
              <w:rPr>
                <w:lang w:val="fr-FR"/>
              </w:rPr>
              <w:t>en contreplaqué (50D)</w:t>
            </w:r>
          </w:p>
          <w:p w:rsidR="00DF5544" w:rsidRPr="007F0BBC" w:rsidRDefault="00DF5544" w:rsidP="00C121C3">
            <w:pPr>
              <w:spacing w:before="60" w:after="60"/>
              <w:rPr>
                <w:color w:val="000000"/>
                <w:sz w:val="18"/>
                <w:szCs w:val="18"/>
              </w:rPr>
            </w:pPr>
            <w:r>
              <w:rPr>
                <w:lang w:val="fr-FR"/>
              </w:rPr>
              <w:t>en carton rigide (50G)</w:t>
            </w:r>
          </w:p>
          <w:p w:rsidR="00DF5544" w:rsidRPr="007F0BBC" w:rsidRDefault="00DF5544" w:rsidP="00C121C3">
            <w:pPr>
              <w:spacing w:before="60" w:after="60"/>
              <w:rPr>
                <w:color w:val="000000"/>
                <w:sz w:val="18"/>
                <w:szCs w:val="18"/>
              </w:rPr>
            </w:pPr>
            <w:r>
              <w:rPr>
                <w:lang w:val="fr-FR"/>
              </w:rPr>
              <w:t xml:space="preserve">en </w:t>
            </w:r>
            <w:r w:rsidR="00340281">
              <w:rPr>
                <w:lang w:val="fr-FR"/>
              </w:rPr>
              <w:t xml:space="preserve">un </w:t>
            </w:r>
            <w:r>
              <w:rPr>
                <w:lang w:val="fr-FR"/>
              </w:rPr>
              <w:t>autre métal (50N)</w:t>
            </w:r>
          </w:p>
          <w:p w:rsidR="00DF5544" w:rsidRPr="007F0BBC" w:rsidRDefault="00340281" w:rsidP="00C121C3">
            <w:pPr>
              <w:spacing w:before="60" w:after="60"/>
              <w:rPr>
                <w:color w:val="000000"/>
                <w:sz w:val="18"/>
                <w:szCs w:val="18"/>
              </w:rPr>
            </w:pPr>
            <w:r>
              <w:rPr>
                <w:lang w:val="fr-FR"/>
              </w:rPr>
              <w:t xml:space="preserve">en </w:t>
            </w:r>
            <w:r w:rsidR="00DF5544">
              <w:rPr>
                <w:lang w:val="fr-FR"/>
              </w:rPr>
              <w:t>plastique (50H)</w:t>
            </w:r>
          </w:p>
        </w:tc>
      </w:tr>
      <w:tr w:rsidR="00DF5544" w:rsidRPr="007F0BBC" w:rsidTr="00FC76E0">
        <w:tc>
          <w:tcPr>
            <w:tcW w:w="9643" w:type="dxa"/>
            <w:gridSpan w:val="5"/>
            <w:tcBorders>
              <w:top w:val="single" w:sz="4" w:space="0" w:color="000000"/>
              <w:bottom w:val="single" w:sz="4" w:space="0" w:color="000000"/>
            </w:tcBorders>
          </w:tcPr>
          <w:p w:rsidR="00DF5544" w:rsidRPr="007F0BBC" w:rsidRDefault="00DF5544" w:rsidP="00C121C3">
            <w:pPr>
              <w:spacing w:before="60" w:after="60"/>
              <w:rPr>
                <w:color w:val="000000"/>
                <w:sz w:val="18"/>
                <w:szCs w:val="18"/>
              </w:rPr>
            </w:pPr>
            <w:r>
              <w:rPr>
                <w:lang w:val="fr-FR"/>
              </w:rPr>
              <w:t>L</w:t>
            </w:r>
            <w:r w:rsidR="00BB7FD4">
              <w:rPr>
                <w:lang w:val="fr-FR"/>
              </w:rPr>
              <w:t>’</w:t>
            </w:r>
            <w:r>
              <w:rPr>
                <w:lang w:val="fr-FR"/>
              </w:rPr>
              <w:t>emballage doit satisfaire au niveau d</w:t>
            </w:r>
            <w:r w:rsidR="00BB7FD4">
              <w:rPr>
                <w:lang w:val="fr-FR"/>
              </w:rPr>
              <w:t>’</w:t>
            </w:r>
            <w:r>
              <w:rPr>
                <w:lang w:val="fr-FR"/>
              </w:rPr>
              <w:t>épreuve du groupe d</w:t>
            </w:r>
            <w:r w:rsidR="00BB7FD4">
              <w:rPr>
                <w:lang w:val="fr-FR"/>
              </w:rPr>
              <w:t>’</w:t>
            </w:r>
            <w:r>
              <w:rPr>
                <w:lang w:val="fr-FR"/>
              </w:rPr>
              <w:t xml:space="preserve">emballage I pour les matières solides. </w:t>
            </w:r>
          </w:p>
        </w:tc>
      </w:tr>
      <w:tr w:rsidR="00DF5544" w:rsidRPr="007F0BBC" w:rsidTr="00FC76E0">
        <w:tc>
          <w:tcPr>
            <w:tcW w:w="9643" w:type="dxa"/>
            <w:gridSpan w:val="5"/>
            <w:tcBorders>
              <w:bottom w:val="single" w:sz="4" w:space="0" w:color="000000"/>
            </w:tcBorders>
          </w:tcPr>
          <w:p w:rsidR="00DF5544" w:rsidRPr="007F0BBC" w:rsidRDefault="00DF5544" w:rsidP="00C121C3">
            <w:pPr>
              <w:spacing w:before="60" w:after="60"/>
              <w:rPr>
                <w:color w:val="000000"/>
                <w:sz w:val="18"/>
                <w:szCs w:val="18"/>
              </w:rPr>
            </w:pPr>
            <w:r>
              <w:rPr>
                <w:b/>
                <w:bCs/>
                <w:lang w:val="fr-FR"/>
              </w:rPr>
              <w:t>Disposition supplémentaire</w:t>
            </w:r>
            <w:r w:rsidR="00A057A2">
              <w:rPr>
                <w:b/>
                <w:bCs/>
                <w:lang w:val="fr-FR"/>
              </w:rPr>
              <w:t> :</w:t>
            </w:r>
          </w:p>
        </w:tc>
      </w:tr>
      <w:tr w:rsidR="00DF5544" w:rsidRPr="007F0BBC" w:rsidTr="00FC76E0">
        <w:trPr>
          <w:trHeight w:val="244"/>
        </w:trPr>
        <w:tc>
          <w:tcPr>
            <w:tcW w:w="9643" w:type="dxa"/>
            <w:gridSpan w:val="5"/>
            <w:tcBorders>
              <w:top w:val="single" w:sz="4" w:space="0" w:color="000000"/>
              <w:bottom w:val="single" w:sz="4" w:space="0" w:color="auto"/>
            </w:tcBorders>
            <w:vAlign w:val="center"/>
          </w:tcPr>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1.</w:t>
            </w:r>
            <w:r w:rsidRPr="00D04C66">
              <w:rPr>
                <w:lang w:val="fr-FR"/>
              </w:rPr>
              <w:tab/>
              <w:t>Les emballages intérieurs et les objets en verre doivent être contenus dans des emballages intermédiaires rigides uniquement.</w:t>
            </w:r>
          </w:p>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2.</w:t>
            </w:r>
            <w:r w:rsidRPr="00D04C66">
              <w:rPr>
                <w:lang w:val="fr-FR"/>
              </w:rPr>
              <w:tab/>
              <w:t xml:space="preserve">Option </w:t>
            </w:r>
            <w:r w:rsidR="005052E8" w:rsidRPr="00E80F2E">
              <w:rPr>
                <w:rFonts w:eastAsia="MS Mincho"/>
                <w:lang w:val="fr-FR"/>
              </w:rPr>
              <w:t>n</w:t>
            </w:r>
            <w:r w:rsidR="005052E8" w:rsidRPr="00E80F2E">
              <w:rPr>
                <w:rFonts w:eastAsia="MS Mincho"/>
                <w:vertAlign w:val="superscript"/>
                <w:lang w:val="fr-FR"/>
              </w:rPr>
              <w:t>o</w:t>
            </w:r>
            <w:r w:rsidR="005052E8">
              <w:rPr>
                <w:lang w:val="fr-FR"/>
              </w:rPr>
              <w:t> </w:t>
            </w:r>
            <w:r w:rsidRPr="00D04C66">
              <w:rPr>
                <w:lang w:val="fr-FR"/>
              </w:rPr>
              <w:t xml:space="preserve">1 </w:t>
            </w:r>
            <w:r w:rsidR="005052E8">
              <w:rPr>
                <w:lang w:val="fr-FR"/>
              </w:rPr>
              <w:t xml:space="preserve">− </w:t>
            </w:r>
            <w:r w:rsidRPr="00D04C66">
              <w:rPr>
                <w:lang w:val="fr-FR"/>
              </w:rPr>
              <w:t xml:space="preserve">[les emballages intérieurs contenant des objets tranchants ou pointus tels que du verre brisé et des aiguilles doivent être résistants à la </w:t>
            </w:r>
            <w:proofErr w:type="gramStart"/>
            <w:r w:rsidRPr="00D04C66">
              <w:rPr>
                <w:lang w:val="fr-FR"/>
              </w:rPr>
              <w:t>perforation ]</w:t>
            </w:r>
            <w:proofErr w:type="gramEnd"/>
            <w:r w:rsidRPr="00D04C66">
              <w:rPr>
                <w:lang w:val="fr-FR"/>
              </w:rPr>
              <w:t>.</w:t>
            </w:r>
          </w:p>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3.</w:t>
            </w:r>
            <w:r w:rsidRPr="00D04C66">
              <w:rPr>
                <w:lang w:val="fr-FR"/>
              </w:rPr>
              <w:tab/>
              <w:t xml:space="preserve">Option </w:t>
            </w:r>
            <w:r w:rsidR="005052E8" w:rsidRPr="00E80F2E">
              <w:rPr>
                <w:rFonts w:eastAsia="MS Mincho"/>
                <w:lang w:val="fr-FR"/>
              </w:rPr>
              <w:t>n</w:t>
            </w:r>
            <w:r w:rsidR="005052E8" w:rsidRPr="00E80F2E">
              <w:rPr>
                <w:rFonts w:eastAsia="MS Mincho"/>
                <w:vertAlign w:val="superscript"/>
                <w:lang w:val="fr-FR"/>
              </w:rPr>
              <w:t>o</w:t>
            </w:r>
            <w:r w:rsidR="005052E8">
              <w:rPr>
                <w:lang w:val="fr-FR"/>
              </w:rPr>
              <w:t> </w:t>
            </w:r>
            <w:r w:rsidRPr="00D04C66">
              <w:rPr>
                <w:lang w:val="fr-FR"/>
              </w:rPr>
              <w:t>2</w:t>
            </w:r>
            <w:r w:rsidR="005052E8">
              <w:rPr>
                <w:lang w:val="fr-FR"/>
              </w:rPr>
              <w:t xml:space="preserve"> −</w:t>
            </w:r>
            <w:r w:rsidRPr="00D04C66">
              <w:rPr>
                <w:lang w:val="fr-FR"/>
              </w:rPr>
              <w:t xml:space="preserve"> [les emballages intérieurs contenant des objets tranchants ou pointus tels que du verre brisé et des aiguilles doivent satisfaire aux épreuves de résistance à la pénétration et de résistance aux dommages et fuites provoqués par une chute prescrit</w:t>
            </w:r>
            <w:r w:rsidR="00340281">
              <w:rPr>
                <w:lang w:val="fr-FR"/>
              </w:rPr>
              <w:t>e</w:t>
            </w:r>
            <w:r w:rsidRPr="00D04C66">
              <w:rPr>
                <w:lang w:val="fr-FR"/>
              </w:rPr>
              <w:t xml:space="preserve">s dans la norme ISO 23907-2012 </w:t>
            </w:r>
            <w:r w:rsidR="005052E8">
              <w:rPr>
                <w:lang w:val="fr-FR"/>
              </w:rPr>
              <w:t>« </w:t>
            </w:r>
            <w:r w:rsidRPr="00D04C66">
              <w:rPr>
                <w:lang w:val="fr-FR"/>
              </w:rPr>
              <w:t>Protection contre les blessures par perforants</w:t>
            </w:r>
            <w:r w:rsidR="009B72A8">
              <w:rPr>
                <w:lang w:val="fr-FR"/>
              </w:rPr>
              <w:t xml:space="preserve"> </w:t>
            </w:r>
            <w:r w:rsidRPr="00D04C66">
              <w:rPr>
                <w:lang w:val="fr-FR"/>
              </w:rPr>
              <w:t>– Exigences et méthodes d</w:t>
            </w:r>
            <w:r w:rsidR="00BB7FD4">
              <w:rPr>
                <w:lang w:val="fr-FR"/>
              </w:rPr>
              <w:t>’</w:t>
            </w:r>
            <w:r w:rsidRPr="00D04C66">
              <w:rPr>
                <w:lang w:val="fr-FR"/>
              </w:rPr>
              <w:t>essai – Conteneurs pour objets coupants, tranchants et perforants</w:t>
            </w:r>
            <w:r w:rsidR="005052E8">
              <w:rPr>
                <w:lang w:val="fr-FR"/>
              </w:rPr>
              <w:t> »</w:t>
            </w:r>
            <w:r w:rsidRPr="00D04C66">
              <w:rPr>
                <w:lang w:val="fr-FR"/>
              </w:rPr>
              <w:t>]</w:t>
            </w:r>
            <w:r w:rsidR="005052E8">
              <w:rPr>
                <w:lang w:val="fr-FR"/>
              </w:rPr>
              <w:t>.</w:t>
            </w:r>
          </w:p>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4.</w:t>
            </w:r>
            <w:r w:rsidRPr="00D04C66">
              <w:rPr>
                <w:lang w:val="fr-FR"/>
              </w:rPr>
              <w:tab/>
              <w:t>L</w:t>
            </w:r>
            <w:r w:rsidR="00BB7FD4">
              <w:rPr>
                <w:lang w:val="fr-FR"/>
              </w:rPr>
              <w:t>’</w:t>
            </w:r>
            <w:r w:rsidRPr="00D04C66">
              <w:rPr>
                <w:lang w:val="fr-FR"/>
              </w:rPr>
              <w:t>emballage intérieur et l</w:t>
            </w:r>
            <w:r w:rsidR="00BB7FD4">
              <w:rPr>
                <w:lang w:val="fr-FR"/>
              </w:rPr>
              <w:t>’</w:t>
            </w:r>
            <w:r w:rsidRPr="00D04C66">
              <w:rPr>
                <w:lang w:val="fr-FR"/>
              </w:rPr>
              <w:t xml:space="preserve">emballage intermédiaire doivent être étanches aux liquides. </w:t>
            </w:r>
          </w:p>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5.</w:t>
            </w:r>
            <w:r w:rsidRPr="00D04C66">
              <w:rPr>
                <w:lang w:val="fr-FR"/>
              </w:rPr>
              <w:tab/>
              <w:t>L</w:t>
            </w:r>
            <w:r w:rsidR="00BB7FD4">
              <w:rPr>
                <w:lang w:val="fr-FR"/>
              </w:rPr>
              <w:t>’</w:t>
            </w:r>
            <w:r w:rsidRPr="00D04C66">
              <w:rPr>
                <w:lang w:val="fr-FR"/>
              </w:rPr>
              <w:t>emballage intérieur et l</w:t>
            </w:r>
            <w:r w:rsidR="00BB7FD4">
              <w:rPr>
                <w:lang w:val="fr-FR"/>
              </w:rPr>
              <w:t>’</w:t>
            </w:r>
            <w:r w:rsidRPr="00D04C66">
              <w:rPr>
                <w:lang w:val="fr-FR"/>
              </w:rPr>
              <w:t>emballage inte</w:t>
            </w:r>
            <w:r w:rsidR="005052E8">
              <w:rPr>
                <w:lang w:val="fr-FR"/>
              </w:rPr>
              <w:t>rmédiaire peuvent être souples.</w:t>
            </w:r>
            <w:r w:rsidRPr="00D04C66">
              <w:rPr>
                <w:lang w:val="fr-FR"/>
              </w:rPr>
              <w:t xml:space="preserve"> Lorsque des emballages souples sont utilisés, ils doivent satisfaire aux épreuves de choc et de résistance en application des normes ISO 7765-1</w:t>
            </w:r>
            <w:r w:rsidR="00A057A2">
              <w:rPr>
                <w:lang w:val="fr-FR"/>
              </w:rPr>
              <w:t>:</w:t>
            </w:r>
            <w:r w:rsidRPr="00D04C66">
              <w:rPr>
                <w:lang w:val="fr-FR"/>
              </w:rPr>
              <w:t xml:space="preserve">1988 </w:t>
            </w:r>
            <w:r w:rsidR="005052E8">
              <w:rPr>
                <w:lang w:val="fr-FR"/>
              </w:rPr>
              <w:t>« </w:t>
            </w:r>
            <w:r w:rsidRPr="00D04C66">
              <w:rPr>
                <w:lang w:val="fr-FR"/>
              </w:rPr>
              <w:t>Films et feuilles de plastique</w:t>
            </w:r>
            <w:r w:rsidR="005052E8">
              <w:rPr>
                <w:lang w:val="fr-FR"/>
              </w:rPr>
              <w:t xml:space="preserve"> − </w:t>
            </w:r>
            <w:r w:rsidRPr="00D04C66">
              <w:rPr>
                <w:lang w:val="fr-FR"/>
              </w:rPr>
              <w:t xml:space="preserve">Détermination de la résistance au choc par la méthode par chute libre de projectile </w:t>
            </w:r>
            <w:r w:rsidR="005052E8">
              <w:rPr>
                <w:lang w:val="fr-FR"/>
              </w:rPr>
              <w:t>−</w:t>
            </w:r>
            <w:r w:rsidRPr="00D04C66">
              <w:rPr>
                <w:lang w:val="fr-FR"/>
              </w:rPr>
              <w:t xml:space="preserve"> Partie 1</w:t>
            </w:r>
            <w:r w:rsidR="00A057A2">
              <w:rPr>
                <w:lang w:val="fr-FR"/>
              </w:rPr>
              <w:t> :</w:t>
            </w:r>
            <w:r w:rsidRPr="00D04C66">
              <w:rPr>
                <w:lang w:val="fr-FR"/>
              </w:rPr>
              <w:t xml:space="preserve"> Méthodes dites de l</w:t>
            </w:r>
            <w:r w:rsidR="00BB7FD4">
              <w:rPr>
                <w:lang w:val="fr-FR"/>
              </w:rPr>
              <w:t>’</w:t>
            </w:r>
            <w:r w:rsidR="005052E8">
              <w:rPr>
                <w:lang w:val="en-US"/>
              </w:rPr>
              <w:t>“</w:t>
            </w:r>
            <w:r w:rsidRPr="00D04C66">
              <w:rPr>
                <w:lang w:val="fr-FR"/>
              </w:rPr>
              <w:t>escalier</w:t>
            </w:r>
            <w:r w:rsidR="005052E8">
              <w:rPr>
                <w:lang w:val="en-US"/>
              </w:rPr>
              <w:t>”</w:t>
            </w:r>
            <w:r w:rsidR="005052E8">
              <w:t xml:space="preserve"> » </w:t>
            </w:r>
            <w:r w:rsidRPr="00D04C66">
              <w:rPr>
                <w:lang w:val="fr-FR"/>
              </w:rPr>
              <w:t>et ISO 6383-2</w:t>
            </w:r>
            <w:r w:rsidR="00A057A2">
              <w:rPr>
                <w:lang w:val="fr-FR"/>
              </w:rPr>
              <w:t>:</w:t>
            </w:r>
            <w:r w:rsidRPr="00D04C66">
              <w:rPr>
                <w:lang w:val="fr-FR"/>
              </w:rPr>
              <w:t xml:space="preserve">1983 </w:t>
            </w:r>
            <w:r w:rsidR="005052E8">
              <w:rPr>
                <w:lang w:val="fr-FR"/>
              </w:rPr>
              <w:t>« </w:t>
            </w:r>
            <w:r w:rsidRPr="00D04C66">
              <w:rPr>
                <w:lang w:val="fr-FR"/>
              </w:rPr>
              <w:t>Films et feuilles de plastique</w:t>
            </w:r>
            <w:r w:rsidR="005052E8">
              <w:rPr>
                <w:lang w:val="fr-FR"/>
              </w:rPr>
              <w:t xml:space="preserve"> −</w:t>
            </w:r>
            <w:r w:rsidRPr="00D04C66">
              <w:rPr>
                <w:lang w:val="fr-FR"/>
              </w:rPr>
              <w:t xml:space="preserve"> Détermination de</w:t>
            </w:r>
            <w:r w:rsidR="005052E8">
              <w:rPr>
                <w:lang w:val="fr-FR"/>
              </w:rPr>
              <w:t> </w:t>
            </w:r>
            <w:r w:rsidRPr="00D04C66">
              <w:rPr>
                <w:lang w:val="fr-FR"/>
              </w:rPr>
              <w:t xml:space="preserve">la résistance au déchirement </w:t>
            </w:r>
            <w:r w:rsidR="005052E8">
              <w:rPr>
                <w:lang w:val="fr-FR"/>
              </w:rPr>
              <w:t>−</w:t>
            </w:r>
            <w:r w:rsidRPr="00D04C66">
              <w:rPr>
                <w:lang w:val="fr-FR"/>
              </w:rPr>
              <w:t xml:space="preserve"> Partie 2</w:t>
            </w:r>
            <w:r w:rsidR="00A057A2">
              <w:rPr>
                <w:lang w:val="fr-FR"/>
              </w:rPr>
              <w:t> :</w:t>
            </w:r>
            <w:r w:rsidRPr="00D04C66">
              <w:rPr>
                <w:lang w:val="fr-FR"/>
              </w:rPr>
              <w:t xml:space="preserve"> Méthode </w:t>
            </w:r>
            <w:proofErr w:type="spellStart"/>
            <w:r w:rsidRPr="00D04C66">
              <w:rPr>
                <w:lang w:val="fr-FR"/>
              </w:rPr>
              <w:t>Elmendorf</w:t>
            </w:r>
            <w:proofErr w:type="spellEnd"/>
            <w:r w:rsidR="005052E8">
              <w:rPr>
                <w:lang w:val="fr-FR"/>
              </w:rPr>
              <w:t> »</w:t>
            </w:r>
            <w:r w:rsidRPr="00D04C66">
              <w:rPr>
                <w:lang w:val="fr-FR"/>
              </w:rPr>
              <w:t>. Chacun de ces sacs plastiques doit avoir une résistance au choc d</w:t>
            </w:r>
            <w:r w:rsidR="00BB7FD4">
              <w:rPr>
                <w:lang w:val="fr-FR"/>
              </w:rPr>
              <w:t>’</w:t>
            </w:r>
            <w:r w:rsidR="005052E8">
              <w:rPr>
                <w:lang w:val="fr-FR"/>
              </w:rPr>
              <w:t>au moins 165 </w:t>
            </w:r>
            <w:r w:rsidRPr="00D04C66">
              <w:rPr>
                <w:lang w:val="fr-FR"/>
              </w:rPr>
              <w:t>g et une résistance au déchirement d</w:t>
            </w:r>
            <w:r w:rsidR="00BB7FD4">
              <w:rPr>
                <w:lang w:val="fr-FR"/>
              </w:rPr>
              <w:t>’</w:t>
            </w:r>
            <w:r w:rsidR="005052E8">
              <w:rPr>
                <w:lang w:val="fr-FR"/>
              </w:rPr>
              <w:t>au moins 480 </w:t>
            </w:r>
            <w:r w:rsidRPr="00D04C66">
              <w:rPr>
                <w:lang w:val="fr-FR"/>
              </w:rPr>
              <w:t>g sur des plans perpendiculaires et parallèl</w:t>
            </w:r>
            <w:r w:rsidR="005052E8">
              <w:rPr>
                <w:lang w:val="fr-FR"/>
              </w:rPr>
              <w:t>es au plan longitudinal du sac.</w:t>
            </w:r>
            <w:r w:rsidRPr="00D04C66">
              <w:rPr>
                <w:lang w:val="fr-FR"/>
              </w:rPr>
              <w:t xml:space="preserve"> La masse nette maximale de chaque s</w:t>
            </w:r>
            <w:r w:rsidR="005052E8">
              <w:rPr>
                <w:lang w:val="fr-FR"/>
              </w:rPr>
              <w:t>ac en plastique doit être de 30 </w:t>
            </w:r>
            <w:r w:rsidRPr="00D04C66">
              <w:rPr>
                <w:lang w:val="fr-FR"/>
              </w:rPr>
              <w:t>kg</w:t>
            </w:r>
            <w:r w:rsidR="005052E8">
              <w:rPr>
                <w:lang w:val="fr-FR"/>
              </w:rPr>
              <w:t>.</w:t>
            </w:r>
          </w:p>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6.</w:t>
            </w:r>
            <w:r w:rsidRPr="00D04C66">
              <w:rPr>
                <w:lang w:val="fr-FR"/>
              </w:rPr>
              <w:tab/>
              <w:t>Chaque emballage intermédiaire souple ne doit contenir qu</w:t>
            </w:r>
            <w:r w:rsidR="00BB7FD4">
              <w:rPr>
                <w:lang w:val="fr-FR"/>
              </w:rPr>
              <w:t>’</w:t>
            </w:r>
            <w:r w:rsidRPr="00D04C66">
              <w:rPr>
                <w:lang w:val="fr-FR"/>
              </w:rPr>
              <w:t xml:space="preserve">un seul emballage intérieur. </w:t>
            </w:r>
          </w:p>
          <w:p w:rsidR="00DF5544" w:rsidRPr="00D04C66" w:rsidRDefault="00DF5544" w:rsidP="00C121C3">
            <w:pPr>
              <w:kinsoku/>
              <w:overflowPunct/>
              <w:autoSpaceDE/>
              <w:autoSpaceDN/>
              <w:adjustRightInd/>
              <w:snapToGrid/>
              <w:spacing w:before="40" w:after="40"/>
              <w:ind w:left="284" w:hanging="284"/>
              <w:rPr>
                <w:lang w:val="fr-FR"/>
              </w:rPr>
            </w:pPr>
            <w:r w:rsidRPr="00D04C66">
              <w:rPr>
                <w:lang w:val="fr-FR"/>
              </w:rPr>
              <w:t>7.</w:t>
            </w:r>
            <w:r w:rsidRPr="00D04C66">
              <w:rPr>
                <w:lang w:val="fr-FR"/>
              </w:rPr>
              <w:tab/>
              <w:t xml:space="preserve">Option </w:t>
            </w:r>
            <w:r w:rsidR="005052E8" w:rsidRPr="00E80F2E">
              <w:rPr>
                <w:rFonts w:eastAsia="MS Mincho"/>
                <w:lang w:val="fr-FR"/>
              </w:rPr>
              <w:t>n</w:t>
            </w:r>
            <w:r w:rsidR="005052E8" w:rsidRPr="00E80F2E">
              <w:rPr>
                <w:rFonts w:eastAsia="MS Mincho"/>
                <w:vertAlign w:val="superscript"/>
                <w:lang w:val="fr-FR"/>
              </w:rPr>
              <w:t>o</w:t>
            </w:r>
            <w:r w:rsidR="005052E8">
              <w:rPr>
                <w:lang w:val="fr-FR"/>
              </w:rPr>
              <w:t> </w:t>
            </w:r>
            <w:r w:rsidRPr="00D04C66">
              <w:rPr>
                <w:lang w:val="fr-FR"/>
              </w:rPr>
              <w:t>1</w:t>
            </w:r>
            <w:r w:rsidR="005052E8">
              <w:rPr>
                <w:lang w:val="fr-FR"/>
              </w:rPr>
              <w:t xml:space="preserve"> −</w:t>
            </w:r>
            <w:r w:rsidRPr="00D04C66">
              <w:rPr>
                <w:lang w:val="fr-FR"/>
              </w:rPr>
              <w:t xml:space="preserve"> [les emballages intérieurs contenant une petite quantité de liquide libre peuvent être contenus dans un emballage intermédiaire pour autant qu</w:t>
            </w:r>
            <w:r w:rsidR="00BB7FD4">
              <w:rPr>
                <w:lang w:val="fr-FR"/>
              </w:rPr>
              <w:t>’</w:t>
            </w:r>
            <w:r w:rsidRPr="00D04C66">
              <w:rPr>
                <w:lang w:val="fr-FR"/>
              </w:rPr>
              <w:t>il y ait suffisamment de matériau absorbant ou solidifiant dans l</w:t>
            </w:r>
            <w:r w:rsidR="00BB7FD4">
              <w:rPr>
                <w:lang w:val="fr-FR"/>
              </w:rPr>
              <w:t>’</w:t>
            </w:r>
            <w:r w:rsidRPr="00D04C66">
              <w:rPr>
                <w:lang w:val="fr-FR"/>
              </w:rPr>
              <w:t>emballage intérieur ou intermédiaire pour absorber ou solidifier la totalité du contenu liquide présent. Un matériau absorbant pouvant résister aux températures et aux vibrations susceptibles</w:t>
            </w:r>
            <w:r w:rsidR="009B72A8">
              <w:rPr>
                <w:lang w:val="fr-FR"/>
              </w:rPr>
              <w:t xml:space="preserve"> </w:t>
            </w:r>
            <w:r w:rsidRPr="00D04C66">
              <w:rPr>
                <w:lang w:val="fr-FR"/>
              </w:rPr>
              <w:t>de se produire dans des conditions normales de transport doit être utilis</w:t>
            </w:r>
            <w:r w:rsidR="005052E8">
              <w:rPr>
                <w:lang w:val="fr-FR"/>
              </w:rPr>
              <w:t>é</w:t>
            </w:r>
            <w:r w:rsidRPr="00D04C66">
              <w:rPr>
                <w:lang w:val="fr-FR"/>
              </w:rPr>
              <w:t>]</w:t>
            </w:r>
            <w:r w:rsidR="005052E8">
              <w:rPr>
                <w:lang w:val="fr-FR"/>
              </w:rPr>
              <w:t>.</w:t>
            </w:r>
          </w:p>
          <w:p w:rsidR="00DF5544" w:rsidRDefault="00DF5544" w:rsidP="00C121C3">
            <w:pPr>
              <w:kinsoku/>
              <w:overflowPunct/>
              <w:autoSpaceDE/>
              <w:autoSpaceDN/>
              <w:adjustRightInd/>
              <w:snapToGrid/>
              <w:spacing w:before="40" w:after="40"/>
              <w:ind w:left="284" w:hanging="284"/>
              <w:rPr>
                <w:lang w:val="fr-FR"/>
              </w:rPr>
            </w:pPr>
            <w:r w:rsidRPr="00D04C66">
              <w:rPr>
                <w:lang w:val="fr-FR"/>
              </w:rPr>
              <w:t>8.</w:t>
            </w:r>
            <w:r w:rsidRPr="00D04C66">
              <w:rPr>
                <w:lang w:val="fr-FR"/>
              </w:rPr>
              <w:tab/>
              <w:t xml:space="preserve">Option </w:t>
            </w:r>
            <w:r w:rsidR="005052E8" w:rsidRPr="00E80F2E">
              <w:rPr>
                <w:rFonts w:eastAsia="MS Mincho"/>
                <w:lang w:val="fr-FR"/>
              </w:rPr>
              <w:t>n</w:t>
            </w:r>
            <w:r w:rsidR="005052E8" w:rsidRPr="00E80F2E">
              <w:rPr>
                <w:rFonts w:eastAsia="MS Mincho"/>
                <w:vertAlign w:val="superscript"/>
                <w:lang w:val="fr-FR"/>
              </w:rPr>
              <w:t>o</w:t>
            </w:r>
            <w:r w:rsidR="005052E8">
              <w:rPr>
                <w:lang w:val="fr-FR"/>
              </w:rPr>
              <w:t> 2 −</w:t>
            </w:r>
            <w:r w:rsidRPr="00D04C66">
              <w:rPr>
                <w:lang w:val="fr-FR"/>
              </w:rPr>
              <w:t xml:space="preserve"> [les emballages intérieurs contenant une petite quantité de liquide libre peuvent être contenus dans un emballage intermédiaire pour autant qu</w:t>
            </w:r>
            <w:r w:rsidR="00BB7FD4">
              <w:rPr>
                <w:lang w:val="fr-FR"/>
              </w:rPr>
              <w:t>’</w:t>
            </w:r>
            <w:r w:rsidRPr="00D04C66">
              <w:rPr>
                <w:lang w:val="fr-FR"/>
              </w:rPr>
              <w:t>il y ait suffisamment de matériau absorbant ou solidifiant dans l</w:t>
            </w:r>
            <w:r w:rsidR="00BB7FD4">
              <w:rPr>
                <w:lang w:val="fr-FR"/>
              </w:rPr>
              <w:t>’</w:t>
            </w:r>
            <w:r w:rsidRPr="00D04C66">
              <w:rPr>
                <w:lang w:val="fr-FR"/>
              </w:rPr>
              <w:t>emballage intérieur ou intermédiaire pour absorber ou solidifier la totalité du contenu liquide présent et que l</w:t>
            </w:r>
            <w:r w:rsidR="00BB7FD4">
              <w:rPr>
                <w:lang w:val="fr-FR"/>
              </w:rPr>
              <w:t>’</w:t>
            </w:r>
            <w:r w:rsidRPr="00D04C66">
              <w:rPr>
                <w:lang w:val="fr-FR"/>
              </w:rPr>
              <w:t>emballage extérieur soit apte à retenir les liquides. Un matériau absorbant pouvant résister aux températures et aux vibrations susceptibles</w:t>
            </w:r>
            <w:r w:rsidR="009B72A8">
              <w:rPr>
                <w:lang w:val="fr-FR"/>
              </w:rPr>
              <w:t xml:space="preserve"> </w:t>
            </w:r>
            <w:r w:rsidRPr="00D04C66">
              <w:rPr>
                <w:lang w:val="fr-FR"/>
              </w:rPr>
              <w:t>de se produire dans des conditions normales de t</w:t>
            </w:r>
            <w:r w:rsidR="00EA6554">
              <w:rPr>
                <w:lang w:val="fr-FR"/>
              </w:rPr>
              <w:t>ransport doit être utilisé</w:t>
            </w:r>
            <w:r>
              <w:rPr>
                <w:lang w:val="fr-FR"/>
              </w:rPr>
              <w:t>]</w:t>
            </w:r>
            <w:r w:rsidR="005052E8">
              <w:rPr>
                <w:lang w:val="fr-FR"/>
              </w:rPr>
              <w:t>.</w:t>
            </w:r>
            <w:r>
              <w:rPr>
                <w:lang w:val="fr-FR"/>
              </w:rPr>
              <w:t xml:space="preserve"> </w:t>
            </w:r>
          </w:p>
          <w:p w:rsidR="00DF5544" w:rsidRPr="00662D9A" w:rsidRDefault="00DF5544" w:rsidP="00C121C3">
            <w:pPr>
              <w:kinsoku/>
              <w:overflowPunct/>
              <w:autoSpaceDE/>
              <w:autoSpaceDN/>
              <w:adjustRightInd/>
              <w:snapToGrid/>
              <w:spacing w:before="40" w:after="40"/>
              <w:ind w:left="284" w:hanging="284"/>
              <w:rPr>
                <w:lang w:val="fr-FR"/>
              </w:rPr>
            </w:pPr>
            <w:r w:rsidRPr="00D04C66">
              <w:rPr>
                <w:lang w:val="fr-FR"/>
              </w:rPr>
              <w:t>9.</w:t>
            </w:r>
            <w:r w:rsidRPr="00D04C66">
              <w:rPr>
                <w:lang w:val="fr-FR"/>
              </w:rPr>
              <w:tab/>
              <w:t xml:space="preserve">Les </w:t>
            </w:r>
            <w:r w:rsidR="00340281">
              <w:rPr>
                <w:lang w:val="fr-FR"/>
              </w:rPr>
              <w:t xml:space="preserve">grands </w:t>
            </w:r>
            <w:proofErr w:type="gramStart"/>
            <w:r w:rsidR="00340281">
              <w:rPr>
                <w:lang w:val="fr-FR"/>
              </w:rPr>
              <w:t>emballage en contre</w:t>
            </w:r>
            <w:r>
              <w:rPr>
                <w:lang w:val="fr-FR"/>
              </w:rPr>
              <w:t>plaqué (50D) et en c</w:t>
            </w:r>
            <w:r w:rsidRPr="00D04C66">
              <w:rPr>
                <w:lang w:val="fr-FR"/>
              </w:rPr>
              <w:t xml:space="preserve">arton </w:t>
            </w:r>
            <w:r>
              <w:rPr>
                <w:lang w:val="fr-FR"/>
              </w:rPr>
              <w:t>rigide (50G</w:t>
            </w:r>
            <w:proofErr w:type="gramEnd"/>
            <w:r>
              <w:rPr>
                <w:lang w:val="fr-FR"/>
              </w:rPr>
              <w:t>) doivent avoir une doublure ou un revêtement intérieur</w:t>
            </w:r>
            <w:r w:rsidRPr="00D04C66">
              <w:rPr>
                <w:lang w:val="fr-FR"/>
              </w:rPr>
              <w:t xml:space="preserve">. Les emballages intermédiaires ne doivent pas remplir </w:t>
            </w:r>
            <w:r>
              <w:rPr>
                <w:lang w:val="fr-FR"/>
              </w:rPr>
              <w:t>ces conditions</w:t>
            </w:r>
            <w:r w:rsidRPr="00D04C66">
              <w:rPr>
                <w:lang w:val="fr-FR"/>
              </w:rPr>
              <w:t>]</w:t>
            </w:r>
            <w:r w:rsidR="003673A9">
              <w:rPr>
                <w:lang w:val="fr-FR"/>
              </w:rPr>
              <w:t>.</w:t>
            </w:r>
          </w:p>
        </w:tc>
      </w:tr>
    </w:tbl>
    <w:p w:rsidR="00446FE5" w:rsidRPr="005073C6" w:rsidRDefault="005073C6" w:rsidP="005073C6">
      <w:pPr>
        <w:pStyle w:val="SingleTxtG"/>
        <w:spacing w:before="240" w:after="0"/>
        <w:jc w:val="center"/>
        <w:rPr>
          <w:u w:val="single"/>
        </w:rPr>
      </w:pPr>
      <w:r>
        <w:rPr>
          <w:u w:val="single"/>
        </w:rPr>
        <w:tab/>
      </w:r>
      <w:r>
        <w:rPr>
          <w:u w:val="single"/>
        </w:rPr>
        <w:tab/>
      </w:r>
      <w:r>
        <w:rPr>
          <w:u w:val="single"/>
        </w:rPr>
        <w:tab/>
      </w:r>
    </w:p>
    <w:sectPr w:rsidR="00446FE5" w:rsidRPr="005073C6" w:rsidSect="00C142A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E0" w:rsidRDefault="00FC76E0" w:rsidP="00F95C08">
      <w:pPr>
        <w:spacing w:line="240" w:lineRule="auto"/>
      </w:pPr>
    </w:p>
  </w:endnote>
  <w:endnote w:type="continuationSeparator" w:id="0">
    <w:p w:rsidR="00FC76E0" w:rsidRPr="00AC3823" w:rsidRDefault="00FC76E0" w:rsidP="00AC3823">
      <w:pPr>
        <w:pStyle w:val="Footer"/>
      </w:pPr>
    </w:p>
  </w:endnote>
  <w:endnote w:type="continuationNotice" w:id="1">
    <w:p w:rsidR="00FC76E0" w:rsidRDefault="00FC76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E0" w:rsidRPr="00C142AA" w:rsidRDefault="00FC76E0" w:rsidP="00C142AA">
    <w:pPr>
      <w:pStyle w:val="Footer"/>
      <w:tabs>
        <w:tab w:val="right" w:pos="9638"/>
      </w:tabs>
    </w:pPr>
    <w:r w:rsidRPr="00C142AA">
      <w:rPr>
        <w:b/>
        <w:sz w:val="18"/>
      </w:rPr>
      <w:fldChar w:fldCharType="begin"/>
    </w:r>
    <w:r w:rsidRPr="00C142AA">
      <w:rPr>
        <w:b/>
        <w:sz w:val="18"/>
      </w:rPr>
      <w:instrText xml:space="preserve"> PAGE  \* MERGEFORMAT </w:instrText>
    </w:r>
    <w:r w:rsidRPr="00C142AA">
      <w:rPr>
        <w:b/>
        <w:sz w:val="18"/>
      </w:rPr>
      <w:fldChar w:fldCharType="separate"/>
    </w:r>
    <w:r w:rsidR="007054E6">
      <w:rPr>
        <w:b/>
        <w:noProof/>
        <w:sz w:val="18"/>
      </w:rPr>
      <w:t>10</w:t>
    </w:r>
    <w:r w:rsidRPr="00C142AA">
      <w:rPr>
        <w:b/>
        <w:sz w:val="18"/>
      </w:rPr>
      <w:fldChar w:fldCharType="end"/>
    </w:r>
    <w:r>
      <w:rPr>
        <w:b/>
        <w:sz w:val="18"/>
      </w:rPr>
      <w:tab/>
    </w:r>
    <w:r>
      <w:t>GE.17-06029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E0" w:rsidRPr="00C142AA" w:rsidRDefault="00FC76E0" w:rsidP="00C142AA">
    <w:pPr>
      <w:pStyle w:val="Footer"/>
      <w:tabs>
        <w:tab w:val="right" w:pos="9638"/>
      </w:tabs>
      <w:rPr>
        <w:b/>
        <w:sz w:val="18"/>
      </w:rPr>
    </w:pPr>
    <w:r>
      <w:t>GE.17-06029</w:t>
    </w:r>
    <w:r>
      <w:tab/>
    </w:r>
    <w:r w:rsidRPr="00C142AA">
      <w:rPr>
        <w:b/>
        <w:sz w:val="18"/>
      </w:rPr>
      <w:fldChar w:fldCharType="begin"/>
    </w:r>
    <w:r w:rsidRPr="00C142AA">
      <w:rPr>
        <w:b/>
        <w:sz w:val="18"/>
      </w:rPr>
      <w:instrText xml:space="preserve"> PAGE  \* MERGEFORMAT </w:instrText>
    </w:r>
    <w:r w:rsidRPr="00C142AA">
      <w:rPr>
        <w:b/>
        <w:sz w:val="18"/>
      </w:rPr>
      <w:fldChar w:fldCharType="separate"/>
    </w:r>
    <w:r w:rsidR="007054E6">
      <w:rPr>
        <w:b/>
        <w:noProof/>
        <w:sz w:val="18"/>
      </w:rPr>
      <w:t>9</w:t>
    </w:r>
    <w:r w:rsidRPr="00C142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E0" w:rsidRPr="00C142AA" w:rsidRDefault="00FC76E0" w:rsidP="00C142A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4E079F0" wp14:editId="12B2E7D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17-06029  (F)    050517    080517</w:t>
    </w:r>
    <w:r>
      <w:rPr>
        <w:sz w:val="20"/>
      </w:rPr>
      <w:br/>
    </w:r>
    <w:r w:rsidRPr="00C142AA">
      <w:rPr>
        <w:rFonts w:ascii="C39T30Lfz" w:hAnsi="C39T30Lfz"/>
        <w:sz w:val="56"/>
      </w:rPr>
      <w:t></w:t>
    </w:r>
    <w:r w:rsidRPr="00C142AA">
      <w:rPr>
        <w:rFonts w:ascii="C39T30Lfz" w:hAnsi="C39T30Lfz"/>
        <w:sz w:val="56"/>
      </w:rPr>
      <w:t></w:t>
    </w:r>
    <w:r w:rsidRPr="00C142AA">
      <w:rPr>
        <w:rFonts w:ascii="C39T30Lfz" w:hAnsi="C39T30Lfz"/>
        <w:sz w:val="56"/>
      </w:rPr>
      <w:t></w:t>
    </w:r>
    <w:r w:rsidRPr="00C142AA">
      <w:rPr>
        <w:rFonts w:ascii="C39T30Lfz" w:hAnsi="C39T30Lfz"/>
        <w:sz w:val="56"/>
      </w:rPr>
      <w:t></w:t>
    </w:r>
    <w:r w:rsidRPr="00C142AA">
      <w:rPr>
        <w:rFonts w:ascii="C39T30Lfz" w:hAnsi="C39T30Lfz"/>
        <w:sz w:val="56"/>
      </w:rPr>
      <w:t></w:t>
    </w:r>
    <w:r w:rsidRPr="00C142AA">
      <w:rPr>
        <w:rFonts w:ascii="C39T30Lfz" w:hAnsi="C39T30Lfz"/>
        <w:sz w:val="56"/>
      </w:rPr>
      <w:t></w:t>
    </w:r>
    <w:r w:rsidRPr="00C142AA">
      <w:rPr>
        <w:rFonts w:ascii="C39T30Lfz" w:hAnsi="C39T30Lfz"/>
        <w:sz w:val="56"/>
      </w:rPr>
      <w:t></w:t>
    </w:r>
    <w:r w:rsidRPr="00C142AA">
      <w:rPr>
        <w:rFonts w:ascii="C39T30Lfz" w:hAnsi="C39T30Lfz"/>
        <w:sz w:val="56"/>
      </w:rPr>
      <w:t></w:t>
    </w:r>
    <w:r w:rsidRPr="00C142A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7/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E0" w:rsidRPr="00AC3823" w:rsidRDefault="00FC76E0" w:rsidP="00AC3823">
      <w:pPr>
        <w:pStyle w:val="Footer"/>
        <w:tabs>
          <w:tab w:val="right" w:pos="2155"/>
        </w:tabs>
        <w:spacing w:after="80" w:line="240" w:lineRule="atLeast"/>
        <w:ind w:left="680"/>
        <w:rPr>
          <w:u w:val="single"/>
        </w:rPr>
      </w:pPr>
      <w:r>
        <w:rPr>
          <w:u w:val="single"/>
        </w:rPr>
        <w:tab/>
      </w:r>
    </w:p>
  </w:footnote>
  <w:footnote w:type="continuationSeparator" w:id="0">
    <w:p w:rsidR="00FC76E0" w:rsidRPr="00AC3823" w:rsidRDefault="00FC76E0" w:rsidP="00AC3823">
      <w:pPr>
        <w:pStyle w:val="Footer"/>
        <w:tabs>
          <w:tab w:val="right" w:pos="2155"/>
        </w:tabs>
        <w:spacing w:after="80" w:line="240" w:lineRule="atLeast"/>
        <w:ind w:left="680"/>
        <w:rPr>
          <w:u w:val="single"/>
        </w:rPr>
      </w:pPr>
      <w:r>
        <w:rPr>
          <w:u w:val="single"/>
        </w:rPr>
        <w:tab/>
      </w:r>
    </w:p>
  </w:footnote>
  <w:footnote w:type="continuationNotice" w:id="1">
    <w:p w:rsidR="00FC76E0" w:rsidRPr="00AC3823" w:rsidRDefault="00FC76E0">
      <w:pPr>
        <w:spacing w:line="240" w:lineRule="auto"/>
        <w:rPr>
          <w:sz w:val="2"/>
          <w:szCs w:val="2"/>
        </w:rPr>
      </w:pPr>
    </w:p>
  </w:footnote>
  <w:footnote w:id="2">
    <w:p w:rsidR="00930C5A" w:rsidRPr="00930C5A" w:rsidRDefault="00930C5A">
      <w:pPr>
        <w:pStyle w:val="FootnoteText"/>
      </w:pPr>
      <w:r>
        <w:rPr>
          <w:rStyle w:val="FootnoteReference"/>
        </w:rPr>
        <w:tab/>
      </w:r>
      <w:r w:rsidRPr="00930C5A">
        <w:rPr>
          <w:rStyle w:val="FootnoteReference"/>
          <w:sz w:val="20"/>
          <w:vertAlign w:val="baseline"/>
        </w:rPr>
        <w:t>*</w:t>
      </w:r>
      <w:r>
        <w:rPr>
          <w:rStyle w:val="FootnoteReference"/>
          <w:sz w:val="20"/>
          <w:vertAlign w:val="baseline"/>
        </w:rPr>
        <w:tab/>
      </w:r>
      <w:r>
        <w:rPr>
          <w:lang w:val="fr-FR"/>
        </w:rPr>
        <w:t>Conformément au programme de travail du Sous-Comité pour la période 2017-2018, approuvé par le Comité à sa huitième session (voir ST/SG/AC.10/C.3/100, par. 98, et ST/SG/AC.10/44, par. 14).</w:t>
      </w:r>
    </w:p>
  </w:footnote>
  <w:footnote w:id="3">
    <w:p w:rsidR="00FC76E0" w:rsidRPr="00482E6D" w:rsidRDefault="00FC76E0" w:rsidP="00DF5544">
      <w:pPr>
        <w:pStyle w:val="FootnoteText"/>
      </w:pPr>
      <w:r>
        <w:rPr>
          <w:lang w:val="fr-FR"/>
        </w:rPr>
        <w:tab/>
      </w:r>
      <w:r w:rsidRPr="002015E7">
        <w:rPr>
          <w:rStyle w:val="FootnoteReference"/>
        </w:rPr>
        <w:footnoteRef/>
      </w:r>
      <w:r>
        <w:rPr>
          <w:lang w:val="fr-FR"/>
        </w:rPr>
        <w:t xml:space="preserve"> </w:t>
      </w:r>
      <w:r>
        <w:rPr>
          <w:lang w:val="fr-FR"/>
        </w:rPr>
        <w:tab/>
        <w:t>https://doh.sd.gov/documents/diseases/nebraskabiounit.pdf.</w:t>
      </w:r>
    </w:p>
  </w:footnote>
  <w:footnote w:id="4">
    <w:p w:rsidR="00FC76E0" w:rsidRPr="000D7A28" w:rsidRDefault="00FC76E0" w:rsidP="00DF5544">
      <w:pPr>
        <w:pStyle w:val="FootnoteText"/>
      </w:pPr>
      <w:r>
        <w:rPr>
          <w:lang w:val="fr-FR"/>
        </w:rPr>
        <w:tab/>
      </w:r>
      <w:r w:rsidRPr="002015E7">
        <w:rPr>
          <w:rStyle w:val="FootnoteReference"/>
        </w:rPr>
        <w:footnoteRef/>
      </w:r>
      <w:r>
        <w:rPr>
          <w:lang w:val="fr-FR"/>
        </w:rPr>
        <w:tab/>
        <w:t>Certificat d’équivalence du Canada 11521 (http://wwwapps.tc.gc.ca/saf-sec-sur/3/tdgcert-tmdcert/certificate.aspx/11521).</w:t>
      </w:r>
    </w:p>
  </w:footnote>
  <w:footnote w:id="5">
    <w:p w:rsidR="00FC76E0" w:rsidRPr="000D7A28" w:rsidRDefault="00FC76E0" w:rsidP="00DF5544">
      <w:pPr>
        <w:pStyle w:val="FootnoteText"/>
      </w:pPr>
      <w:r>
        <w:rPr>
          <w:lang w:val="fr-FR"/>
        </w:rPr>
        <w:tab/>
      </w:r>
      <w:r w:rsidRPr="002015E7">
        <w:rPr>
          <w:rStyle w:val="FootnoteReference"/>
        </w:rPr>
        <w:footnoteRef/>
      </w:r>
      <w:r>
        <w:rPr>
          <w:lang w:val="fr-FR"/>
        </w:rPr>
        <w:tab/>
        <w:t xml:space="preserve">Autorisation spéciale 16279 des États-Unis pour les déchets de la </w:t>
      </w:r>
      <w:r w:rsidR="009B72A8">
        <w:rPr>
          <w:lang w:val="fr-FR"/>
        </w:rPr>
        <w:t>c</w:t>
      </w:r>
      <w:r>
        <w:rPr>
          <w:lang w:val="fr-FR"/>
        </w:rPr>
        <w:t>atégorie A − Résumé des prescriptions d’emballage.</w:t>
      </w:r>
    </w:p>
  </w:footnote>
  <w:footnote w:id="6">
    <w:p w:rsidR="00FC76E0" w:rsidRPr="000D7A28" w:rsidRDefault="00FC76E0" w:rsidP="00DF5544">
      <w:pPr>
        <w:pStyle w:val="FootnoteText"/>
      </w:pPr>
      <w:r>
        <w:rPr>
          <w:lang w:val="fr-FR"/>
        </w:rPr>
        <w:tab/>
      </w:r>
      <w:r w:rsidRPr="002015E7">
        <w:rPr>
          <w:rStyle w:val="FootnoteReference"/>
        </w:rPr>
        <w:footnoteRef/>
      </w:r>
      <w:r>
        <w:rPr>
          <w:lang w:val="fr-FR"/>
        </w:rPr>
        <w:t xml:space="preserve"> </w:t>
      </w:r>
      <w:r>
        <w:rPr>
          <w:lang w:val="fr-FR"/>
        </w:rPr>
        <w:tab/>
        <w:t>https://www.cdc.gov/vhf/ebola/healthcare-us/cleaning/handling-waste.html</w:t>
      </w:r>
      <w:r w:rsidR="007F55F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E0" w:rsidRPr="00C142AA" w:rsidRDefault="00FC76E0">
    <w:pPr>
      <w:pStyle w:val="Header"/>
    </w:pPr>
    <w:r>
      <w:t>ST/SG/AC.10/C.3/2017/25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E0" w:rsidRPr="00C142AA" w:rsidRDefault="00FC76E0" w:rsidP="00C142AA">
    <w:pPr>
      <w:pStyle w:val="Header"/>
      <w:jc w:val="right"/>
    </w:pPr>
    <w:r>
      <w:t>ST/SG/AC.10/C.3/2017/25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lvlOverride w:ilvl="0">
      <w:lvl w:ilvl="0" w:tplc="8688A2D0">
        <w:start w:val="1"/>
        <w:numFmt w:val="decimal"/>
        <w:lvlText w:val="%1."/>
        <w:lvlJc w:val="left"/>
        <w:pPr>
          <w:ind w:left="7290" w:hanging="360"/>
        </w:pPr>
        <w:rPr>
          <w:b w:val="0"/>
        </w:rPr>
      </w:lvl>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25"/>
    <w:rsid w:val="00017F94"/>
    <w:rsid w:val="00023842"/>
    <w:rsid w:val="000305D3"/>
    <w:rsid w:val="000334F9"/>
    <w:rsid w:val="00037284"/>
    <w:rsid w:val="0007796D"/>
    <w:rsid w:val="00086825"/>
    <w:rsid w:val="000B7790"/>
    <w:rsid w:val="00111F2F"/>
    <w:rsid w:val="00132EA9"/>
    <w:rsid w:val="0014365E"/>
    <w:rsid w:val="00156D44"/>
    <w:rsid w:val="00176178"/>
    <w:rsid w:val="001F525A"/>
    <w:rsid w:val="00223272"/>
    <w:rsid w:val="00236B1A"/>
    <w:rsid w:val="0024779E"/>
    <w:rsid w:val="00283190"/>
    <w:rsid w:val="002832AC"/>
    <w:rsid w:val="002C3963"/>
    <w:rsid w:val="002D7C93"/>
    <w:rsid w:val="00340281"/>
    <w:rsid w:val="003673A9"/>
    <w:rsid w:val="00393053"/>
    <w:rsid w:val="00441C3B"/>
    <w:rsid w:val="00446FE5"/>
    <w:rsid w:val="00452396"/>
    <w:rsid w:val="00457BFD"/>
    <w:rsid w:val="004E468C"/>
    <w:rsid w:val="005052E8"/>
    <w:rsid w:val="005073C6"/>
    <w:rsid w:val="005505B7"/>
    <w:rsid w:val="00561494"/>
    <w:rsid w:val="00573BE5"/>
    <w:rsid w:val="00586ED3"/>
    <w:rsid w:val="00596AA9"/>
    <w:rsid w:val="005D0349"/>
    <w:rsid w:val="0068456F"/>
    <w:rsid w:val="007054E6"/>
    <w:rsid w:val="0071601D"/>
    <w:rsid w:val="007A62E6"/>
    <w:rsid w:val="007F55F0"/>
    <w:rsid w:val="0080684C"/>
    <w:rsid w:val="0083676D"/>
    <w:rsid w:val="0083695B"/>
    <w:rsid w:val="00871C75"/>
    <w:rsid w:val="00875AF3"/>
    <w:rsid w:val="008776DC"/>
    <w:rsid w:val="008A0E36"/>
    <w:rsid w:val="008B2D3D"/>
    <w:rsid w:val="008E00C7"/>
    <w:rsid w:val="00930C5A"/>
    <w:rsid w:val="009705C8"/>
    <w:rsid w:val="00972769"/>
    <w:rsid w:val="009A45ED"/>
    <w:rsid w:val="009B72A8"/>
    <w:rsid w:val="009C1CF4"/>
    <w:rsid w:val="00A057A2"/>
    <w:rsid w:val="00A14F84"/>
    <w:rsid w:val="00A30353"/>
    <w:rsid w:val="00A469D9"/>
    <w:rsid w:val="00AC3823"/>
    <w:rsid w:val="00AE323C"/>
    <w:rsid w:val="00B00181"/>
    <w:rsid w:val="00B00B0D"/>
    <w:rsid w:val="00B765F7"/>
    <w:rsid w:val="00BA0CA9"/>
    <w:rsid w:val="00BB7FD4"/>
    <w:rsid w:val="00BC5E37"/>
    <w:rsid w:val="00C02897"/>
    <w:rsid w:val="00C07568"/>
    <w:rsid w:val="00C121C3"/>
    <w:rsid w:val="00C142AA"/>
    <w:rsid w:val="00CE64A2"/>
    <w:rsid w:val="00D3439C"/>
    <w:rsid w:val="00D75FE4"/>
    <w:rsid w:val="00DB1831"/>
    <w:rsid w:val="00DD3BFD"/>
    <w:rsid w:val="00DF5544"/>
    <w:rsid w:val="00DF6678"/>
    <w:rsid w:val="00E80F2E"/>
    <w:rsid w:val="00EA6554"/>
    <w:rsid w:val="00EF2E22"/>
    <w:rsid w:val="00F34121"/>
    <w:rsid w:val="00F660DF"/>
    <w:rsid w:val="00F730C8"/>
    <w:rsid w:val="00F9168D"/>
    <w:rsid w:val="00F91FCE"/>
    <w:rsid w:val="00F95C08"/>
    <w:rsid w:val="00FC76E0"/>
    <w:rsid w:val="00FD4A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FC76E0"/>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F5544"/>
    <w:rPr>
      <w:rFonts w:ascii="Times New Roman" w:hAnsi="Times New Roman" w:cs="Times New Roman"/>
      <w:b/>
      <w:sz w:val="28"/>
      <w:szCs w:val="20"/>
      <w:lang w:eastAsia="en-US"/>
    </w:rPr>
  </w:style>
  <w:style w:type="character" w:customStyle="1" w:styleId="SingleTxtGChar">
    <w:name w:val="_ Single Txt_G Char"/>
    <w:link w:val="SingleTxtG"/>
    <w:rsid w:val="00DF5544"/>
    <w:rPr>
      <w:rFonts w:ascii="Times New Roman" w:hAnsi="Times New Roman" w:cs="Times New Roman"/>
      <w:sz w:val="20"/>
      <w:szCs w:val="20"/>
      <w:lang w:eastAsia="en-US"/>
    </w:rPr>
  </w:style>
  <w:style w:type="character" w:customStyle="1" w:styleId="H1GChar">
    <w:name w:val="_ H_1_G Char"/>
    <w:link w:val="H1G"/>
    <w:locked/>
    <w:rsid w:val="00DF5544"/>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FC76E0"/>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F5544"/>
    <w:rPr>
      <w:rFonts w:ascii="Times New Roman" w:hAnsi="Times New Roman" w:cs="Times New Roman"/>
      <w:b/>
      <w:sz w:val="28"/>
      <w:szCs w:val="20"/>
      <w:lang w:eastAsia="en-US"/>
    </w:rPr>
  </w:style>
  <w:style w:type="character" w:customStyle="1" w:styleId="SingleTxtGChar">
    <w:name w:val="_ Single Txt_G Char"/>
    <w:link w:val="SingleTxtG"/>
    <w:rsid w:val="00DF5544"/>
    <w:rPr>
      <w:rFonts w:ascii="Times New Roman" w:hAnsi="Times New Roman" w:cs="Times New Roman"/>
      <w:sz w:val="20"/>
      <w:szCs w:val="20"/>
      <w:lang w:eastAsia="en-US"/>
    </w:rPr>
  </w:style>
  <w:style w:type="character" w:customStyle="1" w:styleId="H1GChar">
    <w:name w:val="_ H_1_G Char"/>
    <w:link w:val="H1G"/>
    <w:locked/>
    <w:rsid w:val="00DF5544"/>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3699</Words>
  <Characters>21089</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ST/SG/AC.10/C.3/2017/25</vt:lpstr>
      <vt:lpstr>ST/SG/AC.10/C.3/2017/25</vt:lpstr>
    </vt:vector>
  </TitlesOfParts>
  <Company>DCM</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ST/SG/AC.10/C.3/2017/25</dc:title>
  <dc:creator>Nath. VITTOZ</dc:creator>
  <cp:lastModifiedBy>Laurence Berthet</cp:lastModifiedBy>
  <cp:revision>2</cp:revision>
  <cp:lastPrinted>2017-05-09T09:07:00Z</cp:lastPrinted>
  <dcterms:created xsi:type="dcterms:W3CDTF">2017-05-09T09:08:00Z</dcterms:created>
  <dcterms:modified xsi:type="dcterms:W3CDTF">2017-05-09T09:08:00Z</dcterms:modified>
</cp:coreProperties>
</file>