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363092" w:rsidTr="000305D3">
        <w:trPr>
          <w:trHeight w:hRule="exact" w:val="851"/>
        </w:trPr>
        <w:tc>
          <w:tcPr>
            <w:tcW w:w="1276" w:type="dxa"/>
            <w:tcBorders>
              <w:bottom w:val="single" w:sz="4" w:space="0" w:color="auto"/>
            </w:tcBorders>
          </w:tcPr>
          <w:p w:rsidR="00132EA9" w:rsidRPr="00363092" w:rsidRDefault="00132EA9" w:rsidP="00363092">
            <w:bookmarkStart w:id="0" w:name="_GoBack"/>
            <w:bookmarkEnd w:id="0"/>
          </w:p>
        </w:tc>
        <w:tc>
          <w:tcPr>
            <w:tcW w:w="2268" w:type="dxa"/>
            <w:tcBorders>
              <w:bottom w:val="single" w:sz="4" w:space="0" w:color="auto"/>
            </w:tcBorders>
            <w:vAlign w:val="bottom"/>
          </w:tcPr>
          <w:p w:rsidR="00132EA9" w:rsidRPr="00363092" w:rsidRDefault="00132EA9" w:rsidP="009C3129">
            <w:pPr>
              <w:spacing w:after="80" w:line="300" w:lineRule="exact"/>
              <w:rPr>
                <w:sz w:val="28"/>
              </w:rPr>
            </w:pPr>
            <w:r w:rsidRPr="00363092">
              <w:rPr>
                <w:sz w:val="28"/>
              </w:rPr>
              <w:t>Nations Unies</w:t>
            </w:r>
          </w:p>
        </w:tc>
        <w:tc>
          <w:tcPr>
            <w:tcW w:w="6095" w:type="dxa"/>
            <w:gridSpan w:val="2"/>
            <w:tcBorders>
              <w:bottom w:val="single" w:sz="4" w:space="0" w:color="auto"/>
            </w:tcBorders>
            <w:vAlign w:val="bottom"/>
          </w:tcPr>
          <w:p w:rsidR="00132EA9" w:rsidRPr="00363092" w:rsidRDefault="00363092" w:rsidP="00363092">
            <w:pPr>
              <w:jc w:val="right"/>
            </w:pPr>
            <w:r w:rsidRPr="00363092">
              <w:rPr>
                <w:sz w:val="40"/>
              </w:rPr>
              <w:t>ST</w:t>
            </w:r>
            <w:r w:rsidRPr="00363092">
              <w:t>/SG/AC.10/C.3/2017/24</w:t>
            </w:r>
          </w:p>
        </w:tc>
      </w:tr>
      <w:tr w:rsidR="00132EA9" w:rsidRPr="00363092" w:rsidTr="009C3129">
        <w:trPr>
          <w:trHeight w:hRule="exact" w:val="2835"/>
        </w:trPr>
        <w:tc>
          <w:tcPr>
            <w:tcW w:w="1276" w:type="dxa"/>
            <w:tcBorders>
              <w:top w:val="single" w:sz="4" w:space="0" w:color="auto"/>
              <w:bottom w:val="single" w:sz="12" w:space="0" w:color="auto"/>
            </w:tcBorders>
          </w:tcPr>
          <w:p w:rsidR="00132EA9" w:rsidRPr="00363092" w:rsidRDefault="00132EA9" w:rsidP="009C3129">
            <w:pPr>
              <w:spacing w:before="120"/>
              <w:jc w:val="center"/>
            </w:pPr>
            <w:r w:rsidRPr="00363092">
              <w:rPr>
                <w:noProof/>
                <w:lang w:val="en-GB" w:eastAsia="en-GB"/>
              </w:rPr>
              <w:drawing>
                <wp:inline distT="0" distB="0" distL="0" distR="0" wp14:anchorId="37FB06DE" wp14:editId="344336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363092" w:rsidRDefault="00132EA9" w:rsidP="009C3129">
            <w:pPr>
              <w:spacing w:before="120" w:line="420" w:lineRule="exact"/>
              <w:rPr>
                <w:b/>
                <w:sz w:val="40"/>
                <w:szCs w:val="40"/>
              </w:rPr>
            </w:pPr>
            <w:r w:rsidRPr="00363092">
              <w:rPr>
                <w:b/>
                <w:sz w:val="40"/>
                <w:szCs w:val="40"/>
              </w:rPr>
              <w:t>Secrétariat</w:t>
            </w:r>
          </w:p>
        </w:tc>
        <w:tc>
          <w:tcPr>
            <w:tcW w:w="2835" w:type="dxa"/>
            <w:tcBorders>
              <w:top w:val="single" w:sz="4" w:space="0" w:color="auto"/>
              <w:bottom w:val="single" w:sz="12" w:space="0" w:color="auto"/>
            </w:tcBorders>
          </w:tcPr>
          <w:p w:rsidR="00132EA9" w:rsidRPr="00363092" w:rsidRDefault="00363092" w:rsidP="009C3129">
            <w:pPr>
              <w:spacing w:before="240"/>
            </w:pPr>
            <w:r w:rsidRPr="00363092">
              <w:t>Distr. générale</w:t>
            </w:r>
          </w:p>
          <w:p w:rsidR="00363092" w:rsidRPr="00363092" w:rsidRDefault="00363092" w:rsidP="00363092">
            <w:pPr>
              <w:spacing w:line="240" w:lineRule="exact"/>
            </w:pPr>
            <w:r w:rsidRPr="00363092">
              <w:t>7 avril 2017</w:t>
            </w:r>
          </w:p>
          <w:p w:rsidR="00363092" w:rsidRPr="00363092" w:rsidRDefault="00363092" w:rsidP="00363092">
            <w:pPr>
              <w:spacing w:line="240" w:lineRule="exact"/>
            </w:pPr>
            <w:r w:rsidRPr="00363092">
              <w:t>Français</w:t>
            </w:r>
          </w:p>
          <w:p w:rsidR="00363092" w:rsidRPr="00363092" w:rsidRDefault="00363092" w:rsidP="00363092">
            <w:pPr>
              <w:spacing w:line="240" w:lineRule="exact"/>
            </w:pPr>
            <w:r w:rsidRPr="00363092">
              <w:t>Original : anglais</w:t>
            </w:r>
          </w:p>
        </w:tc>
      </w:tr>
    </w:tbl>
    <w:p w:rsidR="00363092" w:rsidRPr="00363092" w:rsidRDefault="00363092" w:rsidP="000305D3">
      <w:pPr>
        <w:spacing w:before="120"/>
        <w:rPr>
          <w:b/>
          <w:sz w:val="24"/>
          <w:szCs w:val="24"/>
        </w:rPr>
      </w:pPr>
      <w:r w:rsidRPr="00363092">
        <w:rPr>
          <w:b/>
          <w:sz w:val="24"/>
          <w:szCs w:val="24"/>
        </w:rPr>
        <w:t xml:space="preserve">Comité d’experts du transport des marchandises dangereuses </w:t>
      </w:r>
      <w:r w:rsidRPr="00363092">
        <w:rPr>
          <w:b/>
          <w:sz w:val="24"/>
          <w:szCs w:val="24"/>
        </w:rPr>
        <w:br/>
        <w:t xml:space="preserve">et du Système général harmonisé de classification </w:t>
      </w:r>
      <w:r w:rsidRPr="00363092">
        <w:rPr>
          <w:b/>
          <w:sz w:val="24"/>
          <w:szCs w:val="24"/>
        </w:rPr>
        <w:br/>
        <w:t>et d’étiquetage des produits chimiques</w:t>
      </w:r>
    </w:p>
    <w:p w:rsidR="00363092" w:rsidRPr="00363092" w:rsidRDefault="00363092" w:rsidP="000305D3">
      <w:pPr>
        <w:spacing w:before="120"/>
        <w:rPr>
          <w:b/>
        </w:rPr>
      </w:pPr>
      <w:r w:rsidRPr="00363092">
        <w:rPr>
          <w:b/>
        </w:rPr>
        <w:t>Sous-Comité d’experts du transport des marchandises dangereuses</w:t>
      </w:r>
    </w:p>
    <w:p w:rsidR="00363092" w:rsidRPr="00363092" w:rsidRDefault="00363092" w:rsidP="000305D3">
      <w:pPr>
        <w:spacing w:before="120"/>
        <w:rPr>
          <w:b/>
        </w:rPr>
      </w:pPr>
      <w:r w:rsidRPr="00363092">
        <w:rPr>
          <w:b/>
        </w:rPr>
        <w:t>Cinquante et unième session</w:t>
      </w:r>
    </w:p>
    <w:p w:rsidR="00363092" w:rsidRPr="00363092" w:rsidRDefault="00363092" w:rsidP="000305D3">
      <w:r w:rsidRPr="00363092">
        <w:t>Genève, 3-7 juillet 2017</w:t>
      </w:r>
    </w:p>
    <w:p w:rsidR="00363092" w:rsidRPr="00363092" w:rsidRDefault="00363092" w:rsidP="000305D3">
      <w:r w:rsidRPr="00363092">
        <w:t>Point 3 de l’ordre du jour provisoire</w:t>
      </w:r>
    </w:p>
    <w:p w:rsidR="00363092" w:rsidRPr="00363092" w:rsidRDefault="00363092" w:rsidP="00AC3823">
      <w:r w:rsidRPr="00363092">
        <w:rPr>
          <w:b/>
        </w:rPr>
        <w:t>Inscription, classement et emballage</w:t>
      </w:r>
    </w:p>
    <w:p w:rsidR="00363092" w:rsidRPr="00363092" w:rsidRDefault="00363092" w:rsidP="00363092">
      <w:pPr>
        <w:pStyle w:val="HChG"/>
      </w:pPr>
      <w:r>
        <w:tab/>
      </w:r>
      <w:r>
        <w:tab/>
      </w:r>
      <w:r w:rsidRPr="00363092">
        <w:t xml:space="preserve">Signification du terme </w:t>
      </w:r>
      <w:r>
        <w:t>« </w:t>
      </w:r>
      <w:r w:rsidRPr="00363092">
        <w:t>État d’origine</w:t>
      </w:r>
      <w:r>
        <w:t> »</w:t>
      </w:r>
      <w:r w:rsidRPr="00363092">
        <w:t xml:space="preserve"> pour les organismes génétiquement modifiés (OGM) et les micro-organismes génétiquement modifiés (</w:t>
      </w:r>
      <w:r>
        <w:t>MOGM</w:t>
      </w:r>
      <w:r w:rsidRPr="00363092">
        <w:t xml:space="preserve">) </w:t>
      </w:r>
    </w:p>
    <w:p w:rsidR="00363092" w:rsidRPr="00D96F56" w:rsidRDefault="00363092" w:rsidP="00363092">
      <w:pPr>
        <w:pStyle w:val="H1G"/>
      </w:pPr>
      <w:r w:rsidRPr="00363092">
        <w:tab/>
      </w:r>
      <w:r w:rsidRPr="00363092">
        <w:tab/>
      </w:r>
      <w:r w:rsidRPr="00D96F56">
        <w:t>Communication de l’Association du transport aérien international (IATA)</w:t>
      </w:r>
      <w:r w:rsidRPr="00D96F56">
        <w:rPr>
          <w:rStyle w:val="FootnoteReference"/>
          <w:b w:val="0"/>
          <w:sz w:val="20"/>
          <w:vertAlign w:val="baseline"/>
        </w:rPr>
        <w:footnoteReference w:id="2"/>
      </w:r>
      <w:r w:rsidRPr="00D96F56">
        <w:rPr>
          <w:rStyle w:val="FootnoteReference"/>
          <w:b w:val="0"/>
          <w:sz w:val="20"/>
          <w:vertAlign w:val="baseline"/>
        </w:rPr>
        <w:t>*</w:t>
      </w:r>
    </w:p>
    <w:p w:rsidR="00363092" w:rsidRPr="00363092" w:rsidRDefault="00363092" w:rsidP="00363092">
      <w:pPr>
        <w:pStyle w:val="HChG"/>
      </w:pPr>
      <w:r w:rsidRPr="00363092">
        <w:tab/>
      </w:r>
      <w:r w:rsidRPr="00363092">
        <w:tab/>
        <w:t>Introduction</w:t>
      </w:r>
    </w:p>
    <w:p w:rsidR="00363092" w:rsidRPr="00363092" w:rsidRDefault="00363092" w:rsidP="00363092">
      <w:pPr>
        <w:pStyle w:val="ParNoG"/>
      </w:pPr>
      <w:r w:rsidRPr="00363092">
        <w:t>Le sous-chapitre</w:t>
      </w:r>
      <w:r>
        <w:t> </w:t>
      </w:r>
      <w:r w:rsidRPr="00363092">
        <w:t>2.9.2 contient des informations sur différents groupes de matières et objets qui sont affectés à la Classe</w:t>
      </w:r>
      <w:r>
        <w:t> </w:t>
      </w:r>
      <w:r w:rsidRPr="00363092">
        <w:t>9, parmi lesquels les micro-organismes génétiquement modifiés (MOGM) et les organismes génétiquement modifiés (OGM).</w:t>
      </w:r>
    </w:p>
    <w:p w:rsidR="00363092" w:rsidRPr="00363092" w:rsidRDefault="00363092" w:rsidP="00363092">
      <w:pPr>
        <w:pStyle w:val="ParNoG"/>
        <w:tabs>
          <w:tab w:val="clear" w:pos="1701"/>
        </w:tabs>
        <w:rPr>
          <w:szCs w:val="24"/>
        </w:rPr>
      </w:pPr>
      <w:r w:rsidRPr="00363092">
        <w:rPr>
          <w:szCs w:val="24"/>
        </w:rPr>
        <w:t>On trouve dans le texte relatif aux MOGM et aux OGM les précisions suivante</w:t>
      </w:r>
      <w:r>
        <w:rPr>
          <w:szCs w:val="24"/>
        </w:rPr>
        <w:t>s : « </w:t>
      </w:r>
      <w:r w:rsidRPr="00363092">
        <w:rPr>
          <w:szCs w:val="24"/>
        </w:rPr>
        <w:t xml:space="preserve">les MOGM et OGM ne sont pas soumis au présent Règlement lorsque leur utilisation est autorisée par l’autorité compétente des pays d’origine, de transit et de destination. Les animaux génétiquement modifiés doivent être transportés suivant </w:t>
      </w:r>
      <w:r w:rsidR="00E97180">
        <w:rPr>
          <w:szCs w:val="24"/>
        </w:rPr>
        <w:t xml:space="preserve">les </w:t>
      </w:r>
      <w:r w:rsidRPr="00363092">
        <w:rPr>
          <w:szCs w:val="24"/>
        </w:rPr>
        <w:t xml:space="preserve">conditions </w:t>
      </w:r>
      <w:r w:rsidR="00480B78">
        <w:rPr>
          <w:szCs w:val="24"/>
        </w:rPr>
        <w:t>fixées par les autorités</w:t>
      </w:r>
      <w:r w:rsidRPr="00363092">
        <w:rPr>
          <w:szCs w:val="24"/>
        </w:rPr>
        <w:t xml:space="preserve"> compétente</w:t>
      </w:r>
      <w:r w:rsidR="00480B78">
        <w:rPr>
          <w:szCs w:val="24"/>
        </w:rPr>
        <w:t>s</w:t>
      </w:r>
      <w:r w:rsidRPr="00363092">
        <w:rPr>
          <w:szCs w:val="24"/>
        </w:rPr>
        <w:t xml:space="preserve"> des pays d’origine et de destination</w:t>
      </w:r>
      <w:r>
        <w:rPr>
          <w:szCs w:val="24"/>
        </w:rPr>
        <w:t> »</w:t>
      </w:r>
      <w:r w:rsidRPr="00363092">
        <w:rPr>
          <w:szCs w:val="24"/>
        </w:rPr>
        <w:t xml:space="preserve">. </w:t>
      </w:r>
    </w:p>
    <w:p w:rsidR="00363092" w:rsidRPr="00363092" w:rsidRDefault="00363092" w:rsidP="00363092">
      <w:pPr>
        <w:pStyle w:val="ParNoG"/>
        <w:tabs>
          <w:tab w:val="clear" w:pos="1701"/>
        </w:tabs>
        <w:rPr>
          <w:szCs w:val="24"/>
        </w:rPr>
      </w:pPr>
      <w:r w:rsidRPr="00363092">
        <w:rPr>
          <w:szCs w:val="24"/>
        </w:rPr>
        <w:t>Dans le Règlement type, l</w:t>
      </w:r>
      <w:r w:rsidR="00D96F56">
        <w:rPr>
          <w:szCs w:val="24"/>
        </w:rPr>
        <w:t>es termes « </w:t>
      </w:r>
      <w:r w:rsidRPr="00363092">
        <w:rPr>
          <w:szCs w:val="24"/>
        </w:rPr>
        <w:t>p</w:t>
      </w:r>
      <w:r w:rsidR="00D96F56">
        <w:rPr>
          <w:szCs w:val="24"/>
        </w:rPr>
        <w:t>ays d’origine et de destination »</w:t>
      </w:r>
      <w:r w:rsidRPr="00363092">
        <w:rPr>
          <w:szCs w:val="24"/>
        </w:rPr>
        <w:t xml:space="preserve"> ne sont utilisés qu’en relation avec les MOGM et les OGM. Partout ailleurs, il est question de </w:t>
      </w:r>
      <w:r>
        <w:rPr>
          <w:szCs w:val="24"/>
        </w:rPr>
        <w:t>« </w:t>
      </w:r>
      <w:r w:rsidRPr="00363092">
        <w:rPr>
          <w:szCs w:val="24"/>
        </w:rPr>
        <w:t>pays de fabrication</w:t>
      </w:r>
      <w:r>
        <w:rPr>
          <w:szCs w:val="24"/>
        </w:rPr>
        <w:t> »</w:t>
      </w:r>
      <w:r w:rsidRPr="00363092">
        <w:rPr>
          <w:szCs w:val="24"/>
        </w:rPr>
        <w:t xml:space="preserve"> et de </w:t>
      </w:r>
      <w:r>
        <w:rPr>
          <w:szCs w:val="24"/>
        </w:rPr>
        <w:t>« </w:t>
      </w:r>
      <w:r w:rsidRPr="00363092">
        <w:rPr>
          <w:szCs w:val="24"/>
        </w:rPr>
        <w:t>pays d’utilisation</w:t>
      </w:r>
      <w:r>
        <w:rPr>
          <w:szCs w:val="24"/>
        </w:rPr>
        <w:t> »</w:t>
      </w:r>
      <w:r w:rsidRPr="00363092">
        <w:rPr>
          <w:szCs w:val="24"/>
        </w:rPr>
        <w:t xml:space="preserve">, termes qui apparaissent plus de dix fois. </w:t>
      </w:r>
    </w:p>
    <w:p w:rsidR="00363092" w:rsidRPr="00363092" w:rsidRDefault="00363092" w:rsidP="00363092">
      <w:pPr>
        <w:pStyle w:val="ParNoG"/>
        <w:tabs>
          <w:tab w:val="clear" w:pos="1701"/>
        </w:tabs>
        <w:rPr>
          <w:szCs w:val="24"/>
        </w:rPr>
      </w:pPr>
      <w:r w:rsidRPr="00363092">
        <w:rPr>
          <w:szCs w:val="24"/>
        </w:rPr>
        <w:t xml:space="preserve">Le problème des termes </w:t>
      </w:r>
      <w:r>
        <w:rPr>
          <w:szCs w:val="24"/>
        </w:rPr>
        <w:t>« </w:t>
      </w:r>
      <w:r w:rsidRPr="00363092">
        <w:rPr>
          <w:szCs w:val="24"/>
        </w:rPr>
        <w:t>pays d’origine et de destination</w:t>
      </w:r>
      <w:r>
        <w:rPr>
          <w:szCs w:val="24"/>
        </w:rPr>
        <w:t> »</w:t>
      </w:r>
      <w:r w:rsidRPr="00363092">
        <w:rPr>
          <w:szCs w:val="24"/>
        </w:rPr>
        <w:t xml:space="preserve"> est que le mot </w:t>
      </w:r>
      <w:r>
        <w:rPr>
          <w:szCs w:val="24"/>
        </w:rPr>
        <w:t>« </w:t>
      </w:r>
      <w:r w:rsidRPr="00363092">
        <w:rPr>
          <w:szCs w:val="24"/>
        </w:rPr>
        <w:t>pays</w:t>
      </w:r>
      <w:r>
        <w:rPr>
          <w:szCs w:val="24"/>
        </w:rPr>
        <w:t> »</w:t>
      </w:r>
      <w:r w:rsidRPr="00363092">
        <w:rPr>
          <w:szCs w:val="24"/>
        </w:rPr>
        <w:t xml:space="preserve"> devient </w:t>
      </w:r>
      <w:r>
        <w:rPr>
          <w:szCs w:val="24"/>
        </w:rPr>
        <w:t>« É</w:t>
      </w:r>
      <w:r w:rsidRPr="00363092">
        <w:rPr>
          <w:szCs w:val="24"/>
        </w:rPr>
        <w:t xml:space="preserve">tat» lorsqu’il est transposé dans les Instructions techniques de l’Organisation de </w:t>
      </w:r>
      <w:r w:rsidRPr="00363092">
        <w:rPr>
          <w:szCs w:val="24"/>
        </w:rPr>
        <w:lastRenderedPageBreak/>
        <w:t>l</w:t>
      </w:r>
      <w:r w:rsidR="00E97180">
        <w:rPr>
          <w:szCs w:val="24"/>
        </w:rPr>
        <w:t>’</w:t>
      </w:r>
      <w:r w:rsidRPr="00363092">
        <w:rPr>
          <w:szCs w:val="24"/>
        </w:rPr>
        <w:t>aviation civile internationale (OACI), dans un souci de cohérence avec la terminologie utilisée dans ces Instructions. Dans les Instructions techniques, les termes «</w:t>
      </w:r>
      <w:r w:rsidR="00D96F56">
        <w:rPr>
          <w:szCs w:val="24"/>
        </w:rPr>
        <w:t> </w:t>
      </w:r>
      <w:r w:rsidRPr="00363092">
        <w:rPr>
          <w:szCs w:val="24"/>
        </w:rPr>
        <w:t>État d’origine</w:t>
      </w:r>
      <w:r w:rsidR="00D96F56">
        <w:rPr>
          <w:szCs w:val="24"/>
        </w:rPr>
        <w:t> </w:t>
      </w:r>
      <w:r w:rsidRPr="00363092">
        <w:rPr>
          <w:szCs w:val="24"/>
        </w:rPr>
        <w:t>» et «</w:t>
      </w:r>
      <w:r w:rsidR="00D96F56">
        <w:rPr>
          <w:szCs w:val="24"/>
        </w:rPr>
        <w:t> </w:t>
      </w:r>
      <w:r w:rsidRPr="00363092">
        <w:rPr>
          <w:szCs w:val="24"/>
        </w:rPr>
        <w:t>État de destination</w:t>
      </w:r>
      <w:r w:rsidR="00D96F56">
        <w:rPr>
          <w:szCs w:val="24"/>
        </w:rPr>
        <w:t> </w:t>
      </w:r>
      <w:r w:rsidRPr="00363092">
        <w:rPr>
          <w:szCs w:val="24"/>
        </w:rPr>
        <w:t>» sont des termes précis qui répondent à la définition suivante</w:t>
      </w:r>
      <w:r>
        <w:rPr>
          <w:szCs w:val="24"/>
        </w:rPr>
        <w:t> :</w:t>
      </w:r>
      <w:r w:rsidRPr="00363092">
        <w:rPr>
          <w:szCs w:val="24"/>
        </w:rPr>
        <w:t xml:space="preserve"> </w:t>
      </w:r>
      <w:r>
        <w:rPr>
          <w:szCs w:val="24"/>
        </w:rPr>
        <w:t>« </w:t>
      </w:r>
      <w:r w:rsidRPr="00363092">
        <w:rPr>
          <w:b/>
          <w:i/>
          <w:szCs w:val="24"/>
        </w:rPr>
        <w:t>État d’origine</w:t>
      </w:r>
      <w:r>
        <w:rPr>
          <w:b/>
          <w:i/>
          <w:szCs w:val="24"/>
        </w:rPr>
        <w:t> </w:t>
      </w:r>
      <w:r>
        <w:rPr>
          <w:szCs w:val="24"/>
        </w:rPr>
        <w:t>:</w:t>
      </w:r>
      <w:r w:rsidRPr="00363092">
        <w:rPr>
          <w:szCs w:val="24"/>
        </w:rPr>
        <w:t xml:space="preserve"> </w:t>
      </w:r>
      <w:r w:rsidR="00E97180">
        <w:rPr>
          <w:szCs w:val="24"/>
        </w:rPr>
        <w:t>État sur le territoire duquel l’</w:t>
      </w:r>
      <w:r w:rsidRPr="00363092">
        <w:rPr>
          <w:szCs w:val="24"/>
        </w:rPr>
        <w:t xml:space="preserve">envoi </w:t>
      </w:r>
      <w:r w:rsidR="00480B78">
        <w:rPr>
          <w:szCs w:val="24"/>
        </w:rPr>
        <w:t>est</w:t>
      </w:r>
      <w:r w:rsidR="00E97180">
        <w:rPr>
          <w:szCs w:val="24"/>
        </w:rPr>
        <w:t xml:space="preserve"> chargé à bord d’</w:t>
      </w:r>
      <w:r w:rsidRPr="00363092">
        <w:rPr>
          <w:szCs w:val="24"/>
        </w:rPr>
        <w:t>un aéronef pour la première fois</w:t>
      </w:r>
      <w:r>
        <w:rPr>
          <w:szCs w:val="24"/>
        </w:rPr>
        <w:t> »</w:t>
      </w:r>
      <w:r w:rsidRPr="00363092">
        <w:rPr>
          <w:szCs w:val="24"/>
        </w:rPr>
        <w:t xml:space="preserve"> et </w:t>
      </w:r>
      <w:r>
        <w:rPr>
          <w:szCs w:val="24"/>
        </w:rPr>
        <w:t>« </w:t>
      </w:r>
      <w:r w:rsidRPr="00363092">
        <w:rPr>
          <w:b/>
          <w:bCs/>
          <w:i/>
          <w:iCs/>
          <w:szCs w:val="24"/>
        </w:rPr>
        <w:t>État de destination</w:t>
      </w:r>
      <w:r>
        <w:rPr>
          <w:b/>
          <w:bCs/>
          <w:i/>
          <w:iCs/>
          <w:szCs w:val="24"/>
        </w:rPr>
        <w:t> </w:t>
      </w:r>
      <w:r>
        <w:t>:</w:t>
      </w:r>
      <w:r w:rsidRPr="00363092">
        <w:rPr>
          <w:b/>
          <w:bCs/>
          <w:szCs w:val="24"/>
        </w:rPr>
        <w:t xml:space="preserve"> </w:t>
      </w:r>
      <w:r w:rsidRPr="00363092">
        <w:rPr>
          <w:szCs w:val="24"/>
        </w:rPr>
        <w:t xml:space="preserve">État sur le territoire duquel l’envoi </w:t>
      </w:r>
      <w:r w:rsidR="00480B78">
        <w:rPr>
          <w:szCs w:val="24"/>
        </w:rPr>
        <w:t>est</w:t>
      </w:r>
      <w:r w:rsidRPr="00363092">
        <w:rPr>
          <w:szCs w:val="24"/>
        </w:rPr>
        <w:t xml:space="preserve"> déchargé d’un aéronef</w:t>
      </w:r>
      <w:r w:rsidR="00480B78">
        <w:rPr>
          <w:szCs w:val="24"/>
        </w:rPr>
        <w:t xml:space="preserve"> pour la dernière fois</w:t>
      </w:r>
      <w:r>
        <w:rPr>
          <w:szCs w:val="24"/>
        </w:rPr>
        <w:t> ».</w:t>
      </w:r>
    </w:p>
    <w:p w:rsidR="00363092" w:rsidRPr="00363092" w:rsidRDefault="00363092" w:rsidP="00363092">
      <w:pPr>
        <w:pStyle w:val="ParNoG"/>
        <w:tabs>
          <w:tab w:val="clear" w:pos="1701"/>
        </w:tabs>
        <w:rPr>
          <w:szCs w:val="24"/>
        </w:rPr>
      </w:pPr>
      <w:r w:rsidRPr="00363092">
        <w:rPr>
          <w:szCs w:val="24"/>
        </w:rPr>
        <w:t xml:space="preserve">Ces définitions sont ensuite utilisées pour déterminer quelles sont les autorités publiques habilitées à donner leur approbation ou à autoriser une exemption afin que des marchandises dangereuses dont le transport par voie aérienne est normalement interdit puissent être transportées de cette façon. Ce qui est important dans ces définitions est qu’elles s’appliquent aux États dans lesquels l’envoi (de marchandises dangereuses) </w:t>
      </w:r>
      <w:r w:rsidR="00275EC7">
        <w:rPr>
          <w:szCs w:val="24"/>
        </w:rPr>
        <w:t>est chargé à bord d’un avion</w:t>
      </w:r>
      <w:r w:rsidRPr="00363092">
        <w:rPr>
          <w:szCs w:val="24"/>
        </w:rPr>
        <w:t xml:space="preserve"> pour la première fois et à ceux dans lesquels l’envoi est déchargé d’un avion</w:t>
      </w:r>
      <w:r w:rsidR="00275EC7">
        <w:rPr>
          <w:szCs w:val="24"/>
        </w:rPr>
        <w:t xml:space="preserve"> pour la dernière fois</w:t>
      </w:r>
      <w:r w:rsidRPr="00363092">
        <w:rPr>
          <w:szCs w:val="24"/>
        </w:rPr>
        <w:t xml:space="preserve">. </w:t>
      </w:r>
    </w:p>
    <w:p w:rsidR="00363092" w:rsidRPr="00363092" w:rsidRDefault="00363092" w:rsidP="00363092">
      <w:pPr>
        <w:pStyle w:val="ParNoG"/>
        <w:tabs>
          <w:tab w:val="clear" w:pos="1701"/>
        </w:tabs>
        <w:rPr>
          <w:szCs w:val="24"/>
        </w:rPr>
      </w:pPr>
      <w:r w:rsidRPr="00D96F56">
        <w:rPr>
          <w:spacing w:val="-3"/>
          <w:szCs w:val="24"/>
        </w:rPr>
        <w:t>Il faut signaler à cet égard que ces États ne sont pas nécessairement ceux dont provient l’envoi ni ceux de sa destination finale. Il est fréquent que l’expéditeur des marchandises dangereuses se trouve dans un État mais que les marchandises soient transportées par route vers un autre État où commencera le trajet en transport aérien. Il en va de même lorsque l’aéroport de destination se trouve dans un autre État que celui du destinataire</w:t>
      </w:r>
      <w:r w:rsidRPr="00363092">
        <w:rPr>
          <w:szCs w:val="24"/>
        </w:rPr>
        <w:t xml:space="preserve">. </w:t>
      </w:r>
    </w:p>
    <w:p w:rsidR="00363092" w:rsidRPr="00363092" w:rsidRDefault="00363092" w:rsidP="00363092">
      <w:pPr>
        <w:pStyle w:val="ParNoG"/>
        <w:tabs>
          <w:tab w:val="clear" w:pos="1701"/>
        </w:tabs>
        <w:rPr>
          <w:szCs w:val="24"/>
        </w:rPr>
      </w:pPr>
      <w:r w:rsidRPr="00363092">
        <w:rPr>
          <w:szCs w:val="24"/>
        </w:rPr>
        <w:t xml:space="preserve">Pour en revenir à la formulation utilisée pour définir les prescriptions applicables aux MOGM et aux OGM, il est proposé, à des fins d’harmonisation avec </w:t>
      </w:r>
      <w:r w:rsidR="00275EC7">
        <w:rPr>
          <w:szCs w:val="24"/>
        </w:rPr>
        <w:t>la terminologie</w:t>
      </w:r>
      <w:r w:rsidRPr="00363092">
        <w:rPr>
          <w:szCs w:val="24"/>
        </w:rPr>
        <w:t xml:space="preserve"> utilisé</w:t>
      </w:r>
      <w:r w:rsidR="00275EC7">
        <w:rPr>
          <w:szCs w:val="24"/>
        </w:rPr>
        <w:t>e</w:t>
      </w:r>
      <w:r w:rsidRPr="00363092">
        <w:rPr>
          <w:szCs w:val="24"/>
        </w:rPr>
        <w:t xml:space="preserve"> dans d’autres parties du Règlement, de remplacer les termes </w:t>
      </w:r>
      <w:r>
        <w:rPr>
          <w:szCs w:val="24"/>
        </w:rPr>
        <w:t>« </w:t>
      </w:r>
      <w:r w:rsidRPr="00363092">
        <w:rPr>
          <w:szCs w:val="24"/>
        </w:rPr>
        <w:t>pays d’origine et de destination</w:t>
      </w:r>
      <w:r>
        <w:rPr>
          <w:szCs w:val="24"/>
        </w:rPr>
        <w:t> » par « </w:t>
      </w:r>
      <w:r w:rsidRPr="00363092">
        <w:rPr>
          <w:szCs w:val="24"/>
        </w:rPr>
        <w:t>pays de fabrication et d’</w:t>
      </w:r>
      <w:r>
        <w:rPr>
          <w:szCs w:val="24"/>
        </w:rPr>
        <w:t>utilisation »</w:t>
      </w:r>
      <w:r w:rsidRPr="00363092">
        <w:rPr>
          <w:szCs w:val="24"/>
        </w:rPr>
        <w:t xml:space="preserve">. </w:t>
      </w:r>
      <w:r>
        <w:rPr>
          <w:szCs w:val="24"/>
        </w:rPr>
        <w:t>Il est vrai que le terme « fabrication »</w:t>
      </w:r>
      <w:r w:rsidRPr="00363092">
        <w:rPr>
          <w:szCs w:val="24"/>
        </w:rPr>
        <w:t xml:space="preserve"> peut sembler inapproprié pour les MOGM et les OGM étant donné qu’il s’agit d’organismes vivants, mais si l’on considère qu’ils ont été créés en laboratoire, on peut dire qu’ils ont été faits et donc qu’ils sont fabriqués.  </w:t>
      </w:r>
    </w:p>
    <w:p w:rsidR="00363092" w:rsidRPr="00363092" w:rsidRDefault="00363092" w:rsidP="00363092">
      <w:pPr>
        <w:pStyle w:val="ParNoG"/>
        <w:tabs>
          <w:tab w:val="clear" w:pos="1701"/>
        </w:tabs>
        <w:rPr>
          <w:szCs w:val="24"/>
        </w:rPr>
      </w:pPr>
      <w:r w:rsidRPr="00363092">
        <w:rPr>
          <w:szCs w:val="24"/>
        </w:rPr>
        <w:t xml:space="preserve">Dans la phrase concernant les animaux génétiquement modifiés, les termes </w:t>
      </w:r>
      <w:r>
        <w:rPr>
          <w:szCs w:val="24"/>
        </w:rPr>
        <w:t>« </w:t>
      </w:r>
      <w:r w:rsidRPr="00363092">
        <w:rPr>
          <w:szCs w:val="24"/>
        </w:rPr>
        <w:t>fabr</w:t>
      </w:r>
      <w:r>
        <w:rPr>
          <w:szCs w:val="24"/>
        </w:rPr>
        <w:t>iqués » et « utilisés »</w:t>
      </w:r>
      <w:r w:rsidRPr="00363092">
        <w:rPr>
          <w:szCs w:val="24"/>
        </w:rPr>
        <w:t xml:space="preserve"> ont été mis entre crochets car le Sous-Comité préférera peut-être utiliser d’autres termes. </w:t>
      </w:r>
    </w:p>
    <w:p w:rsidR="00363092" w:rsidRPr="00363092" w:rsidRDefault="00363092" w:rsidP="00363092">
      <w:pPr>
        <w:pStyle w:val="HChG"/>
        <w:spacing w:before="0" w:after="120" w:line="240" w:lineRule="atLeast"/>
        <w:rPr>
          <w:sz w:val="24"/>
          <w:szCs w:val="24"/>
        </w:rPr>
      </w:pPr>
      <w:r w:rsidRPr="00363092">
        <w:rPr>
          <w:sz w:val="24"/>
          <w:szCs w:val="24"/>
        </w:rPr>
        <w:tab/>
      </w:r>
      <w:r w:rsidRPr="00363092">
        <w:rPr>
          <w:sz w:val="24"/>
          <w:szCs w:val="24"/>
        </w:rPr>
        <w:tab/>
        <w:t xml:space="preserve">Proposition </w:t>
      </w:r>
    </w:p>
    <w:p w:rsidR="00363092" w:rsidRPr="00363092" w:rsidRDefault="00363092" w:rsidP="00363092">
      <w:pPr>
        <w:pStyle w:val="ParNoG"/>
        <w:tabs>
          <w:tab w:val="clear" w:pos="1701"/>
        </w:tabs>
        <w:rPr>
          <w:szCs w:val="24"/>
        </w:rPr>
      </w:pPr>
      <w:r w:rsidRPr="00363092">
        <w:rPr>
          <w:szCs w:val="24"/>
        </w:rPr>
        <w:t>Il est proposé de ré</w:t>
      </w:r>
      <w:r>
        <w:rPr>
          <w:szCs w:val="24"/>
        </w:rPr>
        <w:t>viser le texte du sous-chapitre </w:t>
      </w:r>
      <w:r w:rsidRPr="00363092">
        <w:rPr>
          <w:szCs w:val="24"/>
        </w:rPr>
        <w:t xml:space="preserve">2.9.2 se trouvant sous le titre </w:t>
      </w:r>
      <w:r w:rsidRPr="00363092">
        <w:rPr>
          <w:b/>
          <w:i/>
          <w:szCs w:val="24"/>
        </w:rPr>
        <w:t xml:space="preserve">Micro-organismes génétiquement modifiés (MOGM) et organismes génétiquement modifiés (OGM) </w:t>
      </w:r>
      <w:r w:rsidRPr="00363092">
        <w:rPr>
          <w:szCs w:val="24"/>
        </w:rPr>
        <w:t>comme suit</w:t>
      </w:r>
      <w:r>
        <w:rPr>
          <w:szCs w:val="24"/>
        </w:rPr>
        <w:t> :</w:t>
      </w:r>
    </w:p>
    <w:p w:rsidR="00363092" w:rsidRPr="00363092" w:rsidRDefault="00363092" w:rsidP="00363092">
      <w:pPr>
        <w:spacing w:after="120"/>
        <w:ind w:left="1701" w:right="1134"/>
        <w:jc w:val="both"/>
        <w:rPr>
          <w:b/>
          <w:i/>
          <w:szCs w:val="24"/>
        </w:rPr>
      </w:pPr>
      <w:r w:rsidRPr="00363092">
        <w:rPr>
          <w:b/>
          <w:i/>
          <w:szCs w:val="24"/>
        </w:rPr>
        <w:t>Micro-organismes génétiquement modifiés (MOGM) et organismes génétiquement modifiés (OGM)</w:t>
      </w:r>
    </w:p>
    <w:p w:rsidR="00363092" w:rsidRPr="00363092" w:rsidRDefault="00363092" w:rsidP="00363092">
      <w:pPr>
        <w:spacing w:after="120"/>
        <w:ind w:left="1701" w:right="1134"/>
        <w:jc w:val="both"/>
        <w:rPr>
          <w:szCs w:val="24"/>
        </w:rPr>
      </w:pPr>
      <w:r w:rsidRPr="00363092">
        <w:rPr>
          <w:szCs w:val="24"/>
        </w:rPr>
        <w:t>3245</w:t>
      </w:r>
      <w:r w:rsidRPr="00363092">
        <w:rPr>
          <w:szCs w:val="24"/>
        </w:rPr>
        <w:tab/>
      </w:r>
      <w:r w:rsidRPr="00363092">
        <w:rPr>
          <w:szCs w:val="24"/>
        </w:rPr>
        <w:tab/>
        <w:t>M</w:t>
      </w:r>
      <w:r>
        <w:rPr>
          <w:szCs w:val="24"/>
        </w:rPr>
        <w:t xml:space="preserve">ICRO-ORGANISMES GÉNÉTIQUEMENT </w:t>
      </w:r>
      <w:r w:rsidRPr="00363092">
        <w:rPr>
          <w:szCs w:val="24"/>
        </w:rPr>
        <w:t>MODIFIÉS ou</w:t>
      </w:r>
    </w:p>
    <w:p w:rsidR="00363092" w:rsidRPr="00363092" w:rsidRDefault="00363092" w:rsidP="00363092">
      <w:pPr>
        <w:spacing w:after="120"/>
        <w:ind w:left="1701" w:right="1134"/>
        <w:jc w:val="both"/>
        <w:rPr>
          <w:szCs w:val="24"/>
        </w:rPr>
      </w:pPr>
      <w:r w:rsidRPr="00363092">
        <w:rPr>
          <w:szCs w:val="24"/>
        </w:rPr>
        <w:t>3245</w:t>
      </w:r>
      <w:r w:rsidRPr="00363092">
        <w:rPr>
          <w:szCs w:val="24"/>
        </w:rPr>
        <w:tab/>
      </w:r>
      <w:r w:rsidRPr="00363092">
        <w:rPr>
          <w:szCs w:val="24"/>
        </w:rPr>
        <w:tab/>
        <w:t xml:space="preserve">ORGANISMES GÉNÉTIQUEMENT MODIFIÉS </w:t>
      </w:r>
    </w:p>
    <w:p w:rsidR="00363092" w:rsidRPr="00363092" w:rsidRDefault="00363092" w:rsidP="00363092">
      <w:pPr>
        <w:spacing w:after="120"/>
        <w:ind w:left="1701" w:right="1134"/>
        <w:jc w:val="both"/>
        <w:rPr>
          <w:szCs w:val="24"/>
        </w:rPr>
      </w:pPr>
      <w:r w:rsidRPr="00363092">
        <w:rPr>
          <w:szCs w:val="24"/>
        </w:rPr>
        <w:t>Les MOGM et OGM qui ne répondent pas à la définit</w:t>
      </w:r>
      <w:r w:rsidR="00D96F56">
        <w:rPr>
          <w:szCs w:val="24"/>
        </w:rPr>
        <w:t>ion des matières toxiques (voir </w:t>
      </w:r>
      <w:r w:rsidRPr="00363092">
        <w:rPr>
          <w:szCs w:val="24"/>
        </w:rPr>
        <w:t xml:space="preserve">2.6.2) ou </w:t>
      </w:r>
      <w:r w:rsidR="00D96F56">
        <w:rPr>
          <w:szCs w:val="24"/>
        </w:rPr>
        <w:t>des matières infectieuses (voir </w:t>
      </w:r>
      <w:r w:rsidRPr="00363092">
        <w:rPr>
          <w:szCs w:val="24"/>
        </w:rPr>
        <w:t>2.6.3) doivent être affectés au numéro ONU</w:t>
      </w:r>
      <w:r>
        <w:rPr>
          <w:szCs w:val="24"/>
        </w:rPr>
        <w:t> </w:t>
      </w:r>
      <w:r w:rsidRPr="00363092">
        <w:rPr>
          <w:szCs w:val="24"/>
        </w:rPr>
        <w:t xml:space="preserve">3245. </w:t>
      </w:r>
    </w:p>
    <w:p w:rsidR="00363092" w:rsidRPr="00363092" w:rsidRDefault="00363092" w:rsidP="00363092">
      <w:pPr>
        <w:spacing w:after="120"/>
        <w:ind w:left="1701" w:right="1134"/>
        <w:jc w:val="both"/>
        <w:rPr>
          <w:szCs w:val="24"/>
        </w:rPr>
      </w:pPr>
      <w:r w:rsidRPr="00363092">
        <w:rPr>
          <w:szCs w:val="24"/>
        </w:rPr>
        <w:t xml:space="preserve">Les MOGM et OGM ne sont pas soumis au présent Règlement lorsque leur utilisation est autorisée par l’autorité compétente des pays </w:t>
      </w:r>
      <w:r w:rsidRPr="00363092">
        <w:rPr>
          <w:strike/>
          <w:szCs w:val="24"/>
        </w:rPr>
        <w:t>d’origine</w:t>
      </w:r>
      <w:r w:rsidRPr="00363092">
        <w:rPr>
          <w:szCs w:val="24"/>
        </w:rPr>
        <w:t xml:space="preserve"> </w:t>
      </w:r>
      <w:r w:rsidRPr="00363092">
        <w:rPr>
          <w:szCs w:val="24"/>
          <w:u w:val="single"/>
        </w:rPr>
        <w:t>de fabrication</w:t>
      </w:r>
      <w:r w:rsidRPr="00363092">
        <w:rPr>
          <w:szCs w:val="24"/>
        </w:rPr>
        <w:t xml:space="preserve">, de transit et </w:t>
      </w:r>
      <w:r w:rsidRPr="00363092">
        <w:rPr>
          <w:strike/>
          <w:szCs w:val="24"/>
        </w:rPr>
        <w:t xml:space="preserve">de destination </w:t>
      </w:r>
      <w:r w:rsidRPr="00363092">
        <w:rPr>
          <w:szCs w:val="24"/>
          <w:u w:val="single"/>
        </w:rPr>
        <w:t>d’utilisation</w:t>
      </w:r>
      <w:r w:rsidRPr="00363092">
        <w:rPr>
          <w:szCs w:val="24"/>
        </w:rPr>
        <w:t xml:space="preserve">. </w:t>
      </w:r>
    </w:p>
    <w:p w:rsidR="00446FE5" w:rsidRDefault="00363092" w:rsidP="00275EC7">
      <w:pPr>
        <w:spacing w:after="120"/>
        <w:ind w:left="1701" w:right="1134"/>
        <w:jc w:val="both"/>
        <w:rPr>
          <w:szCs w:val="24"/>
        </w:rPr>
      </w:pPr>
      <w:r w:rsidRPr="00363092">
        <w:rPr>
          <w:szCs w:val="24"/>
        </w:rPr>
        <w:t xml:space="preserve">Les  animaux génétiquement modifiés doivent être transportés suivant les conditions </w:t>
      </w:r>
      <w:r w:rsidR="00275EC7">
        <w:rPr>
          <w:szCs w:val="24"/>
        </w:rPr>
        <w:t xml:space="preserve">fixées par les autorités </w:t>
      </w:r>
      <w:r w:rsidRPr="00363092">
        <w:rPr>
          <w:szCs w:val="24"/>
        </w:rPr>
        <w:t>compétente</w:t>
      </w:r>
      <w:r w:rsidR="00275EC7">
        <w:rPr>
          <w:szCs w:val="24"/>
        </w:rPr>
        <w:t>s</w:t>
      </w:r>
      <w:r w:rsidRPr="00363092">
        <w:rPr>
          <w:szCs w:val="24"/>
        </w:rPr>
        <w:t xml:space="preserve"> des pays </w:t>
      </w:r>
      <w:r w:rsidRPr="00363092">
        <w:rPr>
          <w:strike/>
          <w:szCs w:val="24"/>
        </w:rPr>
        <w:t>d’origine</w:t>
      </w:r>
      <w:r w:rsidRPr="00363092">
        <w:rPr>
          <w:szCs w:val="24"/>
        </w:rPr>
        <w:t xml:space="preserve"> </w:t>
      </w:r>
      <w:r w:rsidRPr="00363092">
        <w:rPr>
          <w:szCs w:val="24"/>
          <w:u w:val="single"/>
        </w:rPr>
        <w:t>[de fabrication]</w:t>
      </w:r>
      <w:r w:rsidRPr="00363092">
        <w:rPr>
          <w:szCs w:val="24"/>
        </w:rPr>
        <w:t xml:space="preserve"> et </w:t>
      </w:r>
      <w:r w:rsidRPr="00363092">
        <w:rPr>
          <w:strike/>
          <w:szCs w:val="24"/>
        </w:rPr>
        <w:t xml:space="preserve">de destination </w:t>
      </w:r>
      <w:r w:rsidRPr="00363092">
        <w:rPr>
          <w:u w:val="single"/>
        </w:rPr>
        <w:t>[</w:t>
      </w:r>
      <w:r w:rsidRPr="00363092">
        <w:rPr>
          <w:szCs w:val="24"/>
          <w:u w:val="single"/>
        </w:rPr>
        <w:t>d’utilisation]</w:t>
      </w:r>
      <w:r w:rsidRPr="00363092">
        <w:rPr>
          <w:szCs w:val="24"/>
        </w:rPr>
        <w:t>.</w:t>
      </w:r>
    </w:p>
    <w:p w:rsidR="00363092" w:rsidRPr="00363092" w:rsidRDefault="00363092" w:rsidP="00363092">
      <w:pPr>
        <w:pStyle w:val="SingleTxtG"/>
        <w:spacing w:before="240" w:after="0"/>
        <w:jc w:val="center"/>
        <w:rPr>
          <w:u w:val="single"/>
        </w:rPr>
      </w:pPr>
      <w:r>
        <w:rPr>
          <w:u w:val="single"/>
        </w:rPr>
        <w:tab/>
      </w:r>
      <w:r>
        <w:rPr>
          <w:u w:val="single"/>
        </w:rPr>
        <w:tab/>
      </w:r>
      <w:r>
        <w:rPr>
          <w:u w:val="single"/>
        </w:rPr>
        <w:tab/>
      </w:r>
    </w:p>
    <w:sectPr w:rsidR="00363092" w:rsidRPr="00363092" w:rsidSect="0036309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6A" w:rsidRDefault="00581A6A" w:rsidP="00F95C08">
      <w:pPr>
        <w:spacing w:line="240" w:lineRule="auto"/>
      </w:pPr>
    </w:p>
  </w:endnote>
  <w:endnote w:type="continuationSeparator" w:id="0">
    <w:p w:rsidR="00581A6A" w:rsidRPr="00AC3823" w:rsidRDefault="00581A6A" w:rsidP="00AC3823">
      <w:pPr>
        <w:pStyle w:val="Footer"/>
      </w:pPr>
    </w:p>
  </w:endnote>
  <w:endnote w:type="continuationNotice" w:id="1">
    <w:p w:rsidR="00581A6A" w:rsidRDefault="00581A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92" w:rsidRPr="00363092" w:rsidRDefault="00363092" w:rsidP="00363092">
    <w:pPr>
      <w:pStyle w:val="Footer"/>
      <w:tabs>
        <w:tab w:val="right" w:pos="9638"/>
      </w:tabs>
    </w:pPr>
    <w:r w:rsidRPr="00363092">
      <w:rPr>
        <w:b/>
        <w:sz w:val="18"/>
      </w:rPr>
      <w:fldChar w:fldCharType="begin"/>
    </w:r>
    <w:r w:rsidRPr="00363092">
      <w:rPr>
        <w:b/>
        <w:sz w:val="18"/>
      </w:rPr>
      <w:instrText xml:space="preserve"> PAGE  \* MERGEFORMAT </w:instrText>
    </w:r>
    <w:r w:rsidRPr="00363092">
      <w:rPr>
        <w:b/>
        <w:sz w:val="18"/>
      </w:rPr>
      <w:fldChar w:fldCharType="separate"/>
    </w:r>
    <w:r w:rsidR="0036182A">
      <w:rPr>
        <w:b/>
        <w:noProof/>
        <w:sz w:val="18"/>
      </w:rPr>
      <w:t>2</w:t>
    </w:r>
    <w:r w:rsidRPr="00363092">
      <w:rPr>
        <w:b/>
        <w:sz w:val="18"/>
      </w:rPr>
      <w:fldChar w:fldCharType="end"/>
    </w:r>
    <w:r>
      <w:rPr>
        <w:b/>
        <w:sz w:val="18"/>
      </w:rPr>
      <w:tab/>
    </w:r>
    <w:r>
      <w:t>GE.17-05690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92" w:rsidRPr="00363092" w:rsidRDefault="00363092" w:rsidP="00363092">
    <w:pPr>
      <w:pStyle w:val="Footer"/>
      <w:tabs>
        <w:tab w:val="right" w:pos="9638"/>
      </w:tabs>
      <w:rPr>
        <w:b/>
        <w:sz w:val="18"/>
      </w:rPr>
    </w:pPr>
    <w:r>
      <w:t>GE.17-05690</w:t>
    </w:r>
    <w:r>
      <w:tab/>
    </w:r>
    <w:r w:rsidRPr="00363092">
      <w:rPr>
        <w:b/>
        <w:sz w:val="18"/>
      </w:rPr>
      <w:fldChar w:fldCharType="begin"/>
    </w:r>
    <w:r w:rsidRPr="00363092">
      <w:rPr>
        <w:b/>
        <w:sz w:val="18"/>
      </w:rPr>
      <w:instrText xml:space="preserve"> PAGE  \* MERGEFORMAT </w:instrText>
    </w:r>
    <w:r w:rsidRPr="00363092">
      <w:rPr>
        <w:b/>
        <w:sz w:val="18"/>
      </w:rPr>
      <w:fldChar w:fldCharType="separate"/>
    </w:r>
    <w:r w:rsidR="00D96F56">
      <w:rPr>
        <w:b/>
        <w:noProof/>
        <w:sz w:val="18"/>
      </w:rPr>
      <w:t>3</w:t>
    </w:r>
    <w:r w:rsidRPr="003630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363092" w:rsidRDefault="00363092" w:rsidP="00363092">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4DCB3A5A" wp14:editId="088A5A9A">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17-05690  (F)    </w:t>
    </w:r>
    <w:r w:rsidR="00E97180">
      <w:rPr>
        <w:sz w:val="20"/>
      </w:rPr>
      <w:t>080517    080517</w:t>
    </w:r>
    <w:r>
      <w:rPr>
        <w:sz w:val="20"/>
      </w:rPr>
      <w:br/>
    </w:r>
    <w:r w:rsidRPr="00363092">
      <w:rPr>
        <w:rFonts w:ascii="C39T30Lfz" w:hAnsi="C39T30Lfz"/>
        <w:sz w:val="56"/>
      </w:rPr>
      <w:t></w:t>
    </w:r>
    <w:r w:rsidRPr="00363092">
      <w:rPr>
        <w:rFonts w:ascii="C39T30Lfz" w:hAnsi="C39T30Lfz"/>
        <w:sz w:val="56"/>
      </w:rPr>
      <w:t></w:t>
    </w:r>
    <w:r w:rsidRPr="00363092">
      <w:rPr>
        <w:rFonts w:ascii="C39T30Lfz" w:hAnsi="C39T30Lfz"/>
        <w:sz w:val="56"/>
      </w:rPr>
      <w:t></w:t>
    </w:r>
    <w:r w:rsidRPr="00363092">
      <w:rPr>
        <w:rFonts w:ascii="C39T30Lfz" w:hAnsi="C39T30Lfz"/>
        <w:sz w:val="56"/>
      </w:rPr>
      <w:t></w:t>
    </w:r>
    <w:r w:rsidRPr="00363092">
      <w:rPr>
        <w:rFonts w:ascii="C39T30Lfz" w:hAnsi="C39T30Lfz"/>
        <w:sz w:val="56"/>
      </w:rPr>
      <w:t></w:t>
    </w:r>
    <w:r w:rsidRPr="00363092">
      <w:rPr>
        <w:rFonts w:ascii="C39T30Lfz" w:hAnsi="C39T30Lfz"/>
        <w:sz w:val="56"/>
      </w:rPr>
      <w:t></w:t>
    </w:r>
    <w:r w:rsidRPr="00363092">
      <w:rPr>
        <w:rFonts w:ascii="C39T30Lfz" w:hAnsi="C39T30Lfz"/>
        <w:sz w:val="56"/>
      </w:rPr>
      <w:t></w:t>
    </w:r>
    <w:r w:rsidRPr="00363092">
      <w:rPr>
        <w:rFonts w:ascii="C39T30Lfz" w:hAnsi="C39T30Lfz"/>
        <w:sz w:val="56"/>
      </w:rPr>
      <w:t></w:t>
    </w:r>
    <w:r w:rsidRPr="00363092">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3EC2797F" wp14:editId="45BBD5C7">
          <wp:simplePos x="0" y="0"/>
          <wp:positionH relativeFrom="margin">
            <wp:posOffset>5489575</wp:posOffset>
          </wp:positionH>
          <wp:positionV relativeFrom="margin">
            <wp:posOffset>8027670</wp:posOffset>
          </wp:positionV>
          <wp:extent cx="638175" cy="638175"/>
          <wp:effectExtent l="0" t="0" r="9525" b="9525"/>
          <wp:wrapNone/>
          <wp:docPr id="5" name="Image 1" descr="http://undocs.org/m2/QRCode.ashx?DS=ST/SG/AC.10/C.3/2017/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7/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6A" w:rsidRPr="00AC3823" w:rsidRDefault="00581A6A" w:rsidP="00AC3823">
      <w:pPr>
        <w:pStyle w:val="Footer"/>
        <w:tabs>
          <w:tab w:val="right" w:pos="2155"/>
        </w:tabs>
        <w:spacing w:after="80" w:line="240" w:lineRule="atLeast"/>
        <w:ind w:left="680"/>
        <w:rPr>
          <w:u w:val="single"/>
        </w:rPr>
      </w:pPr>
      <w:r>
        <w:rPr>
          <w:u w:val="single"/>
        </w:rPr>
        <w:tab/>
      </w:r>
    </w:p>
  </w:footnote>
  <w:footnote w:type="continuationSeparator" w:id="0">
    <w:p w:rsidR="00581A6A" w:rsidRPr="00AC3823" w:rsidRDefault="00581A6A" w:rsidP="00AC3823">
      <w:pPr>
        <w:pStyle w:val="Footer"/>
        <w:tabs>
          <w:tab w:val="right" w:pos="2155"/>
        </w:tabs>
        <w:spacing w:after="80" w:line="240" w:lineRule="atLeast"/>
        <w:ind w:left="680"/>
        <w:rPr>
          <w:u w:val="single"/>
        </w:rPr>
      </w:pPr>
      <w:r>
        <w:rPr>
          <w:u w:val="single"/>
        </w:rPr>
        <w:tab/>
      </w:r>
    </w:p>
  </w:footnote>
  <w:footnote w:type="continuationNotice" w:id="1">
    <w:p w:rsidR="00581A6A" w:rsidRPr="00AC3823" w:rsidRDefault="00581A6A">
      <w:pPr>
        <w:spacing w:line="240" w:lineRule="auto"/>
        <w:rPr>
          <w:sz w:val="2"/>
          <w:szCs w:val="2"/>
        </w:rPr>
      </w:pPr>
    </w:p>
  </w:footnote>
  <w:footnote w:id="2">
    <w:p w:rsidR="00363092" w:rsidRPr="00E35FF0" w:rsidRDefault="00363092" w:rsidP="00363092">
      <w:pPr>
        <w:pStyle w:val="FootnoteText"/>
        <w:rPr>
          <w:lang w:val="fr-FR"/>
        </w:rPr>
      </w:pPr>
      <w:r>
        <w:tab/>
      </w:r>
      <w:r w:rsidRPr="00363092">
        <w:rPr>
          <w:rStyle w:val="FootnoteReference"/>
        </w:rPr>
        <w:t>*</w:t>
      </w:r>
      <w:r w:rsidRPr="00363092">
        <w:rPr>
          <w:vertAlign w:val="superscript"/>
        </w:rPr>
        <w:t xml:space="preserve"> </w:t>
      </w:r>
      <w:r>
        <w:rPr>
          <w:lang w:val="fr-FR"/>
        </w:rPr>
        <w:tab/>
      </w:r>
      <w:r w:rsidRPr="00E35FF0">
        <w:rPr>
          <w:lang w:val="fr-FR"/>
        </w:rPr>
        <w:t>Conformément au programme de travail du Sous-Comité pour 2017</w:t>
      </w:r>
      <w:r>
        <w:rPr>
          <w:lang w:val="fr-FR"/>
        </w:rPr>
        <w:noBreakHyphen/>
      </w:r>
      <w:r w:rsidRPr="00E35FF0">
        <w:rPr>
          <w:lang w:val="fr-FR"/>
        </w:rPr>
        <w:t xml:space="preserve">2018 approuvé par le Comité à sa </w:t>
      </w:r>
      <w:r w:rsidRPr="00363092">
        <w:rPr>
          <w:sz w:val="20"/>
          <w:lang w:val="fr-FR"/>
        </w:rPr>
        <w:t>h</w:t>
      </w:r>
      <w:r w:rsidRPr="00E35FF0">
        <w:rPr>
          <w:lang w:val="fr-FR"/>
        </w:rPr>
        <w:t>uitième session (voir ST/SG/AC.10/C.3/100, par</w:t>
      </w:r>
      <w:r>
        <w:rPr>
          <w:lang w:val="fr-FR"/>
        </w:rPr>
        <w:t>. </w:t>
      </w:r>
      <w:r w:rsidRPr="00E35FF0">
        <w:rPr>
          <w:lang w:val="fr-FR"/>
        </w:rPr>
        <w:t>98</w:t>
      </w:r>
      <w:r>
        <w:rPr>
          <w:lang w:val="fr-FR"/>
        </w:rPr>
        <w:t>,</w:t>
      </w:r>
      <w:r w:rsidRPr="00E35FF0">
        <w:rPr>
          <w:lang w:val="fr-FR"/>
        </w:rPr>
        <w:t xml:space="preserve"> </w:t>
      </w:r>
      <w:r>
        <w:rPr>
          <w:lang w:val="fr-FR"/>
        </w:rPr>
        <w:t>et</w:t>
      </w:r>
      <w:r w:rsidRPr="00E35FF0">
        <w:rPr>
          <w:lang w:val="fr-FR"/>
        </w:rPr>
        <w:t xml:space="preserve"> ST/SG/AC.10/44, par</w:t>
      </w:r>
      <w:r>
        <w:rPr>
          <w:lang w:val="fr-FR"/>
        </w:rPr>
        <w: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92" w:rsidRPr="00363092" w:rsidRDefault="00363092">
    <w:pPr>
      <w:pStyle w:val="Header"/>
    </w:pPr>
    <w:r>
      <w:t>ST/SG/AC.10/C.3/2017/24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92" w:rsidRPr="00363092" w:rsidRDefault="00363092" w:rsidP="00363092">
    <w:pPr>
      <w:pStyle w:val="Header"/>
      <w:jc w:val="right"/>
    </w:pPr>
    <w:r>
      <w:t>ST/SG/AC.10/C.3/2017/24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6A"/>
    <w:rsid w:val="00017F94"/>
    <w:rsid w:val="00023842"/>
    <w:rsid w:val="000305D3"/>
    <w:rsid w:val="000334F9"/>
    <w:rsid w:val="0007796D"/>
    <w:rsid w:val="000B7790"/>
    <w:rsid w:val="00111F2F"/>
    <w:rsid w:val="00132EA9"/>
    <w:rsid w:val="0014365E"/>
    <w:rsid w:val="00176178"/>
    <w:rsid w:val="001F525A"/>
    <w:rsid w:val="00223272"/>
    <w:rsid w:val="0024779E"/>
    <w:rsid w:val="00275EC7"/>
    <w:rsid w:val="00283190"/>
    <w:rsid w:val="002832AC"/>
    <w:rsid w:val="002D17E9"/>
    <w:rsid w:val="002D7C93"/>
    <w:rsid w:val="0036182A"/>
    <w:rsid w:val="00363092"/>
    <w:rsid w:val="00441C3B"/>
    <w:rsid w:val="00446FE5"/>
    <w:rsid w:val="00452396"/>
    <w:rsid w:val="00480B78"/>
    <w:rsid w:val="004E468C"/>
    <w:rsid w:val="005505B7"/>
    <w:rsid w:val="00573BE5"/>
    <w:rsid w:val="00581A6A"/>
    <w:rsid w:val="00586ED3"/>
    <w:rsid w:val="00596AA9"/>
    <w:rsid w:val="0068456F"/>
    <w:rsid w:val="0071601D"/>
    <w:rsid w:val="007A62E6"/>
    <w:rsid w:val="0080684C"/>
    <w:rsid w:val="00871C75"/>
    <w:rsid w:val="008776DC"/>
    <w:rsid w:val="009705C8"/>
    <w:rsid w:val="009C1CF4"/>
    <w:rsid w:val="00A30353"/>
    <w:rsid w:val="00AC3823"/>
    <w:rsid w:val="00AE323C"/>
    <w:rsid w:val="00AE6F20"/>
    <w:rsid w:val="00B00181"/>
    <w:rsid w:val="00B00B0D"/>
    <w:rsid w:val="00B765F7"/>
    <w:rsid w:val="00BA0CA9"/>
    <w:rsid w:val="00C02897"/>
    <w:rsid w:val="00D3439C"/>
    <w:rsid w:val="00D96F56"/>
    <w:rsid w:val="00DB1831"/>
    <w:rsid w:val="00DD3BFD"/>
    <w:rsid w:val="00DE5511"/>
    <w:rsid w:val="00DF6678"/>
    <w:rsid w:val="00E97180"/>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363092"/>
    <w:rPr>
      <w:rFonts w:ascii="Times New Roman" w:hAnsi="Times New Roman" w:cs="Times New Roman"/>
      <w:b/>
      <w:sz w:val="28"/>
      <w:szCs w:val="20"/>
      <w:lang w:eastAsia="en-US"/>
    </w:rPr>
  </w:style>
  <w:style w:type="character" w:customStyle="1" w:styleId="SingleTxtGChar">
    <w:name w:val="_ Single Txt_G Char"/>
    <w:link w:val="SingleTxtG"/>
    <w:rsid w:val="00363092"/>
    <w:rPr>
      <w:rFonts w:ascii="Times New Roman" w:hAnsi="Times New Roman" w:cs="Times New Roman"/>
      <w:sz w:val="20"/>
      <w:szCs w:val="20"/>
      <w:lang w:eastAsia="en-US"/>
    </w:rPr>
  </w:style>
  <w:style w:type="character" w:customStyle="1" w:styleId="H1GChar">
    <w:name w:val="_ H_1_G Char"/>
    <w:link w:val="H1G"/>
    <w:locked/>
    <w:rsid w:val="00363092"/>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363092"/>
    <w:rPr>
      <w:rFonts w:ascii="Times New Roman" w:hAnsi="Times New Roman" w:cs="Times New Roman"/>
      <w:b/>
      <w:sz w:val="28"/>
      <w:szCs w:val="20"/>
      <w:lang w:eastAsia="en-US"/>
    </w:rPr>
  </w:style>
  <w:style w:type="character" w:customStyle="1" w:styleId="SingleTxtGChar">
    <w:name w:val="_ Single Txt_G Char"/>
    <w:link w:val="SingleTxtG"/>
    <w:rsid w:val="00363092"/>
    <w:rPr>
      <w:rFonts w:ascii="Times New Roman" w:hAnsi="Times New Roman" w:cs="Times New Roman"/>
      <w:sz w:val="20"/>
      <w:szCs w:val="20"/>
      <w:lang w:eastAsia="en-US"/>
    </w:rPr>
  </w:style>
  <w:style w:type="character" w:customStyle="1" w:styleId="H1GChar">
    <w:name w:val="_ H_1_G Char"/>
    <w:link w:val="H1G"/>
    <w:locked/>
    <w:rsid w:val="00363092"/>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CA04-8B87-4F7E-9A2B-08740BB8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4282</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ST/SG/AC.10/C.3/2017/24</vt:lpstr>
      <vt:lpstr>ST/SG/AC.10/C.3/2017/24</vt:lpstr>
    </vt:vector>
  </TitlesOfParts>
  <Company>DCM</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ST/SG/AC.10/C.3/2017/24</dc:title>
  <dc:creator>BOURION</dc:creator>
  <cp:lastModifiedBy>Laurence Berthet</cp:lastModifiedBy>
  <cp:revision>2</cp:revision>
  <cp:lastPrinted>2017-05-09T13:39:00Z</cp:lastPrinted>
  <dcterms:created xsi:type="dcterms:W3CDTF">2017-05-09T13:40:00Z</dcterms:created>
  <dcterms:modified xsi:type="dcterms:W3CDTF">2017-05-09T13:40:00Z</dcterms:modified>
</cp:coreProperties>
</file>