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7B2B1F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7B2B1F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005F27">
            <w:pPr>
              <w:suppressAutoHyphens w:val="0"/>
              <w:spacing w:after="20"/>
              <w:jc w:val="right"/>
            </w:pPr>
            <w:r w:rsidRPr="007B2B1F">
              <w:rPr>
                <w:sz w:val="40"/>
              </w:rPr>
              <w:t>ST</w:t>
            </w:r>
            <w:r w:rsidR="00077628" w:rsidRPr="007B2B1F">
              <w:t>/SG/AC.10/C.3/201</w:t>
            </w:r>
            <w:r w:rsidR="00FD1538">
              <w:t>7</w:t>
            </w:r>
            <w:r w:rsidR="00077628" w:rsidRPr="007B2B1F">
              <w:t>/</w:t>
            </w:r>
            <w:r w:rsidR="00005F27">
              <w:t>17</w:t>
            </w:r>
          </w:p>
        </w:tc>
      </w:tr>
      <w:tr w:rsidR="00C14945" w:rsidRPr="007B2B1F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67AE9" w:rsidP="00C14945">
            <w:pPr>
              <w:spacing w:before="120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_unlogo" style="width:56.3pt;height:46.6pt;visibility:visible">
                  <v:imagedata r:id="rId9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uppressAutoHyphens w:val="0"/>
              <w:spacing w:before="240" w:line="240" w:lineRule="exact"/>
            </w:pPr>
            <w:r w:rsidRPr="007B2B1F">
              <w:t>Distr.: General</w:t>
            </w:r>
          </w:p>
          <w:p w:rsidR="00C14945" w:rsidRPr="007B2B1F" w:rsidRDefault="00005F27" w:rsidP="00C14945">
            <w:pPr>
              <w:suppressAutoHyphens w:val="0"/>
            </w:pPr>
            <w:r>
              <w:t>4 April</w:t>
            </w:r>
            <w:r w:rsidR="00C66798" w:rsidRPr="007B2B1F">
              <w:t xml:space="preserve"> 201</w:t>
            </w:r>
            <w:r w:rsidR="00FC6BBC">
              <w:t>7</w:t>
            </w:r>
          </w:p>
          <w:p w:rsidR="00C14945" w:rsidRPr="007B2B1F" w:rsidRDefault="00C14945" w:rsidP="00C14945">
            <w:pPr>
              <w:suppressAutoHyphens w:val="0"/>
            </w:pPr>
          </w:p>
          <w:p w:rsidR="00C14945" w:rsidRPr="007B2B1F" w:rsidRDefault="00C14945" w:rsidP="00C14945">
            <w:pPr>
              <w:suppressAutoHyphens w:val="0"/>
            </w:pPr>
            <w:r w:rsidRPr="007B2B1F">
              <w:t>Original: English</w:t>
            </w:r>
          </w:p>
        </w:tc>
      </w:tr>
    </w:tbl>
    <w:p w:rsidR="00C14945" w:rsidRPr="007B2B1F" w:rsidRDefault="00C14945" w:rsidP="00C14945">
      <w:pPr>
        <w:spacing w:before="120" w:after="120"/>
        <w:rPr>
          <w:b/>
          <w:sz w:val="24"/>
          <w:szCs w:val="24"/>
        </w:rPr>
      </w:pPr>
      <w:r w:rsidRPr="007B2B1F">
        <w:rPr>
          <w:b/>
          <w:sz w:val="24"/>
          <w:szCs w:val="24"/>
        </w:rPr>
        <w:t>Committee of Experts on the Transport of Dangerous Goods</w:t>
      </w:r>
      <w:r w:rsidRPr="007B2B1F">
        <w:rPr>
          <w:b/>
          <w:sz w:val="24"/>
          <w:szCs w:val="24"/>
        </w:rPr>
        <w:br/>
        <w:t>and on the Globally Harmonized System of Classification</w:t>
      </w:r>
      <w:r w:rsidRPr="007B2B1F">
        <w:rPr>
          <w:b/>
          <w:sz w:val="24"/>
          <w:szCs w:val="24"/>
        </w:rPr>
        <w:br/>
        <w:t>and Labelling of Chemicals</w:t>
      </w:r>
    </w:p>
    <w:p w:rsidR="00C14945" w:rsidRPr="007B2B1F" w:rsidRDefault="00C14945" w:rsidP="00C14945">
      <w:pPr>
        <w:spacing w:before="120"/>
        <w:rPr>
          <w:b/>
        </w:rPr>
      </w:pPr>
      <w:r w:rsidRPr="007B2B1F">
        <w:rPr>
          <w:b/>
        </w:rPr>
        <w:t>Sub-Committee of Experts on the Transport of Dangerous Goods</w:t>
      </w:r>
    </w:p>
    <w:p w:rsidR="00C14945" w:rsidRPr="007B2B1F" w:rsidRDefault="00005F27" w:rsidP="00C14945">
      <w:pPr>
        <w:spacing w:before="120"/>
        <w:rPr>
          <w:b/>
        </w:rPr>
      </w:pPr>
      <w:r>
        <w:rPr>
          <w:b/>
        </w:rPr>
        <w:t>Fifty-</w:t>
      </w:r>
      <w:r w:rsidR="00FC6BBC">
        <w:rPr>
          <w:b/>
        </w:rPr>
        <w:t>first</w:t>
      </w:r>
      <w:r w:rsidR="00C14945" w:rsidRPr="007B2B1F">
        <w:rPr>
          <w:b/>
        </w:rPr>
        <w:t xml:space="preserve"> </w:t>
      </w:r>
      <w:proofErr w:type="gramStart"/>
      <w:r w:rsidR="00C14945" w:rsidRPr="007B2B1F">
        <w:rPr>
          <w:b/>
        </w:rPr>
        <w:t>session</w:t>
      </w:r>
      <w:proofErr w:type="gramEnd"/>
    </w:p>
    <w:p w:rsidR="00C14945" w:rsidRPr="007B2B1F" w:rsidRDefault="00C14945" w:rsidP="00C14945">
      <w:r w:rsidRPr="007B2B1F">
        <w:t xml:space="preserve">Geneva, </w:t>
      </w:r>
      <w:r w:rsidR="00FC6BBC">
        <w:t>3-</w:t>
      </w:r>
      <w:r w:rsidR="006D3E0B">
        <w:t>7</w:t>
      </w:r>
      <w:r w:rsidRPr="007B2B1F">
        <w:t xml:space="preserve"> </w:t>
      </w:r>
      <w:r w:rsidR="00C66798" w:rsidRPr="007B2B1F">
        <w:t>July 2016</w:t>
      </w:r>
    </w:p>
    <w:p w:rsidR="00C14945" w:rsidRPr="007B2B1F" w:rsidRDefault="00C14945" w:rsidP="00C14945">
      <w:pPr>
        <w:rPr>
          <w:b/>
        </w:rPr>
      </w:pPr>
      <w:r w:rsidRPr="007B2B1F">
        <w:t xml:space="preserve">Item </w:t>
      </w:r>
      <w:r w:rsidR="00C42B3C" w:rsidRPr="007B2B1F">
        <w:t>5 (b)</w:t>
      </w:r>
      <w:r w:rsidRPr="007B2B1F">
        <w:t xml:space="preserve"> of the provisional agenda</w:t>
      </w:r>
      <w:r w:rsidRPr="007B2B1F">
        <w:rPr>
          <w:b/>
        </w:rPr>
        <w:t xml:space="preserve"> </w:t>
      </w:r>
      <w:r w:rsidRPr="007B2B1F">
        <w:rPr>
          <w:b/>
        </w:rPr>
        <w:br/>
      </w:r>
      <w:r w:rsidR="00C42B3C" w:rsidRPr="007B2B1F">
        <w:rPr>
          <w:b/>
        </w:rPr>
        <w:t xml:space="preserve">Transport of gases: miscellaneous </w:t>
      </w:r>
    </w:p>
    <w:p w:rsidR="000062D2" w:rsidRPr="007B2B1F" w:rsidRDefault="00C42B3C" w:rsidP="000062D2">
      <w:pPr>
        <w:pStyle w:val="HChG"/>
      </w:pPr>
      <w:r w:rsidRPr="007B2B1F">
        <w:tab/>
      </w:r>
      <w:r w:rsidRPr="007B2B1F">
        <w:tab/>
      </w:r>
      <w:r w:rsidR="005413FA">
        <w:t xml:space="preserve">Update of </w:t>
      </w:r>
      <w:r w:rsidR="000062D2" w:rsidRPr="007B2B1F">
        <w:t>ISO standard</w:t>
      </w:r>
      <w:r w:rsidRPr="007B2B1F">
        <w:t>s</w:t>
      </w:r>
      <w:r w:rsidR="00197FE9">
        <w:t xml:space="preserve"> in </w:t>
      </w:r>
      <w:r w:rsidR="00FD1538">
        <w:t>Class 2</w:t>
      </w:r>
    </w:p>
    <w:p w:rsidR="009B1518" w:rsidRPr="007B2B1F" w:rsidRDefault="002D4B6C" w:rsidP="001F602E">
      <w:pPr>
        <w:pStyle w:val="H1G"/>
        <w:jc w:val="both"/>
      </w:pPr>
      <w:r w:rsidRPr="007B2B1F">
        <w:tab/>
      </w:r>
      <w:r w:rsidRPr="007B2B1F">
        <w:tab/>
      </w:r>
      <w:r w:rsidR="009B1518" w:rsidRPr="007B2B1F">
        <w:t xml:space="preserve">Transmitted by the </w:t>
      </w:r>
      <w:r w:rsidR="00853EBC" w:rsidRPr="007B2B1F">
        <w:t>International Organisation for Standardisation (ISO</w:t>
      </w:r>
      <w:r w:rsidR="00077628" w:rsidRPr="007B2B1F">
        <w:t>)</w:t>
      </w:r>
      <w:r w:rsidR="00005F27">
        <w:rPr>
          <w:rStyle w:val="FootnoteReference"/>
        </w:rPr>
        <w:footnoteReference w:id="2"/>
      </w:r>
    </w:p>
    <w:p w:rsidR="001D7F46" w:rsidRPr="007B2B1F" w:rsidRDefault="001E0B9E" w:rsidP="00005F27">
      <w:pPr>
        <w:pStyle w:val="HChG"/>
      </w:pPr>
      <w:r w:rsidRPr="007B2B1F">
        <w:tab/>
      </w:r>
      <w:r w:rsidRPr="007B2B1F">
        <w:tab/>
      </w:r>
      <w:r w:rsidR="001D7F46" w:rsidRPr="00005F27">
        <w:t>Introduction</w:t>
      </w:r>
    </w:p>
    <w:p w:rsidR="006C779F" w:rsidRDefault="00CC1ADB" w:rsidP="00FB1B60">
      <w:pPr>
        <w:pStyle w:val="Default"/>
        <w:spacing w:after="120"/>
        <w:ind w:left="1134" w:right="1134"/>
        <w:jc w:val="both"/>
        <w:rPr>
          <w:sz w:val="20"/>
          <w:szCs w:val="20"/>
          <w:lang w:val="en-GB"/>
        </w:rPr>
      </w:pPr>
      <w:r w:rsidRPr="007B2B1F">
        <w:rPr>
          <w:sz w:val="20"/>
          <w:szCs w:val="20"/>
          <w:lang w:val="en-GB"/>
        </w:rPr>
        <w:t>1.</w:t>
      </w:r>
      <w:r w:rsidRPr="007B2B1F">
        <w:rPr>
          <w:sz w:val="20"/>
          <w:szCs w:val="20"/>
          <w:lang w:val="en-GB"/>
        </w:rPr>
        <w:tab/>
      </w:r>
      <w:r w:rsidR="00C42B3C" w:rsidRPr="007B2B1F">
        <w:rPr>
          <w:sz w:val="20"/>
          <w:szCs w:val="20"/>
          <w:lang w:val="en-GB"/>
        </w:rPr>
        <w:t>T</w:t>
      </w:r>
      <w:r w:rsidR="0094154D" w:rsidRPr="007B2B1F">
        <w:rPr>
          <w:sz w:val="20"/>
          <w:szCs w:val="20"/>
          <w:lang w:val="en-GB"/>
        </w:rPr>
        <w:t>he</w:t>
      </w:r>
      <w:r w:rsidR="006B5767">
        <w:rPr>
          <w:sz w:val="20"/>
          <w:szCs w:val="20"/>
          <w:lang w:val="en-GB"/>
        </w:rPr>
        <w:t>se</w:t>
      </w:r>
      <w:r w:rsidR="0094154D" w:rsidRPr="007B2B1F">
        <w:rPr>
          <w:sz w:val="20"/>
          <w:szCs w:val="20"/>
          <w:lang w:val="en-GB"/>
        </w:rPr>
        <w:t xml:space="preserve"> </w:t>
      </w:r>
      <w:r w:rsidR="00C42B3C" w:rsidRPr="007B2B1F">
        <w:rPr>
          <w:sz w:val="20"/>
          <w:szCs w:val="20"/>
          <w:lang w:val="en-GB"/>
        </w:rPr>
        <w:t>proposa</w:t>
      </w:r>
      <w:r w:rsidR="0009003C" w:rsidRPr="007B2B1F">
        <w:rPr>
          <w:sz w:val="20"/>
          <w:szCs w:val="20"/>
          <w:lang w:val="en-GB"/>
        </w:rPr>
        <w:t>l</w:t>
      </w:r>
      <w:r w:rsidR="006B5767">
        <w:rPr>
          <w:sz w:val="20"/>
          <w:szCs w:val="20"/>
          <w:lang w:val="en-GB"/>
        </w:rPr>
        <w:t>s</w:t>
      </w:r>
      <w:r w:rsidR="0009003C" w:rsidRPr="007B2B1F">
        <w:rPr>
          <w:sz w:val="20"/>
          <w:szCs w:val="20"/>
          <w:lang w:val="en-GB"/>
        </w:rPr>
        <w:t xml:space="preserve"> concern</w:t>
      </w:r>
      <w:r w:rsidR="006B5767">
        <w:rPr>
          <w:sz w:val="20"/>
          <w:szCs w:val="20"/>
          <w:lang w:val="en-GB"/>
        </w:rPr>
        <w:t xml:space="preserve">s </w:t>
      </w:r>
      <w:r w:rsidR="00AA6F5C">
        <w:rPr>
          <w:sz w:val="20"/>
          <w:szCs w:val="20"/>
          <w:lang w:val="en-GB"/>
        </w:rPr>
        <w:t xml:space="preserve">four standards of which, </w:t>
      </w:r>
      <w:r w:rsidR="006B5767">
        <w:rPr>
          <w:sz w:val="20"/>
          <w:szCs w:val="20"/>
          <w:lang w:val="en-GB"/>
        </w:rPr>
        <w:t>three</w:t>
      </w:r>
      <w:r w:rsidR="0009003C" w:rsidRPr="007B2B1F">
        <w:rPr>
          <w:sz w:val="20"/>
          <w:szCs w:val="20"/>
          <w:lang w:val="en-GB"/>
        </w:rPr>
        <w:t xml:space="preserve"> </w:t>
      </w:r>
      <w:r w:rsidR="00A74AB0" w:rsidRPr="007B2B1F">
        <w:rPr>
          <w:sz w:val="20"/>
          <w:szCs w:val="20"/>
          <w:lang w:val="en-GB"/>
        </w:rPr>
        <w:t xml:space="preserve">are already referenced </w:t>
      </w:r>
      <w:r w:rsidR="006B5767">
        <w:rPr>
          <w:sz w:val="20"/>
          <w:szCs w:val="20"/>
          <w:lang w:val="en-GB"/>
        </w:rPr>
        <w:t xml:space="preserve">in the Model Regulations and </w:t>
      </w:r>
      <w:r w:rsidR="00AA6F5C">
        <w:rPr>
          <w:sz w:val="20"/>
          <w:szCs w:val="20"/>
          <w:lang w:val="en-GB"/>
        </w:rPr>
        <w:t xml:space="preserve">are </w:t>
      </w:r>
      <w:r w:rsidR="006B5767">
        <w:rPr>
          <w:sz w:val="20"/>
          <w:szCs w:val="20"/>
          <w:lang w:val="en-GB"/>
        </w:rPr>
        <w:t>update</w:t>
      </w:r>
      <w:r w:rsidR="00AA6F5C">
        <w:rPr>
          <w:sz w:val="20"/>
          <w:szCs w:val="20"/>
          <w:lang w:val="en-GB"/>
        </w:rPr>
        <w:t>d</w:t>
      </w:r>
      <w:r w:rsidR="006B5767">
        <w:rPr>
          <w:sz w:val="20"/>
          <w:szCs w:val="20"/>
          <w:lang w:val="en-GB"/>
        </w:rPr>
        <w:t xml:space="preserve"> with two amendments and one revis</w:t>
      </w:r>
      <w:r w:rsidR="00AA6F5C">
        <w:rPr>
          <w:sz w:val="20"/>
          <w:szCs w:val="20"/>
          <w:lang w:val="en-GB"/>
        </w:rPr>
        <w:t>ion</w:t>
      </w:r>
      <w:r w:rsidR="00005F27">
        <w:rPr>
          <w:sz w:val="20"/>
          <w:szCs w:val="20"/>
          <w:lang w:val="en-GB"/>
        </w:rPr>
        <w:t xml:space="preserve">. </w:t>
      </w:r>
      <w:r w:rsidR="00AA6F5C">
        <w:rPr>
          <w:sz w:val="20"/>
          <w:szCs w:val="20"/>
          <w:lang w:val="en-GB"/>
        </w:rPr>
        <w:t>The fourth is a</w:t>
      </w:r>
      <w:r w:rsidR="006B5767">
        <w:rPr>
          <w:sz w:val="20"/>
          <w:szCs w:val="20"/>
          <w:lang w:val="en-GB"/>
        </w:rPr>
        <w:t xml:space="preserve"> new standard </w:t>
      </w:r>
      <w:r w:rsidR="00AA6F5C">
        <w:rPr>
          <w:sz w:val="20"/>
          <w:szCs w:val="20"/>
          <w:lang w:val="en-GB"/>
        </w:rPr>
        <w:t>for the construction of composite cylinders</w:t>
      </w:r>
      <w:r w:rsidR="006B5767">
        <w:rPr>
          <w:sz w:val="20"/>
          <w:szCs w:val="20"/>
          <w:lang w:val="en-GB"/>
        </w:rPr>
        <w:t>.</w:t>
      </w:r>
      <w:r w:rsidR="00A74AB0" w:rsidRPr="007B2B1F">
        <w:rPr>
          <w:sz w:val="20"/>
          <w:szCs w:val="20"/>
          <w:lang w:val="en-GB"/>
        </w:rPr>
        <w:t xml:space="preserve"> </w:t>
      </w:r>
    </w:p>
    <w:p w:rsidR="00C42B3C" w:rsidRPr="007B2B1F" w:rsidRDefault="00C42B3C" w:rsidP="00005F27">
      <w:pPr>
        <w:pStyle w:val="Default"/>
        <w:spacing w:after="120"/>
        <w:ind w:left="1701" w:right="1134"/>
        <w:jc w:val="both"/>
        <w:rPr>
          <w:sz w:val="20"/>
          <w:szCs w:val="20"/>
          <w:lang w:val="en-GB"/>
        </w:rPr>
      </w:pPr>
      <w:r w:rsidRPr="007B2B1F">
        <w:rPr>
          <w:sz w:val="20"/>
          <w:szCs w:val="20"/>
          <w:lang w:val="en-GB"/>
        </w:rPr>
        <w:t>The</w:t>
      </w:r>
      <w:r w:rsidR="0009003C" w:rsidRPr="007B2B1F">
        <w:rPr>
          <w:sz w:val="20"/>
          <w:szCs w:val="20"/>
          <w:lang w:val="en-GB"/>
        </w:rPr>
        <w:t xml:space="preserve"> </w:t>
      </w:r>
      <w:r w:rsidR="00260C8D" w:rsidRPr="007B2B1F">
        <w:rPr>
          <w:sz w:val="20"/>
          <w:szCs w:val="20"/>
          <w:lang w:val="en-GB"/>
        </w:rPr>
        <w:t xml:space="preserve">titles </w:t>
      </w:r>
      <w:r w:rsidR="00965EE3" w:rsidRPr="007B2B1F">
        <w:rPr>
          <w:sz w:val="20"/>
          <w:szCs w:val="20"/>
          <w:lang w:val="en-GB"/>
        </w:rPr>
        <w:t xml:space="preserve">of the standards </w:t>
      </w:r>
      <w:r w:rsidRPr="007B2B1F">
        <w:rPr>
          <w:sz w:val="20"/>
          <w:szCs w:val="20"/>
          <w:lang w:val="en-GB"/>
        </w:rPr>
        <w:t>are:</w:t>
      </w:r>
    </w:p>
    <w:p w:rsidR="0009003C" w:rsidRDefault="00E536D3" w:rsidP="00005F27">
      <w:pPr>
        <w:spacing w:after="120"/>
        <w:ind w:left="1701" w:right="1134"/>
        <w:jc w:val="both"/>
        <w:rPr>
          <w:color w:val="000000"/>
        </w:rPr>
      </w:pPr>
      <w:r w:rsidRPr="00E536D3">
        <w:t>ISO 11114-1:2012</w:t>
      </w:r>
      <w:r>
        <w:t xml:space="preserve"> + </w:t>
      </w:r>
      <w:proofErr w:type="spellStart"/>
      <w:r>
        <w:t>Amd</w:t>
      </w:r>
      <w:proofErr w:type="spellEnd"/>
      <w:r>
        <w:t xml:space="preserve"> 1:2017 </w:t>
      </w:r>
      <w:r w:rsidRPr="00E536D3">
        <w:t xml:space="preserve">Gas cylinders </w:t>
      </w:r>
      <w:r w:rsidR="00DF1772">
        <w:t>–</w:t>
      </w:r>
      <w:r w:rsidRPr="00E536D3">
        <w:t xml:space="preserve"> Compatibility of cylinder and valve materials with gas contents </w:t>
      </w:r>
      <w:r w:rsidR="00DF1772">
        <w:t>–</w:t>
      </w:r>
      <w:r w:rsidRPr="00E536D3">
        <w:t xml:space="preserve"> Part 1: Metallic materials</w:t>
      </w:r>
      <w:r w:rsidR="00C66798" w:rsidRPr="007B2B1F">
        <w:rPr>
          <w:color w:val="000000"/>
        </w:rPr>
        <w:t xml:space="preserve">; </w:t>
      </w:r>
    </w:p>
    <w:p w:rsidR="00954711" w:rsidRPr="00954711" w:rsidRDefault="00954711" w:rsidP="00005F27">
      <w:pPr>
        <w:spacing w:after="120"/>
        <w:ind w:left="1701" w:right="1134"/>
        <w:jc w:val="both"/>
        <w:rPr>
          <w:color w:val="000000"/>
        </w:rPr>
      </w:pPr>
      <w:r w:rsidRPr="00954711">
        <w:rPr>
          <w:color w:val="000000"/>
        </w:rPr>
        <w:t>ISO 10297:2014</w:t>
      </w:r>
      <w:r>
        <w:rPr>
          <w:color w:val="000000"/>
        </w:rPr>
        <w:t xml:space="preserve"> + </w:t>
      </w:r>
      <w:proofErr w:type="spellStart"/>
      <w:r>
        <w:rPr>
          <w:color w:val="000000"/>
        </w:rPr>
        <w:t>Amd</w:t>
      </w:r>
      <w:proofErr w:type="spellEnd"/>
      <w:r>
        <w:rPr>
          <w:color w:val="000000"/>
        </w:rPr>
        <w:t xml:space="preserve"> 1:2017 </w:t>
      </w:r>
      <w:r w:rsidRPr="00954711">
        <w:rPr>
          <w:color w:val="000000"/>
        </w:rPr>
        <w:t xml:space="preserve">Gas cylinders </w:t>
      </w:r>
      <w:r w:rsidR="00DF1772">
        <w:rPr>
          <w:color w:val="000000"/>
        </w:rPr>
        <w:t>–</w:t>
      </w:r>
      <w:r w:rsidRPr="00954711">
        <w:rPr>
          <w:color w:val="000000"/>
        </w:rPr>
        <w:t xml:space="preserve"> Cylinder valves </w:t>
      </w:r>
      <w:r w:rsidR="00DF1772">
        <w:rPr>
          <w:color w:val="000000"/>
        </w:rPr>
        <w:t>–</w:t>
      </w:r>
      <w:r w:rsidRPr="00954711">
        <w:rPr>
          <w:color w:val="000000"/>
        </w:rPr>
        <w:t xml:space="preserve"> Specification and type testing</w:t>
      </w:r>
      <w:r w:rsidR="00DF1772">
        <w:rPr>
          <w:color w:val="000000"/>
        </w:rPr>
        <w:t>;</w:t>
      </w:r>
    </w:p>
    <w:p w:rsidR="006B5767" w:rsidRDefault="00DF1772" w:rsidP="00005F27">
      <w:pPr>
        <w:spacing w:after="120"/>
        <w:ind w:left="1701" w:right="1134"/>
        <w:jc w:val="both"/>
      </w:pPr>
      <w:r>
        <w:rPr>
          <w:color w:val="000000"/>
        </w:rPr>
        <w:t xml:space="preserve">ISO 24431:2106 </w:t>
      </w:r>
      <w:r>
        <w:t>Gas cylinders – Seamless, welded and composite cylinders for compressed and liquefied gases (excluding acetylene) – Inspection at time of filling;</w:t>
      </w:r>
    </w:p>
    <w:p w:rsidR="00DF1772" w:rsidRPr="007B2B1F" w:rsidRDefault="00DF1772" w:rsidP="00005F27">
      <w:pPr>
        <w:spacing w:after="120"/>
        <w:ind w:left="1701" w:right="1134"/>
        <w:jc w:val="both"/>
        <w:rPr>
          <w:color w:val="000000"/>
        </w:rPr>
      </w:pPr>
      <w:r>
        <w:rPr>
          <w:color w:val="000000"/>
        </w:rPr>
        <w:t xml:space="preserve">ISO 11119-4:2016 </w:t>
      </w:r>
      <w:r>
        <w:t>Gas cylinders – Refillable composite gas cylinders – Design, construction and testing – Part 4: Fully wrapped fibre reinforced composite gas cylinders up to 150 l with load-sharing welded metallic liners</w:t>
      </w:r>
      <w:r w:rsidR="00C84A21">
        <w:t>.</w:t>
      </w:r>
    </w:p>
    <w:p w:rsidR="00C42B3C" w:rsidRPr="007B2B1F" w:rsidRDefault="00005F27" w:rsidP="00005F27">
      <w:pPr>
        <w:pStyle w:val="Default"/>
        <w:spacing w:after="120"/>
        <w:ind w:left="1701" w:right="113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  <w:r w:rsidR="00DE4B5B" w:rsidRPr="007B2B1F">
        <w:rPr>
          <w:sz w:val="20"/>
          <w:szCs w:val="20"/>
          <w:lang w:val="en-GB"/>
        </w:rPr>
        <w:lastRenderedPageBreak/>
        <w:t xml:space="preserve">The </w:t>
      </w:r>
      <w:r w:rsidR="00C42B3C" w:rsidRPr="007B2B1F">
        <w:rPr>
          <w:sz w:val="20"/>
          <w:szCs w:val="20"/>
          <w:lang w:val="en-GB"/>
        </w:rPr>
        <w:t xml:space="preserve">usual arrangements have been made with the Secretariat to circulate PDF copies of these documents to the experts. </w:t>
      </w:r>
    </w:p>
    <w:p w:rsidR="00021776" w:rsidRPr="007B2B1F" w:rsidRDefault="00005F27" w:rsidP="00005F27">
      <w:pPr>
        <w:pStyle w:val="HChG"/>
      </w:pPr>
      <w:r>
        <w:tab/>
      </w:r>
      <w:r>
        <w:tab/>
      </w:r>
      <w:r w:rsidR="00021776" w:rsidRPr="00005F27">
        <w:t>Proposal</w:t>
      </w:r>
      <w:r w:rsidR="00021776" w:rsidRPr="007B2B1F">
        <w:t xml:space="preserve"> 1</w:t>
      </w:r>
    </w:p>
    <w:p w:rsidR="009730AF" w:rsidRPr="007B2B1F" w:rsidRDefault="00B9414F" w:rsidP="003461FF">
      <w:pPr>
        <w:pStyle w:val="SingleTxtG"/>
        <w:rPr>
          <w:i/>
        </w:rPr>
      </w:pPr>
      <w:r w:rsidRPr="007B2B1F">
        <w:t>2</w:t>
      </w:r>
      <w:r w:rsidR="0029750B" w:rsidRPr="007B2B1F">
        <w:t>.</w:t>
      </w:r>
      <w:r w:rsidR="0029750B" w:rsidRPr="007B2B1F">
        <w:tab/>
      </w:r>
      <w:r w:rsidR="00005F27">
        <w:t>Replace “</w:t>
      </w:r>
      <w:r w:rsidR="009A016F">
        <w:t>ISO 11114-1:2012</w:t>
      </w:r>
      <w:r w:rsidR="00005F27">
        <w:t>”</w:t>
      </w:r>
      <w:r w:rsidR="009A016F">
        <w:t xml:space="preserve"> </w:t>
      </w:r>
      <w:r w:rsidR="001A354A">
        <w:t>by</w:t>
      </w:r>
      <w:r w:rsidR="00005F27">
        <w:t xml:space="preserve"> “</w:t>
      </w:r>
      <w:r w:rsidR="009A016F">
        <w:t xml:space="preserve">ISO 11114-1:2012 + </w:t>
      </w:r>
      <w:proofErr w:type="spellStart"/>
      <w:r w:rsidR="009A016F">
        <w:t>Amd</w:t>
      </w:r>
      <w:proofErr w:type="spellEnd"/>
      <w:r w:rsidR="009A016F">
        <w:t xml:space="preserve"> 1:2017</w:t>
      </w:r>
      <w:r w:rsidR="00005F27">
        <w:t>”</w:t>
      </w:r>
      <w:r w:rsidR="009A016F">
        <w:t xml:space="preserve"> in the following places: 3.3.1 SP 379 (d) (</w:t>
      </w:r>
      <w:proofErr w:type="spellStart"/>
      <w:r w:rsidR="009A016F">
        <w:t>i</w:t>
      </w:r>
      <w:proofErr w:type="spellEnd"/>
      <w:r w:rsidR="009A016F">
        <w:t>), 4.1.6.1.2, 6.2.2.2</w:t>
      </w:r>
      <w:r w:rsidR="00274EB4">
        <w:t xml:space="preserve"> and 6.7.5.2.4 (a)</w:t>
      </w:r>
      <w:r w:rsidR="00183C52">
        <w:t>.</w:t>
      </w:r>
    </w:p>
    <w:p w:rsidR="00BC38BF" w:rsidRPr="007B2B1F" w:rsidRDefault="00C401DB" w:rsidP="00613196">
      <w:pPr>
        <w:pStyle w:val="HChG"/>
        <w:ind w:left="2268"/>
      </w:pPr>
      <w:r>
        <w:t>Justification for p</w:t>
      </w:r>
      <w:r w:rsidR="00BC38BF" w:rsidRPr="007B2B1F">
        <w:t xml:space="preserve">roposal </w:t>
      </w:r>
      <w:r w:rsidR="00B9414F" w:rsidRPr="007B2B1F">
        <w:t>1</w:t>
      </w:r>
    </w:p>
    <w:p w:rsidR="00EB2884" w:rsidRPr="007B2B1F" w:rsidRDefault="00B9414F" w:rsidP="00EB2884">
      <w:pPr>
        <w:pStyle w:val="SingleTxtG"/>
      </w:pPr>
      <w:r w:rsidRPr="007B2B1F">
        <w:t>3</w:t>
      </w:r>
      <w:r w:rsidR="00FC7CF8" w:rsidRPr="007B2B1F">
        <w:t>.</w:t>
      </w:r>
      <w:r w:rsidR="00FC7CF8" w:rsidRPr="007B2B1F">
        <w:tab/>
      </w:r>
      <w:r w:rsidR="00274EB4">
        <w:t>The principal content of this amendment gives more explicit instructions on the permissible concentrations of gases containing halogens</w:t>
      </w:r>
      <w:r w:rsidR="008B5DF2">
        <w:t xml:space="preserve"> in aluminium cylinders</w:t>
      </w:r>
      <w:r w:rsidR="00274EB4">
        <w:t xml:space="preserve">.  Requirements for </w:t>
      </w:r>
      <w:r w:rsidR="008B5DF2">
        <w:t>butylene, hydrogen cyanide, hydrogen sulphide and nitric oxide</w:t>
      </w:r>
      <w:r w:rsidR="00274EB4">
        <w:t xml:space="preserve"> are </w:t>
      </w:r>
      <w:r w:rsidR="008B5DF2">
        <w:t xml:space="preserve">also </w:t>
      </w:r>
      <w:r w:rsidR="00274EB4">
        <w:t>amended</w:t>
      </w:r>
      <w:r w:rsidR="008B5DF2">
        <w:t>.</w:t>
      </w:r>
    </w:p>
    <w:p w:rsidR="00AE4A41" w:rsidRDefault="00005F27" w:rsidP="00005F27">
      <w:pPr>
        <w:pStyle w:val="HChG"/>
      </w:pPr>
      <w:r>
        <w:tab/>
      </w:r>
      <w:r>
        <w:tab/>
      </w:r>
      <w:r w:rsidR="00AE4A41" w:rsidRPr="007B2B1F">
        <w:t>Proposal</w:t>
      </w:r>
      <w:r w:rsidR="006C4652" w:rsidRPr="007B2B1F">
        <w:t xml:space="preserve"> </w:t>
      </w:r>
      <w:r w:rsidR="00B9414F" w:rsidRPr="007B2B1F">
        <w:t>2</w:t>
      </w:r>
    </w:p>
    <w:p w:rsidR="00F61ACB" w:rsidRPr="00F61ACB" w:rsidRDefault="00F74D57" w:rsidP="00005F27">
      <w:pPr>
        <w:pStyle w:val="SingleTxtG"/>
      </w:pPr>
      <w:r>
        <w:t>4.</w:t>
      </w:r>
      <w:r>
        <w:tab/>
      </w:r>
      <w:r w:rsidR="00720D0C">
        <w:t xml:space="preserve">In </w:t>
      </w:r>
      <w:r w:rsidR="00F61ACB">
        <w:t xml:space="preserve">the second sentence of the penultimate </w:t>
      </w:r>
      <w:r w:rsidR="00005F27">
        <w:t xml:space="preserve">paragraph of 4.1.6.1.2 replace </w:t>
      </w:r>
      <w:r w:rsidR="007D34AD">
        <w:br/>
      </w:r>
      <w:r w:rsidR="00005F27">
        <w:t>“</w:t>
      </w:r>
      <w:r w:rsidR="00F61ACB">
        <w:t xml:space="preserve">… requirements of annex A of ISO 10297:2006 or annex A </w:t>
      </w:r>
      <w:r w:rsidR="00005F27">
        <w:t>of ISO 10297:2014 shall be met.”</w:t>
      </w:r>
      <w:r w:rsidR="00F61ACB">
        <w:t xml:space="preserve"> </w:t>
      </w:r>
      <w:r w:rsidR="001A354A">
        <w:t>by</w:t>
      </w:r>
      <w:r w:rsidR="00005F27">
        <w:t xml:space="preserve"> “</w:t>
      </w:r>
      <w:r w:rsidR="00F61ACB">
        <w:t xml:space="preserve">… requirements of annex A of ISO 10297:2006, annex A of ISO 10297:2014 or annex A of ISO 10297 + </w:t>
      </w:r>
      <w:proofErr w:type="spellStart"/>
      <w:r w:rsidR="00F61ACB">
        <w:t>Amd</w:t>
      </w:r>
      <w:proofErr w:type="spellEnd"/>
      <w:r w:rsidR="00F61ACB">
        <w:t xml:space="preserve"> 1:2017 </w:t>
      </w:r>
      <w:r w:rsidR="001A354A">
        <w:t xml:space="preserve">shall be </w:t>
      </w:r>
      <w:r w:rsidR="00005F27">
        <w:t>met.”</w:t>
      </w:r>
      <w:r w:rsidR="00F61ACB">
        <w:t xml:space="preserve">. </w:t>
      </w:r>
    </w:p>
    <w:p w:rsidR="003E7B83" w:rsidRDefault="00791733" w:rsidP="00005F27">
      <w:pPr>
        <w:pStyle w:val="SingleTxtG"/>
      </w:pPr>
      <w:r>
        <w:t>5.</w:t>
      </w:r>
      <w:r>
        <w:tab/>
      </w:r>
      <w:r w:rsidR="00F61ACB">
        <w:t>In 6.2.2.3</w:t>
      </w:r>
      <w:r w:rsidR="001A354A">
        <w:t>,</w:t>
      </w:r>
      <w:r w:rsidR="00F61ACB">
        <w:t xml:space="preserve"> </w:t>
      </w:r>
      <w:r w:rsidR="001A354A">
        <w:t>in the first table for ISO 10297:2014 in the column “Applicable for manufacture”, replace “Until further notice” by “Until 31 December 2022”.</w:t>
      </w:r>
    </w:p>
    <w:p w:rsidR="001A354A" w:rsidRDefault="00791733" w:rsidP="00005F27">
      <w:pPr>
        <w:pStyle w:val="SingleTxtG"/>
      </w:pPr>
      <w:r>
        <w:t>6.</w:t>
      </w:r>
      <w:r>
        <w:tab/>
      </w:r>
      <w:r w:rsidR="001A354A">
        <w:t>After the row for ISO 10297:2014 insert the following new row.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1842"/>
      </w:tblGrid>
      <w:tr w:rsidR="003E7B83" w:rsidTr="006C1296">
        <w:tc>
          <w:tcPr>
            <w:tcW w:w="1668" w:type="dxa"/>
            <w:shd w:val="clear" w:color="auto" w:fill="auto"/>
          </w:tcPr>
          <w:p w:rsidR="003E7B83" w:rsidRDefault="001A354A" w:rsidP="00720D0C">
            <w:r>
              <w:t xml:space="preserve">ISO 10297:2014 + </w:t>
            </w:r>
            <w:proofErr w:type="spellStart"/>
            <w:r>
              <w:t>Amd</w:t>
            </w:r>
            <w:proofErr w:type="spellEnd"/>
            <w:r>
              <w:t xml:space="preserve"> 1:2017</w:t>
            </w:r>
          </w:p>
        </w:tc>
        <w:tc>
          <w:tcPr>
            <w:tcW w:w="3969" w:type="dxa"/>
            <w:shd w:val="clear" w:color="auto" w:fill="auto"/>
          </w:tcPr>
          <w:p w:rsidR="003E7B83" w:rsidRDefault="001A354A" w:rsidP="001A354A">
            <w:pPr>
              <w:jc w:val="both"/>
            </w:pPr>
            <w:r w:rsidRPr="001A354A">
              <w:t>Gas cylinders – Cylinder valves – Specification and type testing;</w:t>
            </w:r>
          </w:p>
        </w:tc>
        <w:tc>
          <w:tcPr>
            <w:tcW w:w="1842" w:type="dxa"/>
            <w:shd w:val="clear" w:color="auto" w:fill="auto"/>
          </w:tcPr>
          <w:p w:rsidR="003E7B83" w:rsidRDefault="003E7B83" w:rsidP="00720D0C">
            <w:r>
              <w:t>Until further notice</w:t>
            </w:r>
          </w:p>
        </w:tc>
      </w:tr>
    </w:tbl>
    <w:p w:rsidR="003E7B83" w:rsidRDefault="00005F27" w:rsidP="00005F27">
      <w:pPr>
        <w:pStyle w:val="HChG"/>
      </w:pPr>
      <w:r>
        <w:tab/>
      </w:r>
      <w:r>
        <w:tab/>
      </w:r>
      <w:r w:rsidR="003E7B83">
        <w:t xml:space="preserve">Justification for </w:t>
      </w:r>
      <w:r w:rsidR="003E7B83" w:rsidRPr="00005F27">
        <w:t>proposal</w:t>
      </w:r>
      <w:r w:rsidR="003E7B83">
        <w:t xml:space="preserve"> 2</w:t>
      </w:r>
    </w:p>
    <w:p w:rsidR="003E7B83" w:rsidRDefault="00791733" w:rsidP="00005F27">
      <w:pPr>
        <w:pStyle w:val="SingleTxtG"/>
      </w:pPr>
      <w:r>
        <w:t>7</w:t>
      </w:r>
      <w:r w:rsidR="00F74D57">
        <w:t>.</w:t>
      </w:r>
      <w:r w:rsidR="00F74D57">
        <w:tab/>
      </w:r>
      <w:r w:rsidR="003E7B83">
        <w:t xml:space="preserve">This </w:t>
      </w:r>
      <w:r w:rsidR="00AE0FDA" w:rsidRPr="00005F27">
        <w:t>essential</w:t>
      </w:r>
      <w:r w:rsidR="00AE0FDA">
        <w:t xml:space="preserve"> purpose of this </w:t>
      </w:r>
      <w:r w:rsidR="00A14A62">
        <w:t>amendment</w:t>
      </w:r>
      <w:r w:rsidR="00AE0FDA">
        <w:t xml:space="preserve"> was to modify</w:t>
      </w:r>
      <w:r w:rsidR="00A14A62">
        <w:t xml:space="preserve"> the standard to include valves for tubes and pressure drums</w:t>
      </w:r>
      <w:r w:rsidR="003E7B83">
        <w:t>.</w:t>
      </w:r>
      <w:r w:rsidR="00A14A62">
        <w:t xml:space="preserve">  It also corrects some mis</w:t>
      </w:r>
      <w:r w:rsidR="00AE0FDA">
        <w:t>takes in the 2014 version.</w:t>
      </w:r>
      <w:r w:rsidR="003E7B83">
        <w:t xml:space="preserve"> </w:t>
      </w:r>
    </w:p>
    <w:p w:rsidR="00720D0C" w:rsidRPr="00720D0C" w:rsidRDefault="00005F27" w:rsidP="00005F27">
      <w:pPr>
        <w:pStyle w:val="HChG"/>
      </w:pPr>
      <w:r>
        <w:tab/>
      </w:r>
      <w:r>
        <w:tab/>
      </w:r>
      <w:r w:rsidR="00720D0C" w:rsidRPr="00005F27">
        <w:t>Proposal</w:t>
      </w:r>
      <w:r w:rsidR="00720D0C" w:rsidRPr="00720D0C">
        <w:t xml:space="preserve"> 3</w:t>
      </w:r>
    </w:p>
    <w:p w:rsidR="006C4652" w:rsidRDefault="00791733" w:rsidP="00005F27">
      <w:pPr>
        <w:pStyle w:val="SingleTxtG"/>
      </w:pPr>
      <w:r>
        <w:t>8</w:t>
      </w:r>
      <w:r w:rsidR="006F0DDB" w:rsidRPr="007B2B1F">
        <w:t>.</w:t>
      </w:r>
      <w:r w:rsidR="006F0DDB" w:rsidRPr="007B2B1F">
        <w:tab/>
      </w:r>
      <w:r w:rsidR="006D3E0B">
        <w:t xml:space="preserve">In 4.1.4.1 P200 (4) replace </w:t>
      </w:r>
      <w:r w:rsidR="00AE0FDA">
        <w:t xml:space="preserve">the reference </w:t>
      </w:r>
      <w:r w:rsidR="006D3E0B">
        <w:t xml:space="preserve">on the last line </w:t>
      </w:r>
      <w:r w:rsidR="00AE0FDA">
        <w:t>to ‘ISO 24431:2006 Gas cylinders – Cylinders for compressed and liquefied gases (excluding acetylene) – Inspection at time of filling’ by ‘</w:t>
      </w:r>
      <w:r w:rsidR="00AE0FDA">
        <w:rPr>
          <w:color w:val="000000"/>
        </w:rPr>
        <w:t xml:space="preserve">ISO 24431:2106 </w:t>
      </w:r>
      <w:r w:rsidR="00AE0FDA">
        <w:t xml:space="preserve">Gas cylinders – Seamless, welded and composite cylinders for compressed and liquefied gases (excluding acetylene) – Inspection at time of filling’.   </w:t>
      </w:r>
    </w:p>
    <w:p w:rsidR="004E5A51" w:rsidRPr="007B2B1F" w:rsidRDefault="00C401DB" w:rsidP="004E5A51">
      <w:pPr>
        <w:pStyle w:val="HChG"/>
      </w:pPr>
      <w:r>
        <w:tab/>
      </w:r>
      <w:r>
        <w:tab/>
        <w:t>Justification for p</w:t>
      </w:r>
      <w:r w:rsidR="004E5A51" w:rsidRPr="007B2B1F">
        <w:t xml:space="preserve">roposal </w:t>
      </w:r>
      <w:r w:rsidR="00F74D57">
        <w:t>3</w:t>
      </w:r>
    </w:p>
    <w:p w:rsidR="005360FB" w:rsidRPr="007B2B1F" w:rsidRDefault="00791733" w:rsidP="00005F27">
      <w:pPr>
        <w:pStyle w:val="SingleTxtG"/>
      </w:pPr>
      <w:r>
        <w:t>9</w:t>
      </w:r>
      <w:r w:rsidR="004E5A51" w:rsidRPr="007B2B1F">
        <w:t>.</w:t>
      </w:r>
      <w:r w:rsidR="004E5A51" w:rsidRPr="007B2B1F">
        <w:tab/>
      </w:r>
      <w:r w:rsidR="006D3E0B">
        <w:rPr>
          <w:lang w:val="en-US"/>
        </w:rPr>
        <w:t>This edition has</w:t>
      </w:r>
      <w:r w:rsidR="00AA6F5C">
        <w:rPr>
          <w:lang w:val="en-US"/>
        </w:rPr>
        <w:t xml:space="preserve"> been restructured and its scope has been extended to include </w:t>
      </w:r>
      <w:r w:rsidR="006D3E0B">
        <w:rPr>
          <w:lang w:val="en-US"/>
        </w:rPr>
        <w:t xml:space="preserve">provisions for the inspection before, </w:t>
      </w:r>
      <w:r w:rsidR="006D3E0B">
        <w:rPr>
          <w:rFonts w:ascii="Ä_¯ø˜qÂ" w:hAnsi="Ä_¯ø˜qÂ" w:cs="Ä_¯ø˜qÂ"/>
          <w:lang w:val="en-US"/>
        </w:rPr>
        <w:t>during and after filling of composite cylinders (Types 2 to 5 inclusive).</w:t>
      </w:r>
      <w:r w:rsidR="006D3E0B">
        <w:t xml:space="preserve"> </w:t>
      </w:r>
    </w:p>
    <w:p w:rsidR="006D3E0B" w:rsidRDefault="006D3E0B" w:rsidP="006D3E0B">
      <w:pPr>
        <w:pStyle w:val="HChG"/>
        <w:ind w:left="2268"/>
      </w:pPr>
      <w:r w:rsidRPr="00720D0C">
        <w:lastRenderedPageBreak/>
        <w:t xml:space="preserve">Proposal </w:t>
      </w:r>
      <w:r>
        <w:t>4</w:t>
      </w:r>
    </w:p>
    <w:p w:rsidR="006D3E0B" w:rsidRDefault="00791733" w:rsidP="00791733">
      <w:pPr>
        <w:pStyle w:val="SingleTxtG"/>
      </w:pPr>
      <w:r>
        <w:t>10</w:t>
      </w:r>
      <w:r w:rsidR="006D3E0B">
        <w:t>.</w:t>
      </w:r>
      <w:r w:rsidR="00C84A21">
        <w:tab/>
      </w:r>
      <w:r w:rsidR="00FC6BBC">
        <w:t>In 6.2.2.1.1 a</w:t>
      </w:r>
      <w:r w:rsidR="00C84A21">
        <w:t xml:space="preserve">dd </w:t>
      </w:r>
      <w:proofErr w:type="gramStart"/>
      <w:r w:rsidR="00C84A21">
        <w:t>a the</w:t>
      </w:r>
      <w:proofErr w:type="gramEnd"/>
      <w:r w:rsidR="00C84A21">
        <w:t xml:space="preserve"> following new row to the end of the table (after ISO 11119-3:2013):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1275"/>
      </w:tblGrid>
      <w:tr w:rsidR="00C84A21" w:rsidRPr="00AA6F5C" w:rsidTr="00AA6F5C">
        <w:tc>
          <w:tcPr>
            <w:tcW w:w="1384" w:type="dxa"/>
            <w:shd w:val="clear" w:color="auto" w:fill="auto"/>
          </w:tcPr>
          <w:p w:rsidR="00C84A21" w:rsidRPr="00AA6F5C" w:rsidRDefault="00C84A21" w:rsidP="00AA6F5C">
            <w:r w:rsidRPr="00AA6F5C">
              <w:t xml:space="preserve">ISO 11119-4:2016 </w:t>
            </w:r>
          </w:p>
        </w:tc>
        <w:tc>
          <w:tcPr>
            <w:tcW w:w="4820" w:type="dxa"/>
            <w:shd w:val="clear" w:color="auto" w:fill="auto"/>
          </w:tcPr>
          <w:p w:rsidR="00C84A21" w:rsidRPr="00AA6F5C" w:rsidRDefault="00C84A21" w:rsidP="00AA6F5C">
            <w:r w:rsidRPr="00AA6F5C">
              <w:t>Gas cylinders – Refillable composite gas cylinders – Design, construction and testing – Part 4: Fully wrapped fibre reinforced composite gas cylinders up to 150 l with load-sharing welded metallic liners</w:t>
            </w:r>
          </w:p>
        </w:tc>
        <w:tc>
          <w:tcPr>
            <w:tcW w:w="1275" w:type="dxa"/>
            <w:shd w:val="clear" w:color="auto" w:fill="auto"/>
          </w:tcPr>
          <w:p w:rsidR="00C84A21" w:rsidRPr="00AA6F5C" w:rsidRDefault="00C84A21" w:rsidP="00AA6F5C">
            <w:r w:rsidRPr="00AA6F5C">
              <w:t>Until further notice</w:t>
            </w:r>
          </w:p>
        </w:tc>
      </w:tr>
    </w:tbl>
    <w:p w:rsidR="00C84A21" w:rsidRPr="007B2B1F" w:rsidRDefault="00C401DB" w:rsidP="00AA6F5C">
      <w:pPr>
        <w:pStyle w:val="HChG"/>
      </w:pPr>
      <w:r>
        <w:tab/>
      </w:r>
      <w:r>
        <w:tab/>
        <w:t>Justification for p</w:t>
      </w:r>
      <w:r w:rsidR="00C84A21" w:rsidRPr="007B2B1F">
        <w:t xml:space="preserve">roposal </w:t>
      </w:r>
      <w:r w:rsidR="00C84A21">
        <w:t>4</w:t>
      </w:r>
    </w:p>
    <w:p w:rsidR="00C84A21" w:rsidRDefault="00791733" w:rsidP="00791733">
      <w:pPr>
        <w:pStyle w:val="SingleTxtG"/>
      </w:pPr>
      <w:r>
        <w:t>11</w:t>
      </w:r>
      <w:r w:rsidR="00FC6BBC">
        <w:t>.</w:t>
      </w:r>
      <w:r w:rsidR="00FC6BBC">
        <w:tab/>
        <w:t>The first three</w:t>
      </w:r>
      <w:r w:rsidR="00C84A21">
        <w:t xml:space="preserve"> part</w:t>
      </w:r>
      <w:r w:rsidR="00FC6BBC">
        <w:t>s</w:t>
      </w:r>
      <w:r w:rsidR="00C84A21">
        <w:t xml:space="preserve"> of the ISO 11119 series </w:t>
      </w:r>
      <w:r w:rsidR="00FC6BBC">
        <w:t xml:space="preserve">cover </w:t>
      </w:r>
      <w:r w:rsidR="00AA6F5C">
        <w:t xml:space="preserve">various designs of </w:t>
      </w:r>
      <w:r w:rsidR="00FC6BBC">
        <w:t>composite cylinders with a seamless liner.  This fourth part defines the requirements for design, construction and testing of composite cylinders with a welded metallic liner.</w:t>
      </w:r>
    </w:p>
    <w:p w:rsidR="00791733" w:rsidRPr="00791733" w:rsidRDefault="00791733" w:rsidP="007917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733" w:rsidRDefault="00791733" w:rsidP="00791733">
      <w:pPr>
        <w:pStyle w:val="SingleTxtG"/>
      </w:pPr>
    </w:p>
    <w:sectPr w:rsidR="00791733" w:rsidSect="00181506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17" w:rsidRDefault="00AA3817"/>
  </w:endnote>
  <w:endnote w:type="continuationSeparator" w:id="0">
    <w:p w:rsidR="00AA3817" w:rsidRDefault="00AA3817"/>
  </w:endnote>
  <w:endnote w:type="continuationNotice" w:id="1">
    <w:p w:rsidR="00AA3817" w:rsidRDefault="00AA3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Ä_¯ø˜q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5C" w:rsidRPr="009D2A5B" w:rsidRDefault="00AA6F5C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67AE9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5C" w:rsidRPr="009D2A5B" w:rsidRDefault="00AA6F5C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67AE9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17" w:rsidRPr="000B175B" w:rsidRDefault="00AA38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3817" w:rsidRPr="00FC68B7" w:rsidRDefault="00AA38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3817" w:rsidRDefault="00AA3817"/>
  </w:footnote>
  <w:footnote w:id="2">
    <w:p w:rsidR="00005F27" w:rsidRPr="00005F27" w:rsidRDefault="00005F27" w:rsidP="00005F27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Pr="00315AE7">
        <w:rPr>
          <w:szCs w:val="18"/>
        </w:rPr>
        <w:t>In accordance with the programme of wo</w:t>
      </w:r>
      <w:r>
        <w:rPr>
          <w:szCs w:val="18"/>
        </w:rPr>
        <w:t>rk of the Sub-Committee for 2017–2018</w:t>
      </w:r>
      <w:r w:rsidRPr="00315AE7">
        <w:rPr>
          <w:szCs w:val="18"/>
        </w:rPr>
        <w:t xml:space="preserve"> approved by the Committee at its eighth session (see ST/SG/AC.10/C.3/100, paragraph 98 and ST/SG/AC.10/44, para</w:t>
      </w:r>
      <w:r w:rsidR="00C401DB">
        <w:rPr>
          <w:szCs w:val="18"/>
          <w:lang w:val="fr-CH"/>
        </w:rPr>
        <w:t>graph</w:t>
      </w:r>
      <w:r w:rsidRPr="00315AE7">
        <w:rPr>
          <w:szCs w:val="18"/>
        </w:rPr>
        <w:t xml:space="preserve"> 14).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5C" w:rsidRPr="00023445" w:rsidRDefault="00AA6F5C" w:rsidP="00023445">
    <w:pPr>
      <w:pStyle w:val="Header"/>
      <w:rPr>
        <w:szCs w:val="18"/>
      </w:rPr>
    </w:pPr>
    <w:r w:rsidRPr="00023445">
      <w:rPr>
        <w:szCs w:val="18"/>
      </w:rPr>
      <w:t>S</w:t>
    </w:r>
    <w:r w:rsidR="00005F27">
      <w:rPr>
        <w:szCs w:val="18"/>
      </w:rPr>
      <w:t>T/SG/AC.10/C.3/2017/17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5C" w:rsidRPr="00023445" w:rsidRDefault="00AA6F5C" w:rsidP="00023445">
    <w:pPr>
      <w:pStyle w:val="Header"/>
      <w:jc w:val="right"/>
      <w:rPr>
        <w:szCs w:val="18"/>
      </w:rPr>
    </w:pPr>
    <w:r w:rsidRPr="00023445">
      <w:rPr>
        <w:szCs w:val="18"/>
      </w:rPr>
      <w:t>ST</w:t>
    </w:r>
    <w:r w:rsidR="00791733">
      <w:rPr>
        <w:szCs w:val="18"/>
      </w:rPr>
      <w:t>/SG/AC.10/C.3/2017/17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36F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3C5898"/>
    <w:multiLevelType w:val="hybridMultilevel"/>
    <w:tmpl w:val="46CA02C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AC37C2"/>
    <w:multiLevelType w:val="hybridMultilevel"/>
    <w:tmpl w:val="26AE62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40A41"/>
    <w:multiLevelType w:val="hybridMultilevel"/>
    <w:tmpl w:val="07CC6F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954A9"/>
    <w:multiLevelType w:val="hybridMultilevel"/>
    <w:tmpl w:val="3C5285A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0704973"/>
    <w:multiLevelType w:val="hybridMultilevel"/>
    <w:tmpl w:val="2BE8D6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21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13"/>
  </w:num>
  <w:num w:numId="22">
    <w:abstractNumId w:val="20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51"/>
    <w:rsid w:val="00004041"/>
    <w:rsid w:val="00005F27"/>
    <w:rsid w:val="000062D2"/>
    <w:rsid w:val="00007271"/>
    <w:rsid w:val="00021776"/>
    <w:rsid w:val="00023445"/>
    <w:rsid w:val="000274B3"/>
    <w:rsid w:val="00030391"/>
    <w:rsid w:val="000313B9"/>
    <w:rsid w:val="00037350"/>
    <w:rsid w:val="00037C49"/>
    <w:rsid w:val="00037F90"/>
    <w:rsid w:val="00046B1F"/>
    <w:rsid w:val="00050F6B"/>
    <w:rsid w:val="00051986"/>
    <w:rsid w:val="00051B9C"/>
    <w:rsid w:val="00057447"/>
    <w:rsid w:val="00057E97"/>
    <w:rsid w:val="00066DF5"/>
    <w:rsid w:val="0006793E"/>
    <w:rsid w:val="00072C8C"/>
    <w:rsid w:val="000733B5"/>
    <w:rsid w:val="00077628"/>
    <w:rsid w:val="00081815"/>
    <w:rsid w:val="0009003C"/>
    <w:rsid w:val="000931C0"/>
    <w:rsid w:val="000B0595"/>
    <w:rsid w:val="000B175B"/>
    <w:rsid w:val="000B3A0F"/>
    <w:rsid w:val="000B4EF7"/>
    <w:rsid w:val="000B57A4"/>
    <w:rsid w:val="000B75BF"/>
    <w:rsid w:val="000C15A9"/>
    <w:rsid w:val="000C2C03"/>
    <w:rsid w:val="000C2D2E"/>
    <w:rsid w:val="000C4D51"/>
    <w:rsid w:val="000C5384"/>
    <w:rsid w:val="000E0415"/>
    <w:rsid w:val="000E47CA"/>
    <w:rsid w:val="000F3402"/>
    <w:rsid w:val="00107320"/>
    <w:rsid w:val="001103AA"/>
    <w:rsid w:val="00112D01"/>
    <w:rsid w:val="0011666B"/>
    <w:rsid w:val="00117D3E"/>
    <w:rsid w:val="00121DE7"/>
    <w:rsid w:val="001234B8"/>
    <w:rsid w:val="00124839"/>
    <w:rsid w:val="001275B3"/>
    <w:rsid w:val="001370F8"/>
    <w:rsid w:val="00153694"/>
    <w:rsid w:val="00154A06"/>
    <w:rsid w:val="00155068"/>
    <w:rsid w:val="00160E58"/>
    <w:rsid w:val="00165F3A"/>
    <w:rsid w:val="00181506"/>
    <w:rsid w:val="00183C52"/>
    <w:rsid w:val="00197FE9"/>
    <w:rsid w:val="001A354A"/>
    <w:rsid w:val="001B13A5"/>
    <w:rsid w:val="001B4B04"/>
    <w:rsid w:val="001C6663"/>
    <w:rsid w:val="001C7895"/>
    <w:rsid w:val="001C7C7A"/>
    <w:rsid w:val="001D0C8C"/>
    <w:rsid w:val="001D1419"/>
    <w:rsid w:val="001D26DF"/>
    <w:rsid w:val="001D3A03"/>
    <w:rsid w:val="001D7F46"/>
    <w:rsid w:val="001E0B9E"/>
    <w:rsid w:val="001E7B67"/>
    <w:rsid w:val="001F21BB"/>
    <w:rsid w:val="001F602E"/>
    <w:rsid w:val="001F7435"/>
    <w:rsid w:val="00202CD0"/>
    <w:rsid w:val="00202DA8"/>
    <w:rsid w:val="0021157B"/>
    <w:rsid w:val="00211E0B"/>
    <w:rsid w:val="00231BA1"/>
    <w:rsid w:val="00234C80"/>
    <w:rsid w:val="0025047F"/>
    <w:rsid w:val="00260C8D"/>
    <w:rsid w:val="002653E7"/>
    <w:rsid w:val="00267F5F"/>
    <w:rsid w:val="00274EB4"/>
    <w:rsid w:val="00282200"/>
    <w:rsid w:val="00286B4D"/>
    <w:rsid w:val="0029049E"/>
    <w:rsid w:val="0029750B"/>
    <w:rsid w:val="00297EA8"/>
    <w:rsid w:val="002A4361"/>
    <w:rsid w:val="002A603B"/>
    <w:rsid w:val="002A6B8F"/>
    <w:rsid w:val="002C18EF"/>
    <w:rsid w:val="002D4643"/>
    <w:rsid w:val="002D4B6C"/>
    <w:rsid w:val="002E09CE"/>
    <w:rsid w:val="002F175C"/>
    <w:rsid w:val="00302E18"/>
    <w:rsid w:val="0030721A"/>
    <w:rsid w:val="00307AB6"/>
    <w:rsid w:val="00320B22"/>
    <w:rsid w:val="003229D8"/>
    <w:rsid w:val="0034446B"/>
    <w:rsid w:val="003453B6"/>
    <w:rsid w:val="003461FF"/>
    <w:rsid w:val="00347DDB"/>
    <w:rsid w:val="00350DA4"/>
    <w:rsid w:val="00352709"/>
    <w:rsid w:val="00363336"/>
    <w:rsid w:val="00371178"/>
    <w:rsid w:val="00383179"/>
    <w:rsid w:val="00392301"/>
    <w:rsid w:val="003927BA"/>
    <w:rsid w:val="00392DE1"/>
    <w:rsid w:val="003A6810"/>
    <w:rsid w:val="003B1CA9"/>
    <w:rsid w:val="003B5F03"/>
    <w:rsid w:val="003C2CC4"/>
    <w:rsid w:val="003D4B23"/>
    <w:rsid w:val="003E312F"/>
    <w:rsid w:val="003E3D8A"/>
    <w:rsid w:val="003E7B83"/>
    <w:rsid w:val="00407087"/>
    <w:rsid w:val="00410C89"/>
    <w:rsid w:val="00422E03"/>
    <w:rsid w:val="00425DBB"/>
    <w:rsid w:val="00426B9B"/>
    <w:rsid w:val="004325CB"/>
    <w:rsid w:val="0043402F"/>
    <w:rsid w:val="00442A83"/>
    <w:rsid w:val="0045413A"/>
    <w:rsid w:val="0045495B"/>
    <w:rsid w:val="0048397A"/>
    <w:rsid w:val="004A0E10"/>
    <w:rsid w:val="004A12F2"/>
    <w:rsid w:val="004B4482"/>
    <w:rsid w:val="004B64EB"/>
    <w:rsid w:val="004C2461"/>
    <w:rsid w:val="004C333F"/>
    <w:rsid w:val="004C40B9"/>
    <w:rsid w:val="004C4EE9"/>
    <w:rsid w:val="004C7462"/>
    <w:rsid w:val="004D4E04"/>
    <w:rsid w:val="004D5426"/>
    <w:rsid w:val="004D5ABD"/>
    <w:rsid w:val="004D7E81"/>
    <w:rsid w:val="004E0C05"/>
    <w:rsid w:val="004E5A51"/>
    <w:rsid w:val="004E77B2"/>
    <w:rsid w:val="004F2670"/>
    <w:rsid w:val="00503DEB"/>
    <w:rsid w:val="00504B2D"/>
    <w:rsid w:val="0052136D"/>
    <w:rsid w:val="00522B58"/>
    <w:rsid w:val="0052775E"/>
    <w:rsid w:val="00527D3F"/>
    <w:rsid w:val="00533623"/>
    <w:rsid w:val="00535C90"/>
    <w:rsid w:val="005360FB"/>
    <w:rsid w:val="005413FA"/>
    <w:rsid w:val="005420F2"/>
    <w:rsid w:val="00544E1B"/>
    <w:rsid w:val="00546993"/>
    <w:rsid w:val="00552A39"/>
    <w:rsid w:val="00560D99"/>
    <w:rsid w:val="005628B6"/>
    <w:rsid w:val="00591D40"/>
    <w:rsid w:val="005A575C"/>
    <w:rsid w:val="005B3DB3"/>
    <w:rsid w:val="005B4E13"/>
    <w:rsid w:val="005B6F4B"/>
    <w:rsid w:val="005C6FBC"/>
    <w:rsid w:val="005D2D66"/>
    <w:rsid w:val="005D4BE6"/>
    <w:rsid w:val="005D68F4"/>
    <w:rsid w:val="005E6A77"/>
    <w:rsid w:val="005F6DF9"/>
    <w:rsid w:val="005F7B75"/>
    <w:rsid w:val="006001EE"/>
    <w:rsid w:val="00605042"/>
    <w:rsid w:val="00605B54"/>
    <w:rsid w:val="00611232"/>
    <w:rsid w:val="00611681"/>
    <w:rsid w:val="00611FC4"/>
    <w:rsid w:val="00613196"/>
    <w:rsid w:val="006174F9"/>
    <w:rsid w:val="006176FB"/>
    <w:rsid w:val="00621BDE"/>
    <w:rsid w:val="00622024"/>
    <w:rsid w:val="00625568"/>
    <w:rsid w:val="00640B26"/>
    <w:rsid w:val="00652D0A"/>
    <w:rsid w:val="006623D5"/>
    <w:rsid w:val="00662BB6"/>
    <w:rsid w:val="00667F8F"/>
    <w:rsid w:val="00682C07"/>
    <w:rsid w:val="00684C21"/>
    <w:rsid w:val="006A155E"/>
    <w:rsid w:val="006A2530"/>
    <w:rsid w:val="006B5767"/>
    <w:rsid w:val="006C1296"/>
    <w:rsid w:val="006C3589"/>
    <w:rsid w:val="006C4652"/>
    <w:rsid w:val="006C5451"/>
    <w:rsid w:val="006C779F"/>
    <w:rsid w:val="006D37AF"/>
    <w:rsid w:val="006D3E0B"/>
    <w:rsid w:val="006D51D0"/>
    <w:rsid w:val="006E564B"/>
    <w:rsid w:val="006E638E"/>
    <w:rsid w:val="006E7191"/>
    <w:rsid w:val="006F01EF"/>
    <w:rsid w:val="006F0DDB"/>
    <w:rsid w:val="00700EE8"/>
    <w:rsid w:val="00703577"/>
    <w:rsid w:val="00705894"/>
    <w:rsid w:val="00715700"/>
    <w:rsid w:val="00720D0C"/>
    <w:rsid w:val="0072632A"/>
    <w:rsid w:val="00731FF0"/>
    <w:rsid w:val="007327D5"/>
    <w:rsid w:val="00741709"/>
    <w:rsid w:val="007429B8"/>
    <w:rsid w:val="007567AF"/>
    <w:rsid w:val="007611CF"/>
    <w:rsid w:val="007629C8"/>
    <w:rsid w:val="007642A4"/>
    <w:rsid w:val="0077047D"/>
    <w:rsid w:val="00786E2F"/>
    <w:rsid w:val="00791733"/>
    <w:rsid w:val="007B2B1F"/>
    <w:rsid w:val="007B6BA5"/>
    <w:rsid w:val="007C3390"/>
    <w:rsid w:val="007C4F4B"/>
    <w:rsid w:val="007D34AD"/>
    <w:rsid w:val="007E01E9"/>
    <w:rsid w:val="007E63F3"/>
    <w:rsid w:val="007F1888"/>
    <w:rsid w:val="007F6611"/>
    <w:rsid w:val="007F7106"/>
    <w:rsid w:val="008100FC"/>
    <w:rsid w:val="00811920"/>
    <w:rsid w:val="00815AD0"/>
    <w:rsid w:val="008242D7"/>
    <w:rsid w:val="008257B1"/>
    <w:rsid w:val="00826E9A"/>
    <w:rsid w:val="00843767"/>
    <w:rsid w:val="008458AA"/>
    <w:rsid w:val="008521A5"/>
    <w:rsid w:val="00853EBC"/>
    <w:rsid w:val="0086081B"/>
    <w:rsid w:val="0086171D"/>
    <w:rsid w:val="008679D9"/>
    <w:rsid w:val="00871389"/>
    <w:rsid w:val="00872459"/>
    <w:rsid w:val="00872DFA"/>
    <w:rsid w:val="00882E80"/>
    <w:rsid w:val="00883999"/>
    <w:rsid w:val="00885B73"/>
    <w:rsid w:val="00887899"/>
    <w:rsid w:val="008878DE"/>
    <w:rsid w:val="008912EC"/>
    <w:rsid w:val="00892603"/>
    <w:rsid w:val="008979B1"/>
    <w:rsid w:val="008A6B25"/>
    <w:rsid w:val="008A6C4F"/>
    <w:rsid w:val="008B2335"/>
    <w:rsid w:val="008B5DF2"/>
    <w:rsid w:val="008B717B"/>
    <w:rsid w:val="008D6F3C"/>
    <w:rsid w:val="008E0678"/>
    <w:rsid w:val="008E57F4"/>
    <w:rsid w:val="008F03AD"/>
    <w:rsid w:val="0090194D"/>
    <w:rsid w:val="009079FF"/>
    <w:rsid w:val="00910A62"/>
    <w:rsid w:val="009119B2"/>
    <w:rsid w:val="0091237E"/>
    <w:rsid w:val="00916E19"/>
    <w:rsid w:val="009223CA"/>
    <w:rsid w:val="00927A75"/>
    <w:rsid w:val="009321E8"/>
    <w:rsid w:val="00932F3F"/>
    <w:rsid w:val="0093509F"/>
    <w:rsid w:val="00940F93"/>
    <w:rsid w:val="0094154D"/>
    <w:rsid w:val="0094558F"/>
    <w:rsid w:val="00954711"/>
    <w:rsid w:val="009554F4"/>
    <w:rsid w:val="009603D2"/>
    <w:rsid w:val="009605B0"/>
    <w:rsid w:val="00961690"/>
    <w:rsid w:val="00962F62"/>
    <w:rsid w:val="00965EE3"/>
    <w:rsid w:val="009665DB"/>
    <w:rsid w:val="00972CFB"/>
    <w:rsid w:val="009730AF"/>
    <w:rsid w:val="009760F3"/>
    <w:rsid w:val="009839CD"/>
    <w:rsid w:val="00983C3B"/>
    <w:rsid w:val="009969E0"/>
    <w:rsid w:val="009A016F"/>
    <w:rsid w:val="009A0E8D"/>
    <w:rsid w:val="009A0F88"/>
    <w:rsid w:val="009B1518"/>
    <w:rsid w:val="009B26E7"/>
    <w:rsid w:val="009C454F"/>
    <w:rsid w:val="009D2A5B"/>
    <w:rsid w:val="009F4DE9"/>
    <w:rsid w:val="009F6A26"/>
    <w:rsid w:val="00A00A3F"/>
    <w:rsid w:val="00A01489"/>
    <w:rsid w:val="00A14A62"/>
    <w:rsid w:val="00A176A0"/>
    <w:rsid w:val="00A2573C"/>
    <w:rsid w:val="00A3009E"/>
    <w:rsid w:val="00A3026E"/>
    <w:rsid w:val="00A338F1"/>
    <w:rsid w:val="00A35910"/>
    <w:rsid w:val="00A36DE6"/>
    <w:rsid w:val="00A51C2B"/>
    <w:rsid w:val="00A658A6"/>
    <w:rsid w:val="00A72F22"/>
    <w:rsid w:val="00A7360F"/>
    <w:rsid w:val="00A748A6"/>
    <w:rsid w:val="00A74AB0"/>
    <w:rsid w:val="00A769F4"/>
    <w:rsid w:val="00A776B4"/>
    <w:rsid w:val="00A94361"/>
    <w:rsid w:val="00A9587B"/>
    <w:rsid w:val="00A97439"/>
    <w:rsid w:val="00AA293C"/>
    <w:rsid w:val="00AA3817"/>
    <w:rsid w:val="00AA4BD0"/>
    <w:rsid w:val="00AA6F5C"/>
    <w:rsid w:val="00AB1C7D"/>
    <w:rsid w:val="00AB232E"/>
    <w:rsid w:val="00AC6790"/>
    <w:rsid w:val="00AC72CA"/>
    <w:rsid w:val="00AE0FDA"/>
    <w:rsid w:val="00AE4A41"/>
    <w:rsid w:val="00AE76C0"/>
    <w:rsid w:val="00AF0E53"/>
    <w:rsid w:val="00B04B62"/>
    <w:rsid w:val="00B0538F"/>
    <w:rsid w:val="00B11BB4"/>
    <w:rsid w:val="00B22BC2"/>
    <w:rsid w:val="00B240A1"/>
    <w:rsid w:val="00B24349"/>
    <w:rsid w:val="00B30179"/>
    <w:rsid w:val="00B421C1"/>
    <w:rsid w:val="00B45128"/>
    <w:rsid w:val="00B518AA"/>
    <w:rsid w:val="00B54EAD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858B2"/>
    <w:rsid w:val="00B86014"/>
    <w:rsid w:val="00B9414F"/>
    <w:rsid w:val="00BA4ED2"/>
    <w:rsid w:val="00BB7CD1"/>
    <w:rsid w:val="00BC38BF"/>
    <w:rsid w:val="00BC3FA0"/>
    <w:rsid w:val="00BC74E9"/>
    <w:rsid w:val="00BD28B6"/>
    <w:rsid w:val="00BF68A8"/>
    <w:rsid w:val="00C00584"/>
    <w:rsid w:val="00C050DF"/>
    <w:rsid w:val="00C10FE6"/>
    <w:rsid w:val="00C11A03"/>
    <w:rsid w:val="00C14945"/>
    <w:rsid w:val="00C22C0C"/>
    <w:rsid w:val="00C37144"/>
    <w:rsid w:val="00C40026"/>
    <w:rsid w:val="00C401DB"/>
    <w:rsid w:val="00C42B3C"/>
    <w:rsid w:val="00C4527F"/>
    <w:rsid w:val="00C463DD"/>
    <w:rsid w:val="00C4724C"/>
    <w:rsid w:val="00C557D6"/>
    <w:rsid w:val="00C60319"/>
    <w:rsid w:val="00C629A0"/>
    <w:rsid w:val="00C62C07"/>
    <w:rsid w:val="00C63D2D"/>
    <w:rsid w:val="00C64629"/>
    <w:rsid w:val="00C66798"/>
    <w:rsid w:val="00C67AE9"/>
    <w:rsid w:val="00C745C3"/>
    <w:rsid w:val="00C84A21"/>
    <w:rsid w:val="00C90189"/>
    <w:rsid w:val="00CB3E03"/>
    <w:rsid w:val="00CB5F93"/>
    <w:rsid w:val="00CC1ADB"/>
    <w:rsid w:val="00CD305F"/>
    <w:rsid w:val="00CE4A8F"/>
    <w:rsid w:val="00CF559A"/>
    <w:rsid w:val="00D0663B"/>
    <w:rsid w:val="00D07D06"/>
    <w:rsid w:val="00D2031B"/>
    <w:rsid w:val="00D25FE2"/>
    <w:rsid w:val="00D43252"/>
    <w:rsid w:val="00D47EEA"/>
    <w:rsid w:val="00D550D4"/>
    <w:rsid w:val="00D669EA"/>
    <w:rsid w:val="00D66F7C"/>
    <w:rsid w:val="00D773DF"/>
    <w:rsid w:val="00D838E4"/>
    <w:rsid w:val="00D84C5B"/>
    <w:rsid w:val="00D9255F"/>
    <w:rsid w:val="00D94663"/>
    <w:rsid w:val="00D95303"/>
    <w:rsid w:val="00D978C6"/>
    <w:rsid w:val="00DA3C1C"/>
    <w:rsid w:val="00DB6229"/>
    <w:rsid w:val="00DB62C7"/>
    <w:rsid w:val="00DC179E"/>
    <w:rsid w:val="00DD6F43"/>
    <w:rsid w:val="00DE4B5B"/>
    <w:rsid w:val="00DF1772"/>
    <w:rsid w:val="00DF469C"/>
    <w:rsid w:val="00DF7EE9"/>
    <w:rsid w:val="00E0214B"/>
    <w:rsid w:val="00E046DF"/>
    <w:rsid w:val="00E15557"/>
    <w:rsid w:val="00E240D2"/>
    <w:rsid w:val="00E27346"/>
    <w:rsid w:val="00E300A7"/>
    <w:rsid w:val="00E36F73"/>
    <w:rsid w:val="00E41E29"/>
    <w:rsid w:val="00E536D3"/>
    <w:rsid w:val="00E54C9E"/>
    <w:rsid w:val="00E71132"/>
    <w:rsid w:val="00E71610"/>
    <w:rsid w:val="00E71BC8"/>
    <w:rsid w:val="00E7260F"/>
    <w:rsid w:val="00E73F5D"/>
    <w:rsid w:val="00E77E4E"/>
    <w:rsid w:val="00E86A12"/>
    <w:rsid w:val="00E96630"/>
    <w:rsid w:val="00EB2884"/>
    <w:rsid w:val="00EC106A"/>
    <w:rsid w:val="00EC22C2"/>
    <w:rsid w:val="00EC73C8"/>
    <w:rsid w:val="00ED7A2A"/>
    <w:rsid w:val="00EE10AF"/>
    <w:rsid w:val="00EE32ED"/>
    <w:rsid w:val="00EE6B3A"/>
    <w:rsid w:val="00EF1D7F"/>
    <w:rsid w:val="00F049A3"/>
    <w:rsid w:val="00F2270C"/>
    <w:rsid w:val="00F2392F"/>
    <w:rsid w:val="00F31E5F"/>
    <w:rsid w:val="00F32BB7"/>
    <w:rsid w:val="00F37110"/>
    <w:rsid w:val="00F454F0"/>
    <w:rsid w:val="00F6100A"/>
    <w:rsid w:val="00F61ACB"/>
    <w:rsid w:val="00F66565"/>
    <w:rsid w:val="00F74D57"/>
    <w:rsid w:val="00F76B2F"/>
    <w:rsid w:val="00F84187"/>
    <w:rsid w:val="00F93781"/>
    <w:rsid w:val="00FA2FE2"/>
    <w:rsid w:val="00FA7D7F"/>
    <w:rsid w:val="00FB1B60"/>
    <w:rsid w:val="00FB613B"/>
    <w:rsid w:val="00FC302D"/>
    <w:rsid w:val="00FC68B7"/>
    <w:rsid w:val="00FC6BBC"/>
    <w:rsid w:val="00FC7CF8"/>
    <w:rsid w:val="00FD1538"/>
    <w:rsid w:val="00FE106A"/>
    <w:rsid w:val="00FF145D"/>
    <w:rsid w:val="00FF190E"/>
    <w:rsid w:val="00FF600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98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8631-0514-4F36-8B17-C822771D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623</Words>
  <Characters>3479</Characters>
  <Application>Microsoft Office Word</Application>
  <DocSecurity>0</DocSecurity>
  <Lines>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4049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Laurence Berthet</cp:lastModifiedBy>
  <cp:revision>6</cp:revision>
  <cp:lastPrinted>2017-04-04T09:14:00Z</cp:lastPrinted>
  <dcterms:created xsi:type="dcterms:W3CDTF">2017-04-04T07:54:00Z</dcterms:created>
  <dcterms:modified xsi:type="dcterms:W3CDTF">2017-04-04T09:14:00Z</dcterms:modified>
</cp:coreProperties>
</file>