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CF4A88">
            <w:pPr>
              <w:jc w:val="right"/>
            </w:pPr>
            <w:r w:rsidRPr="006D12B1">
              <w:rPr>
                <w:sz w:val="40"/>
              </w:rPr>
              <w:t>ST</w:t>
            </w:r>
            <w:r>
              <w:t>/SG/AC.10/C.3/201</w:t>
            </w:r>
            <w:r w:rsidR="00525DE7">
              <w:t>7</w:t>
            </w:r>
            <w:r>
              <w:t>/</w:t>
            </w:r>
            <w:r w:rsidR="00CF4A88">
              <w:t>12</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C0604F" w:rsidP="006D12B1">
            <w:pPr>
              <w:spacing w:line="240" w:lineRule="exact"/>
            </w:pPr>
            <w:r>
              <w:t>3 April</w:t>
            </w:r>
            <w:r w:rsidR="00525DE7">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Pr="0005466E">
        <w:rPr>
          <w:b/>
        </w:rPr>
        <w:t xml:space="preserve">first </w:t>
      </w:r>
      <w:proofErr w:type="gramStart"/>
      <w:r w:rsidRPr="0005466E">
        <w:rPr>
          <w:b/>
        </w:rPr>
        <w:t>session</w:t>
      </w:r>
      <w:proofErr w:type="gramEnd"/>
    </w:p>
    <w:p w:rsidR="00525DE7" w:rsidRPr="00C0604F" w:rsidRDefault="00B51A46" w:rsidP="00C0604F">
      <w:pPr>
        <w:pStyle w:val="NormalWeb"/>
        <w:rPr>
          <w:b/>
          <w:sz w:val="20"/>
          <w:szCs w:val="20"/>
        </w:rPr>
      </w:pPr>
      <w:r w:rsidRPr="00432930">
        <w:rPr>
          <w:sz w:val="20"/>
          <w:szCs w:val="20"/>
        </w:rPr>
        <w:t xml:space="preserve">Geneva, </w:t>
      </w:r>
      <w:r w:rsidR="00CF4A88">
        <w:rPr>
          <w:color w:val="333333"/>
          <w:sz w:val="20"/>
          <w:szCs w:val="20"/>
          <w:lang w:eastAsia="it-IT"/>
        </w:rPr>
        <w:t>3-</w:t>
      </w:r>
      <w:r w:rsidR="00C0604F">
        <w:rPr>
          <w:color w:val="333333"/>
          <w:sz w:val="20"/>
          <w:szCs w:val="20"/>
          <w:lang w:eastAsia="it-IT"/>
        </w:rPr>
        <w:t>7</w:t>
      </w:r>
      <w:r w:rsidR="00812689" w:rsidRPr="00812689">
        <w:rPr>
          <w:color w:val="333333"/>
          <w:sz w:val="20"/>
          <w:szCs w:val="20"/>
          <w:lang w:eastAsia="it-IT"/>
        </w:rPr>
        <w:t xml:space="preserve"> </w:t>
      </w:r>
      <w:r w:rsidR="0005466E">
        <w:rPr>
          <w:color w:val="333333"/>
          <w:sz w:val="20"/>
          <w:szCs w:val="20"/>
          <w:lang w:eastAsia="it-IT"/>
        </w:rPr>
        <w:t>July 2017</w:t>
      </w:r>
      <w:r w:rsidRPr="00432930">
        <w:rPr>
          <w:color w:val="333333"/>
          <w:sz w:val="20"/>
          <w:szCs w:val="20"/>
          <w:lang w:eastAsia="it-IT"/>
        </w:rPr>
        <w:br/>
      </w:r>
      <w:r w:rsidRPr="00DB63BF">
        <w:rPr>
          <w:sz w:val="20"/>
          <w:szCs w:val="20"/>
        </w:rPr>
        <w:t xml:space="preserve">Item </w:t>
      </w:r>
      <w:r w:rsidR="00C0604F">
        <w:rPr>
          <w:sz w:val="20"/>
          <w:szCs w:val="20"/>
        </w:rPr>
        <w:t>3</w:t>
      </w:r>
      <w:r w:rsidRPr="00DB63BF">
        <w:rPr>
          <w:sz w:val="20"/>
          <w:szCs w:val="20"/>
        </w:rPr>
        <w:t xml:space="preserve"> of the provisional agenda</w:t>
      </w:r>
      <w:r w:rsidRPr="00DB63BF">
        <w:rPr>
          <w:sz w:val="20"/>
          <w:szCs w:val="20"/>
        </w:rPr>
        <w:br/>
      </w:r>
      <w:proofErr w:type="gramStart"/>
      <w:r w:rsidR="00C0604F" w:rsidRPr="00C0604F">
        <w:rPr>
          <w:b/>
          <w:sz w:val="20"/>
          <w:szCs w:val="20"/>
        </w:rPr>
        <w:t>Listing</w:t>
      </w:r>
      <w:proofErr w:type="gramEnd"/>
      <w:r w:rsidR="00C0604F" w:rsidRPr="00C0604F">
        <w:rPr>
          <w:b/>
          <w:sz w:val="20"/>
          <w:szCs w:val="20"/>
        </w:rPr>
        <w:t>, classification and packing</w:t>
      </w:r>
    </w:p>
    <w:p w:rsidR="00CF1038" w:rsidRDefault="00783107" w:rsidP="00525DE7">
      <w:pPr>
        <w:pStyle w:val="HChG"/>
        <w:rPr>
          <w:sz w:val="24"/>
        </w:rPr>
      </w:pPr>
      <w:r>
        <w:rPr>
          <w:lang w:val="en-US"/>
        </w:rPr>
        <w:tab/>
      </w:r>
      <w:r>
        <w:rPr>
          <w:lang w:val="en-US"/>
        </w:rPr>
        <w:tab/>
      </w:r>
      <w:r w:rsidR="00525DE7" w:rsidRPr="00525DE7">
        <w:rPr>
          <w:lang w:val="en-US"/>
        </w:rPr>
        <w:t>Application of packing instruction P003 to large articles</w:t>
      </w:r>
    </w:p>
    <w:p w:rsidR="006B4408" w:rsidRPr="006B4408" w:rsidRDefault="00CF4A88" w:rsidP="00CF4A88">
      <w:pPr>
        <w:pStyle w:val="H1G"/>
      </w:pPr>
      <w:r>
        <w:tab/>
      </w:r>
      <w:r>
        <w:tab/>
      </w:r>
      <w:r w:rsidR="006B4408" w:rsidRPr="006B4408">
        <w:t>Submitted by the expert of Germany</w:t>
      </w:r>
      <w:r>
        <w:rPr>
          <w:rStyle w:val="FootnoteReference"/>
        </w:rPr>
        <w:footnoteReference w:id="2"/>
      </w:r>
    </w:p>
    <w:p w:rsidR="006B4408" w:rsidRPr="006B4408" w:rsidRDefault="006B4408" w:rsidP="00CF4A88">
      <w:pPr>
        <w:pStyle w:val="HChG"/>
      </w:pPr>
      <w:r w:rsidRPr="006B4408">
        <w:tab/>
      </w:r>
      <w:r w:rsidRPr="006B4408">
        <w:tab/>
        <w:t>Introduction</w:t>
      </w:r>
    </w:p>
    <w:p w:rsidR="00CF1038" w:rsidRPr="00CF1038" w:rsidRDefault="006B4408" w:rsidP="00CF1038">
      <w:pPr>
        <w:spacing w:after="120"/>
        <w:ind w:left="1134" w:right="1134"/>
        <w:jc w:val="both"/>
        <w:rPr>
          <w:lang w:val="en-US"/>
        </w:rPr>
      </w:pPr>
      <w:r w:rsidRPr="006B4408">
        <w:rPr>
          <w:lang w:val="en-US"/>
        </w:rPr>
        <w:t>1.</w:t>
      </w:r>
      <w:r w:rsidRPr="006B4408">
        <w:rPr>
          <w:lang w:val="en-US"/>
        </w:rPr>
        <w:tab/>
      </w:r>
      <w:r w:rsidR="00CF1038" w:rsidRPr="00CF1038">
        <w:rPr>
          <w:lang w:val="en-US"/>
        </w:rPr>
        <w:t>Packagings subject to packing instruction P003 need not to be type approved. However, they shall be so designed that they meet the construction requirements of 6.1.4. Section 6.1.4 restricts the maximum net mass permitted in a packaging to 400 kg.</w:t>
      </w:r>
    </w:p>
    <w:p w:rsidR="00CF1038" w:rsidRPr="00CF1038" w:rsidRDefault="00CF1038" w:rsidP="00CF1038">
      <w:pPr>
        <w:spacing w:after="120"/>
        <w:ind w:left="1134" w:right="1134"/>
        <w:jc w:val="both"/>
        <w:rPr>
          <w:lang w:val="en-US"/>
        </w:rPr>
      </w:pPr>
      <w:r w:rsidRPr="00CF1038">
        <w:rPr>
          <w:lang w:val="en-US"/>
        </w:rPr>
        <w:t>2</w:t>
      </w:r>
      <w:r w:rsidRPr="00CF1038">
        <w:rPr>
          <w:lang w:val="en-US"/>
        </w:rPr>
        <w:tab/>
        <w:t xml:space="preserve">There are large articles, e.g. UN 3164 ARTICLES, PRESSURIZED, PNEUMATIC or HYDRAULIC (containing non-flammable gas), subject to P003, having a mass exceeding 400 kg. Actually, the Model Regulations do not provide a possibility to transport such articles within the scope of the regulations, not even with competent authority approval. </w:t>
      </w:r>
    </w:p>
    <w:p w:rsidR="00CF1038" w:rsidRPr="00CF1038" w:rsidRDefault="00CF1038" w:rsidP="00CF1038">
      <w:pPr>
        <w:spacing w:after="120"/>
        <w:ind w:left="1134" w:right="1134"/>
        <w:jc w:val="both"/>
        <w:rPr>
          <w:lang w:val="en-US"/>
        </w:rPr>
      </w:pPr>
      <w:r w:rsidRPr="00CF1038">
        <w:rPr>
          <w:lang w:val="en-US"/>
        </w:rPr>
        <w:t>3</w:t>
      </w:r>
      <w:r w:rsidRPr="00CF1038">
        <w:rPr>
          <w:lang w:val="en-US"/>
        </w:rPr>
        <w:tab/>
      </w:r>
      <w:r>
        <w:rPr>
          <w:lang w:val="en-US"/>
        </w:rPr>
        <w:t xml:space="preserve">At its </w:t>
      </w:r>
      <w:r w:rsidR="00CF4A88">
        <w:rPr>
          <w:lang w:val="en-US"/>
        </w:rPr>
        <w:t>fiftieth session, the S</w:t>
      </w:r>
      <w:r>
        <w:rPr>
          <w:lang w:val="en-US"/>
        </w:rPr>
        <w:t>ub-</w:t>
      </w:r>
      <w:r w:rsidR="00CF4A88">
        <w:rPr>
          <w:lang w:val="en-US"/>
        </w:rPr>
        <w:t>C</w:t>
      </w:r>
      <w:r>
        <w:rPr>
          <w:lang w:val="en-US"/>
        </w:rPr>
        <w:t xml:space="preserve">ommittee </w:t>
      </w:r>
      <w:r w:rsidR="00080870">
        <w:rPr>
          <w:lang w:val="en-US"/>
        </w:rPr>
        <w:t>accepted</w:t>
      </w:r>
      <w:r>
        <w:rPr>
          <w:lang w:val="en-US"/>
        </w:rPr>
        <w:t xml:space="preserve"> new provisions for articles containing dangerous goods.  New entries were </w:t>
      </w:r>
      <w:r w:rsidR="00157DBF">
        <w:rPr>
          <w:lang w:val="en-US"/>
        </w:rPr>
        <w:t xml:space="preserve">included in the dangerous goods list and a </w:t>
      </w:r>
      <w:r>
        <w:rPr>
          <w:lang w:val="en-US"/>
        </w:rPr>
        <w:t xml:space="preserve">packing instruction P 006 </w:t>
      </w:r>
      <w:r w:rsidR="00157DBF">
        <w:rPr>
          <w:lang w:val="en-US"/>
        </w:rPr>
        <w:t xml:space="preserve">was assigned to these entries. </w:t>
      </w:r>
      <w:r>
        <w:rPr>
          <w:lang w:val="en-US"/>
        </w:rPr>
        <w:t xml:space="preserve">P 006 stipulates different options for packagings, </w:t>
      </w:r>
      <w:r w:rsidR="00BC5CDE">
        <w:rPr>
          <w:lang w:val="en-US"/>
        </w:rPr>
        <w:t>paragraph 1 lists type app</w:t>
      </w:r>
      <w:r w:rsidR="00120F92">
        <w:rPr>
          <w:lang w:val="en-US"/>
        </w:rPr>
        <w:t xml:space="preserve">roved packagings, </w:t>
      </w:r>
      <w:proofErr w:type="gramStart"/>
      <w:r w:rsidR="00BC5CDE">
        <w:rPr>
          <w:lang w:val="en-US"/>
        </w:rPr>
        <w:t>paragraph</w:t>
      </w:r>
      <w:proofErr w:type="gramEnd"/>
      <w:r w:rsidR="00BC5CDE">
        <w:rPr>
          <w:lang w:val="en-US"/>
        </w:rPr>
        <w:t xml:space="preserve"> 2 allows the use of strong outer</w:t>
      </w:r>
      <w:r>
        <w:rPr>
          <w:lang w:val="en-US"/>
        </w:rPr>
        <w:t xml:space="preserve"> </w:t>
      </w:r>
      <w:r w:rsidR="00BC5CDE">
        <w:rPr>
          <w:lang w:val="en-US"/>
        </w:rPr>
        <w:t xml:space="preserve">packagings and unpackaged transport. </w:t>
      </w:r>
      <w:r w:rsidR="00120F92">
        <w:rPr>
          <w:lang w:val="en-US"/>
        </w:rPr>
        <w:t>These option</w:t>
      </w:r>
      <w:r w:rsidR="00ED78C0">
        <w:rPr>
          <w:lang w:val="en-US"/>
        </w:rPr>
        <w:t>s</w:t>
      </w:r>
      <w:r w:rsidR="00120F92">
        <w:rPr>
          <w:lang w:val="en-US"/>
        </w:rPr>
        <w:t xml:space="preserve"> were included </w:t>
      </w:r>
      <w:r w:rsidR="00157DBF">
        <w:rPr>
          <w:lang w:val="en-US"/>
        </w:rPr>
        <w:t>because</w:t>
      </w:r>
      <w:r w:rsidR="00120F92">
        <w:rPr>
          <w:lang w:val="en-US"/>
        </w:rPr>
        <w:t xml:space="preserve"> the mass limits</w:t>
      </w:r>
      <w:r w:rsidR="00157DBF">
        <w:rPr>
          <w:lang w:val="en-US"/>
        </w:rPr>
        <w:t xml:space="preserve"> for packagings</w:t>
      </w:r>
      <w:r w:rsidR="00120F92">
        <w:rPr>
          <w:lang w:val="en-US"/>
        </w:rPr>
        <w:t xml:space="preserve"> are a typical problem occurring in the context</w:t>
      </w:r>
      <w:r w:rsidR="00CF4A88">
        <w:rPr>
          <w:lang w:val="en-US"/>
        </w:rPr>
        <w:t xml:space="preserve"> of the transport of articles. </w:t>
      </w:r>
      <w:r w:rsidR="00120F92">
        <w:rPr>
          <w:lang w:val="en-US"/>
        </w:rPr>
        <w:t xml:space="preserve">This is also the problem for </w:t>
      </w:r>
      <w:r w:rsidR="00F163A9">
        <w:rPr>
          <w:lang w:val="en-US"/>
        </w:rPr>
        <w:t>pressurized articles.</w:t>
      </w:r>
      <w:r w:rsidR="00157DBF">
        <w:rPr>
          <w:lang w:val="en-US"/>
        </w:rPr>
        <w:t xml:space="preserve"> </w:t>
      </w:r>
      <w:r w:rsidR="00F163A9">
        <w:rPr>
          <w:lang w:val="en-US"/>
        </w:rPr>
        <w:t xml:space="preserve"> For example, German authorities got a request concerning the transport of components of control systems for oil </w:t>
      </w:r>
      <w:r w:rsidR="00F163A9">
        <w:rPr>
          <w:lang w:val="en-US"/>
        </w:rPr>
        <w:lastRenderedPageBreak/>
        <w:t xml:space="preserve">industry. The components (test pressure </w:t>
      </w:r>
      <w:r w:rsidR="00F163A9" w:rsidRPr="00F163A9">
        <w:rPr>
          <w:lang w:val="en-US"/>
        </w:rPr>
        <w:t>690</w:t>
      </w:r>
      <w:r w:rsidR="00F163A9">
        <w:rPr>
          <w:lang w:val="en-US"/>
        </w:rPr>
        <w:t xml:space="preserve"> </w:t>
      </w:r>
      <w:r w:rsidR="00F163A9" w:rsidRPr="00F163A9">
        <w:rPr>
          <w:lang w:val="en-US"/>
        </w:rPr>
        <w:t>bar</w:t>
      </w:r>
      <w:r w:rsidR="00F163A9">
        <w:rPr>
          <w:lang w:val="en-US"/>
        </w:rPr>
        <w:t>, working pressure 345 bar) had to be shipped with 2 -5 bar nitrogen to avoid corros</w:t>
      </w:r>
      <w:r w:rsidR="00080870">
        <w:rPr>
          <w:lang w:val="en-US"/>
        </w:rPr>
        <w:t xml:space="preserve">ion, </w:t>
      </w:r>
      <w:r w:rsidR="00ED78C0">
        <w:rPr>
          <w:lang w:val="en-US"/>
        </w:rPr>
        <w:t>their weight was 200</w:t>
      </w:r>
      <w:r w:rsidR="00080870">
        <w:rPr>
          <w:lang w:val="en-US"/>
        </w:rPr>
        <w:t>0 k</w:t>
      </w:r>
      <w:r w:rsidR="00ED78C0">
        <w:rPr>
          <w:lang w:val="en-US"/>
        </w:rPr>
        <w:t>g.</w:t>
      </w:r>
      <w:r w:rsidR="00F163A9">
        <w:rPr>
          <w:lang w:val="en-US"/>
        </w:rPr>
        <w:t xml:space="preserve"> </w:t>
      </w:r>
    </w:p>
    <w:p w:rsidR="006B4408" w:rsidRPr="006B4408" w:rsidRDefault="00CF1038" w:rsidP="00CF4A88">
      <w:pPr>
        <w:pStyle w:val="SingleTxtG"/>
        <w:rPr>
          <w:lang w:val="en-US"/>
        </w:rPr>
      </w:pPr>
      <w:r w:rsidRPr="00CF1038">
        <w:rPr>
          <w:lang w:val="en-US"/>
        </w:rPr>
        <w:t>4</w:t>
      </w:r>
      <w:r w:rsidRPr="00CF1038">
        <w:rPr>
          <w:lang w:val="en-US"/>
        </w:rPr>
        <w:tab/>
        <w:t xml:space="preserve">In the opinion of the German expert, the Model Regulations should provide </w:t>
      </w:r>
      <w:r w:rsidR="00ED78C0">
        <w:rPr>
          <w:lang w:val="en-US"/>
        </w:rPr>
        <w:t xml:space="preserve">also </w:t>
      </w:r>
      <w:r w:rsidRPr="00CF1038">
        <w:rPr>
          <w:lang w:val="en-US"/>
        </w:rPr>
        <w:t xml:space="preserve">a regular possibility to transport large articles of </w:t>
      </w:r>
      <w:r w:rsidR="00ED78C0">
        <w:rPr>
          <w:lang w:val="en-US"/>
        </w:rPr>
        <w:t xml:space="preserve">UN 3164 </w:t>
      </w:r>
      <w:r w:rsidR="00080870">
        <w:rPr>
          <w:lang w:val="en-US"/>
        </w:rPr>
        <w:t>exceeding 400 kg. This could be achieved by add</w:t>
      </w:r>
      <w:r w:rsidR="00157DBF">
        <w:rPr>
          <w:lang w:val="en-US"/>
        </w:rPr>
        <w:t>ing a special packing provision</w:t>
      </w:r>
      <w:r w:rsidR="00080870">
        <w:rPr>
          <w:lang w:val="en-US"/>
        </w:rPr>
        <w:t xml:space="preserve"> which allows the use of outer packaging or unpackaged transport under the same condition</w:t>
      </w:r>
      <w:r w:rsidR="00157DBF">
        <w:rPr>
          <w:lang w:val="en-US"/>
        </w:rPr>
        <w:t>s</w:t>
      </w:r>
      <w:r w:rsidR="00080870">
        <w:rPr>
          <w:lang w:val="en-US"/>
        </w:rPr>
        <w:t xml:space="preserve"> as applicable to the new UN Number 3538 ARTICLES CONTAINING NON-FLAMMABLE, NON TOXIC GAS, </w:t>
      </w:r>
      <w:proofErr w:type="gramStart"/>
      <w:r w:rsidR="00080870">
        <w:rPr>
          <w:lang w:val="en-US"/>
        </w:rPr>
        <w:t>N.O.S</w:t>
      </w:r>
      <w:proofErr w:type="gramEnd"/>
      <w:r w:rsidR="00080870">
        <w:rPr>
          <w:lang w:val="en-US"/>
        </w:rPr>
        <w:t>.</w:t>
      </w:r>
    </w:p>
    <w:p w:rsidR="008B57B7" w:rsidRDefault="00CF4A88" w:rsidP="00CF4A88">
      <w:pPr>
        <w:pStyle w:val="HChG"/>
        <w:rPr>
          <w:lang w:val="en-US"/>
        </w:rPr>
      </w:pPr>
      <w:r>
        <w:rPr>
          <w:lang w:val="en-US"/>
        </w:rPr>
        <w:tab/>
      </w:r>
      <w:r>
        <w:rPr>
          <w:lang w:val="en-US"/>
        </w:rPr>
        <w:tab/>
      </w:r>
      <w:r w:rsidR="008B57B7" w:rsidRPr="008B57B7">
        <w:rPr>
          <w:lang w:val="en-US"/>
        </w:rPr>
        <w:t xml:space="preserve">Proposal </w:t>
      </w:r>
    </w:p>
    <w:p w:rsidR="0005466E" w:rsidRDefault="00ED78C0" w:rsidP="008B57B7">
      <w:pPr>
        <w:spacing w:after="120"/>
        <w:ind w:left="1134" w:right="1134"/>
        <w:jc w:val="both"/>
        <w:rPr>
          <w:lang w:val="en-US"/>
        </w:rPr>
      </w:pPr>
      <w:r w:rsidRPr="00ED78C0">
        <w:rPr>
          <w:lang w:val="en-US"/>
        </w:rPr>
        <w:t>It is pro</w:t>
      </w:r>
      <w:r>
        <w:rPr>
          <w:lang w:val="en-US"/>
        </w:rPr>
        <w:t xml:space="preserve">posed to insert a special packaging provision </w:t>
      </w:r>
      <w:proofErr w:type="spellStart"/>
      <w:r w:rsidR="001071A8">
        <w:rPr>
          <w:lang w:val="en-US"/>
        </w:rPr>
        <w:t>PPxx</w:t>
      </w:r>
      <w:proofErr w:type="spellEnd"/>
      <w:r w:rsidR="001071A8">
        <w:rPr>
          <w:lang w:val="en-US"/>
        </w:rPr>
        <w:t xml:space="preserve"> </w:t>
      </w:r>
      <w:r>
        <w:rPr>
          <w:lang w:val="en-US"/>
        </w:rPr>
        <w:t xml:space="preserve">in </w:t>
      </w:r>
      <w:r w:rsidR="00C740D6">
        <w:rPr>
          <w:lang w:val="en-US"/>
        </w:rPr>
        <w:t xml:space="preserve">P003 </w:t>
      </w:r>
      <w:r>
        <w:rPr>
          <w:lang w:val="en-US"/>
        </w:rPr>
        <w:t>as follows:</w:t>
      </w:r>
    </w:p>
    <w:p w:rsidR="00080870" w:rsidRDefault="00ED78C0" w:rsidP="00CF4A88">
      <w:pPr>
        <w:spacing w:after="120"/>
        <w:ind w:left="1701" w:right="1134"/>
        <w:jc w:val="both"/>
        <w:rPr>
          <w:lang w:val="en-US"/>
        </w:rPr>
      </w:pPr>
      <w:r>
        <w:rPr>
          <w:lang w:val="en-US"/>
        </w:rPr>
        <w:t>“</w:t>
      </w:r>
      <w:r w:rsidR="006C2BF3">
        <w:rPr>
          <w:lang w:val="en-US"/>
        </w:rPr>
        <w:t>In addition, f</w:t>
      </w:r>
      <w:r>
        <w:rPr>
          <w:lang w:val="en-US"/>
        </w:rPr>
        <w:t>or</w:t>
      </w:r>
      <w:r w:rsidR="006C2BF3">
        <w:rPr>
          <w:lang w:val="en-US"/>
        </w:rPr>
        <w:t xml:space="preserve"> strong robust articles assigned to UN 3164 the following packagings a</w:t>
      </w:r>
      <w:r w:rsidR="00080870">
        <w:rPr>
          <w:lang w:val="en-US"/>
        </w:rPr>
        <w:t xml:space="preserve">re authorized provided the </w:t>
      </w:r>
      <w:r w:rsidR="00080870" w:rsidRPr="00080870">
        <w:rPr>
          <w:lang w:val="en-US"/>
        </w:rPr>
        <w:t xml:space="preserve">that the receptacles within </w:t>
      </w:r>
      <w:r w:rsidR="00080870">
        <w:rPr>
          <w:lang w:val="en-US"/>
        </w:rPr>
        <w:t xml:space="preserve">the articles </w:t>
      </w:r>
      <w:r w:rsidR="006C2BF3">
        <w:rPr>
          <w:lang w:val="en-US"/>
        </w:rPr>
        <w:t>meet the requirements of section 4.1.6 and chapter 6.2 as appropriate or the article</w:t>
      </w:r>
      <w:r w:rsidR="00080870">
        <w:rPr>
          <w:lang w:val="en-US"/>
        </w:rPr>
        <w:t>s</w:t>
      </w:r>
      <w:r w:rsidR="006C2BF3">
        <w:rPr>
          <w:lang w:val="en-US"/>
        </w:rPr>
        <w:t xml:space="preserve"> </w:t>
      </w:r>
      <w:r w:rsidR="00080870">
        <w:rPr>
          <w:lang w:val="en-US"/>
        </w:rPr>
        <w:t>are</w:t>
      </w:r>
      <w:r w:rsidR="006C2BF3">
        <w:rPr>
          <w:lang w:val="en-US"/>
        </w:rPr>
        <w:t xml:space="preserve"> capable of providing an equivalent level </w:t>
      </w:r>
      <w:r w:rsidR="00080870">
        <w:rPr>
          <w:lang w:val="en-US"/>
        </w:rPr>
        <w:t>of protection as packing instruction</w:t>
      </w:r>
      <w:r w:rsidR="00CF4A88">
        <w:rPr>
          <w:lang w:val="en-US"/>
        </w:rPr>
        <w:t xml:space="preserve"> P200</w:t>
      </w:r>
      <w:r w:rsidR="00080870">
        <w:rPr>
          <w:lang w:val="en-US"/>
        </w:rPr>
        <w:t>:</w:t>
      </w:r>
    </w:p>
    <w:p w:rsidR="00080870" w:rsidRPr="00080870" w:rsidRDefault="00080870" w:rsidP="00CF4A88">
      <w:pPr>
        <w:pStyle w:val="Bullet1G"/>
      </w:pPr>
      <w:r w:rsidRPr="00080870">
        <w:t>S</w:t>
      </w:r>
      <w:r w:rsidR="00ED78C0" w:rsidRPr="00080870">
        <w:t xml:space="preserve">trong outer packagings constructed of suitable material and of adequate strength and design in relation to the packaging capacity and its intended use. The packagings shall meet the provisions of 4.1.1.1, 4.1.1.2, 4.1.1.8 and 4.1.3 in order to achieve a level of protection that is at least equivalent to that provided by Chapter 6.1. </w:t>
      </w:r>
    </w:p>
    <w:p w:rsidR="00DA4AA3" w:rsidRPr="00CF4A88" w:rsidRDefault="00080870" w:rsidP="00CF4A88">
      <w:pPr>
        <w:pStyle w:val="Bullet1G"/>
      </w:pPr>
      <w:r>
        <w:t>Articles</w:t>
      </w:r>
      <w:r w:rsidR="00ED78C0" w:rsidRPr="00080870">
        <w:t xml:space="preserve"> may be transported unpackaged or on pallets when the dangerous goods contained in the article are afforded equivalent protection by the article in which they are contained.</w:t>
      </w:r>
      <w:r>
        <w:t>”</w:t>
      </w:r>
      <w:r w:rsidR="006B4408" w:rsidRPr="00080870">
        <w:rPr>
          <w:b/>
          <w:i/>
          <w:noProof/>
          <w:lang w:eastAsia="en-GB"/>
        </w:rPr>
        <mc:AlternateContent>
          <mc:Choice Requires="wps">
            <w:drawing>
              <wp:anchor distT="0" distB="0" distL="114300" distR="114300" simplePos="0" relativeHeight="251659264" behindDoc="0" locked="0" layoutInCell="1" allowOverlap="1" wp14:anchorId="5746EC23" wp14:editId="56DDEE07">
                <wp:simplePos x="0" y="0"/>
                <wp:positionH relativeFrom="column">
                  <wp:posOffset>2489200</wp:posOffset>
                </wp:positionH>
                <wp:positionV relativeFrom="paragraph">
                  <wp:posOffset>590550</wp:posOffset>
                </wp:positionV>
                <wp:extent cx="13017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rgbClr val="FFFFFF"/>
                        </a:solidFill>
                        <a:ln w="9525">
                          <a:solidFill>
                            <a:sysClr val="window" lastClr="FFFFFF"/>
                          </a:solidFill>
                          <a:miter lim="800000"/>
                          <a:headEnd/>
                          <a:tailEnd/>
                        </a:ln>
                      </wps:spPr>
                      <wps:txbx>
                        <w:txbxContent>
                          <w:p w:rsidR="006B4408" w:rsidRDefault="006B4408" w:rsidP="006B4408">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pt;margin-top:46.5pt;width: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" strokecolor="window">
                <v:textbox style="mso-fit-shape-to-text:t">
                  <w:txbxContent>
                    <w:p w:rsidR="006B4408" w:rsidRDefault="006B4408" w:rsidP="006B4408">
                      <w:r>
                        <w:t>________________</w:t>
                      </w:r>
                    </w:p>
                  </w:txbxContent>
                </v:textbox>
              </v:shape>
            </w:pict>
          </mc:Fallback>
        </mc:AlternateContent>
      </w:r>
    </w:p>
    <w:sectPr w:rsidR="00DA4AA3" w:rsidRPr="00CF4A88" w:rsidSect="009D3E53">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4E68C8">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5466E">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CF4A88" w:rsidRPr="00CF4A88" w:rsidRDefault="00CF4A88" w:rsidP="00CF4A88">
      <w:pPr>
        <w:pStyle w:val="FootnoteText"/>
        <w:tabs>
          <w:tab w:val="left" w:pos="1418"/>
        </w:tabs>
        <w:ind w:firstLine="0"/>
        <w:rPr>
          <w:lang w:val="fr-CH"/>
        </w:rPr>
      </w:pPr>
      <w:r>
        <w:rPr>
          <w:rStyle w:val="FootnoteReference"/>
        </w:rPr>
        <w:footnoteRef/>
      </w:r>
      <w:r>
        <w:tab/>
        <w:t>In accordance with the programme of work of the Sub-Committee for 2017–2018 approved by the Committee at its eighth session (see ST/SG/AC.10/C.3/100, paragraph 98 and ST/SG/AC.10/44, para</w:t>
      </w:r>
      <w:r w:rsidR="00C0604F">
        <w:t>graph</w:t>
      </w:r>
      <w:bookmarkStart w:id="0" w:name="_GoBack"/>
      <w:bookmarkEnd w:id="0"/>
      <w: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ED78C0">
      <w:t>2017</w:t>
    </w:r>
    <w:r w:rsidR="005458AF">
      <w:t>/</w:t>
    </w:r>
    <w:r w:rsidR="00CF4A88">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9D3E53">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3"/>
  </w:num>
  <w:num w:numId="16">
    <w:abstractNumId w:val="15"/>
  </w:num>
  <w:num w:numId="17">
    <w:abstractNumId w:val="17"/>
  </w:num>
  <w:num w:numId="18">
    <w:abstractNumId w:val="18"/>
  </w:num>
  <w:num w:numId="19">
    <w:abstractNumId w:val="13"/>
  </w:num>
  <w:num w:numId="20">
    <w:abstractNumId w:val="24"/>
  </w:num>
  <w:num w:numId="21">
    <w:abstractNumId w:val="11"/>
  </w:num>
  <w:num w:numId="22">
    <w:abstractNumId w:val="19"/>
  </w:num>
  <w:num w:numId="23">
    <w:abstractNumId w:val="20"/>
  </w:num>
  <w:num w:numId="24">
    <w:abstractNumId w:val="1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466E"/>
    <w:rsid w:val="000572CA"/>
    <w:rsid w:val="00072C8C"/>
    <w:rsid w:val="00080870"/>
    <w:rsid w:val="00082AB3"/>
    <w:rsid w:val="00083B73"/>
    <w:rsid w:val="00091419"/>
    <w:rsid w:val="000931C0"/>
    <w:rsid w:val="000B175B"/>
    <w:rsid w:val="000B3A0F"/>
    <w:rsid w:val="000C2086"/>
    <w:rsid w:val="000D58F6"/>
    <w:rsid w:val="000D734E"/>
    <w:rsid w:val="000E0415"/>
    <w:rsid w:val="000F6C26"/>
    <w:rsid w:val="000F7AB3"/>
    <w:rsid w:val="00105236"/>
    <w:rsid w:val="001071A8"/>
    <w:rsid w:val="00117787"/>
    <w:rsid w:val="00120F92"/>
    <w:rsid w:val="00131D42"/>
    <w:rsid w:val="00157DBF"/>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A24BE"/>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41EC"/>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E38B5"/>
    <w:rsid w:val="004E68C8"/>
    <w:rsid w:val="004F0095"/>
    <w:rsid w:val="004F0881"/>
    <w:rsid w:val="004F60F8"/>
    <w:rsid w:val="00522AC0"/>
    <w:rsid w:val="00525DE7"/>
    <w:rsid w:val="00527910"/>
    <w:rsid w:val="005420F2"/>
    <w:rsid w:val="005458AF"/>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7392"/>
    <w:rsid w:val="006B4408"/>
    <w:rsid w:val="006C0D34"/>
    <w:rsid w:val="006C2BF3"/>
    <w:rsid w:val="006D12B1"/>
    <w:rsid w:val="006E564B"/>
    <w:rsid w:val="00704CDB"/>
    <w:rsid w:val="00705B77"/>
    <w:rsid w:val="00711C13"/>
    <w:rsid w:val="0072632A"/>
    <w:rsid w:val="007277E4"/>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4FD7"/>
    <w:rsid w:val="009358FF"/>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707EC"/>
    <w:rsid w:val="00B81E12"/>
    <w:rsid w:val="00B93068"/>
    <w:rsid w:val="00BA6930"/>
    <w:rsid w:val="00BB0133"/>
    <w:rsid w:val="00BB027F"/>
    <w:rsid w:val="00BC1BF4"/>
    <w:rsid w:val="00BC4EA5"/>
    <w:rsid w:val="00BC5CDE"/>
    <w:rsid w:val="00BC74E9"/>
    <w:rsid w:val="00BD0239"/>
    <w:rsid w:val="00BE618E"/>
    <w:rsid w:val="00BF169C"/>
    <w:rsid w:val="00BF7DE7"/>
    <w:rsid w:val="00C031EF"/>
    <w:rsid w:val="00C0604F"/>
    <w:rsid w:val="00C07513"/>
    <w:rsid w:val="00C07A73"/>
    <w:rsid w:val="00C44E98"/>
    <w:rsid w:val="00C463DD"/>
    <w:rsid w:val="00C62F76"/>
    <w:rsid w:val="00C70190"/>
    <w:rsid w:val="00C740D6"/>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1038"/>
    <w:rsid w:val="00CF4A88"/>
    <w:rsid w:val="00CF5E82"/>
    <w:rsid w:val="00CF74F9"/>
    <w:rsid w:val="00CF7E49"/>
    <w:rsid w:val="00D12328"/>
    <w:rsid w:val="00D1524C"/>
    <w:rsid w:val="00D16675"/>
    <w:rsid w:val="00D20102"/>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8C0"/>
    <w:rsid w:val="00ED7A2A"/>
    <w:rsid w:val="00ED7CE1"/>
    <w:rsid w:val="00EE2823"/>
    <w:rsid w:val="00EF1D7F"/>
    <w:rsid w:val="00F0135D"/>
    <w:rsid w:val="00F120E2"/>
    <w:rsid w:val="00F163A9"/>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E6A1F"/>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D360-2979-4C73-BF36-BED06658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512</Words>
  <Characters>2811</Characters>
  <Application>Microsoft Office Word</Application>
  <DocSecurity>0</DocSecurity>
  <Lines>57</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2017-04-03T13:51:00Z</cp:lastPrinted>
  <dcterms:created xsi:type="dcterms:W3CDTF">2017-03-30T06:25:00Z</dcterms:created>
  <dcterms:modified xsi:type="dcterms:W3CDTF">2017-04-03T13:51:00Z</dcterms:modified>
</cp:coreProperties>
</file>