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D1" w:rsidRPr="00486232" w:rsidRDefault="007F7BD1" w:rsidP="007F7BD1">
      <w:pPr>
        <w:pStyle w:val="HCH"/>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 w:val="left" w:pos="10037"/>
        </w:tabs>
        <w:ind w:right="-28"/>
        <w:jc w:val="center"/>
        <w:rPr>
          <w:b w:val="0"/>
          <w:sz w:val="20"/>
          <w:szCs w:val="20"/>
          <w:lang w:val="fr-CH" w:bidi="fr-CH"/>
        </w:rPr>
      </w:pPr>
      <w:r w:rsidRPr="00486232">
        <w:rPr>
          <w:lang w:val="fr-CH" w:bidi="fr-CH"/>
        </w:rPr>
        <w:t xml:space="preserve">Questionnaire relatif aux tendances et à l’économie </w:t>
      </w:r>
      <w:r w:rsidRPr="00486232">
        <w:rPr>
          <w:lang w:val="fr-CH" w:bidi="fr-CH"/>
        </w:rPr>
        <w:br/>
        <w:t xml:space="preserve">des transports pour la période 2013-2015 : </w:t>
      </w:r>
      <w:r>
        <w:rPr>
          <w:lang w:val="fr-CH" w:bidi="fr-CH"/>
        </w:rPr>
        <w:t xml:space="preserve">                                                            </w:t>
      </w:r>
      <w:r w:rsidRPr="00486232">
        <w:rPr>
          <w:lang w:val="fr-CH" w:bidi="fr-CH"/>
        </w:rPr>
        <w:t>financement des infrastructures de transport</w:t>
      </w:r>
      <w:r w:rsidRPr="00486232">
        <w:rPr>
          <w:b w:val="0"/>
          <w:sz w:val="20"/>
          <w:szCs w:val="20"/>
          <w:lang w:val="fr-CH" w:bidi="fr-CH"/>
        </w:rPr>
        <w:footnoteReference w:customMarkFollows="1" w:id="1"/>
        <w:t>*</w:t>
      </w:r>
    </w:p>
    <w:p w:rsidR="007F7BD1" w:rsidRPr="00486232" w:rsidRDefault="007F7BD1" w:rsidP="007F7BD1">
      <w:pPr>
        <w:pStyle w:val="SingleTxt"/>
        <w:tabs>
          <w:tab w:val="clear" w:pos="1267"/>
          <w:tab w:val="left" w:pos="0"/>
          <w:tab w:val="left" w:pos="10037"/>
        </w:tabs>
        <w:spacing w:after="0" w:line="120" w:lineRule="exact"/>
        <w:ind w:left="0" w:right="-28"/>
        <w:jc w:val="center"/>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86232">
        <w:rPr>
          <w:lang w:val="fr-CH" w:bidi="fr-CH"/>
        </w:rPr>
        <w:tab/>
        <w:t>I.</w:t>
      </w:r>
      <w:r w:rsidRPr="00486232">
        <w:rPr>
          <w:lang w:val="fr-CH" w:bidi="fr-CH"/>
        </w:rPr>
        <w:tab/>
        <w:t>Précisions</w:t>
      </w: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numPr>
          <w:ilvl w:val="0"/>
          <w:numId w:val="2"/>
        </w:numPr>
        <w:tabs>
          <w:tab w:val="clear" w:pos="475"/>
          <w:tab w:val="num" w:pos="1742"/>
        </w:tabs>
        <w:ind w:left="1267"/>
        <w:rPr>
          <w:lang w:val="fr-CH" w:bidi="fr-CH"/>
        </w:rPr>
      </w:pPr>
      <w:r w:rsidRPr="00486232">
        <w:rPr>
          <w:lang w:val="fr-CH" w:bidi="fr-CH"/>
        </w:rPr>
        <w:t>L’un des principaux obstacles à l’obtention de données comparables concernant les dépenses engagées dans les infrastructures de transport réside dans le fait que la désignation « infrastructure de transport », lorsqu’elle est employée par type d’actif, diffère fortement d’un pays à l’autre, en fonction de la définition et de la disponibilité des données dans chaque pays. Selon la Commission européenne, l’</w:t>
      </w:r>
      <w:bookmarkStart w:id="0" w:name="insstart"/>
      <w:bookmarkEnd w:id="0"/>
      <w:r w:rsidRPr="00486232">
        <w:rPr>
          <w:lang w:val="fr-CH" w:bidi="fr-CH"/>
        </w:rPr>
        <w:t>« infrastructure de transport » s’entend de « la totalité des voies et des installations fixes des trois modes de transport dans la mesure où elles sont nécessaires pour assurer la circulation des véhicules et la sécurité de cette circulation » (Règlement (CE) n</w:t>
      </w:r>
      <w:r w:rsidRPr="00486232">
        <w:rPr>
          <w:vertAlign w:val="superscript"/>
          <w:lang w:val="fr-CH" w:bidi="fr-CH"/>
        </w:rPr>
        <w:t>o</w:t>
      </w:r>
      <w:r w:rsidRPr="00486232">
        <w:rPr>
          <w:lang w:val="fr-CH" w:bidi="fr-CH"/>
        </w:rPr>
        <w:t> 851/2006). Ainsi, chaque fois que l’infrastructure routière, ferroviaire ou fluviale est mentionnée dans le questionnaire ci-après, les définitions suivantes s’appliquent selon le mode.</w:t>
      </w:r>
    </w:p>
    <w:p w:rsidR="007F7BD1" w:rsidRPr="00486232" w:rsidRDefault="007F7BD1" w:rsidP="007F7BD1">
      <w:pPr>
        <w:pStyle w:val="SingleTxt"/>
        <w:keepNext/>
        <w:keepLines/>
        <w:numPr>
          <w:ilvl w:val="0"/>
          <w:numId w:val="2"/>
        </w:numPr>
        <w:tabs>
          <w:tab w:val="clear" w:pos="475"/>
          <w:tab w:val="num" w:pos="1742"/>
        </w:tabs>
        <w:ind w:left="1267"/>
        <w:rPr>
          <w:lang w:val="fr-CH" w:bidi="fr-CH"/>
        </w:rPr>
      </w:pPr>
      <w:r w:rsidRPr="00486232">
        <w:rPr>
          <w:lang w:val="fr-CH" w:bidi="fr-CH"/>
        </w:rPr>
        <w:t xml:space="preserve">Infrastructure routière : </w:t>
      </w:r>
    </w:p>
    <w:p w:rsidR="007F7BD1" w:rsidRPr="00486232" w:rsidRDefault="007F7BD1" w:rsidP="007F7BD1">
      <w:pPr>
        <w:pStyle w:val="SingleTxt"/>
        <w:rPr>
          <w:lang w:val="fr-CH" w:bidi="fr-CH"/>
        </w:rPr>
      </w:pPr>
      <w:r w:rsidRPr="00486232">
        <w:rPr>
          <w:lang w:val="fr-CH" w:bidi="fr-CH"/>
        </w:rPr>
        <w:tab/>
        <w:t>a)</w:t>
      </w:r>
      <w:r w:rsidRPr="00486232">
        <w:rPr>
          <w:lang w:val="fr-CH" w:bidi="fr-CH"/>
        </w:rPr>
        <w:tab/>
        <w:t>Terrains;</w:t>
      </w:r>
    </w:p>
    <w:p w:rsidR="007F7BD1" w:rsidRPr="00486232" w:rsidRDefault="007F7BD1" w:rsidP="007F7BD1">
      <w:pPr>
        <w:pStyle w:val="SingleTxt"/>
        <w:rPr>
          <w:lang w:val="fr-CH" w:bidi="fr-CH"/>
        </w:rPr>
      </w:pPr>
      <w:r w:rsidRPr="00486232">
        <w:rPr>
          <w:lang w:val="fr-CH" w:bidi="fr-CH"/>
        </w:rPr>
        <w:tab/>
        <w:t>b)</w:t>
      </w:r>
      <w:r w:rsidRPr="00486232">
        <w:rPr>
          <w:lang w:val="fr-CH" w:bidi="fr-CH"/>
        </w:rPr>
        <w:tab/>
        <w:t>Corps de la chaussée :</w:t>
      </w:r>
    </w:p>
    <w:p w:rsidR="007F7BD1" w:rsidRPr="00486232" w:rsidRDefault="007F7BD1" w:rsidP="007F7BD1">
      <w:pPr>
        <w:pStyle w:val="Bullet2"/>
        <w:rPr>
          <w:lang w:val="fr-CH" w:bidi="fr-CH"/>
        </w:rPr>
      </w:pPr>
      <w:r w:rsidRPr="00486232">
        <w:rPr>
          <w:lang w:val="fr-CH" w:bidi="fr-CH"/>
        </w:rPr>
        <w:t>Tranchées, remblais, dispositifs de drainage, etc.;</w:t>
      </w:r>
    </w:p>
    <w:p w:rsidR="007F7BD1" w:rsidRPr="00486232" w:rsidRDefault="007F7BD1" w:rsidP="007F7BD1">
      <w:pPr>
        <w:pStyle w:val="Bullet2"/>
        <w:rPr>
          <w:lang w:val="fr-CH" w:bidi="fr-CH"/>
        </w:rPr>
      </w:pPr>
      <w:r w:rsidRPr="00486232">
        <w:rPr>
          <w:lang w:val="fr-CH" w:bidi="fr-CH"/>
        </w:rPr>
        <w:t>Ouvrages de soutènement et de consolidation;</w:t>
      </w:r>
    </w:p>
    <w:p w:rsidR="007F7BD1" w:rsidRPr="00486232" w:rsidRDefault="007F7BD1" w:rsidP="007F7BD1">
      <w:pPr>
        <w:pStyle w:val="SingleTxt"/>
        <w:keepNext/>
        <w:keepLines/>
        <w:rPr>
          <w:lang w:val="fr-CH" w:bidi="fr-CH"/>
        </w:rPr>
      </w:pPr>
      <w:r w:rsidRPr="00486232">
        <w:rPr>
          <w:lang w:val="fr-CH" w:bidi="fr-CH"/>
        </w:rPr>
        <w:tab/>
        <w:t>c)</w:t>
      </w:r>
      <w:r w:rsidRPr="00486232">
        <w:rPr>
          <w:lang w:val="fr-CH" w:bidi="fr-CH"/>
        </w:rPr>
        <w:tab/>
        <w:t>Chaussées et ouvrages accessoires :</w:t>
      </w:r>
    </w:p>
    <w:p w:rsidR="007F7BD1" w:rsidRPr="00486232" w:rsidRDefault="007F7BD1" w:rsidP="007F7BD1">
      <w:pPr>
        <w:pStyle w:val="Bullet2"/>
        <w:rPr>
          <w:lang w:val="fr-CH" w:bidi="fr-CH"/>
        </w:rPr>
      </w:pPr>
      <w:r w:rsidRPr="00486232">
        <w:rPr>
          <w:lang w:val="fr-CH" w:bidi="fr-CH"/>
        </w:rPr>
        <w:t>Couches constitutives de la chaussée, y compris sous-couches de protection, accotements, terre-pleins séparateurs des voies, ouvrages d’écoulement des eaux, zones de stationnement pour les véhicules en difficulté, aires de repos et parkings de rase campagne (voies d’accès et de stationnement, signalisations), parkings situés en agglomération dans l’emprise du domaine public, plantations de toutes sortes, installations de sécurité, etc.;</w:t>
      </w:r>
    </w:p>
    <w:p w:rsidR="007F7BD1" w:rsidRPr="00486232" w:rsidRDefault="007F7BD1" w:rsidP="007F7BD1">
      <w:pPr>
        <w:pStyle w:val="SingleTxt"/>
        <w:keepNext/>
        <w:keepLines/>
        <w:rPr>
          <w:lang w:val="fr-CH" w:bidi="fr-CH"/>
        </w:rPr>
      </w:pPr>
      <w:r w:rsidRPr="00486232">
        <w:rPr>
          <w:lang w:val="fr-CH" w:bidi="fr-CH"/>
        </w:rPr>
        <w:tab/>
        <w:t>d)</w:t>
      </w:r>
      <w:r w:rsidRPr="00486232">
        <w:rPr>
          <w:lang w:val="fr-CH" w:bidi="fr-CH"/>
        </w:rPr>
        <w:tab/>
        <w:t>Ouvrages d’art :</w:t>
      </w:r>
    </w:p>
    <w:p w:rsidR="007F7BD1" w:rsidRPr="00486232" w:rsidRDefault="007F7BD1" w:rsidP="007F7BD1">
      <w:pPr>
        <w:pStyle w:val="Bullet2"/>
        <w:rPr>
          <w:lang w:val="fr-CH" w:bidi="fr-CH"/>
        </w:rPr>
      </w:pPr>
      <w:r w:rsidRPr="00486232">
        <w:rPr>
          <w:lang w:val="fr-CH" w:bidi="fr-CH"/>
        </w:rPr>
        <w:t>Ponts, ponceaux, viaducs, tunnels, galeries contre les avalanches et chutes de pierres, écrans pare-neige, etc.;</w:t>
      </w:r>
    </w:p>
    <w:p w:rsidR="007F7BD1" w:rsidRPr="00486232" w:rsidRDefault="007F7BD1" w:rsidP="007F7BD1">
      <w:pPr>
        <w:pStyle w:val="Bullet2"/>
        <w:rPr>
          <w:lang w:val="fr-CH" w:bidi="fr-CH"/>
        </w:rPr>
      </w:pPr>
      <w:r w:rsidRPr="00486232">
        <w:rPr>
          <w:lang w:val="fr-CH" w:bidi="fr-CH"/>
        </w:rPr>
        <w:t>Passages à niveau;</w:t>
      </w:r>
    </w:p>
    <w:p w:rsidR="007F7BD1" w:rsidRPr="00486232" w:rsidRDefault="007F7BD1" w:rsidP="007F7BD1">
      <w:pPr>
        <w:pStyle w:val="Bullet2"/>
        <w:rPr>
          <w:lang w:val="fr-CH" w:bidi="fr-CH"/>
        </w:rPr>
      </w:pPr>
      <w:r w:rsidRPr="00486232">
        <w:rPr>
          <w:lang w:val="fr-CH" w:bidi="fr-CH"/>
        </w:rPr>
        <w:t>Installations de signalisation et de télécommunication;</w:t>
      </w:r>
    </w:p>
    <w:p w:rsidR="007F7BD1" w:rsidRPr="00486232" w:rsidRDefault="007F7BD1" w:rsidP="007F7BD1">
      <w:pPr>
        <w:pStyle w:val="Bullet2"/>
        <w:rPr>
          <w:lang w:val="fr-CH" w:bidi="fr-CH"/>
        </w:rPr>
      </w:pPr>
      <w:r w:rsidRPr="00486232">
        <w:rPr>
          <w:lang w:val="fr-CH" w:bidi="fr-CH"/>
        </w:rPr>
        <w:t>Installations d’éclairage;</w:t>
      </w:r>
    </w:p>
    <w:p w:rsidR="007F7BD1" w:rsidRPr="00486232" w:rsidRDefault="007F7BD1" w:rsidP="007F7BD1">
      <w:pPr>
        <w:pStyle w:val="Bullet2"/>
        <w:rPr>
          <w:lang w:val="fr-CH" w:bidi="fr-CH"/>
        </w:rPr>
      </w:pPr>
      <w:r w:rsidRPr="00486232">
        <w:rPr>
          <w:lang w:val="fr-CH" w:bidi="fr-CH"/>
        </w:rPr>
        <w:t>Postes de perception de péages, parcomètres;</w:t>
      </w:r>
    </w:p>
    <w:p w:rsidR="007F7BD1" w:rsidRPr="00486232" w:rsidRDefault="007F7BD1" w:rsidP="007F7BD1">
      <w:pPr>
        <w:pStyle w:val="Bullet2"/>
        <w:rPr>
          <w:lang w:val="fr-CH" w:bidi="fr-CH"/>
        </w:rPr>
      </w:pPr>
      <w:r w:rsidRPr="00486232">
        <w:rPr>
          <w:lang w:val="fr-CH" w:bidi="fr-CH"/>
        </w:rPr>
        <w:t>Bâtiments affectés au service des infrastructures;</w:t>
      </w:r>
    </w:p>
    <w:p w:rsidR="007F7BD1" w:rsidRPr="00486232" w:rsidRDefault="007F7BD1" w:rsidP="007F7BD1">
      <w:pPr>
        <w:pStyle w:val="SingleTxt"/>
        <w:numPr>
          <w:ilvl w:val="0"/>
          <w:numId w:val="2"/>
        </w:numPr>
        <w:tabs>
          <w:tab w:val="clear" w:pos="475"/>
          <w:tab w:val="num" w:pos="1742"/>
        </w:tabs>
        <w:ind w:left="1267"/>
        <w:rPr>
          <w:lang w:val="fr-CH" w:bidi="fr-CH"/>
        </w:rPr>
      </w:pPr>
      <w:r w:rsidRPr="00486232">
        <w:rPr>
          <w:lang w:val="fr-CH" w:bidi="fr-CH"/>
        </w:rPr>
        <w:t xml:space="preserve">Infrastructure ferroviaire : </w:t>
      </w:r>
    </w:p>
    <w:p w:rsidR="007F7BD1" w:rsidRPr="00486232" w:rsidRDefault="007F7BD1" w:rsidP="007F7BD1">
      <w:pPr>
        <w:pStyle w:val="SingleTxt"/>
        <w:rPr>
          <w:lang w:val="fr-CH" w:bidi="fr-CH"/>
        </w:rPr>
      </w:pPr>
      <w:r w:rsidRPr="00486232">
        <w:rPr>
          <w:lang w:val="fr-CH" w:bidi="fr-CH"/>
        </w:rPr>
        <w:tab/>
        <w:t>a)</w:t>
      </w:r>
      <w:r w:rsidRPr="00486232">
        <w:rPr>
          <w:lang w:val="fr-CH" w:bidi="fr-CH"/>
        </w:rPr>
        <w:tab/>
        <w:t>Terrains;</w:t>
      </w:r>
    </w:p>
    <w:p w:rsidR="007F7BD1" w:rsidRPr="00486232" w:rsidRDefault="007F7BD1" w:rsidP="007F7BD1">
      <w:pPr>
        <w:pStyle w:val="SingleTxt"/>
        <w:keepNext/>
        <w:keepLines/>
        <w:rPr>
          <w:lang w:val="fr-CH" w:bidi="fr-CH"/>
        </w:rPr>
      </w:pPr>
      <w:r w:rsidRPr="00486232">
        <w:rPr>
          <w:lang w:val="fr-CH" w:bidi="fr-CH"/>
        </w:rPr>
        <w:lastRenderedPageBreak/>
        <w:tab/>
        <w:t>b)</w:t>
      </w:r>
      <w:r w:rsidRPr="00486232">
        <w:rPr>
          <w:lang w:val="fr-CH" w:bidi="fr-CH"/>
        </w:rPr>
        <w:tab/>
        <w:t xml:space="preserve">Corps et plate-forme de la voie, notamment remblais, tranchées, drains, rigoles, fossés maçonnés, aqueducs, murs de revêtement, plantations de protection des talus, etc. : </w:t>
      </w:r>
    </w:p>
    <w:p w:rsidR="007F7BD1" w:rsidRPr="00486232" w:rsidRDefault="007F7BD1" w:rsidP="007F7BD1">
      <w:pPr>
        <w:pStyle w:val="Bullet2"/>
        <w:rPr>
          <w:lang w:val="fr-CH" w:bidi="fr-CH"/>
        </w:rPr>
      </w:pPr>
      <w:r w:rsidRPr="00486232">
        <w:rPr>
          <w:lang w:val="fr-CH" w:bidi="fr-CH"/>
        </w:rPr>
        <w:t>Quais à voyageurs et à marchandises;</w:t>
      </w:r>
    </w:p>
    <w:p w:rsidR="007F7BD1" w:rsidRPr="00486232" w:rsidRDefault="007F7BD1" w:rsidP="007F7BD1">
      <w:pPr>
        <w:pStyle w:val="Bullet2"/>
        <w:rPr>
          <w:lang w:val="fr-CH" w:bidi="fr-CH"/>
        </w:rPr>
      </w:pPr>
      <w:r w:rsidRPr="00486232">
        <w:rPr>
          <w:lang w:val="fr-CH" w:bidi="fr-CH"/>
        </w:rPr>
        <w:t>Accotements et pistes;</w:t>
      </w:r>
    </w:p>
    <w:p w:rsidR="007F7BD1" w:rsidRPr="00486232" w:rsidRDefault="007F7BD1" w:rsidP="007F7BD1">
      <w:pPr>
        <w:pStyle w:val="Bullet2"/>
        <w:rPr>
          <w:lang w:val="fr-CH" w:bidi="fr-CH"/>
        </w:rPr>
      </w:pPr>
      <w:r w:rsidRPr="00486232">
        <w:rPr>
          <w:lang w:val="fr-CH" w:bidi="fr-CH"/>
        </w:rPr>
        <w:t>Murs de clôture, haies vives, palissades;</w:t>
      </w:r>
    </w:p>
    <w:p w:rsidR="007F7BD1" w:rsidRPr="00486232" w:rsidRDefault="007F7BD1" w:rsidP="007F7BD1">
      <w:pPr>
        <w:pStyle w:val="Bullet2"/>
        <w:rPr>
          <w:lang w:val="fr-CH" w:bidi="fr-CH"/>
        </w:rPr>
      </w:pPr>
      <w:r w:rsidRPr="00486232">
        <w:rPr>
          <w:lang w:val="fr-CH" w:bidi="fr-CH"/>
        </w:rPr>
        <w:t>Bandes protectrices contre le feu;</w:t>
      </w:r>
    </w:p>
    <w:p w:rsidR="007F7BD1" w:rsidRPr="00486232" w:rsidRDefault="007F7BD1" w:rsidP="007F7BD1">
      <w:pPr>
        <w:pStyle w:val="Bullet2"/>
        <w:rPr>
          <w:lang w:val="fr-CH" w:bidi="fr-CH"/>
        </w:rPr>
      </w:pPr>
      <w:r w:rsidRPr="00486232">
        <w:rPr>
          <w:lang w:val="fr-CH" w:bidi="fr-CH"/>
        </w:rPr>
        <w:t>Dispositifs pour le réchauffage des appareils de voie;</w:t>
      </w:r>
    </w:p>
    <w:p w:rsidR="007F7BD1" w:rsidRPr="00486232" w:rsidRDefault="007F7BD1" w:rsidP="007F7BD1">
      <w:pPr>
        <w:pStyle w:val="Bullet2"/>
        <w:rPr>
          <w:lang w:val="fr-CH" w:bidi="fr-CH"/>
        </w:rPr>
      </w:pPr>
      <w:r w:rsidRPr="00486232">
        <w:rPr>
          <w:lang w:val="fr-CH" w:bidi="fr-CH"/>
        </w:rPr>
        <w:t>Écrans pare-neige;</w:t>
      </w:r>
    </w:p>
    <w:p w:rsidR="007F7BD1" w:rsidRPr="00486232" w:rsidRDefault="007F7BD1" w:rsidP="007F7BD1">
      <w:pPr>
        <w:pStyle w:val="SingleTxt"/>
        <w:keepNext/>
        <w:keepLines/>
        <w:rPr>
          <w:lang w:val="fr-CH" w:bidi="fr-CH"/>
        </w:rPr>
      </w:pPr>
      <w:r w:rsidRPr="00486232">
        <w:rPr>
          <w:lang w:val="fr-CH" w:bidi="fr-CH"/>
        </w:rPr>
        <w:tab/>
        <w:t>c)</w:t>
      </w:r>
      <w:r w:rsidRPr="00486232">
        <w:rPr>
          <w:lang w:val="fr-CH" w:bidi="fr-CH"/>
        </w:rPr>
        <w:tab/>
        <w:t xml:space="preserve">Ouvrages d’art : </w:t>
      </w:r>
    </w:p>
    <w:p w:rsidR="007F7BD1" w:rsidRPr="00486232" w:rsidRDefault="007F7BD1" w:rsidP="007F7BD1">
      <w:pPr>
        <w:pStyle w:val="Bullet2"/>
        <w:rPr>
          <w:lang w:val="fr-CH" w:bidi="fr-CH"/>
        </w:rPr>
      </w:pPr>
      <w:r w:rsidRPr="00486232">
        <w:rPr>
          <w:lang w:val="fr-CH" w:bidi="fr-CH"/>
        </w:rPr>
        <w:t>Ponts, ponceaux et autres passages supérieurs, tunnels, tranchées couvertes et autres passages inférieurs;</w:t>
      </w:r>
    </w:p>
    <w:p w:rsidR="007F7BD1" w:rsidRPr="00486232" w:rsidRDefault="007F7BD1" w:rsidP="007F7BD1">
      <w:pPr>
        <w:pStyle w:val="Bullet2"/>
        <w:rPr>
          <w:lang w:val="fr-CH" w:bidi="fr-CH"/>
        </w:rPr>
      </w:pPr>
      <w:r w:rsidRPr="00486232">
        <w:rPr>
          <w:lang w:val="fr-CH" w:bidi="fr-CH"/>
        </w:rPr>
        <w:t>Murs de soutènement et ouvrages de protection contre les avalanches, les chutes de pierres, etc.;</w:t>
      </w:r>
    </w:p>
    <w:p w:rsidR="007F7BD1" w:rsidRPr="00486232" w:rsidRDefault="007F7BD1" w:rsidP="007F7BD1">
      <w:pPr>
        <w:pStyle w:val="SingleTxt"/>
        <w:rPr>
          <w:lang w:val="fr-CH" w:bidi="fr-CH"/>
        </w:rPr>
      </w:pPr>
      <w:r w:rsidRPr="00486232">
        <w:rPr>
          <w:lang w:val="fr-CH" w:bidi="fr-CH"/>
        </w:rPr>
        <w:tab/>
        <w:t>d)</w:t>
      </w:r>
      <w:r w:rsidRPr="00486232">
        <w:rPr>
          <w:lang w:val="fr-CH" w:bidi="fr-CH"/>
        </w:rPr>
        <w:tab/>
        <w:t>Passages à niveau, y compris les installations destinées à assurer la sécurité de la circulation routière;</w:t>
      </w:r>
    </w:p>
    <w:p w:rsidR="007F7BD1" w:rsidRPr="00486232" w:rsidRDefault="007F7BD1" w:rsidP="007F7BD1">
      <w:pPr>
        <w:pStyle w:val="SingleTxt"/>
        <w:keepNext/>
        <w:keepLines/>
        <w:rPr>
          <w:lang w:val="fr-CH" w:bidi="fr-CH"/>
        </w:rPr>
      </w:pPr>
      <w:r w:rsidRPr="00486232">
        <w:rPr>
          <w:lang w:val="fr-CH" w:bidi="fr-CH"/>
        </w:rPr>
        <w:tab/>
        <w:t>e)</w:t>
      </w:r>
      <w:r w:rsidRPr="00486232">
        <w:rPr>
          <w:lang w:val="fr-CH" w:bidi="fr-CH"/>
        </w:rPr>
        <w:tab/>
        <w:t xml:space="preserve">Superstructure, notamment : </w:t>
      </w:r>
    </w:p>
    <w:p w:rsidR="007F7BD1" w:rsidRPr="00486232" w:rsidRDefault="007F7BD1" w:rsidP="007F7BD1">
      <w:pPr>
        <w:pStyle w:val="Bullet2"/>
        <w:rPr>
          <w:lang w:val="fr-CH" w:bidi="fr-CH"/>
        </w:rPr>
      </w:pPr>
      <w:r w:rsidRPr="00486232">
        <w:rPr>
          <w:lang w:val="fr-CH" w:bidi="fr-CH"/>
        </w:rPr>
        <w:t>Rails, rails à gorge et contre-rails;</w:t>
      </w:r>
    </w:p>
    <w:p w:rsidR="007F7BD1" w:rsidRPr="00486232" w:rsidRDefault="007F7BD1" w:rsidP="007F7BD1">
      <w:pPr>
        <w:pStyle w:val="Bullet2"/>
        <w:rPr>
          <w:lang w:val="fr-CH" w:bidi="fr-CH"/>
        </w:rPr>
      </w:pPr>
      <w:r w:rsidRPr="00486232">
        <w:rPr>
          <w:lang w:val="fr-CH" w:bidi="fr-CH"/>
        </w:rPr>
        <w:t>Traverses et longrines, petit matériel d’assemblage, ballast, y compris gravillon et sable;</w:t>
      </w:r>
    </w:p>
    <w:p w:rsidR="007F7BD1" w:rsidRPr="00486232" w:rsidRDefault="007F7BD1" w:rsidP="007F7BD1">
      <w:pPr>
        <w:pStyle w:val="Bullet2"/>
        <w:rPr>
          <w:lang w:val="fr-CH" w:bidi="fr-CH"/>
        </w:rPr>
      </w:pPr>
      <w:r w:rsidRPr="00486232">
        <w:rPr>
          <w:lang w:val="fr-CH" w:bidi="fr-CH"/>
        </w:rPr>
        <w:t>Appareils de voie;</w:t>
      </w:r>
    </w:p>
    <w:p w:rsidR="007F7BD1" w:rsidRPr="00486232" w:rsidRDefault="007F7BD1" w:rsidP="007F7BD1">
      <w:pPr>
        <w:pStyle w:val="SingleTxt"/>
        <w:rPr>
          <w:lang w:val="fr-CH" w:bidi="fr-CH"/>
        </w:rPr>
      </w:pPr>
      <w:r w:rsidRPr="00486232">
        <w:rPr>
          <w:lang w:val="fr-CH" w:bidi="fr-CH"/>
        </w:rPr>
        <w:tab/>
        <w:t>f)</w:t>
      </w:r>
      <w:r w:rsidRPr="00486232">
        <w:rPr>
          <w:lang w:val="fr-CH" w:bidi="fr-CH"/>
        </w:rPr>
        <w:tab/>
        <w:t>Plaques tournantes et chariots transbordeurs (à l’exception de ceux exclusivement réservés aux engins de traction);</w:t>
      </w:r>
    </w:p>
    <w:p w:rsidR="007F7BD1" w:rsidRPr="00486232" w:rsidRDefault="007F7BD1" w:rsidP="007F7BD1">
      <w:pPr>
        <w:pStyle w:val="SingleTxt"/>
        <w:rPr>
          <w:lang w:val="fr-CH" w:bidi="fr-CH"/>
        </w:rPr>
      </w:pPr>
      <w:r w:rsidRPr="00486232">
        <w:rPr>
          <w:lang w:val="fr-CH" w:bidi="fr-CH"/>
        </w:rPr>
        <w:tab/>
        <w:t>g)</w:t>
      </w:r>
      <w:r w:rsidRPr="00486232">
        <w:rPr>
          <w:lang w:val="fr-CH" w:bidi="fr-CH"/>
        </w:rPr>
        <w:tab/>
        <w:t>Chaussées des cours à voyageurs et à marchandises, y compris les accès par route;</w:t>
      </w:r>
    </w:p>
    <w:p w:rsidR="007F7BD1" w:rsidRPr="00486232" w:rsidRDefault="007F7BD1" w:rsidP="007F7BD1">
      <w:pPr>
        <w:pStyle w:val="SingleTxt"/>
        <w:keepNext/>
        <w:keepLines/>
        <w:rPr>
          <w:lang w:val="fr-CH" w:bidi="fr-CH"/>
        </w:rPr>
      </w:pPr>
      <w:r w:rsidRPr="00486232">
        <w:rPr>
          <w:lang w:val="fr-CH" w:bidi="fr-CH"/>
        </w:rPr>
        <w:tab/>
        <w:t>h)</w:t>
      </w:r>
      <w:r w:rsidRPr="00486232">
        <w:rPr>
          <w:lang w:val="fr-CH" w:bidi="fr-CH"/>
        </w:rPr>
        <w:tab/>
        <w:t xml:space="preserve">Installations de sécurité, de signalisation et de télécommunication de pleine voie, de gare et de triage : </w:t>
      </w:r>
    </w:p>
    <w:p w:rsidR="007F7BD1" w:rsidRPr="00486232" w:rsidRDefault="007F7BD1" w:rsidP="007F7BD1">
      <w:pPr>
        <w:pStyle w:val="Bullet2"/>
        <w:rPr>
          <w:lang w:val="fr-CH" w:bidi="fr-CH"/>
        </w:rPr>
      </w:pPr>
      <w:r w:rsidRPr="00486232">
        <w:rPr>
          <w:lang w:val="fr-CH" w:bidi="fr-CH"/>
        </w:rPr>
        <w:t>Y compris installations de production, de transformation et de distribution de courant électrique pour le service de la signalisation et des télécommunications;</w:t>
      </w:r>
    </w:p>
    <w:p w:rsidR="007F7BD1" w:rsidRPr="00486232" w:rsidRDefault="007F7BD1" w:rsidP="007F7BD1">
      <w:pPr>
        <w:pStyle w:val="Bullet2"/>
        <w:rPr>
          <w:lang w:val="fr-CH" w:bidi="fr-CH"/>
        </w:rPr>
      </w:pPr>
      <w:r w:rsidRPr="00486232">
        <w:rPr>
          <w:lang w:val="fr-CH" w:bidi="fr-CH"/>
        </w:rPr>
        <w:t>Bâtiments affectés auxdites installations;</w:t>
      </w:r>
    </w:p>
    <w:p w:rsidR="007F7BD1" w:rsidRPr="00486232" w:rsidRDefault="007F7BD1" w:rsidP="007F7BD1">
      <w:pPr>
        <w:pStyle w:val="Bullet2"/>
        <w:rPr>
          <w:lang w:val="fr-CH" w:bidi="fr-CH"/>
        </w:rPr>
      </w:pPr>
      <w:r w:rsidRPr="00486232">
        <w:rPr>
          <w:lang w:val="fr-CH" w:bidi="fr-CH"/>
        </w:rPr>
        <w:t>Freins de voie;</w:t>
      </w:r>
    </w:p>
    <w:p w:rsidR="007F7BD1" w:rsidRPr="00486232" w:rsidRDefault="007F7BD1" w:rsidP="007F7BD1">
      <w:pPr>
        <w:pStyle w:val="SingleTxt"/>
        <w:rPr>
          <w:lang w:val="fr-CH" w:bidi="fr-CH"/>
        </w:rPr>
      </w:pPr>
      <w:r w:rsidRPr="00486232">
        <w:rPr>
          <w:lang w:val="fr-CH" w:bidi="fr-CH"/>
        </w:rPr>
        <w:tab/>
        <w:t>i)</w:t>
      </w:r>
      <w:r w:rsidRPr="00486232">
        <w:rPr>
          <w:lang w:val="fr-CH" w:bidi="fr-CH"/>
        </w:rPr>
        <w:tab/>
        <w:t>Installations d’éclairage destinées à assurer la circulation des véhicules et la sécurité de cette circulation;</w:t>
      </w:r>
    </w:p>
    <w:p w:rsidR="007F7BD1" w:rsidRPr="00486232" w:rsidRDefault="007F7BD1" w:rsidP="007F7BD1">
      <w:pPr>
        <w:pStyle w:val="SingleTxt"/>
        <w:rPr>
          <w:lang w:val="fr-CH" w:bidi="fr-CH"/>
        </w:rPr>
      </w:pPr>
      <w:r w:rsidRPr="00486232">
        <w:rPr>
          <w:lang w:val="fr-CH" w:bidi="fr-CH"/>
        </w:rPr>
        <w:tab/>
        <w:t>j)</w:t>
      </w:r>
      <w:r w:rsidRPr="00486232">
        <w:rPr>
          <w:lang w:val="fr-CH" w:bidi="fr-CH"/>
        </w:rPr>
        <w:tab/>
        <w:t xml:space="preserve">Installations de transformation et de transport de courant électrique pour la traction des trains : </w:t>
      </w:r>
    </w:p>
    <w:p w:rsidR="007F7BD1" w:rsidRPr="00486232" w:rsidRDefault="007F7BD1" w:rsidP="007F7BD1">
      <w:pPr>
        <w:pStyle w:val="Bullet2"/>
        <w:rPr>
          <w:lang w:val="fr-CH" w:bidi="fr-CH"/>
        </w:rPr>
      </w:pPr>
      <w:r w:rsidRPr="00486232">
        <w:rPr>
          <w:lang w:val="fr-CH" w:bidi="fr-CH"/>
        </w:rPr>
        <w:t>Sous-stations, lignes d’alimentation entre les sous-stations et les fils de contact, caténaires et supports;</w:t>
      </w:r>
    </w:p>
    <w:p w:rsidR="007F7BD1" w:rsidRPr="00486232" w:rsidRDefault="007F7BD1" w:rsidP="007F7BD1">
      <w:pPr>
        <w:pStyle w:val="Bullet2"/>
        <w:rPr>
          <w:lang w:val="fr-CH" w:bidi="fr-CH"/>
        </w:rPr>
      </w:pPr>
      <w:r w:rsidRPr="00486232">
        <w:rPr>
          <w:lang w:val="fr-CH" w:bidi="fr-CH"/>
        </w:rPr>
        <w:t>Troisième rail avec supports;</w:t>
      </w:r>
    </w:p>
    <w:p w:rsidR="007F7BD1" w:rsidRPr="00486232" w:rsidRDefault="007F7BD1" w:rsidP="007F7BD1">
      <w:pPr>
        <w:pStyle w:val="SingleTxt"/>
        <w:rPr>
          <w:lang w:val="fr-CH" w:bidi="fr-CH"/>
        </w:rPr>
      </w:pPr>
      <w:r w:rsidRPr="00486232">
        <w:rPr>
          <w:lang w:val="fr-CH" w:bidi="fr-CH"/>
        </w:rPr>
        <w:tab/>
        <w:t>k)</w:t>
      </w:r>
      <w:r w:rsidRPr="00486232">
        <w:rPr>
          <w:lang w:val="fr-CH" w:bidi="fr-CH"/>
        </w:rPr>
        <w:tab/>
        <w:t>Bâtiments affectés au service des infrastructures, y compris la quote-part relative aux installations de perception des frais de transport.</w:t>
      </w:r>
    </w:p>
    <w:p w:rsidR="007F7BD1" w:rsidRPr="00486232" w:rsidRDefault="007F7BD1" w:rsidP="007F7BD1">
      <w:pPr>
        <w:pStyle w:val="SingleTxt"/>
        <w:keepNext/>
        <w:keepLines/>
        <w:numPr>
          <w:ilvl w:val="0"/>
          <w:numId w:val="2"/>
        </w:numPr>
        <w:tabs>
          <w:tab w:val="clear" w:pos="475"/>
          <w:tab w:val="num" w:pos="1742"/>
        </w:tabs>
        <w:ind w:left="1267"/>
        <w:rPr>
          <w:lang w:val="fr-CH" w:bidi="fr-CH"/>
        </w:rPr>
      </w:pPr>
      <w:r w:rsidRPr="00486232">
        <w:rPr>
          <w:lang w:val="fr-CH" w:bidi="fr-CH"/>
        </w:rPr>
        <w:lastRenderedPageBreak/>
        <w:t>Infrastructure des voies navigables :</w:t>
      </w:r>
    </w:p>
    <w:p w:rsidR="007F7BD1" w:rsidRPr="00486232" w:rsidRDefault="007F7BD1" w:rsidP="007F7BD1">
      <w:pPr>
        <w:pStyle w:val="SingleTxt"/>
        <w:rPr>
          <w:lang w:val="fr-CH" w:bidi="fr-CH"/>
        </w:rPr>
      </w:pPr>
      <w:r w:rsidRPr="00486232">
        <w:rPr>
          <w:lang w:val="fr-CH" w:bidi="fr-CH"/>
        </w:rPr>
        <w:tab/>
        <w:t>a)</w:t>
      </w:r>
      <w:r w:rsidRPr="00486232">
        <w:rPr>
          <w:lang w:val="fr-CH" w:bidi="fr-CH"/>
        </w:rPr>
        <w:tab/>
        <w:t>Terrains;</w:t>
      </w:r>
    </w:p>
    <w:p w:rsidR="007F7BD1" w:rsidRPr="00486232" w:rsidRDefault="007F7BD1" w:rsidP="007F7BD1">
      <w:pPr>
        <w:pStyle w:val="SingleTxt"/>
        <w:rPr>
          <w:lang w:val="fr-CH" w:bidi="fr-CH"/>
        </w:rPr>
      </w:pPr>
      <w:r w:rsidRPr="00486232">
        <w:rPr>
          <w:lang w:val="fr-CH" w:bidi="fr-CH"/>
        </w:rPr>
        <w:tab/>
        <w:t>b)</w:t>
      </w:r>
      <w:r w:rsidRPr="00486232">
        <w:rPr>
          <w:lang w:val="fr-CH" w:bidi="fr-CH"/>
        </w:rPr>
        <w:tab/>
        <w:t>Chenal (terrassements, cuvette et étanchement des canaux, seuils de fonds, épis, bermes, chemins de halage et de service), défenses de rives, ponts-canaux, siphons et aqueducs, tunnels pour canaux, ports servant exclusivement de refuge aux bateaux;</w:t>
      </w:r>
    </w:p>
    <w:p w:rsidR="007F7BD1" w:rsidRPr="00486232" w:rsidRDefault="007F7BD1" w:rsidP="007F7BD1">
      <w:pPr>
        <w:pStyle w:val="SingleTxt"/>
        <w:rPr>
          <w:lang w:val="fr-CH" w:bidi="fr-CH"/>
        </w:rPr>
      </w:pPr>
      <w:r w:rsidRPr="00486232">
        <w:rPr>
          <w:lang w:val="fr-CH" w:bidi="fr-CH"/>
        </w:rPr>
        <w:tab/>
        <w:t>c)</w:t>
      </w:r>
      <w:r w:rsidRPr="00486232">
        <w:rPr>
          <w:lang w:val="fr-CH" w:bidi="fr-CH"/>
        </w:rPr>
        <w:tab/>
        <w:t xml:space="preserve">Ouvrages de fermeture et de garde, ouvrages destinés à l’évacuation par gravité de l’eau d’une retenue, bassins et réservoirs ayant pour fonction d’emmagasiner l’eau destinée à l’alimentation et à la régulation du niveau d’eau, installations de régulation des eaux, échelles fluviales, </w:t>
      </w:r>
      <w:proofErr w:type="spellStart"/>
      <w:r w:rsidRPr="00486232">
        <w:rPr>
          <w:lang w:val="fr-CH" w:bidi="fr-CH"/>
        </w:rPr>
        <w:t>limnigraphes</w:t>
      </w:r>
      <w:proofErr w:type="spellEnd"/>
      <w:r w:rsidRPr="00486232">
        <w:rPr>
          <w:lang w:val="fr-CH" w:bidi="fr-CH"/>
        </w:rPr>
        <w:t xml:space="preserve"> et dispositifs d’alerte;</w:t>
      </w:r>
    </w:p>
    <w:p w:rsidR="007F7BD1" w:rsidRPr="00486232" w:rsidRDefault="007F7BD1" w:rsidP="007F7BD1">
      <w:pPr>
        <w:pStyle w:val="SingleTxt"/>
        <w:rPr>
          <w:lang w:val="fr-CH" w:bidi="fr-CH"/>
        </w:rPr>
      </w:pPr>
      <w:r w:rsidRPr="00486232">
        <w:rPr>
          <w:lang w:val="fr-CH" w:bidi="fr-CH"/>
        </w:rPr>
        <w:tab/>
        <w:t>d)</w:t>
      </w:r>
      <w:r w:rsidRPr="00486232">
        <w:rPr>
          <w:lang w:val="fr-CH" w:bidi="fr-CH"/>
        </w:rPr>
        <w:tab/>
        <w:t>Barrages (ouvrages construits en travers du lit d’une rivière en vue d’assurer, pour la navigation, une profondeur d’eau suffisante et de réduire la vitesse du courant par la création de biefs), installations annexes (échelles à poissons, bouchures de secours);</w:t>
      </w:r>
    </w:p>
    <w:p w:rsidR="007F7BD1" w:rsidRPr="00486232" w:rsidRDefault="007F7BD1" w:rsidP="007F7BD1">
      <w:pPr>
        <w:pStyle w:val="SingleTxt"/>
        <w:rPr>
          <w:lang w:val="fr-CH" w:bidi="fr-CH"/>
        </w:rPr>
      </w:pPr>
      <w:r w:rsidRPr="00486232">
        <w:rPr>
          <w:lang w:val="fr-CH" w:bidi="fr-CH"/>
        </w:rPr>
        <w:tab/>
        <w:t>e)</w:t>
      </w:r>
      <w:r w:rsidRPr="00486232">
        <w:rPr>
          <w:lang w:val="fr-CH" w:bidi="fr-CH"/>
        </w:rPr>
        <w:tab/>
        <w:t>Écluses de navigation, ascenseurs et plans inclinés, y compris bassins d’attente et d’épargne;</w:t>
      </w:r>
    </w:p>
    <w:p w:rsidR="007F7BD1" w:rsidRPr="00486232" w:rsidRDefault="007F7BD1" w:rsidP="007F7BD1">
      <w:pPr>
        <w:pStyle w:val="SingleTxt"/>
        <w:rPr>
          <w:lang w:val="fr-CH" w:bidi="fr-CH"/>
        </w:rPr>
      </w:pPr>
      <w:r w:rsidRPr="00486232">
        <w:rPr>
          <w:lang w:val="fr-CH" w:bidi="fr-CH"/>
        </w:rPr>
        <w:tab/>
        <w:t>f)</w:t>
      </w:r>
      <w:r w:rsidRPr="00486232">
        <w:rPr>
          <w:lang w:val="fr-CH" w:bidi="fr-CH"/>
        </w:rPr>
        <w:tab/>
        <w:t>Dispositifs d’amarrage et estacades de guidage (bouées d’amarrage, ducs-d’Albe, bittes d’amarrage, bollards, lisses et défenses);</w:t>
      </w:r>
    </w:p>
    <w:p w:rsidR="007F7BD1" w:rsidRPr="00486232" w:rsidRDefault="007F7BD1" w:rsidP="007F7BD1">
      <w:pPr>
        <w:pStyle w:val="SingleTxt"/>
        <w:rPr>
          <w:lang w:val="fr-CH" w:bidi="fr-CH"/>
        </w:rPr>
      </w:pPr>
      <w:r w:rsidRPr="00486232">
        <w:rPr>
          <w:lang w:val="fr-CH" w:bidi="fr-CH"/>
        </w:rPr>
        <w:tab/>
        <w:t>g)</w:t>
      </w:r>
      <w:r w:rsidRPr="00486232">
        <w:rPr>
          <w:lang w:val="fr-CH" w:bidi="fr-CH"/>
        </w:rPr>
        <w:tab/>
        <w:t>Ponts mobiles;</w:t>
      </w:r>
    </w:p>
    <w:p w:rsidR="007F7BD1" w:rsidRPr="00486232" w:rsidRDefault="007F7BD1" w:rsidP="007F7BD1">
      <w:pPr>
        <w:pStyle w:val="SingleTxt"/>
        <w:rPr>
          <w:lang w:val="fr-CH" w:bidi="fr-CH"/>
        </w:rPr>
      </w:pPr>
      <w:r w:rsidRPr="00486232">
        <w:rPr>
          <w:lang w:val="fr-CH" w:bidi="fr-CH"/>
        </w:rPr>
        <w:tab/>
        <w:t>h)</w:t>
      </w:r>
      <w:r w:rsidRPr="00486232">
        <w:rPr>
          <w:lang w:val="fr-CH" w:bidi="fr-CH"/>
        </w:rPr>
        <w:tab/>
        <w:t>Installations de signalisation et de balisage, de sécurité, de télécommunication et d’éclairage;</w:t>
      </w:r>
    </w:p>
    <w:p w:rsidR="007F7BD1" w:rsidRPr="00486232" w:rsidRDefault="007F7BD1" w:rsidP="007F7BD1">
      <w:pPr>
        <w:pStyle w:val="SingleTxt"/>
        <w:rPr>
          <w:lang w:val="fr-CH" w:bidi="fr-CH"/>
        </w:rPr>
      </w:pPr>
      <w:r w:rsidRPr="00486232">
        <w:rPr>
          <w:lang w:val="fr-CH" w:bidi="fr-CH"/>
        </w:rPr>
        <w:tab/>
        <w:t>i)</w:t>
      </w:r>
      <w:r w:rsidRPr="00486232">
        <w:rPr>
          <w:lang w:val="fr-CH" w:bidi="fr-CH"/>
        </w:rPr>
        <w:tab/>
        <w:t>Installations de régulation de la circulation;</w:t>
      </w:r>
    </w:p>
    <w:p w:rsidR="007F7BD1" w:rsidRPr="00486232" w:rsidRDefault="007F7BD1" w:rsidP="007F7BD1">
      <w:pPr>
        <w:pStyle w:val="SingleTxt"/>
        <w:rPr>
          <w:lang w:val="fr-CH" w:bidi="fr-CH"/>
        </w:rPr>
      </w:pPr>
      <w:r w:rsidRPr="00486232">
        <w:rPr>
          <w:lang w:val="fr-CH" w:bidi="fr-CH"/>
        </w:rPr>
        <w:tab/>
        <w:t>j)</w:t>
      </w:r>
      <w:r w:rsidRPr="00486232">
        <w:rPr>
          <w:lang w:val="fr-CH" w:bidi="fr-CH"/>
        </w:rPr>
        <w:tab/>
        <w:t>Postes de perception de péages;</w:t>
      </w:r>
    </w:p>
    <w:p w:rsidR="007F7BD1" w:rsidRPr="00486232" w:rsidRDefault="007F7BD1" w:rsidP="007F7BD1">
      <w:pPr>
        <w:pStyle w:val="SingleTxt"/>
        <w:rPr>
          <w:lang w:val="fr-CH" w:bidi="fr-CH"/>
        </w:rPr>
      </w:pPr>
      <w:r w:rsidRPr="00486232">
        <w:rPr>
          <w:lang w:val="fr-CH" w:bidi="fr-CH"/>
        </w:rPr>
        <w:tab/>
        <w:t>k)</w:t>
      </w:r>
      <w:r w:rsidRPr="00486232">
        <w:rPr>
          <w:lang w:val="fr-CH" w:bidi="fr-CH"/>
        </w:rPr>
        <w:tab/>
        <w:t>Bâtiments affectés au service des infrastructures.</w:t>
      </w:r>
    </w:p>
    <w:p w:rsidR="007F7BD1" w:rsidRPr="00486232" w:rsidRDefault="007F7BD1" w:rsidP="007F7BD1">
      <w:pPr>
        <w:pStyle w:val="SingleTxt"/>
        <w:numPr>
          <w:ilvl w:val="0"/>
          <w:numId w:val="2"/>
        </w:numPr>
        <w:tabs>
          <w:tab w:val="clear" w:pos="475"/>
          <w:tab w:val="num" w:pos="1742"/>
        </w:tabs>
        <w:ind w:left="1267"/>
        <w:rPr>
          <w:lang w:val="fr-CH" w:bidi="fr-CH"/>
        </w:rPr>
      </w:pPr>
      <w:r w:rsidRPr="00486232">
        <w:rPr>
          <w:lang w:val="fr-CH" w:bidi="fr-CH"/>
        </w:rPr>
        <w:t>S’agissant de la maintenance, les travaux de maintenance ordinaire et de réparation doivent être enregistrés comme relevant de la consommation intermédiaire, tandis que les travaux importants de rénovation, de réfection et d’agrandissement doivent être enregistrés en tant qu’investissements. Il s’agit pour les premiers d’activités que les propriétaires ou les utilisateurs d’actifs fixes sont tenus d’entreprendre périodiquement afin d’être en mesure d’exploiter ces actifs au cours de leur durée de vie escomptée. Ces dépenses courantes ne peuvent être évitées si l’on souhaite continuer à utiliser les actifs fixes visés. Les travaux de maintenance et de réparation ne modifient aucunement l’actif fixe ou son fonctionnement, mais le maintiennent simplement en bon état de marche ou le remettent en état en cas de défaillance.</w:t>
      </w:r>
    </w:p>
    <w:p w:rsidR="007F7BD1" w:rsidRPr="00486232" w:rsidRDefault="007F7BD1" w:rsidP="007F7BD1">
      <w:pPr>
        <w:pStyle w:val="SingleTxt"/>
        <w:numPr>
          <w:ilvl w:val="0"/>
          <w:numId w:val="2"/>
        </w:numPr>
        <w:tabs>
          <w:tab w:val="clear" w:pos="475"/>
          <w:tab w:val="num" w:pos="1742"/>
        </w:tabs>
        <w:ind w:left="1267"/>
        <w:rPr>
          <w:lang w:val="fr-CH" w:bidi="fr-CH"/>
        </w:rPr>
      </w:pPr>
      <w:r w:rsidRPr="00486232">
        <w:rPr>
          <w:lang w:val="fr-CH" w:bidi="fr-CH"/>
        </w:rPr>
        <w:t>Décider de rénover, de reconstruire ou d’agrandir un actif fixe revient à prendre délibérément la décision de réaliser un investissement, et cette décision, qui peut être prise à tout moment, n’est pas imposée par l’état de l’actif. Les équipements, bâtiments et autres structures font souvent l’objet de rénovations majeures bien avant l’échéance de leur durée de vie normale.</w:t>
      </w:r>
    </w:p>
    <w:p w:rsidR="007F7BD1" w:rsidRPr="00486232" w:rsidRDefault="007F7BD1" w:rsidP="007F7BD1">
      <w:pPr>
        <w:pStyle w:val="SingleTxt"/>
        <w:numPr>
          <w:ilvl w:val="0"/>
          <w:numId w:val="2"/>
        </w:numPr>
        <w:tabs>
          <w:tab w:val="clear" w:pos="475"/>
          <w:tab w:val="num" w:pos="1742"/>
        </w:tabs>
        <w:ind w:left="1267"/>
        <w:rPr>
          <w:lang w:val="fr-CH" w:bidi="fr-CH"/>
        </w:rPr>
      </w:pPr>
      <w:r w:rsidRPr="00486232">
        <w:rPr>
          <w:lang w:val="fr-CH" w:bidi="fr-CH"/>
        </w:rPr>
        <w:t xml:space="preserve">Étant donné que la réalisation d’infrastructures de transport prend généralement plus d’un an, les questions concernant le moment d’enregistrement sont tout à fait pertinentes pour ce type d’investissement. Selon un principe général, le moment d’enregistrement des acquisitions d’actifs fixes est le moment où la propriété des actifs fixes est transférée à l’unité institutionnelle qui a l’intention de les utiliser à des fins de production (Système de comptabilité nationale (SCN), par. 10.53). Il en va de </w:t>
      </w:r>
      <w:r w:rsidRPr="00486232">
        <w:rPr>
          <w:lang w:val="fr-CH" w:bidi="fr-CH"/>
        </w:rPr>
        <w:lastRenderedPageBreak/>
        <w:t>même pour les actifs fixes dont la durée de production est supérieure à un an. Cependant, lorsque des paiements échelonnés sont effectués, ces derniers sont considérés comme l’achat (d’une partie) d’un actif fixe ou comme une avance commerciale si la valeur du paiement échelonné est supérieure à la valeur des travaux mis en œuvre. Dans ce dernier cas, les travaux sont enregistrés comme capital fixe livré au propriétaire final à mesure que les travaux progressent jusqu’à ce que le crédit commercial soit épuisé</w:t>
      </w:r>
      <w:r w:rsidRPr="00486232">
        <w:rPr>
          <w:vertAlign w:val="superscript"/>
          <w:lang w:val="fr-CH"/>
        </w:rPr>
        <w:footnoteReference w:id="2"/>
      </w:r>
      <w:r w:rsidRPr="00486232">
        <w:rPr>
          <w:lang w:val="fr-CH" w:bidi="fr-CH"/>
        </w:rPr>
        <w:t xml:space="preserve">. </w:t>
      </w:r>
    </w:p>
    <w:p w:rsidR="007F7BD1" w:rsidRPr="00486232" w:rsidRDefault="007F7BD1" w:rsidP="007F7BD1">
      <w:pPr>
        <w:pStyle w:val="SingleTxt"/>
        <w:numPr>
          <w:ilvl w:val="0"/>
          <w:numId w:val="2"/>
        </w:numPr>
        <w:tabs>
          <w:tab w:val="clear" w:pos="475"/>
          <w:tab w:val="num" w:pos="1742"/>
        </w:tabs>
        <w:ind w:left="1267"/>
        <w:rPr>
          <w:lang w:val="fr-CH" w:bidi="fr-CH"/>
        </w:rPr>
      </w:pPr>
      <w:r w:rsidRPr="00486232">
        <w:rPr>
          <w:lang w:val="fr-CH" w:bidi="fr-CH"/>
        </w:rPr>
        <w:t xml:space="preserve">En ce qui concerne l’estimation de la valeur des achats d’actifs, les coûts engagés lors de l’acquisition d’un actif sont traités comme une partie intégrante de la valeur de la formation brute de capital fixe de l’unité concernée (SCN, par. 10.49). Plus précisément, ces coûts de transfert de propriété se répartissent dans les catégories suivantes : </w:t>
      </w:r>
    </w:p>
    <w:p w:rsidR="007F7BD1" w:rsidRPr="00486232" w:rsidRDefault="007F7BD1" w:rsidP="007F7BD1">
      <w:pPr>
        <w:pStyle w:val="SingleTxt"/>
        <w:rPr>
          <w:lang w:val="fr-CH" w:bidi="fr-CH"/>
        </w:rPr>
      </w:pPr>
      <w:r w:rsidRPr="00486232">
        <w:rPr>
          <w:lang w:val="fr-CH" w:bidi="fr-CH"/>
        </w:rPr>
        <w:tab/>
        <w:t>a)</w:t>
      </w:r>
      <w:r w:rsidRPr="00486232">
        <w:rPr>
          <w:lang w:val="fr-CH" w:bidi="fr-CH"/>
        </w:rPr>
        <w:tab/>
        <w:t>La totalité des frais ou des commissions de nature professionnelle supportés par les deux unités lors de l’acquisition ou de la cession d’un actif : honoraires d’officiers publics, d’architectes, de géomètres, d’ingénieurs et d’experts, commissions versées aux agents immobiliers et aux commissaires-priseurs, etc.;</w:t>
      </w:r>
    </w:p>
    <w:p w:rsidR="007F7BD1" w:rsidRPr="00486232" w:rsidRDefault="007F7BD1" w:rsidP="007F7BD1">
      <w:pPr>
        <w:pStyle w:val="SingleTxt"/>
        <w:rPr>
          <w:lang w:val="fr-CH" w:bidi="fr-CH"/>
        </w:rPr>
      </w:pPr>
      <w:r w:rsidRPr="00486232">
        <w:rPr>
          <w:lang w:val="fr-CH" w:bidi="fr-CH"/>
        </w:rPr>
        <w:tab/>
        <w:t>b)</w:t>
      </w:r>
      <w:r w:rsidRPr="00486232">
        <w:rPr>
          <w:lang w:val="fr-CH" w:bidi="fr-CH"/>
        </w:rPr>
        <w:tab/>
        <w:t>Les marges commerciales et frais de transport éventuels facturés séparément à l’acquéreur;</w:t>
      </w:r>
    </w:p>
    <w:p w:rsidR="007F7BD1" w:rsidRPr="00486232" w:rsidRDefault="007F7BD1" w:rsidP="007F7BD1">
      <w:pPr>
        <w:pStyle w:val="SingleTxt"/>
        <w:rPr>
          <w:lang w:val="fr-CH" w:bidi="fr-CH"/>
        </w:rPr>
      </w:pPr>
      <w:r w:rsidRPr="00486232">
        <w:rPr>
          <w:lang w:val="fr-CH" w:bidi="fr-CH"/>
        </w:rPr>
        <w:tab/>
        <w:t>c)</w:t>
      </w:r>
      <w:r w:rsidRPr="00486232">
        <w:rPr>
          <w:lang w:val="fr-CH" w:bidi="fr-CH"/>
        </w:rPr>
        <w:tab/>
        <w:t>La totalité des impôts à payer par l’unité qui acquiert l’actif sur le transfert de propriété de l’actif;</w:t>
      </w:r>
    </w:p>
    <w:p w:rsidR="007F7BD1" w:rsidRPr="00486232" w:rsidRDefault="007F7BD1" w:rsidP="007F7BD1">
      <w:pPr>
        <w:pStyle w:val="SingleTxt"/>
        <w:rPr>
          <w:lang w:val="fr-CH" w:bidi="fr-CH"/>
        </w:rPr>
      </w:pPr>
      <w:r w:rsidRPr="00486232">
        <w:rPr>
          <w:lang w:val="fr-CH" w:bidi="fr-CH"/>
        </w:rPr>
        <w:tab/>
        <w:t>d)</w:t>
      </w:r>
      <w:r w:rsidRPr="00486232">
        <w:rPr>
          <w:lang w:val="fr-CH" w:bidi="fr-CH"/>
        </w:rPr>
        <w:tab/>
        <w:t>Les éventuels impôts à payer sur la cession de l’actif;</w:t>
      </w:r>
    </w:p>
    <w:p w:rsidR="007F7BD1" w:rsidRPr="00486232" w:rsidRDefault="007F7BD1" w:rsidP="007F7BD1">
      <w:pPr>
        <w:pStyle w:val="SingleTxt"/>
        <w:rPr>
          <w:lang w:val="fr-CH" w:bidi="fr-CH"/>
        </w:rPr>
      </w:pPr>
      <w:r w:rsidRPr="00486232">
        <w:rPr>
          <w:lang w:val="fr-CH" w:bidi="fr-CH"/>
        </w:rPr>
        <w:tab/>
        <w:t>e)</w:t>
      </w:r>
      <w:r w:rsidRPr="00486232">
        <w:rPr>
          <w:lang w:val="fr-CH" w:bidi="fr-CH"/>
        </w:rPr>
        <w:tab/>
        <w:t>Les éventuels frais de livraison et d’installation ou de désinstallation non inclus dans le prix de l’actif au moment de son acquisition ou de sa cession; et</w:t>
      </w:r>
    </w:p>
    <w:p w:rsidR="007F7BD1" w:rsidRPr="00486232" w:rsidRDefault="007F7BD1" w:rsidP="007F7BD1">
      <w:pPr>
        <w:pStyle w:val="SingleTxt"/>
        <w:rPr>
          <w:lang w:val="fr-CH" w:bidi="fr-CH"/>
        </w:rPr>
      </w:pPr>
      <w:r w:rsidRPr="00486232">
        <w:rPr>
          <w:lang w:val="fr-CH" w:bidi="fr-CH"/>
        </w:rPr>
        <w:tab/>
        <w:t>f)</w:t>
      </w:r>
      <w:r w:rsidRPr="00486232">
        <w:rPr>
          <w:lang w:val="fr-CH" w:bidi="fr-CH"/>
        </w:rPr>
        <w:tab/>
        <w:t>Les éventuels coûts supportés à la fin de la durée de vie de l’actif, par exemple les coûts nécessaires pour assurer la stabilité de l’ouvrage ou restaurer l’environnement dans lequel il se situe.</w:t>
      </w: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86232">
        <w:rPr>
          <w:lang w:val="fr-CH" w:bidi="fr-CH"/>
        </w:rPr>
        <w:tab/>
      </w:r>
      <w:bookmarkStart w:id="1" w:name="_GoBack"/>
      <w:bookmarkEnd w:id="1"/>
      <w:r w:rsidRPr="00486232">
        <w:rPr>
          <w:lang w:val="fr-CH" w:bidi="fr-CH"/>
        </w:rPr>
        <w:t>II.</w:t>
      </w:r>
      <w:r w:rsidRPr="00486232">
        <w:rPr>
          <w:lang w:val="fr-CH" w:bidi="fr-CH"/>
        </w:rPr>
        <w:tab/>
        <w:t xml:space="preserve">Questionnaire </w:t>
      </w: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keepNext/>
        <w:keepLines/>
        <w:numPr>
          <w:ilvl w:val="0"/>
          <w:numId w:val="2"/>
        </w:numPr>
        <w:tabs>
          <w:tab w:val="clear" w:pos="475"/>
          <w:tab w:val="num" w:pos="1742"/>
        </w:tabs>
        <w:ind w:left="1267"/>
        <w:rPr>
          <w:lang w:val="fr-CH"/>
        </w:rPr>
      </w:pPr>
      <w:r w:rsidRPr="00486232">
        <w:rPr>
          <w:lang w:val="fr-CH" w:bidi="fr-CH"/>
        </w:rPr>
        <w:t>Question 1. Remplir le tableau suivant pour chaque mode de transport :</w:t>
      </w:r>
      <w:r w:rsidRPr="00486232">
        <w:rPr>
          <w:lang w:val="fr-CH"/>
        </w:rPr>
        <w:t xml:space="preserve"> </w:t>
      </w:r>
    </w:p>
    <w:p w:rsidR="007F7BD1" w:rsidRPr="00486232" w:rsidRDefault="007F7BD1" w:rsidP="007F7BD1">
      <w:pPr>
        <w:pStyle w:val="SingleTxt"/>
        <w:tabs>
          <w:tab w:val="clear" w:pos="1742"/>
        </w:tabs>
        <w:spacing w:after="0" w:line="120" w:lineRule="exact"/>
        <w:rPr>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1497"/>
        <w:gridCol w:w="1497"/>
        <w:gridCol w:w="1498"/>
        <w:gridCol w:w="1498"/>
        <w:gridCol w:w="1498"/>
      </w:tblGrid>
      <w:tr w:rsidR="007F7BD1" w:rsidRPr="00486232" w:rsidTr="00B97F5F">
        <w:trPr>
          <w:tblHeader/>
        </w:trPr>
        <w:tc>
          <w:tcPr>
            <w:tcW w:w="7365" w:type="dxa"/>
            <w:gridSpan w:val="5"/>
            <w:tcBorders>
              <w:top w:val="single" w:sz="4" w:space="0" w:color="auto"/>
              <w:bottom w:val="single" w:sz="4" w:space="0" w:color="auto"/>
            </w:tcBorders>
            <w:shd w:val="clear" w:color="auto" w:fill="auto"/>
            <w:hideMark/>
          </w:tcPr>
          <w:p w:rsidR="007F7BD1" w:rsidRPr="00486232" w:rsidRDefault="007F7BD1" w:rsidP="00B97F5F">
            <w:pPr>
              <w:keepNext/>
              <w:keepLines/>
              <w:suppressAutoHyphens/>
              <w:autoSpaceDN w:val="0"/>
              <w:spacing w:before="80" w:after="80" w:line="160" w:lineRule="exact"/>
              <w:ind w:right="115"/>
              <w:jc w:val="center"/>
              <w:rPr>
                <w:i/>
                <w:sz w:val="14"/>
                <w:lang w:val="fr-CH"/>
              </w:rPr>
            </w:pPr>
            <w:r w:rsidRPr="00486232">
              <w:rPr>
                <w:i/>
                <w:sz w:val="14"/>
                <w:lang w:val="fr-CH"/>
              </w:rPr>
              <w:t>Infrastructure routière</w:t>
            </w:r>
          </w:p>
        </w:tc>
      </w:tr>
      <w:tr w:rsidR="007F7BD1" w:rsidRPr="00486232" w:rsidTr="00B97F5F">
        <w:trPr>
          <w:tblHeader/>
        </w:trPr>
        <w:tc>
          <w:tcPr>
            <w:tcW w:w="1473" w:type="dxa"/>
            <w:tcBorders>
              <w:top w:val="single" w:sz="4" w:space="0" w:color="auto"/>
              <w:bottom w:val="single" w:sz="12" w:space="0" w:color="auto"/>
            </w:tcBorders>
            <w:shd w:val="clear" w:color="auto" w:fill="auto"/>
            <w:hideMark/>
          </w:tcPr>
          <w:p w:rsidR="007F7BD1" w:rsidRPr="00486232" w:rsidRDefault="007F7BD1" w:rsidP="00B97F5F">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Étendue du réseau routier (en km)</w:t>
            </w:r>
          </w:p>
        </w:tc>
        <w:tc>
          <w:tcPr>
            <w:tcW w:w="1473" w:type="dxa"/>
            <w:tcBorders>
              <w:top w:val="single" w:sz="4" w:space="0" w:color="auto"/>
              <w:bottom w:val="single" w:sz="12" w:space="0" w:color="auto"/>
            </w:tcBorders>
            <w:shd w:val="clear" w:color="auto" w:fill="auto"/>
            <w:hideMark/>
          </w:tcPr>
          <w:p w:rsidR="007F7BD1" w:rsidRPr="00486232" w:rsidRDefault="007F7BD1" w:rsidP="00B97F5F">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 xml:space="preserve">Dont routes revêtues </w:t>
            </w:r>
            <w:r w:rsidRPr="00486232">
              <w:rPr>
                <w:i/>
                <w:sz w:val="14"/>
                <w:lang w:val="fr-CH"/>
              </w:rPr>
              <w:br/>
              <w:t>(en km)</w:t>
            </w:r>
          </w:p>
        </w:tc>
        <w:tc>
          <w:tcPr>
            <w:tcW w:w="1473" w:type="dxa"/>
            <w:tcBorders>
              <w:top w:val="single" w:sz="4" w:space="0" w:color="auto"/>
              <w:bottom w:val="single" w:sz="12" w:space="0" w:color="auto"/>
            </w:tcBorders>
            <w:shd w:val="clear" w:color="auto" w:fill="auto"/>
            <w:hideMark/>
          </w:tcPr>
          <w:p w:rsidR="007F7BD1" w:rsidRPr="00486232" w:rsidRDefault="007F7BD1" w:rsidP="00B97F5F">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Dont routes non revêtues (en km)</w:t>
            </w:r>
          </w:p>
        </w:tc>
        <w:tc>
          <w:tcPr>
            <w:tcW w:w="1473" w:type="dxa"/>
            <w:tcBorders>
              <w:top w:val="single" w:sz="4" w:space="0" w:color="auto"/>
              <w:bottom w:val="single" w:sz="12" w:space="0" w:color="auto"/>
            </w:tcBorders>
            <w:shd w:val="clear" w:color="auto" w:fill="auto"/>
            <w:hideMark/>
          </w:tcPr>
          <w:p w:rsidR="007F7BD1" w:rsidRPr="00486232" w:rsidRDefault="007F7BD1" w:rsidP="00B97F5F">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Dont autoroutes – quatre voies ou plus (en km)</w:t>
            </w:r>
          </w:p>
        </w:tc>
        <w:tc>
          <w:tcPr>
            <w:tcW w:w="1473" w:type="dxa"/>
            <w:tcBorders>
              <w:top w:val="single" w:sz="4" w:space="0" w:color="auto"/>
              <w:bottom w:val="single" w:sz="12" w:space="0" w:color="auto"/>
            </w:tcBorders>
            <w:shd w:val="clear" w:color="auto" w:fill="auto"/>
            <w:hideMark/>
          </w:tcPr>
          <w:p w:rsidR="007F7BD1" w:rsidRPr="00486232" w:rsidRDefault="007F7BD1" w:rsidP="00B97F5F">
            <w:pPr>
              <w:keepNext/>
              <w:keepLines/>
              <w:tabs>
                <w:tab w:val="left" w:pos="288"/>
                <w:tab w:val="left" w:pos="576"/>
                <w:tab w:val="left" w:pos="864"/>
                <w:tab w:val="left" w:pos="1152"/>
              </w:tabs>
              <w:suppressAutoHyphens/>
              <w:autoSpaceDN w:val="0"/>
              <w:spacing w:before="80" w:after="80" w:line="160" w:lineRule="exact"/>
              <w:ind w:right="115"/>
              <w:rPr>
                <w:i/>
                <w:sz w:val="14"/>
                <w:lang w:val="fr-CH"/>
              </w:rPr>
            </w:pPr>
            <w:r w:rsidRPr="00486232">
              <w:rPr>
                <w:i/>
                <w:sz w:val="14"/>
                <w:lang w:val="fr-CH"/>
              </w:rPr>
              <w:t xml:space="preserve">Dont routes rurales </w:t>
            </w:r>
            <w:r w:rsidRPr="00486232">
              <w:rPr>
                <w:i/>
                <w:sz w:val="14"/>
                <w:lang w:val="fr-CH"/>
              </w:rPr>
              <w:br/>
              <w:t>(en km)</w:t>
            </w:r>
          </w:p>
        </w:tc>
      </w:tr>
      <w:tr w:rsidR="007F7BD1" w:rsidRPr="00486232" w:rsidTr="00B97F5F">
        <w:trPr>
          <w:trHeight w:hRule="exact" w:val="115"/>
          <w:tblHeader/>
        </w:trPr>
        <w:tc>
          <w:tcPr>
            <w:tcW w:w="1473" w:type="dxa"/>
            <w:tcBorders>
              <w:top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top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top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top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top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r>
      <w:tr w:rsidR="007F7BD1" w:rsidRPr="00486232" w:rsidTr="00B97F5F">
        <w:tc>
          <w:tcPr>
            <w:tcW w:w="1473" w:type="dxa"/>
            <w:tcBorders>
              <w:bottom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bottom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bottom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bottom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c>
          <w:tcPr>
            <w:tcW w:w="1473" w:type="dxa"/>
            <w:tcBorders>
              <w:bottom w:val="single" w:sz="12" w:space="0" w:color="auto"/>
            </w:tcBorders>
            <w:shd w:val="clear" w:color="auto" w:fill="auto"/>
          </w:tcPr>
          <w:p w:rsidR="007F7BD1" w:rsidRPr="00486232" w:rsidRDefault="007F7BD1" w:rsidP="00B97F5F">
            <w:pPr>
              <w:keepNext/>
              <w:keepLines/>
              <w:tabs>
                <w:tab w:val="left" w:pos="288"/>
                <w:tab w:val="left" w:pos="576"/>
                <w:tab w:val="left" w:pos="864"/>
                <w:tab w:val="left" w:pos="1152"/>
              </w:tabs>
              <w:suppressAutoHyphens/>
              <w:autoSpaceDN w:val="0"/>
              <w:spacing w:before="40" w:after="80"/>
              <w:ind w:right="115"/>
              <w:rPr>
                <w:lang w:val="fr-CH"/>
              </w:rPr>
            </w:pPr>
          </w:p>
        </w:tc>
      </w:tr>
    </w:tbl>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1497"/>
        <w:gridCol w:w="1498"/>
        <w:gridCol w:w="1497"/>
        <w:gridCol w:w="1498"/>
        <w:gridCol w:w="1498"/>
      </w:tblGrid>
      <w:tr w:rsidR="007F7BD1" w:rsidRPr="00486232" w:rsidTr="00B97F5F">
        <w:trPr>
          <w:tblHeader/>
        </w:trPr>
        <w:tc>
          <w:tcPr>
            <w:tcW w:w="7488" w:type="dxa"/>
            <w:gridSpan w:val="5"/>
            <w:tcBorders>
              <w:top w:val="single" w:sz="4" w:space="0" w:color="auto"/>
              <w:bottom w:val="single" w:sz="4" w:space="0" w:color="auto"/>
            </w:tcBorders>
            <w:shd w:val="clear" w:color="auto" w:fill="auto"/>
            <w:hideMark/>
          </w:tcPr>
          <w:p w:rsidR="007F7BD1" w:rsidRPr="00486232" w:rsidRDefault="007F7BD1" w:rsidP="00B97F5F">
            <w:pPr>
              <w:suppressAutoHyphens/>
              <w:autoSpaceDN w:val="0"/>
              <w:spacing w:before="80" w:after="80" w:line="160" w:lineRule="exact"/>
              <w:ind w:right="115"/>
              <w:jc w:val="center"/>
              <w:rPr>
                <w:rFonts w:eastAsia="Times New Roman"/>
                <w:i/>
                <w:sz w:val="14"/>
                <w:lang w:val="fr-CH" w:eastAsia="fr-CH" w:bidi="fr-CH"/>
              </w:rPr>
            </w:pPr>
            <w:r w:rsidRPr="00486232">
              <w:rPr>
                <w:i/>
                <w:sz w:val="14"/>
                <w:lang w:val="fr-CH"/>
              </w:rPr>
              <w:t>Infrastructure ferroviaire</w:t>
            </w:r>
          </w:p>
        </w:tc>
      </w:tr>
      <w:tr w:rsidR="007F7BD1" w:rsidRPr="00486232" w:rsidTr="00B97F5F">
        <w:trPr>
          <w:tblHeader/>
        </w:trPr>
        <w:tc>
          <w:tcPr>
            <w:tcW w:w="1497"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t>Étendue du réseau ferroviaire (en km)</w:t>
            </w:r>
          </w:p>
        </w:tc>
        <w:tc>
          <w:tcPr>
            <w:tcW w:w="1498"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t>Dont voies électrifiées (en km)</w:t>
            </w:r>
          </w:p>
        </w:tc>
        <w:tc>
          <w:tcPr>
            <w:tcW w:w="1497"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t>Dont voies classiques (en km)</w:t>
            </w:r>
          </w:p>
        </w:tc>
        <w:tc>
          <w:tcPr>
            <w:tcW w:w="1498"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t>Dont voies à grande vitesse (en km)</w:t>
            </w:r>
          </w:p>
        </w:tc>
        <w:tc>
          <w:tcPr>
            <w:tcW w:w="1498"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t>Écartement des voies (1 435/1 512, etc.)</w:t>
            </w:r>
          </w:p>
        </w:tc>
      </w:tr>
      <w:tr w:rsidR="007F7BD1" w:rsidRPr="00486232" w:rsidTr="00B97F5F">
        <w:trPr>
          <w:trHeight w:hRule="exact" w:val="115"/>
          <w:tblHeader/>
        </w:trPr>
        <w:tc>
          <w:tcPr>
            <w:tcW w:w="1497"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c>
          <w:tcPr>
            <w:tcW w:w="1497"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r>
      <w:tr w:rsidR="007F7BD1" w:rsidRPr="00486232" w:rsidTr="00B97F5F">
        <w:tc>
          <w:tcPr>
            <w:tcW w:w="149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r>
    </w:tbl>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tbl>
      <w:tblPr>
        <w:tblW w:w="7488" w:type="dxa"/>
        <w:tblInd w:w="1267" w:type="dxa"/>
        <w:tblLayout w:type="fixed"/>
        <w:tblCellMar>
          <w:left w:w="0" w:type="dxa"/>
          <w:right w:w="0" w:type="dxa"/>
        </w:tblCellMar>
        <w:tblLook w:val="04A0" w:firstRow="1" w:lastRow="0" w:firstColumn="1" w:lastColumn="0" w:noHBand="0" w:noVBand="1"/>
      </w:tblPr>
      <w:tblGrid>
        <w:gridCol w:w="1497"/>
        <w:gridCol w:w="1498"/>
        <w:gridCol w:w="1497"/>
        <w:gridCol w:w="1498"/>
        <w:gridCol w:w="1498"/>
      </w:tblGrid>
      <w:tr w:rsidR="007F7BD1" w:rsidRPr="00486232" w:rsidTr="00B97F5F">
        <w:trPr>
          <w:tblHeader/>
        </w:trPr>
        <w:tc>
          <w:tcPr>
            <w:tcW w:w="7488" w:type="dxa"/>
            <w:gridSpan w:val="5"/>
            <w:tcBorders>
              <w:top w:val="single" w:sz="4" w:space="0" w:color="auto"/>
              <w:bottom w:val="single" w:sz="4" w:space="0" w:color="auto"/>
            </w:tcBorders>
            <w:shd w:val="clear" w:color="auto" w:fill="auto"/>
            <w:hideMark/>
          </w:tcPr>
          <w:p w:rsidR="007F7BD1" w:rsidRPr="00486232" w:rsidRDefault="007F7BD1" w:rsidP="00B97F5F">
            <w:pPr>
              <w:suppressAutoHyphens/>
              <w:autoSpaceDN w:val="0"/>
              <w:spacing w:before="80" w:after="80" w:line="160" w:lineRule="exact"/>
              <w:ind w:right="115"/>
              <w:jc w:val="center"/>
              <w:rPr>
                <w:rFonts w:eastAsia="Times New Roman"/>
                <w:i/>
                <w:sz w:val="14"/>
                <w:lang w:val="fr-CH" w:eastAsia="fr-CH" w:bidi="fr-CH"/>
              </w:rPr>
            </w:pPr>
            <w:r w:rsidRPr="00486232">
              <w:rPr>
                <w:i/>
                <w:sz w:val="14"/>
                <w:lang w:val="fr-CH"/>
              </w:rPr>
              <w:t>Infrastructure des voies de navigation intérieures</w:t>
            </w:r>
          </w:p>
        </w:tc>
      </w:tr>
      <w:tr w:rsidR="007F7BD1" w:rsidRPr="00486232" w:rsidTr="00B97F5F">
        <w:trPr>
          <w:tblHeader/>
        </w:trPr>
        <w:tc>
          <w:tcPr>
            <w:tcW w:w="1497"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lastRenderedPageBreak/>
              <w:t xml:space="preserve">Étendue du réseau de voies navigables </w:t>
            </w:r>
            <w:r w:rsidRPr="00486232">
              <w:rPr>
                <w:i/>
                <w:sz w:val="14"/>
                <w:lang w:val="fr-CH"/>
              </w:rPr>
              <w:br/>
              <w:t>(en km)</w:t>
            </w:r>
          </w:p>
        </w:tc>
        <w:tc>
          <w:tcPr>
            <w:tcW w:w="1498"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t xml:space="preserve">Dont rivières à courant libre </w:t>
            </w:r>
            <w:r w:rsidRPr="00486232">
              <w:rPr>
                <w:i/>
                <w:sz w:val="14"/>
                <w:lang w:val="fr-CH"/>
              </w:rPr>
              <w:br/>
              <w:t>(en km)</w:t>
            </w:r>
          </w:p>
        </w:tc>
        <w:tc>
          <w:tcPr>
            <w:tcW w:w="1497"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t>Dont rivières avec aménagements de lutte contre les inondations (en km)</w:t>
            </w:r>
          </w:p>
        </w:tc>
        <w:tc>
          <w:tcPr>
            <w:tcW w:w="1498"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t xml:space="preserve">Dont canaux </w:t>
            </w:r>
            <w:r w:rsidRPr="00486232">
              <w:rPr>
                <w:i/>
                <w:sz w:val="14"/>
                <w:lang w:val="fr-CH"/>
              </w:rPr>
              <w:br/>
              <w:t>(en km)</w:t>
            </w:r>
          </w:p>
        </w:tc>
        <w:tc>
          <w:tcPr>
            <w:tcW w:w="1498" w:type="dxa"/>
            <w:tcBorders>
              <w:top w:val="single" w:sz="4" w:space="0" w:color="auto"/>
              <w:bottom w:val="single" w:sz="12" w:space="0" w:color="auto"/>
            </w:tcBorders>
            <w:shd w:val="clear" w:color="auto" w:fill="auto"/>
            <w:hideMark/>
          </w:tcPr>
          <w:p w:rsidR="007F7BD1" w:rsidRPr="00486232" w:rsidRDefault="007F7BD1" w:rsidP="00B97F5F">
            <w:pPr>
              <w:suppressAutoHyphens/>
              <w:autoSpaceDN w:val="0"/>
              <w:spacing w:before="80" w:after="80" w:line="160" w:lineRule="exact"/>
              <w:ind w:right="115"/>
              <w:rPr>
                <w:rFonts w:eastAsia="Times New Roman"/>
                <w:i/>
                <w:sz w:val="14"/>
                <w:lang w:val="fr-CH" w:eastAsia="fr-CH" w:bidi="fr-CH"/>
              </w:rPr>
            </w:pPr>
            <w:r w:rsidRPr="00486232">
              <w:rPr>
                <w:i/>
                <w:sz w:val="14"/>
                <w:lang w:val="fr-CH"/>
              </w:rPr>
              <w:t xml:space="preserve">Nombre de ports </w:t>
            </w:r>
            <w:r w:rsidRPr="00486232">
              <w:rPr>
                <w:i/>
                <w:sz w:val="14"/>
                <w:lang w:val="fr-CH"/>
              </w:rPr>
              <w:br/>
              <w:t>de navigation intérieure</w:t>
            </w:r>
          </w:p>
        </w:tc>
      </w:tr>
      <w:tr w:rsidR="007F7BD1" w:rsidRPr="00486232" w:rsidTr="00B97F5F">
        <w:trPr>
          <w:trHeight w:hRule="exact" w:val="115"/>
          <w:tblHeader/>
        </w:trPr>
        <w:tc>
          <w:tcPr>
            <w:tcW w:w="1497"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c>
          <w:tcPr>
            <w:tcW w:w="1497"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c>
          <w:tcPr>
            <w:tcW w:w="1498" w:type="dxa"/>
            <w:tcBorders>
              <w:top w:val="single" w:sz="12" w:space="0" w:color="auto"/>
            </w:tcBorders>
            <w:shd w:val="clear" w:color="auto" w:fill="auto"/>
          </w:tcPr>
          <w:p w:rsidR="007F7BD1" w:rsidRPr="00486232" w:rsidRDefault="007F7BD1" w:rsidP="00B97F5F">
            <w:pPr>
              <w:suppressAutoHyphens/>
              <w:autoSpaceDN w:val="0"/>
              <w:spacing w:before="40" w:after="80"/>
              <w:ind w:right="115"/>
              <w:rPr>
                <w:rFonts w:eastAsia="Times New Roman"/>
                <w:lang w:val="fr-CH" w:eastAsia="fr-CH" w:bidi="fr-CH"/>
              </w:rPr>
            </w:pPr>
          </w:p>
        </w:tc>
      </w:tr>
      <w:tr w:rsidR="007F7BD1" w:rsidRPr="00486232" w:rsidTr="00B97F5F">
        <w:tc>
          <w:tcPr>
            <w:tcW w:w="149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c>
          <w:tcPr>
            <w:tcW w:w="1498"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autoSpaceDN w:val="0"/>
              <w:spacing w:before="40" w:after="80"/>
              <w:ind w:right="115"/>
              <w:rPr>
                <w:rFonts w:eastAsia="Times New Roman"/>
                <w:lang w:val="fr-CH" w:eastAsia="fr-CH" w:bidi="fr-CH"/>
              </w:rPr>
            </w:pPr>
          </w:p>
        </w:tc>
      </w:tr>
    </w:tbl>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keepNext/>
        <w:keepLines/>
        <w:numPr>
          <w:ilvl w:val="0"/>
          <w:numId w:val="2"/>
        </w:numPr>
        <w:tabs>
          <w:tab w:val="clear" w:pos="475"/>
          <w:tab w:val="num" w:pos="1742"/>
        </w:tabs>
        <w:ind w:left="1267"/>
        <w:rPr>
          <w:lang w:val="fr-CH"/>
        </w:rPr>
      </w:pPr>
      <w:r w:rsidRPr="00486232">
        <w:rPr>
          <w:w w:val="100"/>
          <w:lang w:val="fr-CH"/>
        </w:rPr>
        <w:t xml:space="preserve">Question 2. Projets d’infrastructures de transport intérieur actuellement en cours dans le pays. Remplir le tableau ci-après : </w:t>
      </w:r>
    </w:p>
    <w:p w:rsidR="007F7BD1" w:rsidRPr="00486232" w:rsidRDefault="007F7BD1" w:rsidP="007F7BD1">
      <w:pPr>
        <w:pStyle w:val="SingleTxt"/>
        <w:keepNext/>
        <w:keepLines/>
        <w:tabs>
          <w:tab w:val="clear" w:pos="1742"/>
        </w:tabs>
        <w:spacing w:after="0" w:line="120" w:lineRule="exact"/>
        <w:rPr>
          <w:sz w:val="10"/>
          <w:lang w:val="fr-CH"/>
        </w:rPr>
      </w:pPr>
    </w:p>
    <w:tbl>
      <w:tblPr>
        <w:tblW w:w="10050" w:type="dxa"/>
        <w:tblLayout w:type="fixed"/>
        <w:tblCellMar>
          <w:left w:w="0" w:type="dxa"/>
          <w:right w:w="0" w:type="dxa"/>
        </w:tblCellMar>
        <w:tblLook w:val="0000" w:firstRow="0" w:lastRow="0" w:firstColumn="0" w:lastColumn="0" w:noHBand="0" w:noVBand="0"/>
      </w:tblPr>
      <w:tblGrid>
        <w:gridCol w:w="2250"/>
        <w:gridCol w:w="810"/>
        <w:gridCol w:w="810"/>
        <w:gridCol w:w="810"/>
        <w:gridCol w:w="1170"/>
        <w:gridCol w:w="810"/>
        <w:gridCol w:w="990"/>
        <w:gridCol w:w="810"/>
        <w:gridCol w:w="810"/>
        <w:gridCol w:w="780"/>
      </w:tblGrid>
      <w:tr w:rsidR="007F7BD1" w:rsidRPr="00486232" w:rsidTr="00B97F5F">
        <w:trPr>
          <w:tblHeader/>
        </w:trPr>
        <w:tc>
          <w:tcPr>
            <w:tcW w:w="10050" w:type="dxa"/>
            <w:gridSpan w:val="10"/>
            <w:tcBorders>
              <w:top w:val="single" w:sz="4" w:space="0" w:color="auto"/>
              <w:bottom w:val="single" w:sz="4" w:space="0" w:color="auto"/>
            </w:tcBorders>
            <w:shd w:val="clear" w:color="auto" w:fill="auto"/>
            <w:vAlign w:val="bottom"/>
          </w:tcPr>
          <w:p w:rsidR="007F7BD1" w:rsidRPr="00486232" w:rsidRDefault="007F7BD1" w:rsidP="00B97F5F">
            <w:pPr>
              <w:keepNext/>
              <w:keepLines/>
              <w:suppressAutoHyphens/>
              <w:spacing w:before="80" w:after="80" w:line="160" w:lineRule="exact"/>
              <w:ind w:right="115"/>
              <w:jc w:val="center"/>
              <w:rPr>
                <w:i/>
                <w:sz w:val="14"/>
                <w:lang w:val="fr-CH"/>
              </w:rPr>
            </w:pPr>
            <w:r w:rsidRPr="00486232">
              <w:rPr>
                <w:i/>
                <w:sz w:val="14"/>
                <w:lang w:val="fr-CH"/>
              </w:rPr>
              <w:t>Infrastructure routière</w:t>
            </w:r>
          </w:p>
        </w:tc>
      </w:tr>
      <w:tr w:rsidR="007F7BD1" w:rsidRPr="00486232" w:rsidTr="00B97F5F">
        <w:trPr>
          <w:tblHeader/>
        </w:trPr>
        <w:tc>
          <w:tcPr>
            <w:tcW w:w="2250" w:type="dxa"/>
            <w:vMerge w:val="restart"/>
            <w:tcBorders>
              <w:top w:val="single" w:sz="4" w:space="0" w:color="auto"/>
            </w:tcBorders>
            <w:shd w:val="clear" w:color="auto" w:fill="auto"/>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Projets (donner une description succincte pour chaque projet en précisant s’il s’agit d’un nouvel ouvrage, de travaux de rénovation/modernisation ou d’une opération de maintenance)</w:t>
            </w:r>
          </w:p>
        </w:tc>
        <w:tc>
          <w:tcPr>
            <w:tcW w:w="810" w:type="dxa"/>
            <w:vMerge w:val="restart"/>
            <w:tcBorders>
              <w:top w:val="single" w:sz="4"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Budget</w:t>
            </w:r>
          </w:p>
        </w:tc>
        <w:tc>
          <w:tcPr>
            <w:tcW w:w="4590" w:type="dxa"/>
            <w:gridSpan w:val="5"/>
            <w:tcBorders>
              <w:top w:val="single" w:sz="4" w:space="0" w:color="auto"/>
              <w:bottom w:val="single" w:sz="4" w:space="0" w:color="auto"/>
              <w:right w:val="single" w:sz="24" w:space="0" w:color="F2F2F2" w:themeColor="background1" w:themeShade="F2"/>
            </w:tcBorders>
            <w:shd w:val="clear" w:color="auto" w:fill="FFFFFF" w:themeFill="background1"/>
          </w:tcPr>
          <w:p w:rsidR="007F7BD1" w:rsidRPr="00486232" w:rsidRDefault="007F7BD1" w:rsidP="00B97F5F">
            <w:pPr>
              <w:keepNext/>
              <w:keepLines/>
              <w:suppressAutoHyphens/>
              <w:spacing w:before="80" w:after="80" w:line="160" w:lineRule="exact"/>
              <w:ind w:right="115"/>
              <w:jc w:val="center"/>
              <w:rPr>
                <w:i/>
                <w:sz w:val="14"/>
                <w:lang w:val="fr-CH"/>
              </w:rPr>
            </w:pPr>
            <w:r w:rsidRPr="00486232">
              <w:rPr>
                <w:i/>
                <w:sz w:val="14"/>
                <w:lang w:val="fr-CH"/>
              </w:rPr>
              <w:t>Sources de financement (en %)</w:t>
            </w:r>
          </w:p>
        </w:tc>
        <w:tc>
          <w:tcPr>
            <w:tcW w:w="2400" w:type="dxa"/>
            <w:gridSpan w:val="3"/>
            <w:tcBorders>
              <w:top w:val="single" w:sz="4" w:space="0" w:color="auto"/>
              <w:left w:val="single" w:sz="24" w:space="0" w:color="F2F2F2" w:themeColor="background1" w:themeShade="F2"/>
              <w:bottom w:val="single" w:sz="4" w:space="0" w:color="auto"/>
            </w:tcBorders>
            <w:shd w:val="clear" w:color="auto" w:fill="FFFFFF" w:themeFill="background1"/>
          </w:tcPr>
          <w:p w:rsidR="007F7BD1" w:rsidRPr="00486232" w:rsidRDefault="007F7BD1" w:rsidP="00B97F5F">
            <w:pPr>
              <w:keepNext/>
              <w:keepLines/>
              <w:suppressAutoHyphens/>
              <w:spacing w:before="80" w:after="80" w:line="160" w:lineRule="exact"/>
              <w:ind w:right="115"/>
              <w:jc w:val="center"/>
              <w:rPr>
                <w:i/>
                <w:sz w:val="14"/>
                <w:lang w:val="fr-CH"/>
              </w:rPr>
            </w:pPr>
            <w:r w:rsidRPr="00486232">
              <w:rPr>
                <w:i/>
                <w:sz w:val="14"/>
                <w:lang w:val="fr-CH"/>
              </w:rPr>
              <w:t>Financements innovants</w:t>
            </w:r>
          </w:p>
        </w:tc>
      </w:tr>
      <w:tr w:rsidR="007F7BD1" w:rsidRPr="00486232" w:rsidTr="00B97F5F">
        <w:trPr>
          <w:tblHeader/>
        </w:trPr>
        <w:tc>
          <w:tcPr>
            <w:tcW w:w="2250" w:type="dxa"/>
            <w:vMerge/>
            <w:tcBorders>
              <w:top w:val="single" w:sz="4" w:space="0" w:color="auto"/>
              <w:bottom w:val="single" w:sz="12" w:space="0" w:color="auto"/>
            </w:tcBorders>
            <w:shd w:val="clear" w:color="auto" w:fill="auto"/>
          </w:tcPr>
          <w:p w:rsidR="007F7BD1" w:rsidRPr="00486232" w:rsidRDefault="007F7BD1" w:rsidP="00B97F5F">
            <w:pPr>
              <w:keepNext/>
              <w:keepLines/>
              <w:suppressAutoHyphens/>
              <w:spacing w:before="80" w:after="80" w:line="160" w:lineRule="exact"/>
              <w:ind w:right="115"/>
              <w:rPr>
                <w:i/>
                <w:sz w:val="14"/>
                <w:lang w:val="fr-CH"/>
              </w:rPr>
            </w:pPr>
          </w:p>
        </w:tc>
        <w:tc>
          <w:tcPr>
            <w:tcW w:w="810" w:type="dxa"/>
            <w:vMerge/>
            <w:tcBorders>
              <w:top w:val="single" w:sz="4" w:space="0" w:color="auto"/>
              <w:bottom w:val="single" w:sz="12" w:space="0" w:color="auto"/>
            </w:tcBorders>
            <w:shd w:val="clear" w:color="auto" w:fill="auto"/>
          </w:tcPr>
          <w:p w:rsidR="007F7BD1" w:rsidRPr="00486232" w:rsidRDefault="007F7BD1" w:rsidP="00B97F5F">
            <w:pPr>
              <w:keepNext/>
              <w:keepLines/>
              <w:suppressAutoHyphens/>
              <w:spacing w:before="80" w:after="80" w:line="160" w:lineRule="exact"/>
              <w:ind w:right="115"/>
              <w:rPr>
                <w:i/>
                <w:sz w:val="14"/>
                <w:lang w:val="fr-CH"/>
              </w:rPr>
            </w:pP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État</w:t>
            </w: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Régions</w:t>
            </w:r>
          </w:p>
        </w:tc>
        <w:tc>
          <w:tcPr>
            <w:tcW w:w="117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Administrations locales</w:t>
            </w: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Secteur privé</w:t>
            </w:r>
          </w:p>
        </w:tc>
        <w:tc>
          <w:tcPr>
            <w:tcW w:w="990" w:type="dxa"/>
            <w:tcBorders>
              <w:top w:val="single" w:sz="4" w:space="0" w:color="auto"/>
              <w:bottom w:val="single" w:sz="12" w:space="0" w:color="auto"/>
              <w:right w:val="single" w:sz="24" w:space="0" w:color="F2F2F2" w:themeColor="background1" w:themeShade="F2"/>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Financements innovants</w:t>
            </w:r>
          </w:p>
        </w:tc>
        <w:tc>
          <w:tcPr>
            <w:tcW w:w="810" w:type="dxa"/>
            <w:tcBorders>
              <w:top w:val="single" w:sz="4" w:space="0" w:color="auto"/>
              <w:left w:val="single" w:sz="24" w:space="0" w:color="F2F2F2" w:themeColor="background1" w:themeShade="F2"/>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PPP</w:t>
            </w: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Péages</w:t>
            </w:r>
          </w:p>
        </w:tc>
        <w:tc>
          <w:tcPr>
            <w:tcW w:w="78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Autres (préciser)</w:t>
            </w:r>
          </w:p>
        </w:tc>
      </w:tr>
      <w:tr w:rsidR="007F7BD1" w:rsidRPr="00486232" w:rsidTr="00B97F5F">
        <w:trPr>
          <w:trHeight w:hRule="exact" w:val="115"/>
          <w:tblHeader/>
        </w:trPr>
        <w:tc>
          <w:tcPr>
            <w:tcW w:w="225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117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99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78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r>
      <w:tr w:rsidR="007F7BD1" w:rsidRPr="00486232" w:rsidTr="00B97F5F">
        <w:tc>
          <w:tcPr>
            <w:tcW w:w="225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r w:rsidRPr="00486232">
              <w:rPr>
                <w:lang w:val="fr-CH"/>
              </w:rPr>
              <w:t>Projet 1…</w:t>
            </w: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r>
      <w:tr w:rsidR="007F7BD1" w:rsidRPr="00486232" w:rsidTr="00B97F5F">
        <w:tc>
          <w:tcPr>
            <w:tcW w:w="225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r w:rsidRPr="00486232">
              <w:rPr>
                <w:lang w:val="fr-CH"/>
              </w:rPr>
              <w:t>Projet 2…</w:t>
            </w: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r>
      <w:tr w:rsidR="007F7BD1" w:rsidRPr="00486232" w:rsidTr="00B97F5F">
        <w:tc>
          <w:tcPr>
            <w:tcW w:w="225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r w:rsidRPr="00486232">
              <w:rPr>
                <w:lang w:val="fr-CH"/>
              </w:rPr>
              <w:t>Projet… etc.</w:t>
            </w: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117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99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78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r>
    </w:tbl>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tbl>
      <w:tblPr>
        <w:tblW w:w="10050" w:type="dxa"/>
        <w:tblLayout w:type="fixed"/>
        <w:tblCellMar>
          <w:left w:w="0" w:type="dxa"/>
          <w:right w:w="0" w:type="dxa"/>
        </w:tblCellMar>
        <w:tblLook w:val="0000" w:firstRow="0" w:lastRow="0" w:firstColumn="0" w:lastColumn="0" w:noHBand="0" w:noVBand="0"/>
      </w:tblPr>
      <w:tblGrid>
        <w:gridCol w:w="2250"/>
        <w:gridCol w:w="810"/>
        <w:gridCol w:w="810"/>
        <w:gridCol w:w="810"/>
        <w:gridCol w:w="1170"/>
        <w:gridCol w:w="810"/>
        <w:gridCol w:w="990"/>
        <w:gridCol w:w="810"/>
        <w:gridCol w:w="810"/>
        <w:gridCol w:w="780"/>
      </w:tblGrid>
      <w:tr w:rsidR="007F7BD1" w:rsidRPr="00486232" w:rsidTr="00B97F5F">
        <w:trPr>
          <w:tblHeader/>
        </w:trPr>
        <w:tc>
          <w:tcPr>
            <w:tcW w:w="10050" w:type="dxa"/>
            <w:gridSpan w:val="10"/>
            <w:tcBorders>
              <w:top w:val="single" w:sz="4" w:space="0" w:color="auto"/>
              <w:bottom w:val="single" w:sz="4" w:space="0" w:color="auto"/>
            </w:tcBorders>
            <w:shd w:val="clear" w:color="auto" w:fill="auto"/>
            <w:vAlign w:val="bottom"/>
          </w:tcPr>
          <w:p w:rsidR="007F7BD1" w:rsidRPr="00486232" w:rsidRDefault="007F7BD1" w:rsidP="00B97F5F">
            <w:pPr>
              <w:keepNext/>
              <w:keepLines/>
              <w:suppressAutoHyphens/>
              <w:spacing w:before="80" w:after="80" w:line="160" w:lineRule="exact"/>
              <w:ind w:right="115"/>
              <w:jc w:val="center"/>
              <w:rPr>
                <w:i/>
                <w:sz w:val="14"/>
                <w:lang w:val="fr-CH"/>
              </w:rPr>
            </w:pPr>
            <w:r w:rsidRPr="00486232">
              <w:rPr>
                <w:i/>
                <w:sz w:val="14"/>
                <w:lang w:val="fr-CH"/>
              </w:rPr>
              <w:t>Infrastructure ferroviaire</w:t>
            </w:r>
          </w:p>
        </w:tc>
      </w:tr>
      <w:tr w:rsidR="007F7BD1" w:rsidRPr="00486232" w:rsidTr="00B97F5F">
        <w:trPr>
          <w:tblHeader/>
        </w:trPr>
        <w:tc>
          <w:tcPr>
            <w:tcW w:w="2250" w:type="dxa"/>
            <w:vMerge w:val="restart"/>
            <w:tcBorders>
              <w:top w:val="single" w:sz="4" w:space="0" w:color="auto"/>
            </w:tcBorders>
            <w:shd w:val="clear" w:color="auto" w:fill="auto"/>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Projets (donner une description succincte pour chaque projet en précisant s’il s’agit d’un nouvel ouvrage, de travaux de rénovation/modernisation ou d’une opération de maintenance)</w:t>
            </w:r>
          </w:p>
        </w:tc>
        <w:tc>
          <w:tcPr>
            <w:tcW w:w="810" w:type="dxa"/>
            <w:vMerge w:val="restart"/>
            <w:tcBorders>
              <w:top w:val="single" w:sz="4"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Budget</w:t>
            </w:r>
          </w:p>
        </w:tc>
        <w:tc>
          <w:tcPr>
            <w:tcW w:w="4590" w:type="dxa"/>
            <w:gridSpan w:val="5"/>
            <w:tcBorders>
              <w:top w:val="single" w:sz="4" w:space="0" w:color="auto"/>
              <w:bottom w:val="single" w:sz="4" w:space="0" w:color="auto"/>
              <w:right w:val="single" w:sz="24" w:space="0" w:color="FFFFFF" w:themeColor="background1"/>
            </w:tcBorders>
            <w:shd w:val="clear" w:color="auto" w:fill="auto"/>
          </w:tcPr>
          <w:p w:rsidR="007F7BD1" w:rsidRPr="00486232" w:rsidRDefault="007F7BD1" w:rsidP="00B97F5F">
            <w:pPr>
              <w:keepNext/>
              <w:keepLines/>
              <w:suppressAutoHyphens/>
              <w:spacing w:before="80" w:after="80" w:line="160" w:lineRule="exact"/>
              <w:ind w:right="115"/>
              <w:jc w:val="center"/>
              <w:rPr>
                <w:i/>
                <w:sz w:val="14"/>
                <w:lang w:val="fr-CH"/>
              </w:rPr>
            </w:pPr>
            <w:r w:rsidRPr="00486232">
              <w:rPr>
                <w:i/>
                <w:sz w:val="14"/>
                <w:lang w:val="fr-CH"/>
              </w:rPr>
              <w:t>Sources de financement (en %)</w:t>
            </w:r>
          </w:p>
        </w:tc>
        <w:tc>
          <w:tcPr>
            <w:tcW w:w="2400" w:type="dxa"/>
            <w:gridSpan w:val="3"/>
            <w:tcBorders>
              <w:top w:val="single" w:sz="4" w:space="0" w:color="auto"/>
              <w:left w:val="single" w:sz="24" w:space="0" w:color="FFFFFF" w:themeColor="background1"/>
              <w:bottom w:val="single" w:sz="4" w:space="0" w:color="auto"/>
            </w:tcBorders>
            <w:shd w:val="clear" w:color="auto" w:fill="auto"/>
          </w:tcPr>
          <w:p w:rsidR="007F7BD1" w:rsidRPr="00486232" w:rsidRDefault="007F7BD1" w:rsidP="00B97F5F">
            <w:pPr>
              <w:keepNext/>
              <w:keepLines/>
              <w:suppressAutoHyphens/>
              <w:spacing w:before="80" w:after="80" w:line="160" w:lineRule="exact"/>
              <w:ind w:right="115"/>
              <w:jc w:val="center"/>
              <w:rPr>
                <w:i/>
                <w:sz w:val="14"/>
                <w:lang w:val="fr-CH"/>
              </w:rPr>
            </w:pPr>
            <w:r w:rsidRPr="00486232">
              <w:rPr>
                <w:i/>
                <w:sz w:val="14"/>
                <w:lang w:val="fr-CH"/>
              </w:rPr>
              <w:t>Financements innovants</w:t>
            </w:r>
          </w:p>
        </w:tc>
      </w:tr>
      <w:tr w:rsidR="007F7BD1" w:rsidRPr="00486232" w:rsidTr="00B97F5F">
        <w:trPr>
          <w:tblHeader/>
        </w:trPr>
        <w:tc>
          <w:tcPr>
            <w:tcW w:w="2250" w:type="dxa"/>
            <w:vMerge/>
            <w:tcBorders>
              <w:top w:val="single" w:sz="4" w:space="0" w:color="auto"/>
              <w:bottom w:val="single" w:sz="12" w:space="0" w:color="auto"/>
            </w:tcBorders>
            <w:shd w:val="clear" w:color="auto" w:fill="auto"/>
          </w:tcPr>
          <w:p w:rsidR="007F7BD1" w:rsidRPr="00486232" w:rsidRDefault="007F7BD1" w:rsidP="00B97F5F">
            <w:pPr>
              <w:keepNext/>
              <w:keepLines/>
              <w:suppressAutoHyphens/>
              <w:spacing w:before="80" w:after="80" w:line="160" w:lineRule="exact"/>
              <w:ind w:right="115"/>
              <w:rPr>
                <w:i/>
                <w:sz w:val="14"/>
                <w:lang w:val="fr-CH"/>
              </w:rPr>
            </w:pPr>
          </w:p>
        </w:tc>
        <w:tc>
          <w:tcPr>
            <w:tcW w:w="810" w:type="dxa"/>
            <w:vMerge/>
            <w:tcBorders>
              <w:top w:val="single" w:sz="4" w:space="0" w:color="auto"/>
              <w:bottom w:val="single" w:sz="12" w:space="0" w:color="auto"/>
            </w:tcBorders>
            <w:shd w:val="clear" w:color="auto" w:fill="auto"/>
          </w:tcPr>
          <w:p w:rsidR="007F7BD1" w:rsidRPr="00486232" w:rsidRDefault="007F7BD1" w:rsidP="00B97F5F">
            <w:pPr>
              <w:keepNext/>
              <w:keepLines/>
              <w:suppressAutoHyphens/>
              <w:spacing w:before="80" w:after="80" w:line="160" w:lineRule="exact"/>
              <w:ind w:right="115"/>
              <w:rPr>
                <w:i/>
                <w:sz w:val="14"/>
                <w:lang w:val="fr-CH"/>
              </w:rPr>
            </w:pP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État</w:t>
            </w: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Régions</w:t>
            </w:r>
          </w:p>
        </w:tc>
        <w:tc>
          <w:tcPr>
            <w:tcW w:w="117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Administrations locales</w:t>
            </w: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Secteur privé</w:t>
            </w:r>
          </w:p>
        </w:tc>
        <w:tc>
          <w:tcPr>
            <w:tcW w:w="990" w:type="dxa"/>
            <w:tcBorders>
              <w:top w:val="single" w:sz="4" w:space="0" w:color="auto"/>
              <w:bottom w:val="single" w:sz="12" w:space="0" w:color="auto"/>
              <w:right w:val="single" w:sz="24" w:space="0" w:color="FFFFFF" w:themeColor="background1"/>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Financements innovants</w:t>
            </w:r>
          </w:p>
        </w:tc>
        <w:tc>
          <w:tcPr>
            <w:tcW w:w="810" w:type="dxa"/>
            <w:tcBorders>
              <w:top w:val="single" w:sz="4" w:space="0" w:color="auto"/>
              <w:left w:val="single" w:sz="24" w:space="0" w:color="FFFFFF" w:themeColor="background1"/>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PPP</w:t>
            </w: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Péages</w:t>
            </w:r>
          </w:p>
        </w:tc>
        <w:tc>
          <w:tcPr>
            <w:tcW w:w="78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Autres (préciser)</w:t>
            </w:r>
          </w:p>
        </w:tc>
      </w:tr>
      <w:tr w:rsidR="007F7BD1" w:rsidRPr="00486232" w:rsidTr="00B97F5F">
        <w:trPr>
          <w:trHeight w:hRule="exact" w:val="115"/>
          <w:tblHeader/>
        </w:trPr>
        <w:tc>
          <w:tcPr>
            <w:tcW w:w="225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117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99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78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r>
      <w:tr w:rsidR="007F7BD1" w:rsidRPr="00486232" w:rsidTr="00B97F5F">
        <w:tc>
          <w:tcPr>
            <w:tcW w:w="225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r w:rsidRPr="00486232">
              <w:rPr>
                <w:lang w:val="fr-CH"/>
              </w:rPr>
              <w:t>Projet 1…</w:t>
            </w: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r>
      <w:tr w:rsidR="007F7BD1" w:rsidRPr="00486232" w:rsidTr="00B97F5F">
        <w:tc>
          <w:tcPr>
            <w:tcW w:w="225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r w:rsidRPr="00486232">
              <w:rPr>
                <w:lang w:val="fr-CH"/>
              </w:rPr>
              <w:t>Projet 2…</w:t>
            </w: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r>
      <w:tr w:rsidR="007F7BD1" w:rsidRPr="00486232" w:rsidTr="00B97F5F">
        <w:tc>
          <w:tcPr>
            <w:tcW w:w="225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r w:rsidRPr="00486232">
              <w:rPr>
                <w:lang w:val="fr-CH"/>
              </w:rPr>
              <w:t>Projet… etc.</w:t>
            </w: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117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99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78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r>
    </w:tbl>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tbl>
      <w:tblPr>
        <w:tblW w:w="10050" w:type="dxa"/>
        <w:tblLayout w:type="fixed"/>
        <w:tblCellMar>
          <w:left w:w="0" w:type="dxa"/>
          <w:right w:w="0" w:type="dxa"/>
        </w:tblCellMar>
        <w:tblLook w:val="0000" w:firstRow="0" w:lastRow="0" w:firstColumn="0" w:lastColumn="0" w:noHBand="0" w:noVBand="0"/>
      </w:tblPr>
      <w:tblGrid>
        <w:gridCol w:w="2250"/>
        <w:gridCol w:w="810"/>
        <w:gridCol w:w="810"/>
        <w:gridCol w:w="810"/>
        <w:gridCol w:w="1170"/>
        <w:gridCol w:w="810"/>
        <w:gridCol w:w="990"/>
        <w:gridCol w:w="810"/>
        <w:gridCol w:w="810"/>
        <w:gridCol w:w="780"/>
      </w:tblGrid>
      <w:tr w:rsidR="007F7BD1" w:rsidRPr="00486232" w:rsidTr="00B97F5F">
        <w:trPr>
          <w:tblHeader/>
        </w:trPr>
        <w:tc>
          <w:tcPr>
            <w:tcW w:w="10050" w:type="dxa"/>
            <w:gridSpan w:val="10"/>
            <w:tcBorders>
              <w:top w:val="single" w:sz="4" w:space="0" w:color="auto"/>
              <w:bottom w:val="single" w:sz="4" w:space="0" w:color="auto"/>
            </w:tcBorders>
            <w:shd w:val="clear" w:color="auto" w:fill="auto"/>
            <w:vAlign w:val="bottom"/>
          </w:tcPr>
          <w:p w:rsidR="007F7BD1" w:rsidRPr="00486232" w:rsidRDefault="007F7BD1" w:rsidP="00B97F5F">
            <w:pPr>
              <w:keepNext/>
              <w:keepLines/>
              <w:suppressAutoHyphens/>
              <w:spacing w:before="80" w:after="80" w:line="160" w:lineRule="exact"/>
              <w:ind w:right="115"/>
              <w:jc w:val="center"/>
              <w:rPr>
                <w:i/>
                <w:sz w:val="14"/>
                <w:lang w:val="fr-CH"/>
              </w:rPr>
            </w:pPr>
            <w:r w:rsidRPr="00486232">
              <w:rPr>
                <w:i/>
                <w:sz w:val="14"/>
                <w:lang w:val="fr-CH"/>
              </w:rPr>
              <w:t>Infrastructure des voies navigables</w:t>
            </w:r>
          </w:p>
        </w:tc>
      </w:tr>
      <w:tr w:rsidR="007F7BD1" w:rsidRPr="00486232" w:rsidTr="00B97F5F">
        <w:trPr>
          <w:tblHeader/>
        </w:trPr>
        <w:tc>
          <w:tcPr>
            <w:tcW w:w="2250" w:type="dxa"/>
            <w:vMerge w:val="restart"/>
            <w:tcBorders>
              <w:top w:val="single" w:sz="4" w:space="0" w:color="auto"/>
            </w:tcBorders>
            <w:shd w:val="clear" w:color="auto" w:fill="auto"/>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Projets (donner une description succincte pour chaque projet en précisant s’il s’agit d’un nouvel ouvrage, de travaux de rénovation/modernisation ou d’une opération de maintenance)</w:t>
            </w:r>
          </w:p>
        </w:tc>
        <w:tc>
          <w:tcPr>
            <w:tcW w:w="810" w:type="dxa"/>
            <w:vMerge w:val="restart"/>
            <w:tcBorders>
              <w:top w:val="single" w:sz="4"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Budget</w:t>
            </w:r>
          </w:p>
        </w:tc>
        <w:tc>
          <w:tcPr>
            <w:tcW w:w="4590" w:type="dxa"/>
            <w:gridSpan w:val="5"/>
            <w:tcBorders>
              <w:top w:val="single" w:sz="4" w:space="0" w:color="auto"/>
              <w:bottom w:val="single" w:sz="4" w:space="0" w:color="auto"/>
              <w:right w:val="single" w:sz="24" w:space="0" w:color="FFFFFF" w:themeColor="background1"/>
            </w:tcBorders>
            <w:shd w:val="clear" w:color="auto" w:fill="auto"/>
          </w:tcPr>
          <w:p w:rsidR="007F7BD1" w:rsidRPr="00486232" w:rsidRDefault="007F7BD1" w:rsidP="00B97F5F">
            <w:pPr>
              <w:keepNext/>
              <w:keepLines/>
              <w:suppressAutoHyphens/>
              <w:spacing w:before="80" w:after="80" w:line="160" w:lineRule="exact"/>
              <w:ind w:right="115"/>
              <w:jc w:val="center"/>
              <w:rPr>
                <w:i/>
                <w:sz w:val="14"/>
                <w:lang w:val="fr-CH"/>
              </w:rPr>
            </w:pPr>
            <w:r w:rsidRPr="00486232">
              <w:rPr>
                <w:i/>
                <w:sz w:val="14"/>
                <w:lang w:val="fr-CH"/>
              </w:rPr>
              <w:t>Sources de financement (en %)</w:t>
            </w:r>
          </w:p>
        </w:tc>
        <w:tc>
          <w:tcPr>
            <w:tcW w:w="2400" w:type="dxa"/>
            <w:gridSpan w:val="3"/>
            <w:tcBorders>
              <w:top w:val="single" w:sz="4" w:space="0" w:color="auto"/>
              <w:left w:val="single" w:sz="24" w:space="0" w:color="FFFFFF" w:themeColor="background1"/>
              <w:bottom w:val="single" w:sz="4" w:space="0" w:color="auto"/>
            </w:tcBorders>
            <w:shd w:val="clear" w:color="auto" w:fill="auto"/>
          </w:tcPr>
          <w:p w:rsidR="007F7BD1" w:rsidRPr="00486232" w:rsidRDefault="007F7BD1" w:rsidP="00B97F5F">
            <w:pPr>
              <w:keepNext/>
              <w:keepLines/>
              <w:suppressAutoHyphens/>
              <w:spacing w:before="80" w:after="80" w:line="160" w:lineRule="exact"/>
              <w:ind w:right="115"/>
              <w:jc w:val="center"/>
              <w:rPr>
                <w:i/>
                <w:sz w:val="14"/>
                <w:lang w:val="fr-CH"/>
              </w:rPr>
            </w:pPr>
            <w:r w:rsidRPr="00486232">
              <w:rPr>
                <w:i/>
                <w:sz w:val="14"/>
                <w:lang w:val="fr-CH"/>
              </w:rPr>
              <w:t>Financements innovants</w:t>
            </w:r>
          </w:p>
        </w:tc>
      </w:tr>
      <w:tr w:rsidR="007F7BD1" w:rsidRPr="00486232" w:rsidTr="00B97F5F">
        <w:trPr>
          <w:tblHeader/>
        </w:trPr>
        <w:tc>
          <w:tcPr>
            <w:tcW w:w="2250" w:type="dxa"/>
            <w:vMerge/>
            <w:tcBorders>
              <w:top w:val="single" w:sz="4" w:space="0" w:color="auto"/>
              <w:bottom w:val="single" w:sz="12" w:space="0" w:color="auto"/>
            </w:tcBorders>
            <w:shd w:val="clear" w:color="auto" w:fill="auto"/>
          </w:tcPr>
          <w:p w:rsidR="007F7BD1" w:rsidRPr="00486232" w:rsidRDefault="007F7BD1" w:rsidP="00B97F5F">
            <w:pPr>
              <w:keepNext/>
              <w:keepLines/>
              <w:suppressAutoHyphens/>
              <w:spacing w:before="80" w:after="80" w:line="160" w:lineRule="exact"/>
              <w:ind w:right="115"/>
              <w:rPr>
                <w:i/>
                <w:sz w:val="14"/>
                <w:lang w:val="fr-CH"/>
              </w:rPr>
            </w:pPr>
          </w:p>
        </w:tc>
        <w:tc>
          <w:tcPr>
            <w:tcW w:w="810" w:type="dxa"/>
            <w:vMerge/>
            <w:tcBorders>
              <w:top w:val="single" w:sz="4" w:space="0" w:color="auto"/>
              <w:bottom w:val="single" w:sz="12" w:space="0" w:color="auto"/>
            </w:tcBorders>
            <w:shd w:val="clear" w:color="auto" w:fill="auto"/>
          </w:tcPr>
          <w:p w:rsidR="007F7BD1" w:rsidRPr="00486232" w:rsidRDefault="007F7BD1" w:rsidP="00B97F5F">
            <w:pPr>
              <w:keepNext/>
              <w:keepLines/>
              <w:suppressAutoHyphens/>
              <w:spacing w:before="80" w:after="80" w:line="160" w:lineRule="exact"/>
              <w:ind w:right="115"/>
              <w:rPr>
                <w:i/>
                <w:sz w:val="14"/>
                <w:lang w:val="fr-CH"/>
              </w:rPr>
            </w:pP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État</w:t>
            </w: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Régions</w:t>
            </w:r>
          </w:p>
        </w:tc>
        <w:tc>
          <w:tcPr>
            <w:tcW w:w="117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Administrations locales</w:t>
            </w: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Secteur privé</w:t>
            </w:r>
          </w:p>
        </w:tc>
        <w:tc>
          <w:tcPr>
            <w:tcW w:w="990" w:type="dxa"/>
            <w:tcBorders>
              <w:top w:val="single" w:sz="4" w:space="0" w:color="auto"/>
              <w:bottom w:val="single" w:sz="12" w:space="0" w:color="auto"/>
              <w:right w:val="single" w:sz="24" w:space="0" w:color="FFFFFF" w:themeColor="background1"/>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Financements innovants</w:t>
            </w:r>
          </w:p>
        </w:tc>
        <w:tc>
          <w:tcPr>
            <w:tcW w:w="810" w:type="dxa"/>
            <w:tcBorders>
              <w:top w:val="single" w:sz="4" w:space="0" w:color="auto"/>
              <w:left w:val="single" w:sz="24" w:space="0" w:color="FFFFFF" w:themeColor="background1"/>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PPP</w:t>
            </w:r>
          </w:p>
        </w:tc>
        <w:tc>
          <w:tcPr>
            <w:tcW w:w="81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Péages</w:t>
            </w:r>
          </w:p>
        </w:tc>
        <w:tc>
          <w:tcPr>
            <w:tcW w:w="780" w:type="dxa"/>
            <w:tcBorders>
              <w:top w:val="single" w:sz="4" w:space="0" w:color="auto"/>
              <w:bottom w:val="single" w:sz="12" w:space="0" w:color="auto"/>
            </w:tcBorders>
            <w:shd w:val="clear" w:color="auto" w:fill="auto"/>
            <w:vAlign w:val="bottom"/>
          </w:tcPr>
          <w:p w:rsidR="007F7BD1" w:rsidRPr="00486232" w:rsidRDefault="007F7BD1" w:rsidP="00B97F5F">
            <w:pPr>
              <w:keepNext/>
              <w:keepLines/>
              <w:suppressAutoHyphens/>
              <w:spacing w:before="80" w:after="80" w:line="160" w:lineRule="exact"/>
              <w:ind w:right="115"/>
              <w:rPr>
                <w:i/>
                <w:sz w:val="14"/>
                <w:lang w:val="fr-CH"/>
              </w:rPr>
            </w:pPr>
            <w:r w:rsidRPr="00486232">
              <w:rPr>
                <w:i/>
                <w:sz w:val="14"/>
                <w:lang w:val="fr-CH"/>
              </w:rPr>
              <w:t>Autres (préciser)</w:t>
            </w:r>
          </w:p>
        </w:tc>
      </w:tr>
      <w:tr w:rsidR="007F7BD1" w:rsidRPr="00486232" w:rsidTr="00B97F5F">
        <w:trPr>
          <w:trHeight w:hRule="exact" w:val="115"/>
          <w:tblHeader/>
        </w:trPr>
        <w:tc>
          <w:tcPr>
            <w:tcW w:w="225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117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99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81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c>
          <w:tcPr>
            <w:tcW w:w="780" w:type="dxa"/>
            <w:tcBorders>
              <w:top w:val="single" w:sz="12" w:space="0" w:color="auto"/>
            </w:tcBorders>
            <w:shd w:val="clear" w:color="auto" w:fill="auto"/>
          </w:tcPr>
          <w:p w:rsidR="007F7BD1" w:rsidRPr="00486232" w:rsidRDefault="007F7BD1" w:rsidP="00B97F5F">
            <w:pPr>
              <w:keepNext/>
              <w:keepLines/>
              <w:suppressAutoHyphens/>
              <w:spacing w:before="40" w:after="80"/>
              <w:ind w:right="115"/>
              <w:rPr>
                <w:lang w:val="fr-CH"/>
              </w:rPr>
            </w:pPr>
          </w:p>
        </w:tc>
      </w:tr>
      <w:tr w:rsidR="007F7BD1" w:rsidRPr="00486232" w:rsidTr="00B97F5F">
        <w:tc>
          <w:tcPr>
            <w:tcW w:w="225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r w:rsidRPr="00486232">
              <w:rPr>
                <w:lang w:val="fr-CH"/>
              </w:rPr>
              <w:t>Projet 1…</w:t>
            </w: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p>
        </w:tc>
      </w:tr>
      <w:tr w:rsidR="007F7BD1" w:rsidRPr="00486232" w:rsidTr="00B97F5F">
        <w:tc>
          <w:tcPr>
            <w:tcW w:w="2250" w:type="dxa"/>
            <w:shd w:val="clear" w:color="auto" w:fill="auto"/>
          </w:tcPr>
          <w:p w:rsidR="007F7BD1" w:rsidRPr="00486232" w:rsidRDefault="007F7BD1" w:rsidP="00B97F5F">
            <w:pPr>
              <w:keepNext/>
              <w:keepLines/>
              <w:tabs>
                <w:tab w:val="left" w:pos="288"/>
                <w:tab w:val="left" w:pos="576"/>
                <w:tab w:val="left" w:pos="864"/>
                <w:tab w:val="left" w:pos="1152"/>
              </w:tabs>
              <w:suppressAutoHyphens/>
              <w:spacing w:before="40" w:after="80"/>
              <w:ind w:right="115"/>
              <w:rPr>
                <w:lang w:val="fr-CH"/>
              </w:rPr>
            </w:pPr>
            <w:r w:rsidRPr="00486232">
              <w:rPr>
                <w:lang w:val="fr-CH"/>
              </w:rPr>
              <w:t>Projet 2…</w:t>
            </w: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117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99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780" w:type="dxa"/>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r>
      <w:tr w:rsidR="007F7BD1" w:rsidRPr="00486232" w:rsidTr="00B97F5F">
        <w:tc>
          <w:tcPr>
            <w:tcW w:w="225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r w:rsidRPr="00486232">
              <w:rPr>
                <w:lang w:val="fr-CH"/>
              </w:rPr>
              <w:t>Projet… etc.</w:t>
            </w: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117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99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81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c>
          <w:tcPr>
            <w:tcW w:w="780"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suppressAutoHyphens/>
              <w:spacing w:before="40" w:after="80"/>
              <w:ind w:right="115"/>
              <w:rPr>
                <w:lang w:val="fr-CH"/>
              </w:rPr>
            </w:pPr>
          </w:p>
        </w:tc>
      </w:tr>
    </w:tbl>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spacing w:after="0" w:line="120" w:lineRule="exact"/>
        <w:rPr>
          <w:sz w:val="10"/>
          <w:lang w:val="fr-CH"/>
        </w:rPr>
      </w:pPr>
    </w:p>
    <w:p w:rsidR="007F7BD1" w:rsidRPr="00486232" w:rsidRDefault="007F7BD1" w:rsidP="007F7BD1">
      <w:pPr>
        <w:pStyle w:val="SingleTxt"/>
        <w:keepNext/>
        <w:keepLines/>
        <w:numPr>
          <w:ilvl w:val="0"/>
          <w:numId w:val="2"/>
        </w:numPr>
        <w:tabs>
          <w:tab w:val="clear" w:pos="475"/>
          <w:tab w:val="num" w:pos="1742"/>
        </w:tabs>
        <w:ind w:left="1267"/>
        <w:rPr>
          <w:lang w:val="fr-CH" w:bidi="fr-CH"/>
        </w:rPr>
      </w:pPr>
      <w:r w:rsidRPr="00486232">
        <w:rPr>
          <w:lang w:val="fr-CH" w:bidi="fr-CH"/>
        </w:rPr>
        <w:lastRenderedPageBreak/>
        <w:t>Question 3. Indiquer les projets d’investissement à long terme (cinq à dix prochaines années) prévus dans le pays pour chaque mode de transport intérieur. Donner une description succincte pour chaque futur projet, en précisant le budget et les sources de financement (y compris celles qui ne sont pas encore assurées).</w:t>
      </w:r>
    </w:p>
    <w:p w:rsidR="007F7BD1" w:rsidRPr="00486232" w:rsidRDefault="007F7BD1" w:rsidP="007F7BD1">
      <w:pPr>
        <w:pStyle w:val="SingleTxt"/>
        <w:keepNext/>
        <w:keepLines/>
        <w:numPr>
          <w:ilvl w:val="0"/>
          <w:numId w:val="2"/>
        </w:numPr>
        <w:tabs>
          <w:tab w:val="clear" w:pos="475"/>
          <w:tab w:val="num" w:pos="1742"/>
        </w:tabs>
        <w:ind w:left="1267"/>
        <w:rPr>
          <w:lang w:val="fr-CH" w:bidi="fr-CH"/>
        </w:rPr>
      </w:pPr>
      <w:r w:rsidRPr="00486232">
        <w:rPr>
          <w:lang w:val="fr-CH" w:bidi="fr-CH"/>
        </w:rPr>
        <w:t xml:space="preserve">Question 4. Donner des renseignements sur les dépenses engagées dans le pays au titre des investissements dans l’infrastructure de transport et des travaux de maintenance qui s’y rapportent pour la période 2000-2013. Remplir les tableaux ci-dessous : </w:t>
      </w:r>
    </w:p>
    <w:p w:rsidR="007F7BD1" w:rsidRPr="00486232" w:rsidRDefault="007F7BD1" w:rsidP="007F7BD1">
      <w:pPr>
        <w:pStyle w:val="SingleTxt"/>
        <w:keepNext/>
        <w:keepLines/>
        <w:spacing w:after="0" w:line="120" w:lineRule="exact"/>
        <w:rPr>
          <w:sz w:val="10"/>
          <w:lang w:val="fr-CH" w:bidi="fr-CH"/>
        </w:rPr>
      </w:pPr>
    </w:p>
    <w:p w:rsidR="007F7BD1" w:rsidRPr="00486232" w:rsidRDefault="007F7BD1" w:rsidP="007F7B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bidi="fr-CH"/>
        </w:rPr>
      </w:pPr>
      <w:r w:rsidRPr="00486232">
        <w:rPr>
          <w:lang w:val="fr-CH" w:bidi="fr-CH"/>
        </w:rPr>
        <w:tab/>
      </w:r>
      <w:r w:rsidRPr="00486232">
        <w:rPr>
          <w:lang w:val="fr-CH" w:bidi="fr-CH"/>
        </w:rPr>
        <w:tab/>
      </w:r>
      <w:r w:rsidRPr="00486232">
        <w:rPr>
          <w:spacing w:val="4"/>
          <w:lang w:val="fr-CH" w:bidi="fr-CH"/>
        </w:rPr>
        <w:t xml:space="preserve">Nouveaux investissements dans l’infrastructure de transport </w:t>
      </w:r>
      <w:r w:rsidRPr="00486232">
        <w:rPr>
          <w:spacing w:val="4"/>
          <w:lang w:val="fr-CH" w:bidi="fr-CH"/>
        </w:rPr>
        <w:br/>
        <w:t>(totaux en millions d’euros)</w:t>
      </w:r>
    </w:p>
    <w:p w:rsidR="007F7BD1" w:rsidRPr="00486232" w:rsidRDefault="007F7BD1" w:rsidP="007F7BD1">
      <w:pPr>
        <w:pStyle w:val="SingleTxt"/>
        <w:keepNext/>
        <w:keepLines/>
        <w:spacing w:after="0" w:line="120" w:lineRule="exact"/>
        <w:rPr>
          <w:sz w:val="10"/>
          <w:lang w:val="fr-CH" w:bidi="fr-CH"/>
        </w:rPr>
      </w:pPr>
    </w:p>
    <w:p w:rsidR="007F7BD1" w:rsidRPr="00486232" w:rsidRDefault="007F7BD1" w:rsidP="007F7BD1">
      <w:pPr>
        <w:pStyle w:val="SingleTxt"/>
        <w:keepNext/>
        <w:keepLines/>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7F7BD1" w:rsidRPr="00486232" w:rsidTr="00B97F5F">
        <w:trPr>
          <w:tblHeader/>
        </w:trPr>
        <w:tc>
          <w:tcPr>
            <w:tcW w:w="7488" w:type="dxa"/>
            <w:gridSpan w:val="14"/>
            <w:tcBorders>
              <w:top w:val="single" w:sz="4" w:space="0" w:color="auto"/>
            </w:tcBorders>
            <w:shd w:val="clear" w:color="auto" w:fill="auto"/>
            <w:hideMark/>
          </w:tcPr>
          <w:p w:rsidR="007F7BD1" w:rsidRPr="00486232" w:rsidRDefault="007F7BD1" w:rsidP="00B97F5F">
            <w:pPr>
              <w:keepNext/>
              <w:keepLines/>
              <w:autoSpaceDN w:val="0"/>
              <w:spacing w:before="80" w:after="80" w:line="160" w:lineRule="exact"/>
              <w:ind w:right="115"/>
              <w:jc w:val="center"/>
              <w:rPr>
                <w:i/>
                <w:sz w:val="14"/>
                <w:lang w:val="fr-CH"/>
              </w:rPr>
            </w:pPr>
            <w:r w:rsidRPr="00486232">
              <w:rPr>
                <w:i/>
                <w:sz w:val="14"/>
                <w:lang w:val="fr-CH"/>
              </w:rPr>
              <w:t>Transport routier</w:t>
            </w:r>
          </w:p>
        </w:tc>
      </w:tr>
      <w:tr w:rsidR="007F7BD1" w:rsidRPr="00486232" w:rsidTr="00B97F5F">
        <w:trPr>
          <w:tblHeader/>
        </w:trPr>
        <w:tc>
          <w:tcPr>
            <w:tcW w:w="534"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2000</w:t>
            </w:r>
          </w:p>
        </w:tc>
        <w:tc>
          <w:tcPr>
            <w:tcW w:w="534"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2001</w:t>
            </w:r>
          </w:p>
        </w:tc>
        <w:tc>
          <w:tcPr>
            <w:tcW w:w="534"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2002</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2003</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2004</w:t>
            </w:r>
          </w:p>
        </w:tc>
        <w:tc>
          <w:tcPr>
            <w:tcW w:w="536"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2005</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2006</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2007</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2008</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2009</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2010</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2011</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2012</w:t>
            </w:r>
          </w:p>
        </w:tc>
        <w:tc>
          <w:tcPr>
            <w:tcW w:w="535" w:type="dxa"/>
            <w:tcBorders>
              <w:bottom w:val="single" w:sz="12" w:space="0" w:color="auto"/>
            </w:tcBorders>
            <w:shd w:val="clear" w:color="auto" w:fill="auto"/>
            <w:hideMark/>
          </w:tcPr>
          <w:p w:rsidR="007F7BD1" w:rsidRPr="00486232" w:rsidRDefault="007F7BD1" w:rsidP="00B97F5F">
            <w:pPr>
              <w:keepNext/>
              <w:keepLines/>
              <w:autoSpaceDN w:val="0"/>
              <w:spacing w:before="80" w:after="80" w:line="160" w:lineRule="exact"/>
              <w:ind w:right="115"/>
              <w:rPr>
                <w:i/>
                <w:sz w:val="14"/>
                <w:lang w:val="fr-CH"/>
              </w:rPr>
            </w:pPr>
            <w:r w:rsidRPr="00486232">
              <w:rPr>
                <w:i/>
                <w:sz w:val="14"/>
                <w:lang w:val="fr-CH"/>
              </w:rPr>
              <w:t>2013</w:t>
            </w:r>
          </w:p>
        </w:tc>
      </w:tr>
      <w:tr w:rsidR="007F7BD1" w:rsidRPr="00486232" w:rsidTr="00B97F5F">
        <w:trPr>
          <w:trHeight w:hRule="exact" w:val="115"/>
          <w:tblHeader/>
        </w:trPr>
        <w:tc>
          <w:tcPr>
            <w:tcW w:w="534" w:type="dxa"/>
            <w:tcBorders>
              <w:top w:val="single" w:sz="12" w:space="0" w:color="auto"/>
            </w:tcBorders>
            <w:shd w:val="clear" w:color="auto" w:fill="auto"/>
          </w:tcPr>
          <w:p w:rsidR="007F7BD1" w:rsidRPr="00486232" w:rsidRDefault="007F7BD1" w:rsidP="00B97F5F">
            <w:pPr>
              <w:autoSpaceDN w:val="0"/>
              <w:spacing w:before="40" w:after="80"/>
              <w:ind w:right="115"/>
              <w:rPr>
                <w:lang w:val="fr-CH"/>
              </w:rPr>
            </w:pPr>
          </w:p>
        </w:tc>
        <w:tc>
          <w:tcPr>
            <w:tcW w:w="534"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4"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35"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r>
      <w:tr w:rsidR="007F7BD1" w:rsidRPr="00486232" w:rsidTr="00B97F5F">
        <w:tc>
          <w:tcPr>
            <w:tcW w:w="534"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rPr>
                <w:lang w:val="fr-CH"/>
              </w:rPr>
            </w:pPr>
          </w:p>
        </w:tc>
        <w:tc>
          <w:tcPr>
            <w:tcW w:w="534"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4"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35"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r>
    </w:tbl>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7F7BD1" w:rsidRPr="00486232" w:rsidTr="00B97F5F">
        <w:trPr>
          <w:tblHeader/>
        </w:trPr>
        <w:tc>
          <w:tcPr>
            <w:tcW w:w="7365" w:type="dxa"/>
            <w:gridSpan w:val="14"/>
            <w:tcBorders>
              <w:top w:val="single" w:sz="4" w:space="0" w:color="auto"/>
              <w:bottom w:val="single" w:sz="4" w:space="0" w:color="auto"/>
            </w:tcBorders>
            <w:shd w:val="clear" w:color="auto" w:fill="auto"/>
            <w:hideMark/>
          </w:tcPr>
          <w:p w:rsidR="007F7BD1" w:rsidRPr="00486232" w:rsidRDefault="007F7BD1" w:rsidP="00B97F5F">
            <w:pPr>
              <w:autoSpaceDN w:val="0"/>
              <w:spacing w:before="80" w:after="80" w:line="160" w:lineRule="exact"/>
              <w:ind w:right="115"/>
              <w:jc w:val="center"/>
              <w:rPr>
                <w:i/>
                <w:sz w:val="14"/>
                <w:lang w:val="fr-CH"/>
              </w:rPr>
            </w:pPr>
            <w:r w:rsidRPr="00486232">
              <w:rPr>
                <w:i/>
                <w:sz w:val="14"/>
                <w:lang w:val="fr-CH"/>
              </w:rPr>
              <w:t>Transport ferroviaire</w:t>
            </w:r>
          </w:p>
        </w:tc>
      </w:tr>
      <w:tr w:rsidR="007F7BD1" w:rsidRPr="00486232" w:rsidTr="00B97F5F">
        <w:trPr>
          <w:tblHeader/>
        </w:trPr>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2013</w:t>
            </w:r>
          </w:p>
        </w:tc>
      </w:tr>
      <w:tr w:rsidR="007F7BD1" w:rsidRPr="00486232" w:rsidTr="00B97F5F">
        <w:trPr>
          <w:trHeight w:hRule="exact" w:val="115"/>
          <w:tblHeader/>
        </w:trPr>
        <w:tc>
          <w:tcPr>
            <w:tcW w:w="526" w:type="dxa"/>
            <w:tcBorders>
              <w:top w:val="single" w:sz="12" w:space="0" w:color="auto"/>
            </w:tcBorders>
            <w:shd w:val="clear" w:color="auto" w:fill="auto"/>
          </w:tcPr>
          <w:p w:rsidR="007F7BD1" w:rsidRPr="00486232" w:rsidRDefault="007F7BD1" w:rsidP="00B97F5F">
            <w:pPr>
              <w:autoSpaceDN w:val="0"/>
              <w:spacing w:before="40" w:after="80"/>
              <w:ind w:right="115"/>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7"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r>
      <w:tr w:rsidR="007F7BD1" w:rsidRPr="00486232" w:rsidTr="00B97F5F">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r>
    </w:tbl>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7F7BD1" w:rsidRPr="00486232" w:rsidTr="00B97F5F">
        <w:trPr>
          <w:tblHeader/>
        </w:trPr>
        <w:tc>
          <w:tcPr>
            <w:tcW w:w="7365" w:type="dxa"/>
            <w:gridSpan w:val="14"/>
            <w:tcBorders>
              <w:top w:val="single" w:sz="4" w:space="0" w:color="auto"/>
              <w:bottom w:val="single" w:sz="4" w:space="0" w:color="auto"/>
            </w:tcBorders>
            <w:shd w:val="clear" w:color="auto" w:fill="auto"/>
            <w:hideMark/>
          </w:tcPr>
          <w:p w:rsidR="007F7BD1" w:rsidRPr="00486232" w:rsidRDefault="007F7BD1" w:rsidP="00B97F5F">
            <w:pPr>
              <w:autoSpaceDN w:val="0"/>
              <w:spacing w:before="80" w:after="80" w:line="160" w:lineRule="exact"/>
              <w:ind w:right="115"/>
              <w:jc w:val="center"/>
              <w:rPr>
                <w:i/>
                <w:sz w:val="14"/>
                <w:lang w:val="fr-CH"/>
              </w:rPr>
            </w:pPr>
            <w:r w:rsidRPr="00486232">
              <w:rPr>
                <w:i/>
                <w:sz w:val="14"/>
                <w:lang w:val="fr-CH"/>
              </w:rPr>
              <w:t>Transport par voies de navigation intérieures</w:t>
            </w:r>
          </w:p>
        </w:tc>
      </w:tr>
      <w:tr w:rsidR="007F7BD1" w:rsidRPr="00486232" w:rsidTr="00B97F5F">
        <w:trPr>
          <w:tblHeader/>
        </w:trPr>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2013</w:t>
            </w:r>
          </w:p>
        </w:tc>
      </w:tr>
      <w:tr w:rsidR="007F7BD1" w:rsidRPr="00486232" w:rsidTr="00B97F5F">
        <w:trPr>
          <w:trHeight w:hRule="exact" w:val="115"/>
          <w:tblHeader/>
        </w:trPr>
        <w:tc>
          <w:tcPr>
            <w:tcW w:w="526" w:type="dxa"/>
            <w:tcBorders>
              <w:top w:val="single" w:sz="12" w:space="0" w:color="auto"/>
            </w:tcBorders>
            <w:shd w:val="clear" w:color="auto" w:fill="auto"/>
          </w:tcPr>
          <w:p w:rsidR="007F7BD1" w:rsidRPr="00486232" w:rsidRDefault="007F7BD1" w:rsidP="00B97F5F">
            <w:pPr>
              <w:autoSpaceDN w:val="0"/>
              <w:spacing w:before="40" w:after="80"/>
              <w:ind w:right="115"/>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7"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r>
      <w:tr w:rsidR="007F7BD1" w:rsidRPr="00486232" w:rsidTr="00B97F5F">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r>
    </w:tbl>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86232">
        <w:rPr>
          <w:lang w:val="fr-CH" w:bidi="fr-CH"/>
        </w:rPr>
        <w:tab/>
      </w:r>
      <w:r w:rsidRPr="00486232">
        <w:rPr>
          <w:lang w:val="fr-CH" w:bidi="fr-CH"/>
        </w:rPr>
        <w:tab/>
        <w:t xml:space="preserve">Rénovation/modernisation de l’infrastructure de transport </w:t>
      </w:r>
      <w:r w:rsidRPr="00486232">
        <w:rPr>
          <w:lang w:val="fr-CH" w:bidi="fr-CH"/>
        </w:rPr>
        <w:br/>
        <w:t>(totaux en millions d’euros)</w:t>
      </w:r>
    </w:p>
    <w:p w:rsidR="007F7BD1" w:rsidRPr="00486232" w:rsidRDefault="007F7BD1" w:rsidP="007F7BD1">
      <w:pPr>
        <w:pStyle w:val="SingleTxt"/>
        <w:spacing w:after="0" w:line="120" w:lineRule="exact"/>
        <w:rPr>
          <w:b/>
          <w:sz w:val="10"/>
          <w:lang w:val="fr-CH" w:bidi="fr-CH"/>
        </w:rPr>
      </w:pPr>
    </w:p>
    <w:p w:rsidR="007F7BD1" w:rsidRPr="00486232" w:rsidRDefault="007F7BD1" w:rsidP="007F7BD1">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7F7BD1" w:rsidRPr="00486232" w:rsidTr="00B97F5F">
        <w:trPr>
          <w:tblHeader/>
        </w:trPr>
        <w:tc>
          <w:tcPr>
            <w:tcW w:w="7365" w:type="dxa"/>
            <w:gridSpan w:val="14"/>
            <w:tcBorders>
              <w:top w:val="single" w:sz="4" w:space="0" w:color="auto"/>
              <w:bottom w:val="single" w:sz="4" w:space="0" w:color="auto"/>
            </w:tcBorders>
            <w:shd w:val="clear" w:color="auto" w:fill="auto"/>
            <w:hideMark/>
          </w:tcPr>
          <w:p w:rsidR="007F7BD1" w:rsidRPr="00486232" w:rsidRDefault="007F7BD1" w:rsidP="00B97F5F">
            <w:pPr>
              <w:autoSpaceDN w:val="0"/>
              <w:spacing w:before="80" w:after="80" w:line="160" w:lineRule="exact"/>
              <w:ind w:right="115"/>
              <w:jc w:val="center"/>
              <w:rPr>
                <w:i/>
                <w:sz w:val="14"/>
                <w:lang w:val="fr-CH"/>
              </w:rPr>
            </w:pPr>
            <w:r w:rsidRPr="00486232">
              <w:rPr>
                <w:i/>
                <w:sz w:val="14"/>
                <w:lang w:val="fr-CH"/>
              </w:rPr>
              <w:t>Transport routier</w:t>
            </w:r>
          </w:p>
        </w:tc>
      </w:tr>
      <w:tr w:rsidR="007F7BD1" w:rsidRPr="00486232" w:rsidTr="00B97F5F">
        <w:trPr>
          <w:tblHeader/>
        </w:trPr>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2013</w:t>
            </w:r>
          </w:p>
        </w:tc>
      </w:tr>
      <w:tr w:rsidR="007F7BD1" w:rsidRPr="00486232" w:rsidTr="00B97F5F">
        <w:trPr>
          <w:trHeight w:hRule="exact" w:val="115"/>
          <w:tblHeader/>
        </w:trPr>
        <w:tc>
          <w:tcPr>
            <w:tcW w:w="526" w:type="dxa"/>
            <w:tcBorders>
              <w:top w:val="single" w:sz="12" w:space="0" w:color="auto"/>
            </w:tcBorders>
            <w:shd w:val="clear" w:color="auto" w:fill="auto"/>
          </w:tcPr>
          <w:p w:rsidR="007F7BD1" w:rsidRPr="00486232" w:rsidRDefault="007F7BD1" w:rsidP="00B97F5F">
            <w:pPr>
              <w:autoSpaceDN w:val="0"/>
              <w:spacing w:before="40" w:after="80"/>
              <w:ind w:right="115"/>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7"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r>
      <w:tr w:rsidR="007F7BD1" w:rsidRPr="00486232" w:rsidTr="00B97F5F">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r>
    </w:tbl>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7F7BD1" w:rsidRPr="00486232" w:rsidTr="00B97F5F">
        <w:trPr>
          <w:tblHeader/>
        </w:trPr>
        <w:tc>
          <w:tcPr>
            <w:tcW w:w="7365" w:type="dxa"/>
            <w:gridSpan w:val="14"/>
            <w:tcBorders>
              <w:top w:val="single" w:sz="4" w:space="0" w:color="auto"/>
              <w:bottom w:val="single" w:sz="4" w:space="0" w:color="auto"/>
            </w:tcBorders>
            <w:shd w:val="clear" w:color="auto" w:fill="auto"/>
            <w:hideMark/>
          </w:tcPr>
          <w:p w:rsidR="007F7BD1" w:rsidRPr="00486232" w:rsidRDefault="007F7BD1" w:rsidP="00B97F5F">
            <w:pPr>
              <w:autoSpaceDN w:val="0"/>
              <w:spacing w:before="80" w:after="80" w:line="160" w:lineRule="exact"/>
              <w:ind w:right="115"/>
              <w:jc w:val="center"/>
              <w:rPr>
                <w:i/>
                <w:sz w:val="14"/>
                <w:lang w:val="fr-CH"/>
              </w:rPr>
            </w:pPr>
            <w:r w:rsidRPr="00486232">
              <w:rPr>
                <w:i/>
                <w:sz w:val="14"/>
                <w:lang w:val="fr-CH"/>
              </w:rPr>
              <w:t>Transport ferroviaire</w:t>
            </w:r>
          </w:p>
        </w:tc>
      </w:tr>
      <w:tr w:rsidR="007F7BD1" w:rsidRPr="00486232" w:rsidTr="00B97F5F">
        <w:trPr>
          <w:tblHeader/>
        </w:trPr>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2013</w:t>
            </w:r>
          </w:p>
        </w:tc>
      </w:tr>
      <w:tr w:rsidR="007F7BD1" w:rsidRPr="00486232" w:rsidTr="00B97F5F">
        <w:trPr>
          <w:trHeight w:hRule="exact" w:val="115"/>
          <w:tblHeader/>
        </w:trPr>
        <w:tc>
          <w:tcPr>
            <w:tcW w:w="526" w:type="dxa"/>
            <w:tcBorders>
              <w:top w:val="single" w:sz="12" w:space="0" w:color="auto"/>
            </w:tcBorders>
            <w:shd w:val="clear" w:color="auto" w:fill="auto"/>
          </w:tcPr>
          <w:p w:rsidR="007F7BD1" w:rsidRPr="00486232" w:rsidRDefault="007F7BD1" w:rsidP="00B97F5F">
            <w:pPr>
              <w:autoSpaceDN w:val="0"/>
              <w:spacing w:before="40" w:after="80"/>
              <w:ind w:right="115"/>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7"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r>
      <w:tr w:rsidR="007F7BD1" w:rsidRPr="00486232" w:rsidTr="00B97F5F">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r>
    </w:tbl>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p w:rsidR="007F7BD1" w:rsidRPr="00486232" w:rsidRDefault="007F7BD1" w:rsidP="007F7BD1">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7F7BD1" w:rsidRPr="00486232" w:rsidTr="00B97F5F">
        <w:trPr>
          <w:tblHeader/>
        </w:trPr>
        <w:tc>
          <w:tcPr>
            <w:tcW w:w="7365" w:type="dxa"/>
            <w:gridSpan w:val="14"/>
            <w:tcBorders>
              <w:top w:val="single" w:sz="4" w:space="0" w:color="auto"/>
              <w:bottom w:val="single" w:sz="4" w:space="0" w:color="auto"/>
            </w:tcBorders>
            <w:shd w:val="clear" w:color="auto" w:fill="auto"/>
            <w:hideMark/>
          </w:tcPr>
          <w:p w:rsidR="007F7BD1" w:rsidRPr="00486232" w:rsidRDefault="007F7BD1" w:rsidP="00B97F5F">
            <w:pPr>
              <w:autoSpaceDN w:val="0"/>
              <w:spacing w:before="80" w:after="80" w:line="160" w:lineRule="exact"/>
              <w:ind w:right="115"/>
              <w:jc w:val="center"/>
              <w:rPr>
                <w:i/>
                <w:sz w:val="14"/>
                <w:lang w:val="fr-CH"/>
              </w:rPr>
            </w:pPr>
            <w:r w:rsidRPr="00486232">
              <w:rPr>
                <w:i/>
                <w:sz w:val="14"/>
                <w:lang w:val="fr-CH"/>
              </w:rPr>
              <w:t>Transport par voies de navigation intérieures</w:t>
            </w:r>
          </w:p>
        </w:tc>
      </w:tr>
      <w:tr w:rsidR="007F7BD1" w:rsidRPr="00486232" w:rsidTr="00B97F5F">
        <w:trPr>
          <w:tblHeader/>
        </w:trPr>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2013</w:t>
            </w:r>
          </w:p>
        </w:tc>
      </w:tr>
      <w:tr w:rsidR="007F7BD1" w:rsidRPr="00486232" w:rsidTr="00B97F5F">
        <w:trPr>
          <w:trHeight w:hRule="exact" w:val="115"/>
          <w:tblHeader/>
        </w:trPr>
        <w:tc>
          <w:tcPr>
            <w:tcW w:w="526" w:type="dxa"/>
            <w:tcBorders>
              <w:top w:val="single" w:sz="12" w:space="0" w:color="auto"/>
            </w:tcBorders>
            <w:shd w:val="clear" w:color="auto" w:fill="auto"/>
          </w:tcPr>
          <w:p w:rsidR="007F7BD1" w:rsidRPr="00486232" w:rsidRDefault="007F7BD1" w:rsidP="00B97F5F">
            <w:pPr>
              <w:autoSpaceDN w:val="0"/>
              <w:spacing w:before="40" w:after="80"/>
              <w:ind w:right="115"/>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7"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r>
      <w:tr w:rsidR="007F7BD1" w:rsidRPr="00486232" w:rsidTr="00B97F5F">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r>
    </w:tbl>
    <w:p w:rsidR="007F7BD1" w:rsidRPr="00486232" w:rsidRDefault="007F7BD1" w:rsidP="007F7BD1">
      <w:pPr>
        <w:pStyle w:val="SingleTxt"/>
        <w:spacing w:after="0" w:line="120" w:lineRule="exact"/>
        <w:rPr>
          <w:sz w:val="10"/>
          <w:lang w:val="fr-CH" w:bidi="fr-CH"/>
        </w:rPr>
      </w:pPr>
    </w:p>
    <w:p w:rsidR="007F7BD1" w:rsidRPr="00B44BF2" w:rsidRDefault="007F7BD1" w:rsidP="007F7BD1">
      <w:pPr>
        <w:pStyle w:val="SingleTxt"/>
        <w:spacing w:after="0" w:line="120" w:lineRule="exact"/>
        <w:rPr>
          <w:sz w:val="10"/>
          <w:lang w:val="fr-CH" w:bidi="fr-CH"/>
        </w:rPr>
      </w:pPr>
    </w:p>
    <w:p w:rsidR="007F7BD1" w:rsidRPr="00B44BF2" w:rsidRDefault="007F7BD1" w:rsidP="007F7BD1">
      <w:pPr>
        <w:pStyle w:val="SingleTxt"/>
        <w:spacing w:after="0" w:line="120" w:lineRule="exact"/>
        <w:rPr>
          <w:sz w:val="10"/>
          <w:lang w:val="fr-CH" w:bidi="fr-CH"/>
        </w:rPr>
      </w:pPr>
    </w:p>
    <w:p w:rsidR="007F7BD1" w:rsidRDefault="007F7BD1" w:rsidP="007F7B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Pr>
          <w:lang w:val="fr-CH" w:bidi="fr-CH"/>
        </w:rPr>
        <w:lastRenderedPageBreak/>
        <w:tab/>
      </w:r>
      <w:r>
        <w:rPr>
          <w:lang w:val="fr-CH" w:bidi="fr-CH"/>
        </w:rPr>
        <w:tab/>
      </w:r>
      <w:r w:rsidRPr="00B44BF2">
        <w:rPr>
          <w:lang w:val="fr-CH" w:bidi="fr-CH"/>
        </w:rPr>
        <w:t xml:space="preserve">Opérations de maintenance de l'infrastructure de transport </w:t>
      </w:r>
      <w:r>
        <w:rPr>
          <w:lang w:val="fr-CH" w:bidi="fr-CH"/>
        </w:rPr>
        <w:br/>
      </w:r>
      <w:r w:rsidRPr="00B44BF2">
        <w:rPr>
          <w:lang w:val="fr-CH" w:bidi="fr-CH"/>
        </w:rPr>
        <w:t>(totaux en millions d'euros)</w:t>
      </w:r>
    </w:p>
    <w:p w:rsidR="007F7BD1" w:rsidRPr="00B44BF2" w:rsidRDefault="007F7BD1" w:rsidP="007F7BD1">
      <w:pPr>
        <w:pStyle w:val="SingleTxt"/>
        <w:spacing w:after="0" w:line="120" w:lineRule="exact"/>
        <w:rPr>
          <w:sz w:val="10"/>
          <w:lang w:val="fr-CH" w:bidi="fr-CH"/>
        </w:rPr>
      </w:pPr>
    </w:p>
    <w:p w:rsidR="007F7BD1" w:rsidRDefault="007F7BD1" w:rsidP="007F7BD1">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7F7BD1" w:rsidRPr="00486232" w:rsidTr="00B97F5F">
        <w:trPr>
          <w:tblHeader/>
        </w:trPr>
        <w:tc>
          <w:tcPr>
            <w:tcW w:w="7365" w:type="dxa"/>
            <w:gridSpan w:val="14"/>
            <w:tcBorders>
              <w:top w:val="single" w:sz="4" w:space="0" w:color="auto"/>
              <w:bottom w:val="single" w:sz="4" w:space="0" w:color="auto"/>
            </w:tcBorders>
            <w:shd w:val="clear" w:color="auto" w:fill="auto"/>
            <w:hideMark/>
          </w:tcPr>
          <w:p w:rsidR="007F7BD1" w:rsidRPr="00486232" w:rsidRDefault="007F7BD1" w:rsidP="00B97F5F">
            <w:pPr>
              <w:autoSpaceDN w:val="0"/>
              <w:spacing w:before="80" w:after="80" w:line="160" w:lineRule="exact"/>
              <w:ind w:right="115"/>
              <w:jc w:val="center"/>
              <w:rPr>
                <w:i/>
                <w:sz w:val="14"/>
                <w:lang w:val="fr-CH"/>
              </w:rPr>
            </w:pPr>
            <w:r w:rsidRPr="00486232">
              <w:rPr>
                <w:i/>
                <w:sz w:val="14"/>
                <w:lang w:val="fr-CH"/>
              </w:rPr>
              <w:t>Transport routier</w:t>
            </w:r>
          </w:p>
        </w:tc>
      </w:tr>
      <w:tr w:rsidR="007F7BD1" w:rsidRPr="00486232" w:rsidTr="00B97F5F">
        <w:trPr>
          <w:tblHeader/>
        </w:trPr>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2013</w:t>
            </w:r>
          </w:p>
        </w:tc>
      </w:tr>
      <w:tr w:rsidR="007F7BD1" w:rsidRPr="00486232" w:rsidTr="00B97F5F">
        <w:trPr>
          <w:trHeight w:hRule="exact" w:val="115"/>
          <w:tblHeader/>
        </w:trPr>
        <w:tc>
          <w:tcPr>
            <w:tcW w:w="526" w:type="dxa"/>
            <w:tcBorders>
              <w:top w:val="single" w:sz="12" w:space="0" w:color="auto"/>
            </w:tcBorders>
            <w:shd w:val="clear" w:color="auto" w:fill="auto"/>
          </w:tcPr>
          <w:p w:rsidR="007F7BD1" w:rsidRPr="00486232" w:rsidRDefault="007F7BD1" w:rsidP="00B97F5F">
            <w:pPr>
              <w:autoSpaceDN w:val="0"/>
              <w:spacing w:before="40" w:after="80"/>
              <w:ind w:right="115"/>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7"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r>
      <w:tr w:rsidR="007F7BD1" w:rsidRPr="00486232" w:rsidTr="00B97F5F">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r>
    </w:tbl>
    <w:p w:rsidR="007F7BD1" w:rsidRPr="00B44BF2" w:rsidRDefault="007F7BD1" w:rsidP="007F7BD1">
      <w:pPr>
        <w:pStyle w:val="SingleTxt"/>
        <w:spacing w:after="0" w:line="120" w:lineRule="exact"/>
        <w:rPr>
          <w:sz w:val="10"/>
          <w:lang w:val="fr-CH" w:bidi="fr-CH"/>
        </w:rPr>
      </w:pPr>
    </w:p>
    <w:p w:rsidR="007F7BD1" w:rsidRPr="00B44BF2" w:rsidRDefault="007F7BD1" w:rsidP="007F7BD1">
      <w:pPr>
        <w:pStyle w:val="SingleTxt"/>
        <w:spacing w:after="0" w:line="120" w:lineRule="exact"/>
        <w:rPr>
          <w:sz w:val="10"/>
          <w:lang w:val="fr-CH" w:bidi="fr-CH"/>
        </w:rPr>
      </w:pPr>
    </w:p>
    <w:p w:rsidR="007F7BD1" w:rsidRPr="00B44BF2" w:rsidRDefault="007F7BD1" w:rsidP="007F7BD1">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7F7BD1" w:rsidRPr="00486232" w:rsidTr="00B97F5F">
        <w:trPr>
          <w:tblHeader/>
        </w:trPr>
        <w:tc>
          <w:tcPr>
            <w:tcW w:w="7365" w:type="dxa"/>
            <w:gridSpan w:val="14"/>
            <w:tcBorders>
              <w:top w:val="single" w:sz="4" w:space="0" w:color="auto"/>
              <w:bottom w:val="single" w:sz="4" w:space="0" w:color="auto"/>
            </w:tcBorders>
            <w:shd w:val="clear" w:color="auto" w:fill="auto"/>
            <w:hideMark/>
          </w:tcPr>
          <w:p w:rsidR="007F7BD1" w:rsidRPr="00486232" w:rsidRDefault="007F7BD1" w:rsidP="00B97F5F">
            <w:pPr>
              <w:autoSpaceDN w:val="0"/>
              <w:spacing w:before="80" w:after="80" w:line="160" w:lineRule="exact"/>
              <w:ind w:right="115"/>
              <w:jc w:val="center"/>
              <w:rPr>
                <w:i/>
                <w:sz w:val="14"/>
                <w:lang w:val="fr-CH"/>
              </w:rPr>
            </w:pPr>
            <w:r w:rsidRPr="00486232">
              <w:rPr>
                <w:i/>
                <w:sz w:val="14"/>
                <w:lang w:val="fr-CH"/>
              </w:rPr>
              <w:t>Transport ferroviaire</w:t>
            </w:r>
          </w:p>
        </w:tc>
      </w:tr>
      <w:tr w:rsidR="007F7BD1" w:rsidRPr="00486232" w:rsidTr="00B97F5F">
        <w:trPr>
          <w:tblHeader/>
        </w:trPr>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2013</w:t>
            </w:r>
          </w:p>
        </w:tc>
      </w:tr>
      <w:tr w:rsidR="007F7BD1" w:rsidRPr="00486232" w:rsidTr="00B97F5F">
        <w:trPr>
          <w:trHeight w:hRule="exact" w:val="115"/>
          <w:tblHeader/>
        </w:trPr>
        <w:tc>
          <w:tcPr>
            <w:tcW w:w="526" w:type="dxa"/>
            <w:tcBorders>
              <w:top w:val="single" w:sz="12" w:space="0" w:color="auto"/>
            </w:tcBorders>
            <w:shd w:val="clear" w:color="auto" w:fill="auto"/>
          </w:tcPr>
          <w:p w:rsidR="007F7BD1" w:rsidRPr="00486232" w:rsidRDefault="007F7BD1" w:rsidP="00B97F5F">
            <w:pPr>
              <w:autoSpaceDN w:val="0"/>
              <w:spacing w:before="40" w:after="80"/>
              <w:ind w:right="115"/>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7"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r>
      <w:tr w:rsidR="007F7BD1" w:rsidRPr="00486232" w:rsidTr="00B97F5F">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r>
    </w:tbl>
    <w:p w:rsidR="007F7BD1" w:rsidRPr="00B44BF2" w:rsidRDefault="007F7BD1" w:rsidP="007F7BD1">
      <w:pPr>
        <w:pStyle w:val="SingleTxt"/>
        <w:spacing w:after="0" w:line="120" w:lineRule="exact"/>
        <w:rPr>
          <w:sz w:val="10"/>
          <w:lang w:val="fr-CH" w:bidi="fr-CH"/>
        </w:rPr>
      </w:pPr>
    </w:p>
    <w:p w:rsidR="007F7BD1" w:rsidRPr="00B44BF2" w:rsidRDefault="007F7BD1" w:rsidP="007F7BD1">
      <w:pPr>
        <w:pStyle w:val="SingleTxt"/>
        <w:spacing w:after="0" w:line="120" w:lineRule="exact"/>
        <w:rPr>
          <w:sz w:val="10"/>
          <w:lang w:val="fr-CH" w:bidi="fr-CH"/>
        </w:rPr>
      </w:pPr>
    </w:p>
    <w:p w:rsidR="007F7BD1" w:rsidRPr="00B44BF2" w:rsidRDefault="007F7BD1" w:rsidP="007F7BD1">
      <w:pPr>
        <w:pStyle w:val="SingleTxt"/>
        <w:spacing w:after="0" w:line="120" w:lineRule="exact"/>
        <w:rPr>
          <w:sz w:val="10"/>
          <w:lang w:val="fr-CH" w:bidi="fr-CH"/>
        </w:rPr>
      </w:pPr>
    </w:p>
    <w:tbl>
      <w:tblPr>
        <w:tblStyle w:val="Grilledutableau1"/>
        <w:tblW w:w="74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34"/>
        <w:gridCol w:w="534"/>
        <w:gridCol w:w="535"/>
        <w:gridCol w:w="535"/>
        <w:gridCol w:w="536"/>
        <w:gridCol w:w="535"/>
        <w:gridCol w:w="535"/>
        <w:gridCol w:w="535"/>
        <w:gridCol w:w="535"/>
        <w:gridCol w:w="535"/>
        <w:gridCol w:w="535"/>
        <w:gridCol w:w="535"/>
        <w:gridCol w:w="535"/>
      </w:tblGrid>
      <w:tr w:rsidR="007F7BD1" w:rsidRPr="00486232" w:rsidTr="00B97F5F">
        <w:trPr>
          <w:tblHeader/>
        </w:trPr>
        <w:tc>
          <w:tcPr>
            <w:tcW w:w="7365" w:type="dxa"/>
            <w:gridSpan w:val="14"/>
            <w:tcBorders>
              <w:top w:val="single" w:sz="4" w:space="0" w:color="auto"/>
              <w:bottom w:val="single" w:sz="4" w:space="0" w:color="auto"/>
            </w:tcBorders>
            <w:shd w:val="clear" w:color="auto" w:fill="auto"/>
            <w:hideMark/>
          </w:tcPr>
          <w:p w:rsidR="007F7BD1" w:rsidRPr="00486232" w:rsidRDefault="007F7BD1" w:rsidP="00B97F5F">
            <w:pPr>
              <w:autoSpaceDN w:val="0"/>
              <w:spacing w:before="80" w:after="80" w:line="160" w:lineRule="exact"/>
              <w:ind w:right="115"/>
              <w:jc w:val="center"/>
              <w:rPr>
                <w:i/>
                <w:sz w:val="14"/>
                <w:lang w:val="fr-CH"/>
              </w:rPr>
            </w:pPr>
            <w:r w:rsidRPr="00486232">
              <w:rPr>
                <w:i/>
                <w:sz w:val="14"/>
                <w:lang w:val="fr-CH"/>
              </w:rPr>
              <w:t>Transport par voies de navigation intérieures</w:t>
            </w:r>
          </w:p>
        </w:tc>
      </w:tr>
      <w:tr w:rsidR="007F7BD1" w:rsidRPr="00486232" w:rsidTr="00B97F5F">
        <w:trPr>
          <w:tblHeader/>
        </w:trPr>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2003</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2004</w:t>
            </w:r>
          </w:p>
        </w:tc>
        <w:tc>
          <w:tcPr>
            <w:tcW w:w="527"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2005</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2006</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2007</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2008</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2009</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2010</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2011</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2012</w:t>
            </w:r>
          </w:p>
        </w:tc>
        <w:tc>
          <w:tcPr>
            <w:tcW w:w="526" w:type="dxa"/>
            <w:tcBorders>
              <w:top w:val="single" w:sz="4" w:space="0" w:color="auto"/>
              <w:bottom w:val="single" w:sz="12" w:space="0" w:color="auto"/>
            </w:tcBorders>
            <w:shd w:val="clear" w:color="auto" w:fill="auto"/>
            <w:hideMark/>
          </w:tcPr>
          <w:p w:rsidR="007F7BD1" w:rsidRPr="00486232" w:rsidRDefault="007F7BD1" w:rsidP="00B97F5F">
            <w:pPr>
              <w:autoSpaceDN w:val="0"/>
              <w:spacing w:before="80" w:after="80" w:line="160" w:lineRule="exact"/>
              <w:ind w:right="115"/>
              <w:rPr>
                <w:i/>
                <w:sz w:val="14"/>
                <w:lang w:val="fr-CH"/>
              </w:rPr>
            </w:pPr>
            <w:r w:rsidRPr="00486232">
              <w:rPr>
                <w:i/>
                <w:sz w:val="14"/>
                <w:lang w:val="fr-CH"/>
              </w:rPr>
              <w:t>2013</w:t>
            </w:r>
          </w:p>
        </w:tc>
      </w:tr>
      <w:tr w:rsidR="007F7BD1" w:rsidRPr="00486232" w:rsidTr="00B97F5F">
        <w:trPr>
          <w:trHeight w:hRule="exact" w:val="115"/>
          <w:tblHeader/>
        </w:trPr>
        <w:tc>
          <w:tcPr>
            <w:tcW w:w="526" w:type="dxa"/>
            <w:tcBorders>
              <w:top w:val="single" w:sz="12" w:space="0" w:color="auto"/>
            </w:tcBorders>
            <w:shd w:val="clear" w:color="auto" w:fill="auto"/>
          </w:tcPr>
          <w:p w:rsidR="007F7BD1" w:rsidRPr="00486232" w:rsidRDefault="007F7BD1" w:rsidP="00B97F5F">
            <w:pPr>
              <w:autoSpaceDN w:val="0"/>
              <w:spacing w:before="40" w:after="80"/>
              <w:ind w:right="115"/>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7"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c>
          <w:tcPr>
            <w:tcW w:w="526" w:type="dxa"/>
            <w:tcBorders>
              <w:top w:val="single" w:sz="12" w:space="0" w:color="auto"/>
            </w:tcBorders>
            <w:shd w:val="clear" w:color="auto" w:fill="auto"/>
          </w:tcPr>
          <w:p w:rsidR="007F7BD1" w:rsidRPr="00486232" w:rsidRDefault="007F7BD1" w:rsidP="00B97F5F">
            <w:pPr>
              <w:autoSpaceDN w:val="0"/>
              <w:spacing w:before="40" w:after="80"/>
              <w:ind w:right="115"/>
              <w:jc w:val="right"/>
              <w:rPr>
                <w:lang w:val="fr-CH"/>
              </w:rPr>
            </w:pPr>
          </w:p>
        </w:tc>
      </w:tr>
      <w:tr w:rsidR="007F7BD1" w:rsidRPr="00486232" w:rsidTr="00B97F5F">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7"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c>
          <w:tcPr>
            <w:tcW w:w="526" w:type="dxa"/>
            <w:tcBorders>
              <w:bottom w:val="single" w:sz="12" w:space="0" w:color="auto"/>
            </w:tcBorders>
            <w:shd w:val="clear" w:color="auto" w:fill="auto"/>
          </w:tcPr>
          <w:p w:rsidR="007F7BD1" w:rsidRPr="00486232" w:rsidRDefault="007F7BD1" w:rsidP="00B97F5F">
            <w:pPr>
              <w:tabs>
                <w:tab w:val="left" w:pos="288"/>
                <w:tab w:val="left" w:pos="576"/>
                <w:tab w:val="left" w:pos="864"/>
                <w:tab w:val="left" w:pos="1152"/>
              </w:tabs>
              <w:autoSpaceDN w:val="0"/>
              <w:spacing w:before="40" w:after="80"/>
              <w:ind w:right="115"/>
              <w:jc w:val="right"/>
              <w:rPr>
                <w:lang w:val="fr-CH"/>
              </w:rPr>
            </w:pPr>
          </w:p>
        </w:tc>
      </w:tr>
    </w:tbl>
    <w:p w:rsidR="007F7BD1" w:rsidRPr="00B44BF2" w:rsidRDefault="007F7BD1" w:rsidP="007F7BD1">
      <w:pPr>
        <w:pStyle w:val="SingleTxt"/>
        <w:spacing w:after="0" w:line="120" w:lineRule="exact"/>
        <w:rPr>
          <w:sz w:val="10"/>
          <w:lang w:val="fr-CH" w:bidi="fr-CH"/>
        </w:rPr>
      </w:pPr>
    </w:p>
    <w:p w:rsidR="007F7BD1" w:rsidRPr="00B44BF2" w:rsidRDefault="007F7BD1" w:rsidP="007F7BD1">
      <w:pPr>
        <w:pStyle w:val="SingleTxt"/>
        <w:spacing w:after="0" w:line="120" w:lineRule="exact"/>
        <w:rPr>
          <w:sz w:val="10"/>
          <w:lang w:val="fr-CH" w:bidi="fr-CH"/>
        </w:rPr>
      </w:pPr>
    </w:p>
    <w:p w:rsidR="007F7BD1" w:rsidRPr="00B44BF2" w:rsidRDefault="007F7BD1" w:rsidP="007F7BD1">
      <w:pPr>
        <w:pStyle w:val="SingleTxt"/>
        <w:spacing w:after="0" w:line="240" w:lineRule="auto"/>
        <w:rPr>
          <w:lang w:val="fr-CH" w:bidi="fr-CH"/>
        </w:rPr>
      </w:pPr>
      <w:r>
        <w:rPr>
          <w:noProof/>
          <w:w w:val="100"/>
          <w:lang w:val="en-GB" w:eastAsia="en-GB"/>
        </w:rPr>
        <mc:AlternateContent>
          <mc:Choice Requires="wps">
            <w:drawing>
              <wp:anchor distT="0" distB="0" distL="114300" distR="114300" simplePos="0" relativeHeight="251660288" behindDoc="0" locked="0" layoutInCell="1" allowOverlap="1" wp14:anchorId="3521A33F" wp14:editId="668086BE">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6BBE2593" wp14:editId="78B47096">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p w:rsidR="00DD22AF" w:rsidRDefault="007F7BD1"/>
    <w:sectPr w:rsidR="00DD22AF" w:rsidSect="007F7BD1">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D1" w:rsidRDefault="007F7BD1" w:rsidP="007F7BD1">
      <w:pPr>
        <w:spacing w:line="240" w:lineRule="auto"/>
      </w:pPr>
      <w:r>
        <w:separator/>
      </w:r>
    </w:p>
  </w:endnote>
  <w:endnote w:type="continuationSeparator" w:id="0">
    <w:p w:rsidR="007F7BD1" w:rsidRDefault="007F7BD1" w:rsidP="007F7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D1" w:rsidRDefault="007F7BD1" w:rsidP="007F7BD1">
      <w:pPr>
        <w:spacing w:line="240" w:lineRule="auto"/>
      </w:pPr>
      <w:r>
        <w:separator/>
      </w:r>
    </w:p>
  </w:footnote>
  <w:footnote w:type="continuationSeparator" w:id="0">
    <w:p w:rsidR="007F7BD1" w:rsidRDefault="007F7BD1" w:rsidP="007F7BD1">
      <w:pPr>
        <w:spacing w:line="240" w:lineRule="auto"/>
      </w:pPr>
      <w:r>
        <w:continuationSeparator/>
      </w:r>
    </w:p>
  </w:footnote>
  <w:footnote w:id="1">
    <w:p w:rsidR="007F7BD1" w:rsidRPr="00CB276B" w:rsidRDefault="007F7BD1" w:rsidP="007F7BD1">
      <w:pPr>
        <w:pStyle w:val="FootnoteText"/>
        <w:tabs>
          <w:tab w:val="right" w:pos="1195"/>
          <w:tab w:val="left" w:pos="1267"/>
          <w:tab w:val="left" w:pos="1742"/>
          <w:tab w:val="left" w:pos="2218"/>
          <w:tab w:val="left" w:pos="2693"/>
        </w:tabs>
        <w:ind w:left="1267" w:right="1260" w:hanging="432"/>
        <w:rPr>
          <w:lang w:val="fr-CH" w:eastAsia="fr-CH" w:bidi="fr-CH"/>
        </w:rPr>
      </w:pPr>
      <w:r w:rsidRPr="00CB276B">
        <w:rPr>
          <w:lang w:val="fr-CH"/>
        </w:rPr>
        <w:tab/>
      </w:r>
      <w:r w:rsidRPr="00CB276B">
        <w:rPr>
          <w:rStyle w:val="FootnoteReference"/>
          <w:lang w:val="fr-CH"/>
        </w:rPr>
        <w:t>*</w:t>
      </w:r>
      <w:r w:rsidRPr="00CB276B">
        <w:rPr>
          <w:lang w:val="fr-CH"/>
        </w:rPr>
        <w:tab/>
        <w:t>Le présent document n’a pas été revu par les services d’édition avant d’être envoyé aux services de traduction de l’Organisation des Nations Unies.</w:t>
      </w:r>
    </w:p>
  </w:footnote>
  <w:footnote w:id="2">
    <w:p w:rsidR="007F7BD1" w:rsidRPr="00CB276B" w:rsidRDefault="007F7BD1" w:rsidP="007F7BD1">
      <w:pPr>
        <w:pStyle w:val="FootnoteText"/>
        <w:widowControl w:val="0"/>
        <w:tabs>
          <w:tab w:val="right" w:pos="1195"/>
          <w:tab w:val="left" w:pos="1267"/>
          <w:tab w:val="left" w:pos="1742"/>
          <w:tab w:val="left" w:pos="2218"/>
          <w:tab w:val="left" w:pos="2693"/>
        </w:tabs>
        <w:ind w:left="1267" w:right="1260" w:hanging="432"/>
        <w:rPr>
          <w:lang w:val="fr-CH"/>
        </w:rPr>
      </w:pPr>
      <w:r w:rsidRPr="00CB276B">
        <w:rPr>
          <w:lang w:val="fr-CH"/>
        </w:rPr>
        <w:tab/>
      </w:r>
      <w:r w:rsidRPr="00CB276B">
        <w:rPr>
          <w:rStyle w:val="FootnoteReference"/>
          <w:lang w:val="fr-CH"/>
        </w:rPr>
        <w:footnoteRef/>
      </w:r>
      <w:r w:rsidRPr="00CB276B">
        <w:rPr>
          <w:lang w:val="fr-CH"/>
        </w:rPr>
        <w:tab/>
        <w:t>Système de comptabilité nationale 2008 (SCN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F32C1"/>
    <w:multiLevelType w:val="singleLevel"/>
    <w:tmpl w:val="CD0266CA"/>
    <w:lvl w:ilvl="0">
      <w:start w:val="1"/>
      <w:numFmt w:val="decimal"/>
      <w:lvlRestart w:val="0"/>
      <w:lvlText w:val="%1."/>
      <w:lvlJc w:val="left"/>
      <w:pPr>
        <w:tabs>
          <w:tab w:val="num" w:pos="475"/>
        </w:tabs>
        <w:ind w:left="0" w:firstLine="0"/>
      </w:pPr>
      <w:rPr>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D1"/>
    <w:rsid w:val="003640CC"/>
    <w:rsid w:val="005F022B"/>
    <w:rsid w:val="00742530"/>
    <w:rsid w:val="007F7BD1"/>
    <w:rsid w:val="00D82320"/>
    <w:rsid w:val="00E4698A"/>
    <w:rsid w:val="00EC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D1"/>
    <w:pPr>
      <w:spacing w:after="0" w:line="240" w:lineRule="exact"/>
    </w:pPr>
    <w:rPr>
      <w:rFonts w:ascii="Times New Roman" w:hAnsi="Times New Roman" w:cs="Times New Roman"/>
      <w:spacing w:val="4"/>
      <w:w w:val="103"/>
      <w:kern w:val="14"/>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F7BD1"/>
    <w:pPr>
      <w:keepNext/>
      <w:keepLines/>
      <w:suppressAutoHyphens/>
      <w:spacing w:line="270" w:lineRule="exact"/>
      <w:outlineLvl w:val="0"/>
    </w:pPr>
    <w:rPr>
      <w:b/>
      <w:sz w:val="24"/>
    </w:rPr>
  </w:style>
  <w:style w:type="paragraph" w:customStyle="1" w:styleId="HCH">
    <w:name w:val="_ H _CH"/>
    <w:basedOn w:val="H1"/>
    <w:next w:val="SingleTxt"/>
    <w:qFormat/>
    <w:rsid w:val="007F7BD1"/>
    <w:pPr>
      <w:spacing w:line="300" w:lineRule="exact"/>
    </w:pPr>
    <w:rPr>
      <w:spacing w:val="-2"/>
      <w:sz w:val="28"/>
    </w:rPr>
  </w:style>
  <w:style w:type="paragraph" w:customStyle="1" w:styleId="H23">
    <w:name w:val="_ H_2/3"/>
    <w:basedOn w:val="H1"/>
    <w:next w:val="SingleTxt"/>
    <w:qFormat/>
    <w:rsid w:val="007F7BD1"/>
    <w:pPr>
      <w:spacing w:line="240" w:lineRule="exact"/>
      <w:outlineLvl w:val="1"/>
    </w:pPr>
    <w:rPr>
      <w:spacing w:val="2"/>
      <w:sz w:val="20"/>
    </w:rPr>
  </w:style>
  <w:style w:type="paragraph" w:customStyle="1" w:styleId="SingleTxt">
    <w:name w:val="__Single Txt"/>
    <w:basedOn w:val="Normal"/>
    <w:qFormat/>
    <w:rsid w:val="007F7BD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noteText">
    <w:name w:val="footnote text"/>
    <w:basedOn w:val="Normal"/>
    <w:link w:val="FootnoteTextChar"/>
    <w:uiPriority w:val="99"/>
    <w:rsid w:val="007F7BD1"/>
    <w:pPr>
      <w:spacing w:line="210" w:lineRule="exact"/>
    </w:pPr>
    <w:rPr>
      <w:sz w:val="17"/>
      <w:szCs w:val="20"/>
    </w:rPr>
  </w:style>
  <w:style w:type="character" w:customStyle="1" w:styleId="FootnoteTextChar">
    <w:name w:val="Footnote Text Char"/>
    <w:basedOn w:val="DefaultParagraphFont"/>
    <w:link w:val="FootnoteText"/>
    <w:uiPriority w:val="99"/>
    <w:rsid w:val="007F7BD1"/>
    <w:rPr>
      <w:rFonts w:ascii="Times New Roman" w:hAnsi="Times New Roman" w:cs="Times New Roman"/>
      <w:spacing w:val="4"/>
      <w:w w:val="103"/>
      <w:kern w:val="14"/>
      <w:sz w:val="17"/>
      <w:szCs w:val="20"/>
      <w:lang w:val="fr-CA"/>
    </w:rPr>
  </w:style>
  <w:style w:type="character" w:styleId="FootnoteReference">
    <w:name w:val="footnote reference"/>
    <w:uiPriority w:val="99"/>
    <w:rsid w:val="007F7BD1"/>
    <w:rPr>
      <w:color w:val="943634" w:themeColor="accent2" w:themeShade="BF"/>
      <w:vertAlign w:val="superscript"/>
    </w:rPr>
  </w:style>
  <w:style w:type="paragraph" w:customStyle="1" w:styleId="Bullet2">
    <w:name w:val="Bullet 2"/>
    <w:basedOn w:val="Normal"/>
    <w:qFormat/>
    <w:rsid w:val="007F7BD1"/>
    <w:pPr>
      <w:numPr>
        <w:numId w:val="1"/>
      </w:numPr>
      <w:tabs>
        <w:tab w:val="left" w:pos="2217"/>
      </w:tabs>
      <w:spacing w:after="120"/>
      <w:ind w:left="2217" w:right="1264" w:hanging="130"/>
      <w:jc w:val="both"/>
    </w:pPr>
  </w:style>
  <w:style w:type="table" w:customStyle="1" w:styleId="Grilledutableau1">
    <w:name w:val="Grille du tableau1"/>
    <w:basedOn w:val="TableNormal"/>
    <w:rsid w:val="007F7BD1"/>
    <w:pPr>
      <w:suppressAutoHyphens/>
      <w:spacing w:after="0" w:line="240" w:lineRule="atLeast"/>
    </w:pPr>
    <w:rPr>
      <w:rFonts w:ascii="Times New Roman" w:eastAsia="Times New Roman" w:hAnsi="Times New Roman" w:cs="Times New Roman"/>
      <w:spacing w:val="4"/>
      <w:w w:val="103"/>
      <w:kern w:val="14"/>
      <w:sz w:val="20"/>
      <w:lang w:val="fr-CH" w:eastAsia="fr-CH" w:bidi="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D1"/>
    <w:pPr>
      <w:spacing w:after="0" w:line="240" w:lineRule="exact"/>
    </w:pPr>
    <w:rPr>
      <w:rFonts w:ascii="Times New Roman" w:hAnsi="Times New Roman" w:cs="Times New Roman"/>
      <w:spacing w:val="4"/>
      <w:w w:val="103"/>
      <w:kern w:val="14"/>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F7BD1"/>
    <w:pPr>
      <w:keepNext/>
      <w:keepLines/>
      <w:suppressAutoHyphens/>
      <w:spacing w:line="270" w:lineRule="exact"/>
      <w:outlineLvl w:val="0"/>
    </w:pPr>
    <w:rPr>
      <w:b/>
      <w:sz w:val="24"/>
    </w:rPr>
  </w:style>
  <w:style w:type="paragraph" w:customStyle="1" w:styleId="HCH">
    <w:name w:val="_ H _CH"/>
    <w:basedOn w:val="H1"/>
    <w:next w:val="SingleTxt"/>
    <w:qFormat/>
    <w:rsid w:val="007F7BD1"/>
    <w:pPr>
      <w:spacing w:line="300" w:lineRule="exact"/>
    </w:pPr>
    <w:rPr>
      <w:spacing w:val="-2"/>
      <w:sz w:val="28"/>
    </w:rPr>
  </w:style>
  <w:style w:type="paragraph" w:customStyle="1" w:styleId="H23">
    <w:name w:val="_ H_2/3"/>
    <w:basedOn w:val="H1"/>
    <w:next w:val="SingleTxt"/>
    <w:qFormat/>
    <w:rsid w:val="007F7BD1"/>
    <w:pPr>
      <w:spacing w:line="240" w:lineRule="exact"/>
      <w:outlineLvl w:val="1"/>
    </w:pPr>
    <w:rPr>
      <w:spacing w:val="2"/>
      <w:sz w:val="20"/>
    </w:rPr>
  </w:style>
  <w:style w:type="paragraph" w:customStyle="1" w:styleId="SingleTxt">
    <w:name w:val="__Single Txt"/>
    <w:basedOn w:val="Normal"/>
    <w:qFormat/>
    <w:rsid w:val="007F7BD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noteText">
    <w:name w:val="footnote text"/>
    <w:basedOn w:val="Normal"/>
    <w:link w:val="FootnoteTextChar"/>
    <w:uiPriority w:val="99"/>
    <w:rsid w:val="007F7BD1"/>
    <w:pPr>
      <w:spacing w:line="210" w:lineRule="exact"/>
    </w:pPr>
    <w:rPr>
      <w:sz w:val="17"/>
      <w:szCs w:val="20"/>
    </w:rPr>
  </w:style>
  <w:style w:type="character" w:customStyle="1" w:styleId="FootnoteTextChar">
    <w:name w:val="Footnote Text Char"/>
    <w:basedOn w:val="DefaultParagraphFont"/>
    <w:link w:val="FootnoteText"/>
    <w:uiPriority w:val="99"/>
    <w:rsid w:val="007F7BD1"/>
    <w:rPr>
      <w:rFonts w:ascii="Times New Roman" w:hAnsi="Times New Roman" w:cs="Times New Roman"/>
      <w:spacing w:val="4"/>
      <w:w w:val="103"/>
      <w:kern w:val="14"/>
      <w:sz w:val="17"/>
      <w:szCs w:val="20"/>
      <w:lang w:val="fr-CA"/>
    </w:rPr>
  </w:style>
  <w:style w:type="character" w:styleId="FootnoteReference">
    <w:name w:val="footnote reference"/>
    <w:uiPriority w:val="99"/>
    <w:rsid w:val="007F7BD1"/>
    <w:rPr>
      <w:color w:val="943634" w:themeColor="accent2" w:themeShade="BF"/>
      <w:vertAlign w:val="superscript"/>
    </w:rPr>
  </w:style>
  <w:style w:type="paragraph" w:customStyle="1" w:styleId="Bullet2">
    <w:name w:val="Bullet 2"/>
    <w:basedOn w:val="Normal"/>
    <w:qFormat/>
    <w:rsid w:val="007F7BD1"/>
    <w:pPr>
      <w:numPr>
        <w:numId w:val="1"/>
      </w:numPr>
      <w:tabs>
        <w:tab w:val="left" w:pos="2217"/>
      </w:tabs>
      <w:spacing w:after="120"/>
      <w:ind w:left="2217" w:right="1264" w:hanging="130"/>
      <w:jc w:val="both"/>
    </w:pPr>
  </w:style>
  <w:style w:type="table" w:customStyle="1" w:styleId="Grilledutableau1">
    <w:name w:val="Grille du tableau1"/>
    <w:basedOn w:val="TableNormal"/>
    <w:rsid w:val="007F7BD1"/>
    <w:pPr>
      <w:suppressAutoHyphens/>
      <w:spacing w:after="0" w:line="240" w:lineRule="atLeast"/>
    </w:pPr>
    <w:rPr>
      <w:rFonts w:ascii="Times New Roman" w:eastAsia="Times New Roman" w:hAnsi="Times New Roman" w:cs="Times New Roman"/>
      <w:spacing w:val="4"/>
      <w:w w:val="103"/>
      <w:kern w:val="14"/>
      <w:sz w:val="20"/>
      <w:lang w:val="fr-CH" w:eastAsia="fr-CH" w:bidi="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Alexopoulos</dc:creator>
  <cp:lastModifiedBy>Konstantinos Alexopoulos</cp:lastModifiedBy>
  <cp:revision>1</cp:revision>
  <dcterms:created xsi:type="dcterms:W3CDTF">2016-03-29T11:31:00Z</dcterms:created>
  <dcterms:modified xsi:type="dcterms:W3CDTF">2016-03-29T11:33:00Z</dcterms:modified>
</cp:coreProperties>
</file>