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EC1955" w:rsidTr="007B199D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EC1955" w:rsidRDefault="00A658DB" w:rsidP="00934877">
            <w:pPr>
              <w:jc w:val="right"/>
              <w:rPr>
                <w:lang w:val="en-US"/>
              </w:rPr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EC1955">
              <w:rPr>
                <w:lang w:val="en-US"/>
              </w:rPr>
              <w:t>/</w:t>
            </w:r>
            <w:r>
              <w:fldChar w:fldCharType="begin"/>
            </w:r>
            <w:r w:rsidRPr="00EC1955">
              <w:rPr>
                <w:lang w:val="en-US"/>
              </w:rPr>
              <w:instrText xml:space="preserve"> FILLIN  "</w:instrText>
            </w:r>
            <w:r>
              <w:instrText>Введите</w:instrText>
            </w:r>
            <w:r w:rsidRPr="00EC1955">
              <w:rPr>
                <w:lang w:val="en-US"/>
              </w:rPr>
              <w:instrText xml:space="preserve"> </w:instrText>
            </w:r>
            <w:r>
              <w:instrText>символ</w:instrText>
            </w:r>
            <w:r w:rsidRPr="00EC1955">
              <w:rPr>
                <w:lang w:val="en-US"/>
              </w:rPr>
              <w:instrText xml:space="preserve"> </w:instrText>
            </w:r>
            <w:r>
              <w:instrText>после</w:instrText>
            </w:r>
            <w:r w:rsidRPr="00EC1955">
              <w:rPr>
                <w:lang w:val="en-US"/>
              </w:rPr>
              <w:instrText xml:space="preserve"> </w:instrText>
            </w:r>
            <w:r>
              <w:instrText>Е</w:instrText>
            </w:r>
            <w:r w:rsidRPr="00EC1955">
              <w:rPr>
                <w:lang w:val="en-US"/>
              </w:rPr>
              <w:instrText xml:space="preserve">CE/"  \* MERGEFORMAT </w:instrText>
            </w:r>
            <w:r>
              <w:fldChar w:fldCharType="separate"/>
            </w:r>
            <w:r w:rsidR="00EC1955" w:rsidRPr="00EC1955">
              <w:rPr>
                <w:lang w:val="en-US"/>
              </w:rPr>
              <w:t>TRANS/WP.29/GRSG/2016/14/Add.1</w:t>
            </w:r>
            <w:r>
              <w:fldChar w:fldCharType="end"/>
            </w:r>
            <w:r w:rsidRPr="00EC1955">
              <w:rPr>
                <w:lang w:val="en-US"/>
              </w:rPr>
              <w:t xml:space="preserve">                  </w:t>
            </w:r>
          </w:p>
        </w:tc>
      </w:tr>
      <w:tr w:rsidR="00A658DB" w:rsidRPr="00245892" w:rsidTr="007B199D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12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7309BA5F" wp14:editId="573FB22A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7B199D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240"/>
            </w:pPr>
            <w:r w:rsidRPr="00245892">
              <w:t xml:space="preserve">Distr.: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0376E5">
              <w:fldChar w:fldCharType="separate"/>
            </w:r>
            <w:r w:rsidRPr="00245892">
              <w:fldChar w:fldCharType="end"/>
            </w:r>
            <w:bookmarkEnd w:id="1"/>
          </w:p>
          <w:p w:rsidR="00A658DB" w:rsidRPr="00245892" w:rsidRDefault="00EC1955" w:rsidP="007B199D">
            <w:r>
              <w:rPr>
                <w:lang w:val="en-US"/>
              </w:rPr>
              <w:t>22 July 2016</w:t>
            </w:r>
            <w:r w:rsidR="00A658DB" w:rsidRPr="00245892">
              <w:fldChar w:fldCharType="begin"/>
            </w:r>
            <w:r w:rsidR="00A658DB" w:rsidRPr="00245892">
              <w:instrText xml:space="preserve"> FILLIN  "Введите дату документа" \* MERGEFORMAT </w:instrText>
            </w:r>
            <w:r w:rsidR="00A658DB" w:rsidRPr="00245892">
              <w:fldChar w:fldCharType="end"/>
            </w:r>
          </w:p>
          <w:p w:rsidR="00A658DB" w:rsidRPr="00245892" w:rsidRDefault="00A658DB" w:rsidP="007B199D">
            <w:r w:rsidRPr="00245892">
              <w:t>Russian</w:t>
            </w:r>
          </w:p>
          <w:p w:rsidR="00A658DB" w:rsidRPr="00245892" w:rsidRDefault="00A658DB" w:rsidP="007B199D">
            <w:r w:rsidRPr="00245892">
              <w:t xml:space="preserve">Original: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0376E5">
              <w:fldChar w:fldCharType="separate"/>
            </w:r>
            <w:r w:rsidRPr="00245892">
              <w:fldChar w:fldCharType="end"/>
            </w:r>
            <w:bookmarkEnd w:id="2"/>
          </w:p>
          <w:p w:rsidR="00A658DB" w:rsidRPr="00245892" w:rsidRDefault="00A658DB" w:rsidP="007B199D"/>
        </w:tc>
      </w:tr>
    </w:tbl>
    <w:p w:rsidR="00A658DB" w:rsidRDefault="00A658DB" w:rsidP="00A658D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761D4A" w:rsidRPr="00761D4A" w:rsidRDefault="00761D4A" w:rsidP="00761D4A">
      <w:pPr>
        <w:pStyle w:val="SingleTxtGR"/>
        <w:spacing w:before="120"/>
        <w:ind w:left="0" w:right="1138"/>
        <w:rPr>
          <w:sz w:val="28"/>
          <w:szCs w:val="28"/>
        </w:rPr>
      </w:pPr>
      <w:r w:rsidRPr="00761D4A">
        <w:rPr>
          <w:sz w:val="28"/>
          <w:szCs w:val="28"/>
        </w:rPr>
        <w:t>Комитет по внутреннему транспорту</w:t>
      </w:r>
    </w:p>
    <w:p w:rsidR="00761D4A" w:rsidRPr="00761D4A" w:rsidRDefault="00761D4A" w:rsidP="00761D4A">
      <w:pPr>
        <w:pStyle w:val="SingleTxtGR"/>
        <w:ind w:left="0" w:right="1138"/>
        <w:jc w:val="left"/>
        <w:rPr>
          <w:b/>
          <w:sz w:val="24"/>
          <w:szCs w:val="24"/>
        </w:rPr>
      </w:pPr>
      <w:r w:rsidRPr="00761D4A">
        <w:rPr>
          <w:b/>
          <w:sz w:val="24"/>
          <w:szCs w:val="24"/>
        </w:rPr>
        <w:t>Всемирный форум для согласования правил</w:t>
      </w:r>
      <w:r w:rsidRPr="00761D4A">
        <w:rPr>
          <w:b/>
          <w:sz w:val="24"/>
          <w:szCs w:val="24"/>
        </w:rPr>
        <w:br/>
        <w:t>в области транспортных средств</w:t>
      </w:r>
    </w:p>
    <w:p w:rsidR="00761D4A" w:rsidRPr="00761D4A" w:rsidRDefault="00761D4A" w:rsidP="00761D4A">
      <w:pPr>
        <w:pStyle w:val="SingleTxtGR"/>
        <w:ind w:left="0" w:right="1138"/>
        <w:jc w:val="left"/>
        <w:rPr>
          <w:b/>
        </w:rPr>
      </w:pPr>
      <w:r w:rsidRPr="00761D4A">
        <w:rPr>
          <w:b/>
        </w:rPr>
        <w:t xml:space="preserve">Рабочая группа по общим предписаниям, </w:t>
      </w:r>
      <w:r w:rsidRPr="00761D4A">
        <w:rPr>
          <w:b/>
        </w:rPr>
        <w:br/>
        <w:t>касающимся безопасности</w:t>
      </w:r>
    </w:p>
    <w:p w:rsidR="00761D4A" w:rsidRPr="00761D4A" w:rsidRDefault="00761D4A" w:rsidP="00761D4A">
      <w:pPr>
        <w:pStyle w:val="SingleTxtGR"/>
        <w:spacing w:after="0"/>
        <w:ind w:left="0" w:right="1138"/>
        <w:rPr>
          <w:b/>
        </w:rPr>
      </w:pPr>
      <w:r w:rsidRPr="00761D4A">
        <w:rPr>
          <w:b/>
        </w:rPr>
        <w:t>111-я сессия</w:t>
      </w:r>
    </w:p>
    <w:p w:rsidR="00761D4A" w:rsidRPr="00761D4A" w:rsidRDefault="00761D4A" w:rsidP="00761D4A">
      <w:pPr>
        <w:pStyle w:val="SingleTxtGR"/>
        <w:spacing w:after="0"/>
        <w:ind w:left="0" w:right="1138"/>
      </w:pPr>
      <w:r w:rsidRPr="00761D4A">
        <w:t>Женева, 11−14 октября 2016 года</w:t>
      </w:r>
    </w:p>
    <w:p w:rsidR="00761D4A" w:rsidRPr="00761D4A" w:rsidRDefault="00761D4A" w:rsidP="00761D4A">
      <w:pPr>
        <w:pStyle w:val="SingleTxtGR"/>
        <w:spacing w:after="0"/>
        <w:ind w:left="0" w:right="1138"/>
      </w:pPr>
      <w:r w:rsidRPr="00761D4A">
        <w:t>Пункт 1 предварительной повестки дня</w:t>
      </w:r>
    </w:p>
    <w:p w:rsidR="00761D4A" w:rsidRPr="00761D4A" w:rsidRDefault="00761D4A" w:rsidP="00761D4A">
      <w:pPr>
        <w:pStyle w:val="SingleTxtGR"/>
        <w:spacing w:after="0"/>
        <w:ind w:left="0" w:right="1138"/>
        <w:rPr>
          <w:b/>
        </w:rPr>
      </w:pPr>
      <w:r w:rsidRPr="00761D4A">
        <w:rPr>
          <w:b/>
        </w:rPr>
        <w:t>Утверждение повестки дня</w:t>
      </w:r>
    </w:p>
    <w:p w:rsidR="00761D4A" w:rsidRPr="00761D4A" w:rsidRDefault="00761D4A" w:rsidP="00761D4A">
      <w:pPr>
        <w:pStyle w:val="HChGR"/>
      </w:pPr>
      <w:r>
        <w:rPr>
          <w:lang w:val="en-US"/>
        </w:rPr>
        <w:tab/>
      </w:r>
      <w:r>
        <w:rPr>
          <w:lang w:val="en-US"/>
        </w:rPr>
        <w:tab/>
      </w:r>
      <w:r w:rsidRPr="00761D4A">
        <w:t>Предварительная повестка дня 111-й сессии</w:t>
      </w:r>
    </w:p>
    <w:p w:rsidR="00761D4A" w:rsidRPr="00761D4A" w:rsidRDefault="00761D4A" w:rsidP="00761D4A">
      <w:pPr>
        <w:pStyle w:val="H23GR"/>
      </w:pPr>
      <w:r w:rsidRPr="00761D4A">
        <w:tab/>
      </w:r>
      <w:r w:rsidRPr="00761D4A">
        <w:tab/>
        <w:t>Добавление</w:t>
      </w:r>
    </w:p>
    <w:p w:rsidR="00761D4A" w:rsidRPr="00761D4A" w:rsidRDefault="00761D4A" w:rsidP="00761D4A">
      <w:pPr>
        <w:pStyle w:val="HChGR"/>
      </w:pPr>
      <w:r w:rsidRPr="00761D4A">
        <w:tab/>
      </w:r>
      <w:r>
        <w:rPr>
          <w:lang w:val="en-US"/>
        </w:rPr>
        <w:tab/>
      </w:r>
      <w:r w:rsidRPr="00761D4A">
        <w:t>Аннотации</w:t>
      </w:r>
    </w:p>
    <w:p w:rsidR="00761D4A" w:rsidRPr="00761D4A" w:rsidRDefault="00761D4A" w:rsidP="00761D4A">
      <w:pPr>
        <w:pStyle w:val="H1GR"/>
      </w:pPr>
      <w:r>
        <w:rPr>
          <w:lang w:val="en-US"/>
        </w:rPr>
        <w:tab/>
      </w:r>
      <w:r w:rsidRPr="00761D4A">
        <w:t>1.</w:t>
      </w:r>
      <w:r w:rsidRPr="00761D4A">
        <w:tab/>
        <w:t>Утверждение повестки дня</w:t>
      </w:r>
    </w:p>
    <w:p w:rsidR="00761D4A" w:rsidRPr="00761D4A" w:rsidRDefault="00761D4A" w:rsidP="00761D4A">
      <w:pPr>
        <w:pStyle w:val="SingleTxtGR"/>
      </w:pPr>
      <w:r w:rsidRPr="00761D4A">
        <w:tab/>
        <w:t>В соответствии с правилом 7 главы III правил процедуры (TRANS/</w:t>
      </w:r>
      <w:r w:rsidR="00B906FC" w:rsidRPr="00B906FC">
        <w:t xml:space="preserve"> </w:t>
      </w:r>
      <w:r w:rsidRPr="00761D4A">
        <w:t>WP.29/690, Amend.1 и 2) Всемирного форума по согласованию правил в области транспортных средств (WP.29) первым пунктом предварительной повестки дня является утверждение повестки дня.</w:t>
      </w:r>
    </w:p>
    <w:p w:rsidR="00761D4A" w:rsidRPr="00761D4A" w:rsidRDefault="00761D4A" w:rsidP="00761D4A">
      <w:pPr>
        <w:pStyle w:val="SingleTxtGR"/>
        <w:ind w:left="2835" w:hanging="1701"/>
        <w:jc w:val="left"/>
      </w:pPr>
      <w:r w:rsidRPr="00761D4A">
        <w:rPr>
          <w:b/>
          <w:bCs/>
        </w:rPr>
        <w:t>Документация</w:t>
      </w:r>
      <w:r w:rsidRPr="00761D4A">
        <w:t>:</w:t>
      </w:r>
      <w:r w:rsidRPr="00761D4A">
        <w:tab/>
        <w:t>ECE/TRANS/WP.29/GRSG/2016/14 и Add.1</w:t>
      </w:r>
      <w:r w:rsidRPr="00761D4A">
        <w:br/>
        <w:t>неофициальный документ GRSG-111-01</w:t>
      </w:r>
    </w:p>
    <w:p w:rsidR="00761D4A" w:rsidRPr="00761D4A" w:rsidRDefault="00761D4A" w:rsidP="00761D4A">
      <w:pPr>
        <w:pStyle w:val="H1GR"/>
      </w:pPr>
      <w:r w:rsidRPr="00761D4A">
        <w:tab/>
        <w:t>2.</w:t>
      </w:r>
      <w:r w:rsidRPr="00761D4A">
        <w:tab/>
        <w:t>Правила № 107 (транспортные средства M</w:t>
      </w:r>
      <w:r w:rsidRPr="00761D4A">
        <w:rPr>
          <w:vertAlign w:val="subscript"/>
        </w:rPr>
        <w:t>2</w:t>
      </w:r>
      <w:r w:rsidRPr="00761D4A">
        <w:rPr>
          <w:vertAlign w:val="superscript"/>
        </w:rPr>
        <w:t xml:space="preserve"> </w:t>
      </w:r>
      <w:r w:rsidRPr="00761D4A">
        <w:t>и M</w:t>
      </w:r>
      <w:r w:rsidRPr="00761D4A">
        <w:rPr>
          <w:vertAlign w:val="subscript"/>
        </w:rPr>
        <w:t>3</w:t>
      </w:r>
      <w:r w:rsidRPr="00761D4A">
        <w:t>)</w:t>
      </w:r>
    </w:p>
    <w:p w:rsidR="00761D4A" w:rsidRPr="00761D4A" w:rsidRDefault="00406A50" w:rsidP="00761D4A">
      <w:pPr>
        <w:pStyle w:val="SingleTxtGR"/>
      </w:pPr>
      <w:r w:rsidRPr="00C95DB5">
        <w:tab/>
      </w:r>
      <w:r w:rsidR="00761D4A" w:rsidRPr="00761D4A">
        <w:t>Рабочая группа по общим предписаниям, касающимся безопасности (GRSG), решила рассмотреть предложение Бельгии (ECE/TRANS/WP.29/</w:t>
      </w:r>
      <w:r w:rsidR="00C95DB5" w:rsidRPr="00C95DB5">
        <w:t xml:space="preserve"> </w:t>
      </w:r>
      <w:r w:rsidR="00761D4A" w:rsidRPr="00761D4A">
        <w:t>GRSG/2016/5), в котором предлагается перенести новые предписания в области безопасности для троллейбусов из Правил № 107 ООН и в Правила</w:t>
      </w:r>
      <w:r w:rsidR="00984E41">
        <w:rPr>
          <w:lang w:val="en-US"/>
        </w:rPr>
        <w:t> </w:t>
      </w:r>
      <w:r w:rsidR="00761D4A" w:rsidRPr="00761D4A">
        <w:t>№</w:t>
      </w:r>
      <w:r w:rsidR="00984E41">
        <w:rPr>
          <w:lang w:val="en-US"/>
        </w:rPr>
        <w:t> </w:t>
      </w:r>
      <w:r w:rsidR="00761D4A" w:rsidRPr="00761D4A">
        <w:t xml:space="preserve">100 ООН, касающиеся транспортных средств с электроприводом. Поэтому GRSG, как ожидается, ознакомится с результатами проведенного Бельгией подробного </w:t>
      </w:r>
      <w:r w:rsidR="00761D4A" w:rsidRPr="00761D4A">
        <w:lastRenderedPageBreak/>
        <w:t>анализа совместимости или несовместимости областей применения и технических положений правил № 10, 100 и 107 ООН, касающихся троллейбусов.</w:t>
      </w:r>
    </w:p>
    <w:p w:rsidR="00761D4A" w:rsidRPr="00761D4A" w:rsidRDefault="00406A50" w:rsidP="00761D4A">
      <w:pPr>
        <w:pStyle w:val="SingleTxtGR"/>
      </w:pPr>
      <w:r>
        <w:rPr>
          <w:lang w:val="en-US"/>
        </w:rPr>
        <w:tab/>
      </w:r>
      <w:r w:rsidR="00761D4A" w:rsidRPr="00761D4A">
        <w:t>GRSG, возможно, пожелает рассмотреть документ ECE/TRANS/WP.29/</w:t>
      </w:r>
      <w:r w:rsidRPr="00406A50">
        <w:t xml:space="preserve"> </w:t>
      </w:r>
      <w:r w:rsidR="00761D4A" w:rsidRPr="00761D4A">
        <w:t>GRSG/2016/20, представленный Германией, в целях повышения уровня удобства и доступности для пассажиров с ограниченной мобильностью.</w:t>
      </w:r>
    </w:p>
    <w:p w:rsidR="00761D4A" w:rsidRPr="00761D4A" w:rsidRDefault="00761D4A" w:rsidP="00406A50">
      <w:pPr>
        <w:pStyle w:val="SingleTxtGR"/>
        <w:ind w:left="2835" w:hanging="1701"/>
      </w:pPr>
      <w:r w:rsidRPr="00761D4A">
        <w:rPr>
          <w:b/>
        </w:rPr>
        <w:t>Документация:</w:t>
      </w:r>
      <w:r w:rsidRPr="00761D4A">
        <w:rPr>
          <w:b/>
        </w:rPr>
        <w:tab/>
      </w:r>
      <w:r w:rsidRPr="00761D4A">
        <w:rPr>
          <w:bCs/>
        </w:rPr>
        <w:t>ECE/TRANS/WP.29/GRSG/2016/5 ECE/TRANS/WP.29/GRSG/2016/20</w:t>
      </w:r>
    </w:p>
    <w:p w:rsidR="00761D4A" w:rsidRPr="00761D4A" w:rsidRDefault="00761D4A" w:rsidP="00406A50">
      <w:pPr>
        <w:pStyle w:val="H1GR"/>
      </w:pPr>
      <w:r w:rsidRPr="00406A50">
        <w:tab/>
      </w:r>
      <w:r w:rsidRPr="00761D4A">
        <w:t>3.</w:t>
      </w:r>
      <w:r w:rsidRPr="00761D4A">
        <w:tab/>
        <w:t>Правила № 39 (механизм для измерения скорости и одометр)</w:t>
      </w:r>
    </w:p>
    <w:p w:rsidR="00761D4A" w:rsidRPr="00761D4A" w:rsidRDefault="00406A50" w:rsidP="00761D4A">
      <w:pPr>
        <w:pStyle w:val="SingleTxtGR"/>
      </w:pPr>
      <w:r>
        <w:rPr>
          <w:lang w:val="en-US"/>
        </w:rPr>
        <w:tab/>
      </w:r>
      <w:r w:rsidR="00761D4A" w:rsidRPr="00761D4A">
        <w:t>После принятия новых положений, касающихся защиты от занижения показателей пробега, GRSG, как ожидается, заслушает информацию Международной автомобильной федерации (МАФ) и Международной организации предприятий автомобильной промышленности (МОПАП) об итогах их совместных усилий по обеспечению безопасности и соблюдению функциональных требований безопасности, предусмотренных в стандартах 26262 и 15408 Международной организации по стандартизации (ИСО), касающихся кибербезопасности, защиты данных и удаленного доступа к бортовым данным.</w:t>
      </w:r>
    </w:p>
    <w:p w:rsidR="00761D4A" w:rsidRPr="00761D4A" w:rsidRDefault="00406A50" w:rsidP="00761D4A">
      <w:pPr>
        <w:pStyle w:val="SingleTxtGR"/>
      </w:pPr>
      <w:r w:rsidRPr="00406A50">
        <w:tab/>
      </w:r>
      <w:r w:rsidR="00761D4A" w:rsidRPr="00761D4A">
        <w:t>Как ожидается, GRSG возобновит обсуждение пересмотренного предложения, подготовленного экспертом от Европейской комиссии (ЕК) и касающегося изменения требований к цифровым дисплеям механизмов для измерения скорости, с учетом замечаний, полученных на последней сессии GRSG (ECE/TRANS/WP.29/GRSG/2016/25).</w:t>
      </w:r>
    </w:p>
    <w:p w:rsidR="00761D4A" w:rsidRPr="00761D4A" w:rsidRDefault="00761D4A" w:rsidP="00406A50">
      <w:pPr>
        <w:pStyle w:val="SingleTxtGR"/>
        <w:ind w:left="2835" w:hanging="1701"/>
        <w:jc w:val="left"/>
      </w:pPr>
      <w:r w:rsidRPr="00761D4A">
        <w:rPr>
          <w:b/>
          <w:bCs/>
        </w:rPr>
        <w:t>Документация</w:t>
      </w:r>
      <w:r w:rsidRPr="00761D4A">
        <w:t>:</w:t>
      </w:r>
      <w:r w:rsidRPr="00761D4A">
        <w:tab/>
        <w:t>(ECE/TRANS/WP.29/GRSG/2015/16)</w:t>
      </w:r>
      <w:r w:rsidR="00406A50" w:rsidRPr="00406A50">
        <w:br/>
      </w:r>
      <w:r w:rsidRPr="00761D4A">
        <w:t>(неофициальный документ GRSG-109-13)</w:t>
      </w:r>
      <w:r w:rsidR="00406A50" w:rsidRPr="00406A50">
        <w:br/>
      </w:r>
      <w:r w:rsidRPr="00761D4A">
        <w:t>ECE/TRANS/WP.29/GRSG/2016/25</w:t>
      </w:r>
    </w:p>
    <w:p w:rsidR="00761D4A" w:rsidRPr="00761D4A" w:rsidRDefault="00761D4A" w:rsidP="00406A50">
      <w:pPr>
        <w:pStyle w:val="H1GR"/>
      </w:pPr>
      <w:r w:rsidRPr="00761D4A">
        <w:tab/>
        <w:t>4.</w:t>
      </w:r>
      <w:r w:rsidRPr="00761D4A">
        <w:tab/>
        <w:t>Правила № 43 (безопасные стекловые материалы)</w:t>
      </w:r>
    </w:p>
    <w:p w:rsidR="00761D4A" w:rsidRPr="00761D4A" w:rsidRDefault="00406A50" w:rsidP="00761D4A">
      <w:pPr>
        <w:pStyle w:val="SingleTxtGR"/>
      </w:pPr>
      <w:r>
        <w:rPr>
          <w:lang w:val="en-US"/>
        </w:rPr>
        <w:tab/>
      </w:r>
      <w:r w:rsidR="00761D4A" w:rsidRPr="00761D4A">
        <w:t>GRSG решила возобновить рассмотрение документа ECE/TRANS/WP.29/</w:t>
      </w:r>
      <w:r w:rsidRPr="00406A50">
        <w:t xml:space="preserve"> </w:t>
      </w:r>
      <w:r w:rsidR="00761D4A" w:rsidRPr="00761D4A">
        <w:t>GRSG/2015/22, представленного Венгрией, в котором уточняются требования к оборудованию для испытания на абразивную стойкость, в ожидании опубликования соответствующего стандарта ИСО.</w:t>
      </w:r>
    </w:p>
    <w:p w:rsidR="00761D4A" w:rsidRPr="00761D4A" w:rsidRDefault="00406A50" w:rsidP="00761D4A">
      <w:pPr>
        <w:pStyle w:val="SingleTxtGR"/>
      </w:pPr>
      <w:r w:rsidRPr="00406A50">
        <w:tab/>
      </w:r>
      <w:r w:rsidR="00761D4A" w:rsidRPr="00761D4A">
        <w:t>GRSG, возможно, пожелает рассмотреть предложение Германии о согласовании требований, касающихся пластиковых стекол, не являющи</w:t>
      </w:r>
      <w:r w:rsidR="00CC6A46">
        <w:t>х</w:t>
      </w:r>
      <w:r w:rsidR="00761D4A" w:rsidRPr="00761D4A">
        <w:t>ся ветровыми, с требованиями для пластиковых ветровых стекол (ECE/TRANS/WP.29/</w:t>
      </w:r>
      <w:r w:rsidRPr="00406A50">
        <w:t xml:space="preserve"> </w:t>
      </w:r>
      <w:r w:rsidR="00761D4A" w:rsidRPr="00761D4A">
        <w:t>GRSG/2016/21).</w:t>
      </w:r>
    </w:p>
    <w:p w:rsidR="00761D4A" w:rsidRPr="00761D4A" w:rsidRDefault="00761D4A" w:rsidP="00406A50">
      <w:pPr>
        <w:pStyle w:val="SingleTxtGR"/>
        <w:ind w:left="2835" w:hanging="1701"/>
      </w:pPr>
      <w:r w:rsidRPr="00406A50">
        <w:rPr>
          <w:b/>
        </w:rPr>
        <w:t>Документация:</w:t>
      </w:r>
      <w:r w:rsidRPr="00761D4A">
        <w:tab/>
        <w:t>ECE/TRANS/WP.29/GRSG/2015/22 ECE/TRANS/WP.29/GRSG/2016/21</w:t>
      </w:r>
    </w:p>
    <w:p w:rsidR="00761D4A" w:rsidRPr="00761D4A" w:rsidRDefault="00761D4A" w:rsidP="00406A50">
      <w:pPr>
        <w:pStyle w:val="H1GR"/>
      </w:pPr>
      <w:r w:rsidRPr="00761D4A">
        <w:tab/>
        <w:t>5.</w:t>
      </w:r>
      <w:r w:rsidRPr="00761D4A">
        <w:tab/>
        <w:t>Правила № 46 (устройства непрямого обзора)</w:t>
      </w:r>
    </w:p>
    <w:p w:rsidR="00761D4A" w:rsidRPr="00761D4A" w:rsidRDefault="00406A50" w:rsidP="00761D4A">
      <w:pPr>
        <w:pStyle w:val="SingleTxtGR"/>
      </w:pPr>
      <w:r>
        <w:rPr>
          <w:lang w:val="en-US"/>
        </w:rPr>
        <w:tab/>
      </w:r>
      <w:r w:rsidR="00761D4A" w:rsidRPr="00761D4A">
        <w:t>GRSG заслушает информацию Японии о ходе работы Целевой группы по Правилам № 46 ООН, которая занимается подготовкой новых требований, касающихся непосредственно прилегающего поля обзора.</w:t>
      </w:r>
    </w:p>
    <w:p w:rsidR="00761D4A" w:rsidRPr="00761D4A" w:rsidRDefault="00761D4A" w:rsidP="00761D4A">
      <w:pPr>
        <w:pStyle w:val="SingleTxtGR"/>
      </w:pPr>
      <w:r w:rsidRPr="00406A50">
        <w:rPr>
          <w:b/>
        </w:rPr>
        <w:t>Документация:</w:t>
      </w:r>
      <w:r w:rsidRPr="00761D4A">
        <w:tab/>
        <w:t>(неофициальный документ GRSG-110-12)</w:t>
      </w:r>
    </w:p>
    <w:p w:rsidR="00761D4A" w:rsidRPr="00761D4A" w:rsidRDefault="00761D4A" w:rsidP="00406A50">
      <w:pPr>
        <w:pStyle w:val="H1GR"/>
      </w:pPr>
      <w:r w:rsidRPr="00761D4A">
        <w:lastRenderedPageBreak/>
        <w:tab/>
        <w:t>6.</w:t>
      </w:r>
      <w:r w:rsidRPr="00761D4A">
        <w:tab/>
        <w:t>Правила № 66 (прочность силовой структуры (автобусы))</w:t>
      </w:r>
    </w:p>
    <w:p w:rsidR="00761D4A" w:rsidRPr="00761D4A" w:rsidRDefault="00406A50" w:rsidP="00761D4A">
      <w:pPr>
        <w:pStyle w:val="SingleTxtGR"/>
      </w:pPr>
      <w:r>
        <w:rPr>
          <w:lang w:val="en-US"/>
        </w:rPr>
        <w:tab/>
      </w:r>
      <w:r w:rsidR="00761D4A" w:rsidRPr="00761D4A">
        <w:t>GRSG решила возобновить рассмотрение предложения МОПАП для уточнения положений Правил ООН в отношении проникновения в остаточное пространство.</w:t>
      </w:r>
    </w:p>
    <w:p w:rsidR="00761D4A" w:rsidRPr="00761D4A" w:rsidRDefault="00761D4A" w:rsidP="00406A50">
      <w:pPr>
        <w:pStyle w:val="SingleTxtGR"/>
        <w:ind w:left="2835" w:hanging="1701"/>
      </w:pPr>
      <w:r w:rsidRPr="00406A50">
        <w:rPr>
          <w:b/>
        </w:rPr>
        <w:t>Документация:</w:t>
      </w:r>
      <w:r w:rsidRPr="00761D4A">
        <w:tab/>
        <w:t>ECE/TRANS/WP.29/GRSG/2016/11</w:t>
      </w:r>
      <w:r w:rsidR="00406A50" w:rsidRPr="00406A50">
        <w:br/>
      </w:r>
      <w:r w:rsidRPr="00761D4A">
        <w:t>(неофициальный документ GRSG-110-16)</w:t>
      </w:r>
    </w:p>
    <w:p w:rsidR="00761D4A" w:rsidRPr="00761D4A" w:rsidRDefault="00761D4A" w:rsidP="00406A50">
      <w:pPr>
        <w:pStyle w:val="H1GR"/>
      </w:pPr>
      <w:r w:rsidRPr="00761D4A">
        <w:tab/>
        <w:t>7.</w:t>
      </w:r>
      <w:r w:rsidRPr="00761D4A">
        <w:tab/>
        <w:t>Правила № 67 (транспортные средства, работающие на СНГ)</w:t>
      </w:r>
    </w:p>
    <w:p w:rsidR="00761D4A" w:rsidRPr="00761D4A" w:rsidRDefault="00406A50" w:rsidP="00761D4A">
      <w:pPr>
        <w:pStyle w:val="SingleTxtGR"/>
      </w:pPr>
      <w:r>
        <w:rPr>
          <w:lang w:val="en-US"/>
        </w:rPr>
        <w:tab/>
      </w:r>
      <w:r w:rsidR="00761D4A" w:rsidRPr="00761D4A">
        <w:t>GRSG продолжит рассмотрение обновленного предложения Нидерландов, предусматривающего возможность применения шлангов класса 0/I с соединительными муфтами, в которых используются другие патрубки, помимо изготовленных из цельнотянутых трубок, если таковое будет представлено.</w:t>
      </w:r>
    </w:p>
    <w:p w:rsidR="00761D4A" w:rsidRPr="00761D4A" w:rsidRDefault="00406A50" w:rsidP="00761D4A">
      <w:pPr>
        <w:pStyle w:val="SingleTxtGR"/>
      </w:pPr>
      <w:r>
        <w:rPr>
          <w:lang w:val="en-US"/>
        </w:rPr>
        <w:tab/>
      </w:r>
      <w:r w:rsidR="00761D4A" w:rsidRPr="00761D4A">
        <w:t>Кроме того, GRSG решила провести окончательное рассмотрение документа ECE/TRANS/WP.29/GRSG/2016/15, предложенного Европейской ассоциацией по сжиженным нефтяным газам (ЕАСНГ) и направленного на предотвращение поступления сжиженного нефтяного газа (СНГ) в бак с бензиновым или дизельным топливом и наоборот.</w:t>
      </w:r>
    </w:p>
    <w:p w:rsidR="00761D4A" w:rsidRPr="00761D4A" w:rsidRDefault="00761D4A" w:rsidP="00406A50">
      <w:pPr>
        <w:pStyle w:val="SingleTxtGR"/>
        <w:ind w:left="2835" w:hanging="1701"/>
      </w:pPr>
      <w:r w:rsidRPr="00406A50">
        <w:rPr>
          <w:b/>
        </w:rPr>
        <w:t>Документация:</w:t>
      </w:r>
      <w:r w:rsidRPr="00761D4A">
        <w:tab/>
        <w:t>(ECE/TRANS/WP.29/GRSG/2016/7) ECE/TRANS/WP.29/GRSG/2016/15</w:t>
      </w:r>
    </w:p>
    <w:p w:rsidR="00761D4A" w:rsidRPr="00761D4A" w:rsidRDefault="00761D4A" w:rsidP="00406A50">
      <w:pPr>
        <w:pStyle w:val="H1GR"/>
      </w:pPr>
      <w:r w:rsidRPr="00761D4A">
        <w:tab/>
        <w:t>8.</w:t>
      </w:r>
      <w:r w:rsidRPr="00761D4A">
        <w:tab/>
        <w:t>Правила № 73 (боковые защитные устройства)</w:t>
      </w:r>
    </w:p>
    <w:p w:rsidR="00761D4A" w:rsidRPr="00761D4A" w:rsidRDefault="00406A50" w:rsidP="00761D4A">
      <w:pPr>
        <w:pStyle w:val="SingleTxtGR"/>
      </w:pPr>
      <w:r>
        <w:rPr>
          <w:lang w:val="en-US"/>
        </w:rPr>
        <w:tab/>
      </w:r>
      <w:r w:rsidR="00761D4A" w:rsidRPr="00761D4A">
        <w:t>GRSG возобновит рассмотрение документа ECE/TRANS/WP.29/GRSG/</w:t>
      </w:r>
      <w:r w:rsidR="00881797" w:rsidRPr="00881797">
        <w:t xml:space="preserve"> </w:t>
      </w:r>
      <w:r w:rsidR="00761D4A" w:rsidRPr="00761D4A">
        <w:t>2016/18 Международной ассоциации изготовителей автомобильных кузовов и прицепов (МАИАКП), направленного на то, чтобы как можно большее число транспортных средств было оборудовано боковым защитным устройством.</w:t>
      </w:r>
    </w:p>
    <w:p w:rsidR="00761D4A" w:rsidRPr="00761D4A" w:rsidRDefault="00761D4A" w:rsidP="00406A50">
      <w:pPr>
        <w:pStyle w:val="SingleTxtGR"/>
        <w:ind w:left="2835" w:hanging="1701"/>
      </w:pPr>
      <w:r w:rsidRPr="00406A50">
        <w:rPr>
          <w:b/>
        </w:rPr>
        <w:t>Документация:</w:t>
      </w:r>
      <w:r w:rsidRPr="00761D4A">
        <w:tab/>
        <w:t xml:space="preserve">(ECE/TRANS/WP.29/GRSG/2016/2) ECE/TRANS/WP.29/GRSG/2016/18 </w:t>
      </w:r>
      <w:r w:rsidR="00406A50" w:rsidRPr="00406A50">
        <w:br/>
      </w:r>
      <w:r w:rsidRPr="00761D4A">
        <w:t>(неофициальный документ GRSG-110-20-Rev.1)</w:t>
      </w:r>
    </w:p>
    <w:p w:rsidR="00761D4A" w:rsidRPr="00761D4A" w:rsidRDefault="00761D4A" w:rsidP="00406A50">
      <w:pPr>
        <w:pStyle w:val="H1GR"/>
      </w:pPr>
      <w:r w:rsidRPr="00761D4A">
        <w:tab/>
        <w:t>9.</w:t>
      </w:r>
      <w:r w:rsidRPr="00761D4A">
        <w:tab/>
        <w:t>Правила № 110 (транспортные средства, работающие на КПГ и</w:t>
      </w:r>
      <w:r w:rsidR="00406A50">
        <w:rPr>
          <w:lang w:val="en-US"/>
        </w:rPr>
        <w:t> </w:t>
      </w:r>
      <w:r w:rsidRPr="00761D4A">
        <w:t>СПГ)</w:t>
      </w:r>
    </w:p>
    <w:p w:rsidR="00761D4A" w:rsidRPr="00761D4A" w:rsidRDefault="00406A50" w:rsidP="00761D4A">
      <w:pPr>
        <w:pStyle w:val="SingleTxtGR"/>
        <w:rPr>
          <w:bCs/>
        </w:rPr>
      </w:pPr>
      <w:r>
        <w:rPr>
          <w:lang w:val="en-US"/>
        </w:rPr>
        <w:tab/>
      </w:r>
      <w:r w:rsidR="00761D4A" w:rsidRPr="00761D4A">
        <w:t>Ожидается, что GRSG рассмотрит предложение Международной организации по стандартизации (ИСО) для согласования требований к баллонам КПГ с требованиями стандарта ISO 11439:2013 (ECE/TRANS/WP.29/GRSG/2016/22).</w:t>
      </w:r>
    </w:p>
    <w:p w:rsidR="00761D4A" w:rsidRPr="00761D4A" w:rsidRDefault="00406A50" w:rsidP="00761D4A">
      <w:pPr>
        <w:pStyle w:val="SingleTxtGR"/>
      </w:pPr>
      <w:r>
        <w:rPr>
          <w:lang w:val="en-US"/>
        </w:rPr>
        <w:tab/>
      </w:r>
      <w:r w:rsidR="00761D4A" w:rsidRPr="00761D4A">
        <w:t xml:space="preserve">GRSG, возможно, пожелает рассмотреть предложения, совместно подготовленные Нидерландами и Международной ассоциацией по использованию природного газа на транспортных средствах (ПГТ-Глобал), для уточнения ссылки на стандарт ИСО в пункте 2.2 приложения 4J Правил ООН, если таковые будут представлены. </w:t>
      </w:r>
    </w:p>
    <w:p w:rsidR="00761D4A" w:rsidRPr="00761D4A" w:rsidRDefault="00406A50" w:rsidP="00761D4A">
      <w:pPr>
        <w:pStyle w:val="SingleTxtGR"/>
      </w:pPr>
      <w:r>
        <w:rPr>
          <w:lang w:val="en-US"/>
        </w:rPr>
        <w:tab/>
      </w:r>
      <w:r w:rsidR="00761D4A" w:rsidRPr="00761D4A">
        <w:t>GRSG решила возобновить рассмотрение документа ECE/TRANS/WP.29/</w:t>
      </w:r>
      <w:r w:rsidRPr="00406A50">
        <w:t xml:space="preserve"> </w:t>
      </w:r>
      <w:r w:rsidR="00761D4A" w:rsidRPr="00761D4A">
        <w:t>GRSG/2016/16, представленного Францией, в котором предлагается включить в Правила № 110 ООН новые положения, касающиеся использования природного газа для холодильных систем транспортных средств, работающих на природном газе (КПГ или СПГ).</w:t>
      </w:r>
    </w:p>
    <w:p w:rsidR="00761D4A" w:rsidRPr="00761D4A" w:rsidRDefault="00761D4A" w:rsidP="00406A50">
      <w:pPr>
        <w:pStyle w:val="SingleTxtGR"/>
        <w:ind w:left="2835" w:hanging="1701"/>
      </w:pPr>
      <w:r w:rsidRPr="00406A50">
        <w:rPr>
          <w:b/>
        </w:rPr>
        <w:lastRenderedPageBreak/>
        <w:t>Документация:</w:t>
      </w:r>
      <w:r w:rsidRPr="00761D4A">
        <w:tab/>
        <w:t>(ECE/TRANS/WP.29/GRSG/2016/6) ECE/TRANS/WP.29/GRSG/2016/16 ECE/TRANS/WP.29/GRSG/2016/22</w:t>
      </w:r>
    </w:p>
    <w:p w:rsidR="00761D4A" w:rsidRPr="00761D4A" w:rsidRDefault="00761D4A" w:rsidP="00406A50">
      <w:pPr>
        <w:pStyle w:val="H1GR"/>
      </w:pPr>
      <w:r w:rsidRPr="00761D4A">
        <w:tab/>
        <w:t>10.</w:t>
      </w:r>
      <w:r w:rsidRPr="00761D4A">
        <w:tab/>
        <w:t>Правила № 116 (противоугонные системы и системы охранной сигнализации)</w:t>
      </w:r>
    </w:p>
    <w:p w:rsidR="00761D4A" w:rsidRPr="00761D4A" w:rsidRDefault="00406A50" w:rsidP="00761D4A">
      <w:pPr>
        <w:pStyle w:val="SingleTxtGR"/>
      </w:pPr>
      <w:r>
        <w:rPr>
          <w:lang w:val="en-US"/>
        </w:rPr>
        <w:tab/>
      </w:r>
      <w:r w:rsidR="00761D4A" w:rsidRPr="00761D4A">
        <w:t>После рассмотрения документа ECE/TRANS/WP.29/GRSG/2015/7 GRSG, возможно, пожелает обсудить пересмотренный документ МОПАП, если таковой будет представлен, с целью допустить применение различных рабочих диапазонов напряжения в зависимости от используемой аккумуляторной технологии.</w:t>
      </w:r>
    </w:p>
    <w:p w:rsidR="00761D4A" w:rsidRPr="00761D4A" w:rsidRDefault="00761D4A" w:rsidP="00761D4A">
      <w:pPr>
        <w:pStyle w:val="SingleTxtGR"/>
      </w:pPr>
      <w:r w:rsidRPr="00406A50">
        <w:rPr>
          <w:b/>
        </w:rPr>
        <w:t>Документация:</w:t>
      </w:r>
      <w:r w:rsidRPr="00761D4A">
        <w:tab/>
        <w:t>(ECE/TRANS/WP.29/GRSG/2015/7)</w:t>
      </w:r>
    </w:p>
    <w:p w:rsidR="00761D4A" w:rsidRPr="00761D4A" w:rsidRDefault="00761D4A" w:rsidP="00406A50">
      <w:pPr>
        <w:pStyle w:val="H1GR"/>
      </w:pPr>
      <w:r w:rsidRPr="00761D4A">
        <w:tab/>
        <w:t>11.</w:t>
      </w:r>
      <w:r w:rsidRPr="00761D4A">
        <w:tab/>
        <w:t>Правила № 118 (характеристики горения материалов)</w:t>
      </w:r>
    </w:p>
    <w:p w:rsidR="00761D4A" w:rsidRPr="00761D4A" w:rsidRDefault="00406A50" w:rsidP="00761D4A">
      <w:pPr>
        <w:pStyle w:val="SingleTxtGR"/>
      </w:pPr>
      <w:r>
        <w:rPr>
          <w:lang w:val="en-US"/>
        </w:rPr>
        <w:tab/>
      </w:r>
      <w:r w:rsidR="00761D4A" w:rsidRPr="00761D4A">
        <w:t>GRSG решила провести окончательное рассмотрение предложения Германии (ECE/TRANS/WP.29/GRSG/2016/3), направленного на включение дополнительных требований об испытании кабельных муфт.</w:t>
      </w:r>
    </w:p>
    <w:p w:rsidR="00761D4A" w:rsidRPr="00761D4A" w:rsidRDefault="00406A50" w:rsidP="00761D4A">
      <w:pPr>
        <w:pStyle w:val="SingleTxtGR"/>
      </w:pPr>
      <w:r>
        <w:rPr>
          <w:lang w:val="en-US"/>
        </w:rPr>
        <w:tab/>
      </w:r>
      <w:r w:rsidR="00761D4A" w:rsidRPr="00761D4A">
        <w:t>GRSG, возможно, пожелает рассмотреть предложения Германии по снижению объема работы, не приносящей пользы с точки зрения уровня безопасности (ECE/TRANS/WP.29/GRSG/2016/23), и улучшению предписаний, касающихся испытания кабелей, кабельных муфт и кабелепроводов (ECE/TRANS/</w:t>
      </w:r>
      <w:r w:rsidR="00984E41" w:rsidRPr="00984E41">
        <w:t xml:space="preserve"> </w:t>
      </w:r>
      <w:r w:rsidR="00761D4A" w:rsidRPr="00761D4A">
        <w:t>WP.29/GRSG/2016/24).</w:t>
      </w:r>
    </w:p>
    <w:p w:rsidR="00761D4A" w:rsidRPr="00761D4A" w:rsidRDefault="00761D4A" w:rsidP="00406A50">
      <w:pPr>
        <w:pStyle w:val="SingleTxtGR"/>
        <w:ind w:left="2835" w:hanging="1701"/>
      </w:pPr>
      <w:r w:rsidRPr="00406A50">
        <w:rPr>
          <w:b/>
        </w:rPr>
        <w:t>Документация:</w:t>
      </w:r>
      <w:r w:rsidRPr="00761D4A">
        <w:tab/>
        <w:t xml:space="preserve">ECE/TRANS/WP.29/GRSG/2016/3 ECE/TRANS/WP.29/GRSG/2016/23 ECE/TRANS/WP.29/GRSG/2016/24 </w:t>
      </w:r>
      <w:r w:rsidR="00406A50" w:rsidRPr="00406A50">
        <w:br/>
      </w:r>
      <w:r w:rsidRPr="00761D4A">
        <w:t>неофициальный документ GRSG-110-02</w:t>
      </w:r>
    </w:p>
    <w:p w:rsidR="00761D4A" w:rsidRPr="00761D4A" w:rsidRDefault="00761D4A" w:rsidP="00406A50">
      <w:pPr>
        <w:pStyle w:val="H1GR"/>
      </w:pPr>
      <w:r w:rsidRPr="00761D4A">
        <w:tab/>
        <w:t>12.</w:t>
      </w:r>
      <w:r w:rsidRPr="00761D4A">
        <w:tab/>
        <w:t>Правила № 121 (идентификация органов управления, контрольных сигналов и индикаторов)</w:t>
      </w:r>
    </w:p>
    <w:p w:rsidR="00761D4A" w:rsidRPr="00761D4A" w:rsidRDefault="00406A50" w:rsidP="00761D4A">
      <w:pPr>
        <w:pStyle w:val="SingleTxtGR"/>
      </w:pPr>
      <w:r>
        <w:rPr>
          <w:lang w:val="en-US"/>
        </w:rPr>
        <w:tab/>
      </w:r>
      <w:r w:rsidR="00761D4A" w:rsidRPr="00761D4A">
        <w:t>На предыдущей сессии GRSG полностью поддержала документ</w:t>
      </w:r>
      <w:r>
        <w:rPr>
          <w:lang w:val="en-US"/>
        </w:rPr>
        <w:t> </w:t>
      </w:r>
      <w:r w:rsidR="00761D4A" w:rsidRPr="00761D4A">
        <w:t>ECE/</w:t>
      </w:r>
      <w:r w:rsidRPr="00406A50">
        <w:t xml:space="preserve"> </w:t>
      </w:r>
      <w:r w:rsidR="00761D4A" w:rsidRPr="00761D4A">
        <w:t>TRANS/WP.29/GRSG/2016/17, в котором предлагается включить в Правила новое обозначение для органов управления и контрольных сигналов системы вызова экстренных оперативных служб. GRSG решила представить его параллельно с проектом новых правил, касающихся систем вызова экстренных оперативных служб (АСВЭС). Поэтому GRSG предпочла сохранить этот документ в повестке дня в ожидании принятия проекта новых правил, касающихся АСВЭС (пункт 13 повестки дня).</w:t>
      </w:r>
    </w:p>
    <w:p w:rsidR="00761D4A" w:rsidRPr="00761D4A" w:rsidRDefault="00406A50" w:rsidP="00761D4A">
      <w:pPr>
        <w:pStyle w:val="SingleTxtGR"/>
      </w:pPr>
      <w:r>
        <w:rPr>
          <w:lang w:val="en-US"/>
        </w:rPr>
        <w:tab/>
      </w:r>
      <w:r w:rsidR="00761D4A" w:rsidRPr="00761D4A">
        <w:t>GRSG, возможно, пожелает рассмотреть документ ECE/TRANS/WP.29/</w:t>
      </w:r>
      <w:r w:rsidRPr="00406A50">
        <w:t xml:space="preserve"> </w:t>
      </w:r>
      <w:r w:rsidR="00761D4A" w:rsidRPr="00761D4A">
        <w:t>GRSG/2016/26, представленный МОПАП, в целях согласования положений Правил № 121 ООН с поправками серии 07 к Правилам № 16 ООН.</w:t>
      </w:r>
    </w:p>
    <w:p w:rsidR="00761D4A" w:rsidRPr="00761D4A" w:rsidRDefault="00761D4A" w:rsidP="00406A50">
      <w:pPr>
        <w:pStyle w:val="SingleTxtGR"/>
        <w:ind w:left="2835" w:hanging="1701"/>
      </w:pPr>
      <w:r w:rsidRPr="00406A50">
        <w:rPr>
          <w:b/>
        </w:rPr>
        <w:t>Документация:</w:t>
      </w:r>
      <w:r w:rsidRPr="00761D4A">
        <w:tab/>
        <w:t>ECE/TRANS/WP.29/GRSG/2016/17 ECE/TRANS/WP.29/GRSG/2016/26</w:t>
      </w:r>
    </w:p>
    <w:p w:rsidR="00761D4A" w:rsidRPr="00761D4A" w:rsidRDefault="00406A50" w:rsidP="00406A50">
      <w:pPr>
        <w:pStyle w:val="H1GR"/>
      </w:pPr>
      <w:r>
        <w:rPr>
          <w:lang w:val="en-US"/>
        </w:rPr>
        <w:tab/>
      </w:r>
      <w:r w:rsidR="00761D4A" w:rsidRPr="00761D4A">
        <w:t>13.</w:t>
      </w:r>
      <w:r w:rsidR="00761D4A" w:rsidRPr="00761D4A">
        <w:tab/>
        <w:t>Системы вызова экстренных оперативных служб (АСВЭС)</w:t>
      </w:r>
    </w:p>
    <w:p w:rsidR="00761D4A" w:rsidRPr="00761D4A" w:rsidRDefault="00406A50" w:rsidP="00761D4A">
      <w:pPr>
        <w:pStyle w:val="SingleTxtGR"/>
      </w:pPr>
      <w:r>
        <w:rPr>
          <w:lang w:val="en-US"/>
        </w:rPr>
        <w:tab/>
      </w:r>
      <w:r w:rsidR="00761D4A" w:rsidRPr="00761D4A">
        <w:t>GRSG заслушает информацию Председателя неофициальной группы по АСВЭС о ходе разработки проекта новых правил. Ожидается, что GRSG рассмотрит первое предложение по проекту правил ООН, касающихся АСВЭС, на основе документа ECE/TRANS/WP.29/GRSG/2016/19.</w:t>
      </w:r>
    </w:p>
    <w:p w:rsidR="00761D4A" w:rsidRPr="00761D4A" w:rsidRDefault="00761D4A" w:rsidP="00761D4A">
      <w:pPr>
        <w:pStyle w:val="SingleTxtGR"/>
      </w:pPr>
      <w:r w:rsidRPr="00406A50">
        <w:rPr>
          <w:b/>
        </w:rPr>
        <w:t>Документация:</w:t>
      </w:r>
      <w:r w:rsidRPr="00761D4A">
        <w:tab/>
        <w:t>ECE/TRANS/WP.29/GRSG/2016/19</w:t>
      </w:r>
    </w:p>
    <w:p w:rsidR="00761D4A" w:rsidRPr="00761D4A" w:rsidRDefault="00406A50" w:rsidP="00406A50">
      <w:pPr>
        <w:pStyle w:val="H1GR"/>
      </w:pPr>
      <w:r>
        <w:rPr>
          <w:lang w:val="en-US"/>
        </w:rPr>
        <w:tab/>
      </w:r>
      <w:r w:rsidRPr="00406A50">
        <w:t>1</w:t>
      </w:r>
      <w:r w:rsidR="00761D4A" w:rsidRPr="00761D4A">
        <w:t>4.</w:t>
      </w:r>
      <w:r w:rsidR="00761D4A" w:rsidRPr="00761D4A">
        <w:tab/>
        <w:t>Международное официальное утверждение типа комплектного транспортного средства (МОУТКТС)</w:t>
      </w:r>
    </w:p>
    <w:p w:rsidR="00761D4A" w:rsidRPr="00761D4A" w:rsidRDefault="00406A50" w:rsidP="00761D4A">
      <w:pPr>
        <w:pStyle w:val="SingleTxtGR"/>
      </w:pPr>
      <w:r>
        <w:rPr>
          <w:lang w:val="en-US"/>
        </w:rPr>
        <w:tab/>
      </w:r>
      <w:r w:rsidR="00761D4A" w:rsidRPr="00761D4A">
        <w:t>GRSG, возможно, пожелает заслушать информацию специального представителя по международному официальному утверждению типа комплектного транспортного средства об итогах недавних совещаний неофициальной группы по МОУТКТС. На предыдущей сессии GRSG решила в будущем создать три отдельные правила ООН, касающиеся i) противоугонных устройств, ii) систем аварийной сигнализации и iii) иммобилизаторов. GRSG решила вернуться к рассмотрению этого вопроса и, возможно, пожелает рассмотреть конкретные предложения, если таковые будут представлены.</w:t>
      </w:r>
    </w:p>
    <w:p w:rsidR="00761D4A" w:rsidRPr="00761D4A" w:rsidRDefault="00761D4A" w:rsidP="00761D4A">
      <w:pPr>
        <w:pStyle w:val="SingleTxtGR"/>
      </w:pPr>
      <w:r w:rsidRPr="00406A50">
        <w:rPr>
          <w:b/>
        </w:rPr>
        <w:t>Документация:</w:t>
      </w:r>
      <w:r w:rsidRPr="00761D4A">
        <w:tab/>
        <w:t>(неофициальный документ GRSG-110-24)</w:t>
      </w:r>
    </w:p>
    <w:p w:rsidR="00761D4A" w:rsidRPr="00761D4A" w:rsidRDefault="00406A50" w:rsidP="00406A50">
      <w:pPr>
        <w:pStyle w:val="H1GR"/>
      </w:pPr>
      <w:r>
        <w:rPr>
          <w:lang w:val="en-US"/>
        </w:rPr>
        <w:tab/>
      </w:r>
      <w:r w:rsidR="00761D4A" w:rsidRPr="00761D4A">
        <w:t>15.</w:t>
      </w:r>
      <w:r w:rsidR="00761D4A" w:rsidRPr="00761D4A">
        <w:tab/>
        <w:t>Сводная резолюция о конструкции транспортных средств (СР.3)</w:t>
      </w:r>
    </w:p>
    <w:p w:rsidR="00761D4A" w:rsidRPr="00761D4A" w:rsidRDefault="00406A50" w:rsidP="00761D4A">
      <w:pPr>
        <w:pStyle w:val="SingleTxtGR"/>
      </w:pPr>
      <w:r>
        <w:rPr>
          <w:lang w:val="en-US"/>
        </w:rPr>
        <w:tab/>
      </w:r>
      <w:r w:rsidR="00761D4A" w:rsidRPr="00761D4A">
        <w:t>GRSG возобновит рассмотрение обновленного варианта документа</w:t>
      </w:r>
      <w:r w:rsidR="00DD3DCC">
        <w:t> </w:t>
      </w:r>
      <w:r w:rsidR="00761D4A" w:rsidRPr="00761D4A">
        <w:t>ECE/</w:t>
      </w:r>
      <w:r w:rsidR="00DD3DCC">
        <w:t xml:space="preserve"> </w:t>
      </w:r>
      <w:r w:rsidR="00761D4A" w:rsidRPr="00761D4A">
        <w:t>TRANS/WP.29/GRSG/2015/30, если таковой будет представлен, в отношении определения «сдвоенных двускатных колес».</w:t>
      </w:r>
    </w:p>
    <w:p w:rsidR="00761D4A" w:rsidRPr="00761D4A" w:rsidRDefault="00761D4A" w:rsidP="00761D4A">
      <w:pPr>
        <w:pStyle w:val="SingleTxtGR"/>
      </w:pPr>
      <w:r w:rsidRPr="00406A50">
        <w:rPr>
          <w:b/>
        </w:rPr>
        <w:t>Документация:</w:t>
      </w:r>
      <w:r w:rsidRPr="00761D4A">
        <w:tab/>
        <w:t>ECE/TRANS/WP.29/GRSG/2015/30</w:t>
      </w:r>
    </w:p>
    <w:p w:rsidR="00761D4A" w:rsidRPr="00761D4A" w:rsidRDefault="00406A50" w:rsidP="00406A50">
      <w:pPr>
        <w:pStyle w:val="H1GR"/>
      </w:pPr>
      <w:r>
        <w:rPr>
          <w:lang w:val="en-US"/>
        </w:rPr>
        <w:tab/>
      </w:r>
      <w:r w:rsidR="00761D4A" w:rsidRPr="00761D4A">
        <w:t>16.</w:t>
      </w:r>
      <w:r w:rsidR="00761D4A" w:rsidRPr="00761D4A">
        <w:tab/>
        <w:t>Бортовые электронные системы хранения данных</w:t>
      </w:r>
    </w:p>
    <w:p w:rsidR="00761D4A" w:rsidRPr="00761D4A" w:rsidRDefault="00406A50" w:rsidP="00761D4A">
      <w:pPr>
        <w:pStyle w:val="SingleTxtGR"/>
      </w:pPr>
      <w:r>
        <w:rPr>
          <w:lang w:val="en-US"/>
        </w:rPr>
        <w:tab/>
      </w:r>
      <w:r w:rsidR="00761D4A" w:rsidRPr="00761D4A">
        <w:t>GRSG согласилась с необходимостью разработки гармонизированных правил, касающихся бортовых электронных систем хранения данных (БЭХД) для автоматизированных транспортных средств, и, как ожидается, рассмотрит конкретное предложение Соединенного Королевства Великобритании и Северной Ирландии о возможных путях продвижения вперед с учетом рекомендации WP.29, если таковое будет представлено.</w:t>
      </w:r>
    </w:p>
    <w:p w:rsidR="00761D4A" w:rsidRPr="00761D4A" w:rsidRDefault="00406A50" w:rsidP="00406A50">
      <w:pPr>
        <w:pStyle w:val="H1GR"/>
      </w:pPr>
      <w:r>
        <w:rPr>
          <w:lang w:val="en-US"/>
        </w:rPr>
        <w:tab/>
      </w:r>
      <w:r w:rsidR="00761D4A" w:rsidRPr="00761D4A">
        <w:t>17.</w:t>
      </w:r>
      <w:r w:rsidR="00761D4A" w:rsidRPr="00761D4A">
        <w:tab/>
        <w:t>Глобальные технические правила № 6 (безопасные стекловые материалы)</w:t>
      </w:r>
    </w:p>
    <w:p w:rsidR="00761D4A" w:rsidRPr="00761D4A" w:rsidRDefault="001E37C9" w:rsidP="00761D4A">
      <w:pPr>
        <w:pStyle w:val="SingleTxtGR"/>
      </w:pPr>
      <w:r>
        <w:tab/>
      </w:r>
      <w:r w:rsidR="00761D4A" w:rsidRPr="00761D4A">
        <w:t>Как ожидается, GRSG рассмотрит предложение неофициальной рабочей группы по стеклам для панорамных люков (СПЛ), направленное на внесение поправок в правила ООН, касающиеся безопасных стекловых материалов, если таковое будет представлено.</w:t>
      </w:r>
    </w:p>
    <w:p w:rsidR="00761D4A" w:rsidRPr="00761D4A" w:rsidRDefault="00406A50" w:rsidP="00406A50">
      <w:pPr>
        <w:pStyle w:val="H1GR"/>
      </w:pPr>
      <w:r w:rsidRPr="001E37C9">
        <w:tab/>
      </w:r>
      <w:r w:rsidR="00761D4A" w:rsidRPr="00761D4A">
        <w:t>18.</w:t>
      </w:r>
      <w:r w:rsidR="00761D4A" w:rsidRPr="00761D4A">
        <w:tab/>
        <w:t>Новые правила, касающиеся автоматических систем помощи при вождении (АСПВ)</w:t>
      </w:r>
    </w:p>
    <w:p w:rsidR="00761D4A" w:rsidRPr="00761D4A" w:rsidRDefault="00406A50" w:rsidP="00761D4A">
      <w:pPr>
        <w:pStyle w:val="SingleTxtGR"/>
      </w:pPr>
      <w:r>
        <w:rPr>
          <w:lang w:val="en-US"/>
        </w:rPr>
        <w:tab/>
      </w:r>
      <w:r w:rsidR="00761D4A" w:rsidRPr="00761D4A">
        <w:t>GRSG, возможно, пожелает рассмотреть подготовленный Германией проект новых правил, касающихся АСПВ, для предотвращения ДТП, связанных с «мертвыми зонами», с помощью системы информирования и предупреждения водителя, если таковой будет представлен.</w:t>
      </w:r>
    </w:p>
    <w:p w:rsidR="00761D4A" w:rsidRPr="00761D4A" w:rsidRDefault="00406A50" w:rsidP="00406A50">
      <w:pPr>
        <w:pStyle w:val="H1GR"/>
      </w:pPr>
      <w:r>
        <w:rPr>
          <w:lang w:val="en-US"/>
        </w:rPr>
        <w:tab/>
      </w:r>
      <w:r w:rsidR="00761D4A" w:rsidRPr="00761D4A">
        <w:t>19.</w:t>
      </w:r>
      <w:r w:rsidR="00761D4A" w:rsidRPr="00761D4A">
        <w:tab/>
        <w:t>Выборы должностных лиц</w:t>
      </w:r>
    </w:p>
    <w:p w:rsidR="00761D4A" w:rsidRPr="00761D4A" w:rsidRDefault="00406A50" w:rsidP="00761D4A">
      <w:pPr>
        <w:pStyle w:val="SingleTxtGR"/>
      </w:pPr>
      <w:r>
        <w:rPr>
          <w:lang w:val="en-US"/>
        </w:rPr>
        <w:tab/>
      </w:r>
      <w:r w:rsidR="00761D4A" w:rsidRPr="00761D4A">
        <w:t>В соответствии с правилом 37 правил процедуры (TRANS/WP.29/690, Amend.1 и 2) GRSG изберет Председателя и заместителя Председателя сессий, запланированных на 2017 год.</w:t>
      </w:r>
    </w:p>
    <w:p w:rsidR="00761D4A" w:rsidRPr="00761D4A" w:rsidRDefault="00406A50" w:rsidP="00406A50">
      <w:pPr>
        <w:pStyle w:val="H1GR"/>
      </w:pPr>
      <w:r>
        <w:rPr>
          <w:lang w:val="en-US"/>
        </w:rPr>
        <w:tab/>
      </w:r>
      <w:r w:rsidR="00761D4A" w:rsidRPr="00761D4A">
        <w:t>20.</w:t>
      </w:r>
      <w:r w:rsidR="00761D4A" w:rsidRPr="00761D4A">
        <w:tab/>
        <w:t>Прочие вопросы</w:t>
      </w:r>
    </w:p>
    <w:p w:rsidR="00A658DB" w:rsidRPr="00406A50" w:rsidRDefault="00406A50" w:rsidP="00761D4A">
      <w:pPr>
        <w:pStyle w:val="SingleTxtGR"/>
      </w:pPr>
      <w:r>
        <w:rPr>
          <w:lang w:val="en-US"/>
        </w:rPr>
        <w:tab/>
      </w:r>
      <w:r w:rsidR="00761D4A" w:rsidRPr="00761D4A">
        <w:t>GRSG, возможно, пожелает рассмотреть другие предложения, если таковые будут представлены.</w:t>
      </w:r>
    </w:p>
    <w:p w:rsidR="00EC1955" w:rsidRPr="00761D4A" w:rsidRDefault="00761D4A" w:rsidP="00761D4A">
      <w:pPr>
        <w:spacing w:before="240"/>
        <w:jc w:val="center"/>
      </w:pPr>
      <w:r w:rsidRPr="00406A50">
        <w:rPr>
          <w:u w:val="single"/>
        </w:rPr>
        <w:tab/>
      </w:r>
      <w:r w:rsidRPr="00406A50">
        <w:rPr>
          <w:u w:val="single"/>
        </w:rPr>
        <w:tab/>
      </w:r>
      <w:r w:rsidRPr="00406A50">
        <w:rPr>
          <w:u w:val="single"/>
        </w:rPr>
        <w:tab/>
      </w:r>
    </w:p>
    <w:sectPr w:rsidR="00EC1955" w:rsidRPr="00761D4A" w:rsidSect="004D63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955" w:rsidRDefault="00EC1955" w:rsidP="00B471C5">
      <w:r>
        <w:separator/>
      </w:r>
    </w:p>
  </w:endnote>
  <w:endnote w:type="continuationSeparator" w:id="0">
    <w:p w:rsidR="00EC1955" w:rsidRDefault="00EC1955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5EE" w:rsidRPr="009A6F4A" w:rsidRDefault="007005EE" w:rsidP="007005EE">
    <w:pPr>
      <w:pStyle w:val="Footer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0376E5">
      <w:rPr>
        <w:b/>
        <w:noProof/>
        <w:sz w:val="18"/>
        <w:szCs w:val="18"/>
      </w:rPr>
      <w:t>2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GE.16-</w:t>
    </w:r>
    <w:r w:rsidR="00EC1955" w:rsidRPr="00EC1955">
      <w:rPr>
        <w:lang w:val="en-US"/>
      </w:rPr>
      <w:t>12710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5EE" w:rsidRPr="009A6F4A" w:rsidRDefault="007005EE" w:rsidP="007005EE">
    <w:pPr>
      <w:pStyle w:val="Footer"/>
      <w:rPr>
        <w:lang w:val="en-US"/>
      </w:rPr>
    </w:pPr>
    <w:r>
      <w:rPr>
        <w:lang w:val="en-US"/>
      </w:rPr>
      <w:t>GE.16-</w:t>
    </w:r>
    <w:r w:rsidR="00EC1955" w:rsidRPr="00EC1955">
      <w:rPr>
        <w:lang w:val="en-US"/>
      </w:rPr>
      <w:t>12710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0376E5">
      <w:rPr>
        <w:b/>
        <w:noProof/>
        <w:sz w:val="18"/>
        <w:szCs w:val="18"/>
      </w:rPr>
      <w:t>5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A9606E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1C3ABC" w:rsidRDefault="00A9606E" w:rsidP="00EC1955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 w:rsidR="00EC1955" w:rsidRPr="00EC1955">
            <w:rPr>
              <w:lang w:val="en-US"/>
            </w:rPr>
            <w:t>12710</w:t>
          </w:r>
          <w:r w:rsidR="00EC1955">
            <w:rPr>
              <w:lang w:val="en-US"/>
            </w:rPr>
            <w:t xml:space="preserve"> </w:t>
          </w:r>
          <w:r w:rsidRPr="001C3ABC">
            <w:rPr>
              <w:lang w:val="en-US"/>
            </w:rPr>
            <w:t xml:space="preserve"> (R)</w:t>
          </w:r>
          <w:r w:rsidR="00EC1955">
            <w:rPr>
              <w:lang w:val="en-US"/>
            </w:rPr>
            <w:t xml:space="preserve">  040816  050816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A9606E" w:rsidRDefault="00A9606E" w:rsidP="007B199D">
          <w:pPr>
            <w:jc w:val="right"/>
          </w:pPr>
          <w:r>
            <w:rPr>
              <w:b/>
              <w:noProof/>
              <w:lang w:val="en-US"/>
            </w:rPr>
            <w:drawing>
              <wp:inline distT="0" distB="0" distL="0" distR="0" wp14:anchorId="131975DF" wp14:editId="52CBB66A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A9606E" w:rsidRDefault="00EC1955" w:rsidP="007B199D">
          <w:pPr>
            <w:jc w:val="right"/>
          </w:pPr>
          <w:r>
            <w:rPr>
              <w:noProof/>
              <w:lang w:val="en-US"/>
            </w:rPr>
            <w:drawing>
              <wp:inline distT="0" distB="0" distL="0" distR="0">
                <wp:extent cx="579755" cy="579755"/>
                <wp:effectExtent l="0" t="0" r="0" b="0"/>
                <wp:docPr id="3" name="Рисунок 3" descr="http://undocs.org/m2/QRCode.ashx?DS=ECE/TRANS/WP.29/GRSG/2016/14/Add.1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WP.29/GRSG/2016/14/Add.1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9606E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EC1955" w:rsidRDefault="00EC1955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EC195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EC195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EC195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EC195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EC195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EC195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EC195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EC195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EC195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</w:tr>
  </w:tbl>
  <w:p w:rsidR="00A658DB" w:rsidRPr="007005EE" w:rsidRDefault="00A658DB" w:rsidP="004D639B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955" w:rsidRPr="009141DC" w:rsidRDefault="00EC1955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EC1955" w:rsidRPr="00D1261C" w:rsidRDefault="00EC1955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8DB" w:rsidRPr="007005EE" w:rsidRDefault="007005EE">
    <w:pPr>
      <w:pStyle w:val="Header"/>
      <w:rPr>
        <w:lang w:val="en-US"/>
      </w:rPr>
    </w:pPr>
    <w:r>
      <w:rPr>
        <w:lang w:val="en-US"/>
      </w:rPr>
      <w:t>ECE/</w:t>
    </w:r>
    <w:r w:rsidR="00EC1955" w:rsidRPr="00EC1955">
      <w:rPr>
        <w:lang w:val="en-US"/>
      </w:rPr>
      <w:t>TRANS/WP.29/GRSG/2016/14/Add.1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8DB" w:rsidRPr="004D639B" w:rsidRDefault="004D639B" w:rsidP="007005EE">
    <w:pPr>
      <w:pStyle w:val="Header"/>
      <w:jc w:val="right"/>
      <w:rPr>
        <w:lang w:val="en-US"/>
      </w:rPr>
    </w:pPr>
    <w:r>
      <w:rPr>
        <w:lang w:val="en-US"/>
      </w:rPr>
      <w:t>ECE/</w:t>
    </w:r>
    <w:r w:rsidR="00EC1955" w:rsidRPr="00EC1955">
      <w:rPr>
        <w:lang w:val="en-US"/>
      </w:rPr>
      <w:t>TRANS/WP.29/GRSG/2016/14/Add.1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955" w:rsidRDefault="00EC1955" w:rsidP="00761D4A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955"/>
    <w:rsid w:val="000376E5"/>
    <w:rsid w:val="000450D1"/>
    <w:rsid w:val="000905B9"/>
    <w:rsid w:val="000B1FD5"/>
    <w:rsid w:val="000D1B9F"/>
    <w:rsid w:val="000F2A4F"/>
    <w:rsid w:val="001E37C9"/>
    <w:rsid w:val="00203F84"/>
    <w:rsid w:val="00275188"/>
    <w:rsid w:val="0028687D"/>
    <w:rsid w:val="002B091C"/>
    <w:rsid w:val="002B3D40"/>
    <w:rsid w:val="002D0CCB"/>
    <w:rsid w:val="00345C79"/>
    <w:rsid w:val="00366A39"/>
    <w:rsid w:val="00406A50"/>
    <w:rsid w:val="0048005C"/>
    <w:rsid w:val="004D639B"/>
    <w:rsid w:val="004E242B"/>
    <w:rsid w:val="00544379"/>
    <w:rsid w:val="00554790"/>
    <w:rsid w:val="00566944"/>
    <w:rsid w:val="005D56BF"/>
    <w:rsid w:val="0062027E"/>
    <w:rsid w:val="00643644"/>
    <w:rsid w:val="00665D8D"/>
    <w:rsid w:val="006A7A3B"/>
    <w:rsid w:val="006B6B57"/>
    <w:rsid w:val="006F49F1"/>
    <w:rsid w:val="007005EE"/>
    <w:rsid w:val="00705394"/>
    <w:rsid w:val="00743F62"/>
    <w:rsid w:val="00760D3A"/>
    <w:rsid w:val="00761D4A"/>
    <w:rsid w:val="00773BA8"/>
    <w:rsid w:val="007A1F42"/>
    <w:rsid w:val="007D76DD"/>
    <w:rsid w:val="008717E8"/>
    <w:rsid w:val="00881797"/>
    <w:rsid w:val="008C3E15"/>
    <w:rsid w:val="008D01AE"/>
    <w:rsid w:val="008E0423"/>
    <w:rsid w:val="009141DC"/>
    <w:rsid w:val="009174A1"/>
    <w:rsid w:val="00934877"/>
    <w:rsid w:val="00984E41"/>
    <w:rsid w:val="0098674D"/>
    <w:rsid w:val="00997ACA"/>
    <w:rsid w:val="00A03FB7"/>
    <w:rsid w:val="00A55C56"/>
    <w:rsid w:val="00A658DB"/>
    <w:rsid w:val="00A75A11"/>
    <w:rsid w:val="00A77EB1"/>
    <w:rsid w:val="00A9606E"/>
    <w:rsid w:val="00AB0860"/>
    <w:rsid w:val="00AD7EAD"/>
    <w:rsid w:val="00B35A32"/>
    <w:rsid w:val="00B432C6"/>
    <w:rsid w:val="00B471C5"/>
    <w:rsid w:val="00B6474A"/>
    <w:rsid w:val="00B906FC"/>
    <w:rsid w:val="00BE1742"/>
    <w:rsid w:val="00C95DB5"/>
    <w:rsid w:val="00CA421D"/>
    <w:rsid w:val="00CC6A46"/>
    <w:rsid w:val="00D1261C"/>
    <w:rsid w:val="00D26030"/>
    <w:rsid w:val="00D64B69"/>
    <w:rsid w:val="00D75DCE"/>
    <w:rsid w:val="00DD35AC"/>
    <w:rsid w:val="00DD3DCC"/>
    <w:rsid w:val="00DD479F"/>
    <w:rsid w:val="00E15E48"/>
    <w:rsid w:val="00EB0723"/>
    <w:rsid w:val="00EB2957"/>
    <w:rsid w:val="00EC1955"/>
    <w:rsid w:val="00EE6F37"/>
    <w:rsid w:val="00F1599F"/>
    <w:rsid w:val="00F3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E079F2B-212D-4A69-BC73-0F04207EE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761D4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61D4A"/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39446-EB25-4DB3-8B82-9254CAEE7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1622</Words>
  <Characters>9250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10851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Ovchinnikova Olga</dc:creator>
  <cp:lastModifiedBy>Caillot</cp:lastModifiedBy>
  <cp:revision>2</cp:revision>
  <cp:lastPrinted>2016-08-05T06:55:00Z</cp:lastPrinted>
  <dcterms:created xsi:type="dcterms:W3CDTF">2016-08-23T15:40:00Z</dcterms:created>
  <dcterms:modified xsi:type="dcterms:W3CDTF">2016-08-23T15:40:00Z</dcterms:modified>
</cp:coreProperties>
</file>