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33" w:rsidRPr="00914624" w:rsidRDefault="00C14C33" w:rsidP="00C14C33">
      <w:pPr>
        <w:spacing w:line="60" w:lineRule="exact"/>
        <w:rPr>
          <w:color w:val="010000"/>
          <w:sz w:val="6"/>
        </w:rPr>
        <w:sectPr w:rsidR="00C14C33" w:rsidRPr="00914624" w:rsidSect="00C14C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F46758" w:rsidRPr="00F46758" w:rsidRDefault="00F46758" w:rsidP="00F46758">
      <w:pPr>
        <w:suppressAutoHyphens/>
        <w:spacing w:line="240" w:lineRule="atLeast"/>
        <w:rPr>
          <w:rFonts w:eastAsia="Times New Roman"/>
          <w:b/>
          <w:spacing w:val="0"/>
          <w:w w:val="100"/>
          <w:kern w:val="0"/>
          <w:sz w:val="28"/>
          <w:szCs w:val="28"/>
        </w:rPr>
      </w:pPr>
      <w:r w:rsidRPr="00F46758">
        <w:rPr>
          <w:rFonts w:eastAsia="Times New Roman"/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F46758" w:rsidRPr="00F46758" w:rsidRDefault="00F46758" w:rsidP="00F46758">
      <w:pPr>
        <w:suppressAutoHyphens/>
        <w:spacing w:line="120" w:lineRule="exact"/>
        <w:rPr>
          <w:rFonts w:eastAsia="Times New Roman"/>
          <w:b/>
          <w:spacing w:val="0"/>
          <w:w w:val="100"/>
          <w:kern w:val="0"/>
          <w:sz w:val="10"/>
          <w:szCs w:val="28"/>
        </w:rPr>
      </w:pPr>
    </w:p>
    <w:p w:rsidR="00F46758" w:rsidRPr="00F46758" w:rsidRDefault="00F46758" w:rsidP="00F46758">
      <w:pPr>
        <w:suppressAutoHyphens/>
        <w:spacing w:line="240" w:lineRule="atLeast"/>
        <w:rPr>
          <w:rFonts w:eastAsia="Times New Roman"/>
          <w:spacing w:val="0"/>
          <w:w w:val="100"/>
          <w:kern w:val="0"/>
          <w:sz w:val="28"/>
          <w:szCs w:val="28"/>
        </w:rPr>
      </w:pPr>
      <w:r w:rsidRPr="00F46758">
        <w:rPr>
          <w:rFonts w:eastAsia="Times New Roman"/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F46758" w:rsidRPr="00F46758" w:rsidRDefault="00F46758" w:rsidP="00F46758">
      <w:pPr>
        <w:suppressAutoHyphens/>
        <w:spacing w:line="120" w:lineRule="exact"/>
        <w:rPr>
          <w:rFonts w:eastAsia="Times New Roman"/>
          <w:spacing w:val="0"/>
          <w:w w:val="100"/>
          <w:kern w:val="0"/>
          <w:sz w:val="10"/>
          <w:szCs w:val="28"/>
        </w:rPr>
      </w:pPr>
    </w:p>
    <w:p w:rsidR="00F46758" w:rsidRPr="00F46758" w:rsidRDefault="00F46758" w:rsidP="00F46758">
      <w:pPr>
        <w:suppressAutoHyphens/>
        <w:spacing w:line="240" w:lineRule="atLeast"/>
        <w:rPr>
          <w:rFonts w:eastAsia="Times New Roman"/>
          <w:b/>
          <w:spacing w:val="0"/>
          <w:w w:val="100"/>
          <w:kern w:val="0"/>
          <w:sz w:val="24"/>
          <w:szCs w:val="24"/>
        </w:rPr>
      </w:pPr>
      <w:r w:rsidRPr="00F46758">
        <w:rPr>
          <w:rFonts w:eastAsia="Times New Roman"/>
          <w:b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Pr="00F46758">
        <w:rPr>
          <w:rFonts w:eastAsia="Times New Roman"/>
          <w:b/>
          <w:spacing w:val="0"/>
          <w:w w:val="100"/>
          <w:kern w:val="0"/>
          <w:sz w:val="24"/>
          <w:szCs w:val="24"/>
        </w:rPr>
        <w:br/>
        <w:t>в области транспортных средств</w:t>
      </w:r>
    </w:p>
    <w:p w:rsidR="00F46758" w:rsidRPr="00F46758" w:rsidRDefault="00F46758" w:rsidP="00F46758">
      <w:pPr>
        <w:suppressAutoHyphens/>
        <w:spacing w:line="120" w:lineRule="exact"/>
        <w:rPr>
          <w:rFonts w:eastAsia="Times New Roman"/>
          <w:b/>
          <w:spacing w:val="0"/>
          <w:w w:val="100"/>
          <w:kern w:val="0"/>
          <w:sz w:val="10"/>
          <w:szCs w:val="24"/>
        </w:rPr>
      </w:pPr>
    </w:p>
    <w:p w:rsidR="00F46758" w:rsidRPr="00EE1B36" w:rsidRDefault="00F46758" w:rsidP="00BE76E1">
      <w:pPr>
        <w:suppressAutoHyphens/>
        <w:spacing w:line="240" w:lineRule="atLeast"/>
        <w:rPr>
          <w:rFonts w:eastAsia="Times New Roman"/>
          <w:b/>
          <w:spacing w:val="0"/>
          <w:w w:val="100"/>
          <w:kern w:val="0"/>
          <w:szCs w:val="20"/>
        </w:rPr>
      </w:pPr>
      <w:r w:rsidRPr="00F46758">
        <w:rPr>
          <w:rFonts w:eastAsia="Times New Roman"/>
          <w:b/>
          <w:spacing w:val="0"/>
          <w:w w:val="100"/>
          <w:kern w:val="0"/>
          <w:szCs w:val="20"/>
        </w:rPr>
        <w:t xml:space="preserve">Рабочая группа по общим предписаниям, </w:t>
      </w:r>
      <w:r w:rsidRPr="00F46758">
        <w:rPr>
          <w:rFonts w:eastAsia="Times New Roman"/>
          <w:b/>
          <w:spacing w:val="0"/>
          <w:w w:val="100"/>
          <w:kern w:val="0"/>
          <w:szCs w:val="20"/>
        </w:rPr>
        <w:br/>
        <w:t>касающимся безопасности</w:t>
      </w:r>
    </w:p>
    <w:p w:rsidR="00BE76E1" w:rsidRPr="00EE1B36" w:rsidRDefault="00BE76E1" w:rsidP="00BE76E1">
      <w:pPr>
        <w:suppressAutoHyphens/>
        <w:spacing w:line="120" w:lineRule="exact"/>
        <w:rPr>
          <w:rFonts w:eastAsia="Times New Roman"/>
          <w:b/>
          <w:spacing w:val="0"/>
          <w:w w:val="100"/>
          <w:kern w:val="0"/>
          <w:sz w:val="10"/>
          <w:szCs w:val="20"/>
        </w:rPr>
      </w:pPr>
    </w:p>
    <w:p w:rsidR="00F46758" w:rsidRPr="00F46758" w:rsidRDefault="00F46758" w:rsidP="00BE76E1">
      <w:pPr>
        <w:suppressAutoHyphens/>
        <w:spacing w:line="240" w:lineRule="atLeast"/>
        <w:rPr>
          <w:rFonts w:eastAsia="Times New Roman"/>
          <w:b/>
          <w:spacing w:val="0"/>
          <w:w w:val="100"/>
          <w:kern w:val="0"/>
          <w:szCs w:val="20"/>
        </w:rPr>
      </w:pPr>
      <w:r w:rsidRPr="00F46758">
        <w:rPr>
          <w:rFonts w:eastAsia="Times New Roman"/>
          <w:b/>
          <w:spacing w:val="0"/>
          <w:w w:val="100"/>
          <w:kern w:val="0"/>
          <w:szCs w:val="20"/>
        </w:rPr>
        <w:t>110-я сессия</w:t>
      </w:r>
    </w:p>
    <w:p w:rsidR="00F46758" w:rsidRPr="00F46758" w:rsidRDefault="00F46758" w:rsidP="00F46758">
      <w:pPr>
        <w:suppressAutoHyphens/>
        <w:spacing w:line="240" w:lineRule="atLeast"/>
        <w:rPr>
          <w:rFonts w:eastAsia="Times New Roman"/>
          <w:spacing w:val="0"/>
          <w:w w:val="100"/>
          <w:kern w:val="0"/>
          <w:szCs w:val="20"/>
        </w:rPr>
      </w:pPr>
      <w:r w:rsidRPr="00F46758">
        <w:rPr>
          <w:rFonts w:eastAsia="Times New Roman"/>
          <w:spacing w:val="0"/>
          <w:w w:val="100"/>
          <w:kern w:val="0"/>
          <w:szCs w:val="20"/>
        </w:rPr>
        <w:t>Женева, 26–29 апреля 2016</w:t>
      </w:r>
      <w:r w:rsidR="009A6EF6">
        <w:rPr>
          <w:rFonts w:eastAsia="Times New Roman"/>
          <w:spacing w:val="0"/>
          <w:w w:val="100"/>
          <w:kern w:val="0"/>
          <w:szCs w:val="20"/>
        </w:rPr>
        <w:t> год</w:t>
      </w:r>
      <w:r w:rsidRPr="00F46758">
        <w:rPr>
          <w:rFonts w:eastAsia="Times New Roman"/>
          <w:spacing w:val="0"/>
          <w:w w:val="100"/>
          <w:kern w:val="0"/>
          <w:szCs w:val="20"/>
        </w:rPr>
        <w:t>а</w:t>
      </w:r>
    </w:p>
    <w:p w:rsidR="00F46758" w:rsidRPr="00F46758" w:rsidRDefault="00F46758" w:rsidP="00F46758">
      <w:pPr>
        <w:suppressAutoHyphens/>
        <w:spacing w:line="240" w:lineRule="atLeast"/>
        <w:rPr>
          <w:rFonts w:eastAsia="Times New Roman"/>
          <w:spacing w:val="0"/>
          <w:w w:val="100"/>
          <w:kern w:val="0"/>
          <w:szCs w:val="20"/>
        </w:rPr>
      </w:pPr>
      <w:r w:rsidRPr="00F46758">
        <w:rPr>
          <w:rFonts w:eastAsia="Times New Roman"/>
          <w:spacing w:val="0"/>
          <w:w w:val="100"/>
          <w:kern w:val="0"/>
          <w:szCs w:val="20"/>
        </w:rPr>
        <w:t>Пункт 12 предварительной повестки дня</w:t>
      </w:r>
    </w:p>
    <w:p w:rsidR="00F46758" w:rsidRPr="00EE1B36" w:rsidRDefault="00F46758" w:rsidP="00F46758">
      <w:pPr>
        <w:suppressAutoHyphens/>
        <w:spacing w:line="240" w:lineRule="atLeast"/>
        <w:rPr>
          <w:rFonts w:eastAsia="Times New Roman"/>
          <w:b/>
          <w:spacing w:val="0"/>
          <w:w w:val="100"/>
          <w:kern w:val="0"/>
          <w:szCs w:val="20"/>
        </w:rPr>
      </w:pPr>
      <w:r w:rsidRPr="00F46758">
        <w:rPr>
          <w:rFonts w:eastAsia="Times New Roman"/>
          <w:b/>
          <w:spacing w:val="0"/>
          <w:w w:val="100"/>
          <w:kern w:val="0"/>
          <w:szCs w:val="20"/>
        </w:rPr>
        <w:t>Правила № 110 (транспортные средства, работающие на КПГ и СПГ)</w:t>
      </w:r>
    </w:p>
    <w:p w:rsidR="00F46758" w:rsidRPr="005C1140" w:rsidRDefault="00F46758" w:rsidP="00F46758">
      <w:pPr>
        <w:suppressAutoHyphens/>
        <w:spacing w:line="120" w:lineRule="exact"/>
        <w:rPr>
          <w:rFonts w:eastAsia="Times New Roman"/>
          <w:b/>
          <w:spacing w:val="0"/>
          <w:w w:val="100"/>
          <w:kern w:val="0"/>
          <w:sz w:val="10"/>
          <w:szCs w:val="20"/>
        </w:rPr>
      </w:pPr>
    </w:p>
    <w:p w:rsidR="00F46758" w:rsidRPr="005C1140" w:rsidRDefault="00F46758" w:rsidP="00F46758">
      <w:pPr>
        <w:suppressAutoHyphens/>
        <w:spacing w:line="120" w:lineRule="exact"/>
        <w:rPr>
          <w:rFonts w:eastAsia="Times New Roman"/>
          <w:b/>
          <w:spacing w:val="0"/>
          <w:w w:val="100"/>
          <w:kern w:val="0"/>
          <w:sz w:val="10"/>
          <w:szCs w:val="20"/>
        </w:rPr>
      </w:pPr>
    </w:p>
    <w:p w:rsidR="00F46758" w:rsidRPr="005C1140" w:rsidRDefault="00F46758" w:rsidP="00F46758">
      <w:pPr>
        <w:suppressAutoHyphens/>
        <w:spacing w:line="120" w:lineRule="exact"/>
        <w:rPr>
          <w:rFonts w:eastAsia="Times New Roman"/>
          <w:b/>
          <w:spacing w:val="0"/>
          <w:w w:val="100"/>
          <w:kern w:val="0"/>
          <w:sz w:val="10"/>
          <w:szCs w:val="20"/>
        </w:rPr>
      </w:pPr>
    </w:p>
    <w:p w:rsidR="00F46758" w:rsidRPr="00F46758" w:rsidRDefault="00BE76E1" w:rsidP="00BE76E1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w w:val="100"/>
        </w:rPr>
      </w:pPr>
      <w:r w:rsidRPr="005C1140">
        <w:rPr>
          <w:w w:val="100"/>
        </w:rPr>
        <w:tab/>
      </w:r>
      <w:r w:rsidRPr="005C1140">
        <w:rPr>
          <w:w w:val="100"/>
        </w:rPr>
        <w:tab/>
      </w:r>
      <w:r w:rsidR="00F46758" w:rsidRPr="00F46758">
        <w:rPr>
          <w:w w:val="100"/>
        </w:rPr>
        <w:t>Предложение по поправкам к Правилам № 110</w:t>
      </w:r>
      <w:r w:rsidRPr="00BE76E1">
        <w:rPr>
          <w:w w:val="100"/>
        </w:rPr>
        <w:t xml:space="preserve"> </w:t>
      </w:r>
      <w:r w:rsidRPr="00BE76E1">
        <w:rPr>
          <w:w w:val="100"/>
        </w:rPr>
        <w:br/>
      </w:r>
      <w:r w:rsidRPr="00BE76E1">
        <w:rPr>
          <w:w w:val="100"/>
        </w:rPr>
        <w:tab/>
      </w:r>
      <w:r w:rsidRPr="00BE76E1">
        <w:rPr>
          <w:w w:val="100"/>
        </w:rPr>
        <w:tab/>
      </w:r>
      <w:r w:rsidR="00F46758" w:rsidRPr="00F46758">
        <w:rPr>
          <w:w w:val="100"/>
        </w:rPr>
        <w:t>(транспортные средства, работающие на КПГ и СПГ)</w:t>
      </w:r>
    </w:p>
    <w:p w:rsidR="00F46758" w:rsidRPr="00F46758" w:rsidRDefault="00F46758" w:rsidP="00BE76E1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rFonts w:eastAsia="Times New Roman"/>
          <w:w w:val="100"/>
          <w:sz w:val="10"/>
          <w:szCs w:val="20"/>
        </w:rPr>
      </w:pPr>
    </w:p>
    <w:p w:rsidR="00F46758" w:rsidRPr="00F46758" w:rsidRDefault="00F46758" w:rsidP="00F46758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rFonts w:eastAsia="Times New Roman"/>
          <w:w w:val="100"/>
          <w:sz w:val="10"/>
          <w:szCs w:val="20"/>
        </w:rPr>
      </w:pPr>
    </w:p>
    <w:p w:rsidR="00F46758" w:rsidRPr="00F46758" w:rsidRDefault="00BE76E1" w:rsidP="00BE76E1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w w:val="100"/>
          <w:vertAlign w:val="superscript"/>
        </w:rPr>
      </w:pPr>
      <w:r w:rsidRPr="00BE76E1">
        <w:rPr>
          <w:w w:val="100"/>
        </w:rPr>
        <w:tab/>
      </w:r>
      <w:r w:rsidRPr="00BE76E1">
        <w:rPr>
          <w:w w:val="100"/>
        </w:rPr>
        <w:tab/>
      </w:r>
      <w:r w:rsidR="00F46758" w:rsidRPr="00F46758">
        <w:rPr>
          <w:w w:val="100"/>
        </w:rPr>
        <w:t>Представлено экспертом от Нидерландов</w:t>
      </w:r>
      <w:r w:rsidR="00F46758" w:rsidRPr="00D94247">
        <w:rPr>
          <w:b w:val="0"/>
          <w:w w:val="100"/>
          <w:sz w:val="20"/>
          <w:szCs w:val="20"/>
        </w:rPr>
        <w:footnoteReference w:customMarkFollows="1" w:id="1"/>
        <w:t>*</w:t>
      </w:r>
    </w:p>
    <w:p w:rsidR="00F46758" w:rsidRPr="00F46758" w:rsidRDefault="00F46758" w:rsidP="00F46758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w w:val="100"/>
          <w:sz w:val="10"/>
        </w:rPr>
      </w:pPr>
    </w:p>
    <w:p w:rsidR="00F46758" w:rsidRPr="00F46758" w:rsidRDefault="00F46758" w:rsidP="00F46758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w w:val="100"/>
          <w:sz w:val="10"/>
        </w:rPr>
      </w:pPr>
    </w:p>
    <w:p w:rsidR="00F46758" w:rsidRPr="00F46758" w:rsidRDefault="00BE76E1" w:rsidP="00BE76E1">
      <w:pPr>
        <w:pStyle w:val="SingleTxt"/>
        <w:rPr>
          <w:w w:val="100"/>
        </w:rPr>
      </w:pPr>
      <w:r w:rsidRPr="00EE1B36">
        <w:rPr>
          <w:w w:val="100"/>
        </w:rPr>
        <w:tab/>
      </w:r>
      <w:r w:rsidR="00F46758" w:rsidRPr="00F46758">
        <w:rPr>
          <w:w w:val="100"/>
        </w:rPr>
        <w:t>Воспроизведенный ниже текст был подготов</w:t>
      </w:r>
      <w:r>
        <w:rPr>
          <w:w w:val="100"/>
        </w:rPr>
        <w:t>лен экспертом от Нидерландов. В</w:t>
      </w:r>
      <w:r>
        <w:rPr>
          <w:w w:val="100"/>
          <w:lang w:val="en-US"/>
        </w:rPr>
        <w:t> </w:t>
      </w:r>
      <w:r w:rsidR="00F46758" w:rsidRPr="00F46758">
        <w:rPr>
          <w:w w:val="100"/>
        </w:rPr>
        <w:t xml:space="preserve">нем содержится предложение внести поправку в Правила № 110 ООН с целью допустить использование иных методов уплотнения, помимо тех, которые предусматривают использование уплотнительного конуса с углом 45°, и тем самым не допустить разработки требований, предусматривающих конструктивные ограничения. Изменения к действующему тексту Правил № 110 выделены жирным шрифтом, а текст, подлежащий исключению, </w:t>
      </w:r>
      <w:r w:rsidR="009A6EF6">
        <w:rPr>
          <w:w w:val="100"/>
        </w:rPr>
        <w:t>–</w:t>
      </w:r>
      <w:r w:rsidR="00F46758" w:rsidRPr="00F46758">
        <w:rPr>
          <w:w w:val="100"/>
        </w:rPr>
        <w:t xml:space="preserve"> зачеркнут.</w:t>
      </w:r>
    </w:p>
    <w:p w:rsidR="00F46758" w:rsidRPr="00EE1B36" w:rsidRDefault="00F46758" w:rsidP="002C5620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w w:val="100"/>
        </w:rPr>
      </w:pPr>
      <w:r w:rsidRPr="00F46758">
        <w:rPr>
          <w:w w:val="100"/>
        </w:rPr>
        <w:br w:type="page"/>
      </w:r>
      <w:r w:rsidR="002C5620" w:rsidRPr="002C5620">
        <w:rPr>
          <w:w w:val="100"/>
        </w:rPr>
        <w:lastRenderedPageBreak/>
        <w:tab/>
      </w:r>
      <w:r w:rsidRPr="00F46758">
        <w:rPr>
          <w:w w:val="100"/>
          <w:lang w:val="en-US"/>
        </w:rPr>
        <w:t>I</w:t>
      </w:r>
      <w:r w:rsidRPr="00F46758">
        <w:rPr>
          <w:w w:val="100"/>
        </w:rPr>
        <w:t>.</w:t>
      </w:r>
      <w:r w:rsidRPr="00F46758">
        <w:rPr>
          <w:w w:val="100"/>
        </w:rPr>
        <w:tab/>
        <w:t>Предложение</w:t>
      </w:r>
    </w:p>
    <w:p w:rsidR="002C5620" w:rsidRPr="00EE1B36" w:rsidRDefault="002C5620" w:rsidP="002C5620">
      <w:pPr>
        <w:spacing w:line="120" w:lineRule="exact"/>
        <w:rPr>
          <w:sz w:val="10"/>
        </w:rPr>
      </w:pPr>
    </w:p>
    <w:p w:rsidR="002C5620" w:rsidRPr="00EE1B36" w:rsidRDefault="002C5620" w:rsidP="002C5620">
      <w:pPr>
        <w:spacing w:line="120" w:lineRule="exact"/>
        <w:rPr>
          <w:sz w:val="10"/>
        </w:rPr>
      </w:pPr>
    </w:p>
    <w:p w:rsidR="00F46758" w:rsidRPr="00F46758" w:rsidRDefault="00F46758" w:rsidP="002C5620">
      <w:pPr>
        <w:pStyle w:val="SingleTxt"/>
        <w:rPr>
          <w:w w:val="100"/>
        </w:rPr>
      </w:pPr>
      <w:r w:rsidRPr="00F46758">
        <w:rPr>
          <w:i/>
          <w:w w:val="100"/>
        </w:rPr>
        <w:t>Приложение 4</w:t>
      </w:r>
      <w:r w:rsidRPr="00F46758">
        <w:rPr>
          <w:i/>
          <w:w w:val="100"/>
          <w:lang w:val="en-GB"/>
        </w:rPr>
        <w:t>B</w:t>
      </w:r>
      <w:r w:rsidRPr="00F46758">
        <w:rPr>
          <w:i/>
          <w:w w:val="100"/>
        </w:rPr>
        <w:t>, пункт 1.6.2.2</w:t>
      </w:r>
      <w:r w:rsidRPr="00F46758">
        <w:rPr>
          <w:iCs/>
          <w:w w:val="100"/>
        </w:rPr>
        <w:t xml:space="preserve"> изменить следующим образом</w:t>
      </w:r>
      <w:r w:rsidRPr="00F46758">
        <w:rPr>
          <w:w w:val="100"/>
        </w:rPr>
        <w:t>:</w:t>
      </w:r>
    </w:p>
    <w:p w:rsidR="00F46758" w:rsidRPr="002C5620" w:rsidRDefault="009A6EF6" w:rsidP="002C5620">
      <w:pPr>
        <w:pStyle w:val="SingleTxt"/>
        <w:ind w:left="2218" w:hanging="951"/>
        <w:rPr>
          <w:rFonts w:eastAsia="Calibri"/>
          <w:b/>
          <w:w w:val="100"/>
          <w:lang w:eastAsia="fr-FR"/>
        </w:rPr>
      </w:pPr>
      <w:r>
        <w:rPr>
          <w:w w:val="100"/>
          <w:lang w:eastAsia="zh-CN"/>
        </w:rPr>
        <w:t>«</w:t>
      </w:r>
      <w:r w:rsidR="00F46758" w:rsidRPr="00F46758">
        <w:rPr>
          <w:rFonts w:eastAsia="Calibri"/>
          <w:w w:val="100"/>
          <w:lang w:eastAsia="fr-FR"/>
        </w:rPr>
        <w:t>1.6.2.2.</w:t>
      </w:r>
      <w:r w:rsidR="00F46758" w:rsidRPr="00F46758">
        <w:rPr>
          <w:rFonts w:eastAsia="Calibri"/>
          <w:w w:val="100"/>
          <w:lang w:eastAsia="fr-FR"/>
        </w:rPr>
        <w:tab/>
      </w:r>
      <w:r w:rsidR="00F46758" w:rsidRPr="00F46758">
        <w:rPr>
          <w:strike/>
          <w:w w:val="100"/>
        </w:rPr>
        <w:t>Уплотнительный конус накидной гайки должен соответствовать типу, имеющему половинный вертикальный угол 45°.</w:t>
      </w:r>
      <w:r w:rsidR="00F46758" w:rsidRPr="00F46758">
        <w:rPr>
          <w:w w:val="100"/>
        </w:rPr>
        <w:t xml:space="preserve"> </w:t>
      </w:r>
      <w:r w:rsidR="00F46758" w:rsidRPr="002C5620">
        <w:rPr>
          <w:b/>
          <w:w w:val="100"/>
        </w:rPr>
        <w:t>Тип разъема для соединительной муфты шлангов выбирают таким образом, чтобы удовлетворить требованиям к испытаниям, описанным в пункте 1.7, а</w:t>
      </w:r>
      <w:r w:rsidR="005576E2">
        <w:rPr>
          <w:b/>
          <w:w w:val="100"/>
        </w:rPr>
        <w:t> </w:t>
      </w:r>
      <w:r w:rsidR="00F46758" w:rsidRPr="002C5620">
        <w:rPr>
          <w:b/>
          <w:w w:val="100"/>
        </w:rPr>
        <w:t>также к испытаниям, упомянутым в приложениях 5А и 5В.</w:t>
      </w:r>
    </w:p>
    <w:p w:rsidR="00F46758" w:rsidRPr="009A6EF6" w:rsidRDefault="00F46758" w:rsidP="002C5620">
      <w:pPr>
        <w:pStyle w:val="SingleTxt"/>
        <w:ind w:left="2218" w:hanging="951"/>
        <w:rPr>
          <w:rFonts w:eastAsia="Calibri"/>
          <w:b/>
          <w:w w:val="100"/>
          <w:lang w:eastAsia="fr-FR"/>
        </w:rPr>
      </w:pPr>
      <w:r w:rsidRPr="00F46758">
        <w:rPr>
          <w:w w:val="100"/>
        </w:rPr>
        <w:tab/>
      </w:r>
      <w:r w:rsidR="002C5620" w:rsidRPr="002A376E">
        <w:rPr>
          <w:w w:val="100"/>
        </w:rPr>
        <w:tab/>
      </w:r>
      <w:r w:rsidRPr="002C5620">
        <w:rPr>
          <w:b/>
          <w:w w:val="100"/>
        </w:rPr>
        <w:t>В случае типа разъема с использованием мягкого уплотнительного элемента (например</w:t>
      </w:r>
      <w:r w:rsidR="00ED395B">
        <w:rPr>
          <w:b/>
          <w:w w:val="100"/>
        </w:rPr>
        <w:t>,</w:t>
      </w:r>
      <w:r w:rsidRPr="002C5620">
        <w:rPr>
          <w:b/>
          <w:w w:val="100"/>
        </w:rPr>
        <w:t xml:space="preserve"> уплотнительного кольца) тип выбранного материала подвергается испытанию в соответствии с приложениями 5</w:t>
      </w:r>
      <w:r w:rsidRPr="002C5620">
        <w:rPr>
          <w:b/>
          <w:w w:val="100"/>
          <w:lang w:val="en-GB"/>
        </w:rPr>
        <w:t>D</w:t>
      </w:r>
      <w:r w:rsidRPr="002C5620">
        <w:rPr>
          <w:b/>
          <w:w w:val="100"/>
        </w:rPr>
        <w:t>, 5</w:t>
      </w:r>
      <w:r w:rsidRPr="002C5620">
        <w:rPr>
          <w:b/>
          <w:w w:val="100"/>
          <w:lang w:val="en-GB"/>
        </w:rPr>
        <w:t>F</w:t>
      </w:r>
      <w:r w:rsidRPr="002C5620">
        <w:rPr>
          <w:b/>
          <w:w w:val="100"/>
        </w:rPr>
        <w:t xml:space="preserve"> </w:t>
      </w:r>
      <w:r w:rsidRPr="002C5620">
        <w:rPr>
          <w:b/>
          <w:w w:val="100"/>
          <w:lang w:val="en-GB"/>
        </w:rPr>
        <w:t>and</w:t>
      </w:r>
      <w:r w:rsidRPr="002C5620">
        <w:rPr>
          <w:b/>
          <w:w w:val="100"/>
        </w:rPr>
        <w:t xml:space="preserve"> 5</w:t>
      </w:r>
      <w:r w:rsidRPr="002C5620">
        <w:rPr>
          <w:b/>
          <w:w w:val="100"/>
          <w:lang w:val="en-GB"/>
        </w:rPr>
        <w:t>G</w:t>
      </w:r>
      <w:r w:rsidR="009A6EF6">
        <w:rPr>
          <w:rFonts w:eastAsia="Calibri"/>
          <w:b/>
          <w:w w:val="100"/>
          <w:lang w:eastAsia="fr-FR"/>
        </w:rPr>
        <w:t>»</w:t>
      </w:r>
      <w:r w:rsidRPr="002C5620">
        <w:rPr>
          <w:rFonts w:eastAsia="Calibri"/>
          <w:b/>
          <w:w w:val="100"/>
          <w:lang w:eastAsia="fr-FR"/>
        </w:rPr>
        <w:t>.</w:t>
      </w:r>
    </w:p>
    <w:p w:rsidR="00623451" w:rsidRPr="009A6EF6" w:rsidRDefault="00623451" w:rsidP="00623451">
      <w:pPr>
        <w:pStyle w:val="SingleTxt"/>
        <w:spacing w:after="0" w:line="120" w:lineRule="exact"/>
        <w:ind w:left="2218" w:hanging="951"/>
        <w:rPr>
          <w:rFonts w:eastAsia="Calibri"/>
          <w:b/>
          <w:w w:val="100"/>
          <w:sz w:val="10"/>
          <w:lang w:eastAsia="fr-FR"/>
        </w:rPr>
      </w:pPr>
    </w:p>
    <w:p w:rsidR="00623451" w:rsidRPr="009A6EF6" w:rsidRDefault="00623451" w:rsidP="00623451">
      <w:pPr>
        <w:pStyle w:val="SingleTxt"/>
        <w:spacing w:after="0" w:line="120" w:lineRule="exact"/>
        <w:ind w:left="2218" w:hanging="951"/>
        <w:rPr>
          <w:b/>
          <w:w w:val="100"/>
          <w:sz w:val="10"/>
        </w:rPr>
      </w:pPr>
    </w:p>
    <w:p w:rsidR="00F46758" w:rsidRDefault="00F46758" w:rsidP="00623451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w w:val="100"/>
        </w:rPr>
      </w:pPr>
      <w:r w:rsidRPr="00F46758">
        <w:rPr>
          <w:w w:val="100"/>
        </w:rPr>
        <w:tab/>
      </w:r>
      <w:r w:rsidRPr="00F46758">
        <w:rPr>
          <w:w w:val="100"/>
          <w:lang w:val="en-US"/>
        </w:rPr>
        <w:t>II</w:t>
      </w:r>
      <w:r w:rsidRPr="00F46758">
        <w:rPr>
          <w:w w:val="100"/>
        </w:rPr>
        <w:t>.</w:t>
      </w:r>
      <w:r w:rsidRPr="00F46758">
        <w:rPr>
          <w:w w:val="100"/>
        </w:rPr>
        <w:tab/>
        <w:t>Обоснование</w:t>
      </w:r>
    </w:p>
    <w:p w:rsidR="00FB56A4" w:rsidRPr="00FB56A4" w:rsidRDefault="00FB56A4" w:rsidP="00FB56A4">
      <w:pPr>
        <w:pStyle w:val="SingleTxt"/>
        <w:spacing w:after="0" w:line="120" w:lineRule="exact"/>
        <w:rPr>
          <w:w w:val="100"/>
          <w:sz w:val="10"/>
        </w:rPr>
      </w:pPr>
    </w:p>
    <w:p w:rsidR="00FB56A4" w:rsidRPr="00FB56A4" w:rsidRDefault="00FB56A4" w:rsidP="00FB56A4">
      <w:pPr>
        <w:pStyle w:val="SingleTxt"/>
        <w:spacing w:after="0" w:line="120" w:lineRule="exact"/>
        <w:rPr>
          <w:w w:val="100"/>
          <w:sz w:val="10"/>
        </w:rPr>
      </w:pPr>
    </w:p>
    <w:p w:rsidR="00F46758" w:rsidRPr="00F46758" w:rsidRDefault="00F46758" w:rsidP="00623451">
      <w:pPr>
        <w:pStyle w:val="SingleTxt"/>
        <w:rPr>
          <w:w w:val="100"/>
        </w:rPr>
      </w:pPr>
      <w:r w:rsidRPr="00F46758">
        <w:rPr>
          <w:w w:val="100"/>
        </w:rPr>
        <w:t>1.</w:t>
      </w:r>
      <w:r w:rsidRPr="00F46758">
        <w:rPr>
          <w:w w:val="100"/>
        </w:rPr>
        <w:tab/>
        <w:t>Данное предложение имеет целью не допустить разработку требований, предусматривающих конструктивные ограничения, и включить требования, ориентированные на обеспечение эффективности.</w:t>
      </w:r>
    </w:p>
    <w:p w:rsidR="00F46758" w:rsidRPr="00F46758" w:rsidRDefault="00F46758" w:rsidP="00623451">
      <w:pPr>
        <w:pStyle w:val="SingleTxt"/>
        <w:rPr>
          <w:w w:val="100"/>
        </w:rPr>
      </w:pPr>
      <w:r w:rsidRPr="00F46758">
        <w:rPr>
          <w:w w:val="100"/>
        </w:rPr>
        <w:t>2.</w:t>
      </w:r>
      <w:r w:rsidRPr="00F46758">
        <w:rPr>
          <w:w w:val="100"/>
        </w:rPr>
        <w:tab/>
        <w:t>Оно также позволяет адаптировать данные положения к техническому прогрессу, допуская применение иных методов, помимо двойного металлического конусного разъема с углом 45°, которые могут обеспечить достаточный уровень безопасности и долговечности. Правила № 100 ООН также должны допускать применение этих методов в том случае, если шланг в сборе может выдержать импульсное испытание, предусмотренное пунктом 1.7, а также испытания, предусмотренные в приложениях 5А (испытание на избыточное давление) и 5В (испытание на внешнюю утечку).</w:t>
      </w:r>
    </w:p>
    <w:p w:rsidR="00623451" w:rsidRPr="00EE1B36" w:rsidRDefault="00F46758" w:rsidP="005C1140">
      <w:pPr>
        <w:pStyle w:val="SingleTxt"/>
        <w:rPr>
          <w:rFonts w:eastAsia="Times New Roman"/>
          <w:w w:val="100"/>
          <w:szCs w:val="20"/>
        </w:rPr>
      </w:pPr>
      <w:r w:rsidRPr="00F46758">
        <w:rPr>
          <w:rFonts w:eastAsia="Times New Roman"/>
          <w:w w:val="100"/>
          <w:szCs w:val="20"/>
        </w:rPr>
        <w:t>3.</w:t>
      </w:r>
      <w:r w:rsidRPr="00F46758">
        <w:rPr>
          <w:rFonts w:eastAsia="Times New Roman"/>
          <w:w w:val="100"/>
          <w:szCs w:val="20"/>
        </w:rPr>
        <w:tab/>
        <w:t>При использовании мягкого уплотнительного элемента (например уплотнительного кольца) необходимо подтвердить сопоставимость материала с условиями использования. Это производится методом испытаний в соответствии с приложениями 5</w:t>
      </w:r>
      <w:r w:rsidRPr="00F46758">
        <w:rPr>
          <w:rFonts w:eastAsia="Times New Roman"/>
          <w:w w:val="100"/>
          <w:szCs w:val="20"/>
          <w:lang w:val="en-GB"/>
        </w:rPr>
        <w:t>D</w:t>
      </w:r>
      <w:r w:rsidRPr="00F46758">
        <w:rPr>
          <w:rFonts w:eastAsia="Times New Roman"/>
          <w:w w:val="100"/>
          <w:szCs w:val="20"/>
        </w:rPr>
        <w:t xml:space="preserve"> (испытание на совместимость с КПГ/СПГ), 5</w:t>
      </w:r>
      <w:r w:rsidRPr="00F46758">
        <w:rPr>
          <w:rFonts w:eastAsia="Times New Roman"/>
          <w:w w:val="100"/>
          <w:szCs w:val="20"/>
          <w:lang w:val="en-GB"/>
        </w:rPr>
        <w:t>F</w:t>
      </w:r>
      <w:r w:rsidRPr="00F46758">
        <w:rPr>
          <w:rFonts w:eastAsia="Times New Roman"/>
          <w:w w:val="100"/>
          <w:szCs w:val="20"/>
        </w:rPr>
        <w:t xml:space="preserve"> (испытание на теплостойкость) и  5</w:t>
      </w:r>
      <w:r w:rsidRPr="00F46758">
        <w:rPr>
          <w:rFonts w:eastAsia="Times New Roman"/>
          <w:w w:val="100"/>
          <w:szCs w:val="20"/>
          <w:lang w:val="en-GB"/>
        </w:rPr>
        <w:t>G</w:t>
      </w:r>
      <w:r w:rsidRPr="00F46758">
        <w:rPr>
          <w:rFonts w:eastAsia="Times New Roman"/>
          <w:w w:val="100"/>
          <w:szCs w:val="20"/>
        </w:rPr>
        <w:t xml:space="preserve"> (испытание на стойкость к действию озона).</w:t>
      </w:r>
    </w:p>
    <w:p w:rsidR="007278BC" w:rsidRPr="00EE1B36" w:rsidRDefault="007278BC" w:rsidP="007278BC">
      <w:pPr>
        <w:pStyle w:val="SingleTxt"/>
        <w:spacing w:after="0" w:line="240" w:lineRule="auto"/>
        <w:rPr>
          <w:rFonts w:eastAsia="Times New Roman"/>
          <w:w w:val="100"/>
          <w:szCs w:val="24"/>
          <w:lang w:eastAsia="ru-RU"/>
        </w:rPr>
      </w:pPr>
      <w:r>
        <w:rPr>
          <w:rFonts w:eastAsia="Times New Roman"/>
          <w:noProof/>
          <w:w w:val="10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938C0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CxJ6Hn3gAAAAkBAAAPAAAAAAAAAAAAAAAAADQEAABkcnMvZG93bnJldi54bWxQSwUGAAAAAAQA&#10;BADzAAAAPwUAAAAA&#10;" strokecolor="#010000" strokeweight=".25pt"/>
            </w:pict>
          </mc:Fallback>
        </mc:AlternateContent>
      </w:r>
    </w:p>
    <w:p w:rsidR="00C14C33" w:rsidRPr="00914624" w:rsidRDefault="00C14C33" w:rsidP="00623451">
      <w:pPr>
        <w:pStyle w:val="SingleTxt"/>
      </w:pPr>
    </w:p>
    <w:p w:rsidR="00F46758" w:rsidRPr="00914624" w:rsidRDefault="00F46758" w:rsidP="00623451">
      <w:pPr>
        <w:pStyle w:val="SingleTxt"/>
      </w:pPr>
    </w:p>
    <w:sectPr w:rsidR="00F46758" w:rsidRPr="00914624" w:rsidSect="00C14C33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B62" w:rsidRDefault="00A37B62" w:rsidP="008A1A7A">
      <w:pPr>
        <w:spacing w:line="240" w:lineRule="auto"/>
      </w:pPr>
      <w:r>
        <w:separator/>
      </w:r>
    </w:p>
  </w:endnote>
  <w:endnote w:type="continuationSeparator" w:id="0">
    <w:p w:rsidR="00A37B62" w:rsidRDefault="00A37B62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C14C33" w:rsidTr="00C14C3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C14C33" w:rsidRPr="00C14C33" w:rsidRDefault="00C14C33" w:rsidP="00C14C33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E1B36">
            <w:rPr>
              <w:noProof/>
            </w:rPr>
            <w:t>2</w:t>
          </w:r>
          <w:r>
            <w:fldChar w:fldCharType="end"/>
          </w:r>
          <w:r>
            <w:t>/</w:t>
          </w:r>
          <w:r w:rsidR="00EE1B36">
            <w:fldChar w:fldCharType="begin"/>
          </w:r>
          <w:r w:rsidR="00EE1B36">
            <w:instrText xml:space="preserve"> NUMPAGES  \* Arabic  \* MERGEFORMAT </w:instrText>
          </w:r>
          <w:r w:rsidR="00EE1B36">
            <w:fldChar w:fldCharType="separate"/>
          </w:r>
          <w:r w:rsidR="00EE1B36">
            <w:rPr>
              <w:noProof/>
            </w:rPr>
            <w:t>2</w:t>
          </w:r>
          <w:r w:rsidR="00EE1B36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C14C33" w:rsidRPr="00C14C33" w:rsidRDefault="00C14C33" w:rsidP="00C14C33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A72358">
            <w:rPr>
              <w:b w:val="0"/>
              <w:color w:val="000000"/>
              <w:sz w:val="14"/>
            </w:rPr>
            <w:t>GE.16-01841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C14C33" w:rsidRPr="00C14C33" w:rsidRDefault="00C14C33" w:rsidP="00C14C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C14C33" w:rsidTr="00C14C3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C14C33" w:rsidRPr="00C14C33" w:rsidRDefault="00C14C33" w:rsidP="00C14C33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A72358">
            <w:rPr>
              <w:b w:val="0"/>
              <w:color w:val="000000"/>
              <w:sz w:val="14"/>
            </w:rPr>
            <w:t>GE.16-01841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C14C33" w:rsidRPr="00C14C33" w:rsidRDefault="00C14C33" w:rsidP="00C14C33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72358">
            <w:rPr>
              <w:noProof/>
            </w:rPr>
            <w:t>2</w:t>
          </w:r>
          <w:r>
            <w:fldChar w:fldCharType="end"/>
          </w:r>
          <w:r>
            <w:t>/</w:t>
          </w:r>
          <w:r w:rsidR="00EE1B36">
            <w:fldChar w:fldCharType="begin"/>
          </w:r>
          <w:r w:rsidR="00EE1B36">
            <w:instrText xml:space="preserve"> NUMPAGES  \* Arabic  \* MERGEFORMAT </w:instrText>
          </w:r>
          <w:r w:rsidR="00EE1B36">
            <w:fldChar w:fldCharType="separate"/>
          </w:r>
          <w:r w:rsidR="00A72358">
            <w:rPr>
              <w:noProof/>
            </w:rPr>
            <w:t>2</w:t>
          </w:r>
          <w:r w:rsidR="00EE1B36">
            <w:rPr>
              <w:noProof/>
            </w:rPr>
            <w:fldChar w:fldCharType="end"/>
          </w:r>
        </w:p>
      </w:tc>
    </w:tr>
  </w:tbl>
  <w:p w:rsidR="00C14C33" w:rsidRPr="00C14C33" w:rsidRDefault="00C14C33" w:rsidP="00C14C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C14C33" w:rsidTr="00C14C33">
      <w:tc>
        <w:tcPr>
          <w:tcW w:w="3873" w:type="dxa"/>
        </w:tcPr>
        <w:p w:rsidR="00C14C33" w:rsidRDefault="00C14C33" w:rsidP="00C14C33">
          <w:pPr>
            <w:pStyle w:val="ReleaseDate"/>
            <w:rPr>
              <w:color w:val="01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3B9757A6" wp14:editId="380A5B24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SG/2016/8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SG/2016/8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GE.16-01841 (R)</w:t>
          </w:r>
          <w:r>
            <w:rPr>
              <w:color w:val="010000"/>
            </w:rPr>
            <w:t xml:space="preserve">    250216    250216</w:t>
          </w:r>
        </w:p>
        <w:p w:rsidR="00C14C33" w:rsidRPr="00C14C33" w:rsidRDefault="00C14C33" w:rsidP="00C14C33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*1601841*</w:t>
          </w:r>
        </w:p>
      </w:tc>
      <w:tc>
        <w:tcPr>
          <w:tcW w:w="5127" w:type="dxa"/>
        </w:tcPr>
        <w:p w:rsidR="00C14C33" w:rsidRDefault="00C14C33" w:rsidP="00C14C33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 wp14:anchorId="005733C5" wp14:editId="2C69CF2E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14C33" w:rsidRPr="00C14C33" w:rsidRDefault="00C14C33" w:rsidP="00C14C33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B62" w:rsidRPr="00D94247" w:rsidRDefault="00D94247" w:rsidP="00D94247">
      <w:pPr>
        <w:pStyle w:val="Footer"/>
        <w:spacing w:after="80"/>
        <w:ind w:left="792"/>
        <w:rPr>
          <w:sz w:val="16"/>
        </w:rPr>
      </w:pPr>
      <w:r w:rsidRPr="00D94247">
        <w:rPr>
          <w:sz w:val="16"/>
        </w:rPr>
        <w:t>__________________</w:t>
      </w:r>
    </w:p>
  </w:footnote>
  <w:footnote w:type="continuationSeparator" w:id="0">
    <w:p w:rsidR="00A37B62" w:rsidRPr="00D94247" w:rsidRDefault="00D94247" w:rsidP="00D94247">
      <w:pPr>
        <w:pStyle w:val="Footer"/>
        <w:spacing w:after="80"/>
        <w:ind w:left="792"/>
        <w:rPr>
          <w:sz w:val="16"/>
        </w:rPr>
      </w:pPr>
      <w:r w:rsidRPr="00D94247">
        <w:rPr>
          <w:sz w:val="16"/>
        </w:rPr>
        <w:t>__________________</w:t>
      </w:r>
    </w:p>
  </w:footnote>
  <w:footnote w:id="1">
    <w:p w:rsidR="00F46758" w:rsidRDefault="00BE76E1" w:rsidP="00D80DFD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eastAsia="Calibri"/>
          <w:sz w:val="18"/>
        </w:rPr>
      </w:pPr>
      <w:r>
        <w:rPr>
          <w:lang w:val="en-US"/>
        </w:rPr>
        <w:tab/>
      </w:r>
      <w:r w:rsidR="00F46758" w:rsidRPr="00BE76E1">
        <w:rPr>
          <w:rStyle w:val="FootnoteReference"/>
          <w:vertAlign w:val="baseline"/>
        </w:rPr>
        <w:t>*</w:t>
      </w:r>
      <w:r w:rsidRPr="002C5620">
        <w:rPr>
          <w:rStyle w:val="FootnoteReference"/>
          <w:vertAlign w:val="baseline"/>
        </w:rPr>
        <w:tab/>
      </w:r>
      <w:r w:rsidR="00F46758">
        <w:rPr>
          <w:szCs w:val="18"/>
        </w:rPr>
        <w:t xml:space="preserve">В соответствии с программой работы Комитета по внутреннему транспорту на </w:t>
      </w:r>
      <w:r w:rsidR="009A6EF6">
        <w:rPr>
          <w:szCs w:val="18"/>
        </w:rPr>
        <w:br/>
      </w:r>
      <w:r w:rsidR="00F46758">
        <w:rPr>
          <w:szCs w:val="18"/>
        </w:rPr>
        <w:t>2014–2018</w:t>
      </w:r>
      <w:r w:rsidR="009A6EF6">
        <w:rPr>
          <w:szCs w:val="18"/>
          <w:lang w:val="en-US"/>
        </w:rPr>
        <w:t> </w:t>
      </w:r>
      <w:r w:rsidR="009A6EF6" w:rsidRPr="009A6EF6">
        <w:rPr>
          <w:szCs w:val="18"/>
        </w:rPr>
        <w:t>год</w:t>
      </w:r>
      <w:r w:rsidR="00F46758">
        <w:rPr>
          <w:szCs w:val="18"/>
        </w:rPr>
        <w:t>ы (</w:t>
      </w:r>
      <w:r w:rsidR="00F46758">
        <w:rPr>
          <w:szCs w:val="18"/>
          <w:lang w:val="en-US"/>
        </w:rPr>
        <w:t>ECE</w:t>
      </w:r>
      <w:r w:rsidR="00F46758">
        <w:rPr>
          <w:szCs w:val="18"/>
        </w:rPr>
        <w:t>/</w:t>
      </w:r>
      <w:r w:rsidR="00F46758">
        <w:rPr>
          <w:szCs w:val="18"/>
          <w:lang w:val="en-US"/>
        </w:rPr>
        <w:t>TRANS</w:t>
      </w:r>
      <w:r w:rsidR="00F46758">
        <w:rPr>
          <w:szCs w:val="18"/>
        </w:rPr>
        <w:t xml:space="preserve">/240, пункт 105, и </w:t>
      </w:r>
      <w:r w:rsidR="00F46758">
        <w:rPr>
          <w:szCs w:val="18"/>
          <w:lang w:val="en-US"/>
        </w:rPr>
        <w:t>ECE</w:t>
      </w:r>
      <w:r w:rsidR="00F46758">
        <w:rPr>
          <w:szCs w:val="18"/>
        </w:rPr>
        <w:t>/</w:t>
      </w:r>
      <w:r w:rsidR="00F46758">
        <w:rPr>
          <w:szCs w:val="18"/>
          <w:lang w:val="en-US"/>
        </w:rPr>
        <w:t>TRANS</w:t>
      </w:r>
      <w:r w:rsidR="00F46758">
        <w:rPr>
          <w:szCs w:val="18"/>
        </w:rPr>
        <w:t>/2014/26, подпрограмма 02.4) Всемирный форум будет разрабатывать, согласовывать и обновлять правила в целях улучшения характеристик транспортных средств.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C14C33" w:rsidTr="00C14C3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C14C33" w:rsidRPr="00C14C33" w:rsidRDefault="00C14C33" w:rsidP="00C14C33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72358">
            <w:rPr>
              <w:b/>
            </w:rPr>
            <w:t>ECE/TRANS/WP.29/GRSG/2016/8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C14C33" w:rsidRDefault="00C14C33" w:rsidP="00C14C33">
          <w:pPr>
            <w:pStyle w:val="Header"/>
          </w:pPr>
        </w:p>
      </w:tc>
    </w:tr>
  </w:tbl>
  <w:p w:rsidR="00C14C33" w:rsidRPr="00C14C33" w:rsidRDefault="00C14C33" w:rsidP="00C14C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C14C33" w:rsidTr="00C14C3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C14C33" w:rsidRDefault="00C14C33" w:rsidP="00C14C33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C14C33" w:rsidRPr="00C14C33" w:rsidRDefault="00C14C33" w:rsidP="00C14C33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72358">
            <w:rPr>
              <w:b/>
            </w:rPr>
            <w:t>ECE/TRANS/WP.29/GRSG/2016/8</w:t>
          </w:r>
          <w:r>
            <w:rPr>
              <w:b/>
            </w:rPr>
            <w:fldChar w:fldCharType="end"/>
          </w:r>
        </w:p>
      </w:tc>
    </w:tr>
  </w:tbl>
  <w:p w:rsidR="00C14C33" w:rsidRPr="00C14C33" w:rsidRDefault="00C14C33" w:rsidP="00C14C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C14C33" w:rsidTr="00C14C33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C14C33" w:rsidRPr="00C14C33" w:rsidRDefault="00C14C33" w:rsidP="00C14C33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14C33" w:rsidRDefault="00C14C33" w:rsidP="00C14C33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C14C33" w:rsidRPr="00C14C33" w:rsidRDefault="00C14C33" w:rsidP="00C14C33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/TRANS/WP.29/GRSG/2016/8</w:t>
          </w:r>
        </w:p>
      </w:tc>
    </w:tr>
    <w:tr w:rsidR="00C14C33" w:rsidRPr="00914624" w:rsidTr="00C14C33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14C33" w:rsidRPr="00C14C33" w:rsidRDefault="00C14C33" w:rsidP="00C14C33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117F3B20" wp14:editId="590BFA8A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14C33" w:rsidRPr="00C14C33" w:rsidRDefault="00C14C33" w:rsidP="00C14C33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14C33" w:rsidRPr="00C14C33" w:rsidRDefault="00C14C33" w:rsidP="00C14C33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14C33" w:rsidRPr="00914624" w:rsidRDefault="00C14C33" w:rsidP="00C14C33">
          <w:pPr>
            <w:pStyle w:val="Distribution"/>
            <w:rPr>
              <w:color w:val="000000"/>
              <w:lang w:val="en-US"/>
            </w:rPr>
          </w:pPr>
          <w:r w:rsidRPr="00914624">
            <w:rPr>
              <w:color w:val="000000"/>
              <w:lang w:val="en-US"/>
            </w:rPr>
            <w:t>Distr.: General</w:t>
          </w:r>
        </w:p>
        <w:p w:rsidR="00C14C33" w:rsidRPr="00914624" w:rsidRDefault="00C14C33" w:rsidP="00914624">
          <w:pPr>
            <w:pStyle w:val="Publication"/>
            <w:rPr>
              <w:color w:val="000000"/>
              <w:lang w:val="en-US"/>
            </w:rPr>
          </w:pPr>
          <w:r w:rsidRPr="00914624">
            <w:rPr>
              <w:color w:val="000000"/>
              <w:lang w:val="en-US"/>
            </w:rPr>
            <w:t>10 February 2016</w:t>
          </w:r>
        </w:p>
        <w:p w:rsidR="00C14C33" w:rsidRPr="00914624" w:rsidRDefault="00C14C33" w:rsidP="00C14C33">
          <w:pPr>
            <w:rPr>
              <w:color w:val="000000"/>
              <w:lang w:val="en-US"/>
            </w:rPr>
          </w:pPr>
          <w:r w:rsidRPr="00914624">
            <w:rPr>
              <w:color w:val="000000"/>
              <w:lang w:val="en-US"/>
            </w:rPr>
            <w:t>Russian</w:t>
          </w:r>
        </w:p>
        <w:p w:rsidR="00C14C33" w:rsidRPr="00914624" w:rsidRDefault="00C14C33" w:rsidP="00C14C33">
          <w:pPr>
            <w:pStyle w:val="Original"/>
            <w:rPr>
              <w:color w:val="000000"/>
              <w:lang w:val="en-US"/>
            </w:rPr>
          </w:pPr>
          <w:r w:rsidRPr="00914624">
            <w:rPr>
              <w:color w:val="000000"/>
              <w:lang w:val="en-US"/>
            </w:rPr>
            <w:t>Original: English</w:t>
          </w:r>
        </w:p>
        <w:p w:rsidR="00C14C33" w:rsidRPr="00914624" w:rsidRDefault="00C14C33" w:rsidP="00C14C33">
          <w:pPr>
            <w:rPr>
              <w:lang w:val="en-US"/>
            </w:rPr>
          </w:pPr>
        </w:p>
      </w:tc>
    </w:tr>
  </w:tbl>
  <w:p w:rsidR="00C14C33" w:rsidRPr="00914624" w:rsidRDefault="00C14C33" w:rsidP="00C14C33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 w15:restartNumberingAfterBreak="0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601841*"/>
    <w:docVar w:name="CreationDt" w:val="2/25/2016 10:44 AM"/>
    <w:docVar w:name="DocCategory" w:val="Doc"/>
    <w:docVar w:name="DocType" w:val="Final"/>
    <w:docVar w:name="DutyStation" w:val="Geneva"/>
    <w:docVar w:name="FooterJN" w:val="GE.16-01841"/>
    <w:docVar w:name="jobn" w:val="GE.16-01841 (R)"/>
    <w:docVar w:name="jobnDT" w:val="GE.16-01841 (R)   250216"/>
    <w:docVar w:name="jobnDTDT" w:val="GE.16-01841 (R)   250216   250216"/>
    <w:docVar w:name="JobNo" w:val="GE.1601841R"/>
    <w:docVar w:name="JobNo2" w:val="1602335R"/>
    <w:docVar w:name="LocalDrive" w:val="0"/>
    <w:docVar w:name="OandT" w:val="OS"/>
    <w:docVar w:name="PaperSize" w:val="A4"/>
    <w:docVar w:name="sss1" w:val="ECE/TRANS/WP.29/GRSG/2016/8"/>
    <w:docVar w:name="sss2" w:val="-"/>
    <w:docVar w:name="Symbol1" w:val="ECE/TRANS/WP.29/GRSG/2016/8"/>
    <w:docVar w:name="Symbol2" w:val="-"/>
  </w:docVars>
  <w:rsids>
    <w:rsidRoot w:val="00A37B62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020D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A58E3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434D"/>
    <w:rsid w:val="000F5D07"/>
    <w:rsid w:val="00105B0E"/>
    <w:rsid w:val="00113678"/>
    <w:rsid w:val="00116984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1775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45CB"/>
    <w:rsid w:val="001E61AD"/>
    <w:rsid w:val="001E639C"/>
    <w:rsid w:val="001F1B08"/>
    <w:rsid w:val="001F4353"/>
    <w:rsid w:val="001F639D"/>
    <w:rsid w:val="00205CBD"/>
    <w:rsid w:val="00206603"/>
    <w:rsid w:val="002078A2"/>
    <w:rsid w:val="002102DE"/>
    <w:rsid w:val="00211A7E"/>
    <w:rsid w:val="00215955"/>
    <w:rsid w:val="00217A24"/>
    <w:rsid w:val="00223C57"/>
    <w:rsid w:val="00227D15"/>
    <w:rsid w:val="002329FD"/>
    <w:rsid w:val="00242477"/>
    <w:rsid w:val="00244051"/>
    <w:rsid w:val="002469E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66DBB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376E"/>
    <w:rsid w:val="002A712C"/>
    <w:rsid w:val="002A7921"/>
    <w:rsid w:val="002B1213"/>
    <w:rsid w:val="002B6501"/>
    <w:rsid w:val="002B6E2A"/>
    <w:rsid w:val="002C0A4B"/>
    <w:rsid w:val="002C3DE6"/>
    <w:rsid w:val="002C5620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02C53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5D2A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CDF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5D39"/>
    <w:rsid w:val="004D6276"/>
    <w:rsid w:val="004D656E"/>
    <w:rsid w:val="004D7B0A"/>
    <w:rsid w:val="004E1A1F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6E2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637F"/>
    <w:rsid w:val="005A7964"/>
    <w:rsid w:val="005B01FC"/>
    <w:rsid w:val="005B064E"/>
    <w:rsid w:val="005B0686"/>
    <w:rsid w:val="005B499C"/>
    <w:rsid w:val="005B7528"/>
    <w:rsid w:val="005C0440"/>
    <w:rsid w:val="005C11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3451"/>
    <w:rsid w:val="006261A6"/>
    <w:rsid w:val="0062751F"/>
    <w:rsid w:val="00632AFD"/>
    <w:rsid w:val="0063491E"/>
    <w:rsid w:val="00634A27"/>
    <w:rsid w:val="00634BC5"/>
    <w:rsid w:val="00635AF8"/>
    <w:rsid w:val="006409EF"/>
    <w:rsid w:val="00643CBD"/>
    <w:rsid w:val="006457F1"/>
    <w:rsid w:val="006459C6"/>
    <w:rsid w:val="00646363"/>
    <w:rsid w:val="00647668"/>
    <w:rsid w:val="00655212"/>
    <w:rsid w:val="00657EE4"/>
    <w:rsid w:val="006816AA"/>
    <w:rsid w:val="00682A27"/>
    <w:rsid w:val="0068420D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26F7D"/>
    <w:rsid w:val="007278BC"/>
    <w:rsid w:val="00730859"/>
    <w:rsid w:val="00731830"/>
    <w:rsid w:val="00736A19"/>
    <w:rsid w:val="00743C8D"/>
    <w:rsid w:val="00745258"/>
    <w:rsid w:val="00763C4A"/>
    <w:rsid w:val="00767AED"/>
    <w:rsid w:val="007732BE"/>
    <w:rsid w:val="0077374B"/>
    <w:rsid w:val="007746A3"/>
    <w:rsid w:val="0077623B"/>
    <w:rsid w:val="007766E6"/>
    <w:rsid w:val="00781ACA"/>
    <w:rsid w:val="00785F8F"/>
    <w:rsid w:val="00787B44"/>
    <w:rsid w:val="00790CD9"/>
    <w:rsid w:val="00791F20"/>
    <w:rsid w:val="00795A5A"/>
    <w:rsid w:val="00795F48"/>
    <w:rsid w:val="00796EC3"/>
    <w:rsid w:val="007A0441"/>
    <w:rsid w:val="007A072C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35C80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4DB2"/>
    <w:rsid w:val="008776BB"/>
    <w:rsid w:val="00880540"/>
    <w:rsid w:val="0088396E"/>
    <w:rsid w:val="00884EB1"/>
    <w:rsid w:val="008862E4"/>
    <w:rsid w:val="00897D8B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37BE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462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A17"/>
    <w:rsid w:val="00984EE4"/>
    <w:rsid w:val="00990168"/>
    <w:rsid w:val="0099354F"/>
    <w:rsid w:val="00996CBB"/>
    <w:rsid w:val="009A074F"/>
    <w:rsid w:val="009A3DB2"/>
    <w:rsid w:val="009A5318"/>
    <w:rsid w:val="009A6EF6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589E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05DE"/>
    <w:rsid w:val="00A312E7"/>
    <w:rsid w:val="00A3401C"/>
    <w:rsid w:val="00A344D5"/>
    <w:rsid w:val="00A37B62"/>
    <w:rsid w:val="00A37E33"/>
    <w:rsid w:val="00A452CF"/>
    <w:rsid w:val="00A46574"/>
    <w:rsid w:val="00A471A3"/>
    <w:rsid w:val="00A47B1B"/>
    <w:rsid w:val="00A5253A"/>
    <w:rsid w:val="00A63339"/>
    <w:rsid w:val="00A72358"/>
    <w:rsid w:val="00A849DE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84557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994"/>
    <w:rsid w:val="00BE2D25"/>
    <w:rsid w:val="00BE448A"/>
    <w:rsid w:val="00BE531D"/>
    <w:rsid w:val="00BE7378"/>
    <w:rsid w:val="00BE76E1"/>
    <w:rsid w:val="00BF2725"/>
    <w:rsid w:val="00BF3D60"/>
    <w:rsid w:val="00BF5FCB"/>
    <w:rsid w:val="00BF72EA"/>
    <w:rsid w:val="00C00290"/>
    <w:rsid w:val="00C05FFF"/>
    <w:rsid w:val="00C10BAE"/>
    <w:rsid w:val="00C14C33"/>
    <w:rsid w:val="00C15F35"/>
    <w:rsid w:val="00C1699D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2F27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80DFD"/>
    <w:rsid w:val="00D94247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4428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1E90"/>
    <w:rsid w:val="00ED395B"/>
    <w:rsid w:val="00ED3E61"/>
    <w:rsid w:val="00EE1B36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46758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C8A"/>
    <w:rsid w:val="00FA6D66"/>
    <w:rsid w:val="00FA7C7A"/>
    <w:rsid w:val="00FB56A4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FD56602-CDE1-4F81-9BE1-2E14154F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page number" w:semiHidden="1" w:unhideWhenUsed="1"/>
    <w:lsdException w:name="endnote reference" w:uiPriority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1E45C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TitleH2">
    <w:name w:val="Title_H2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CH">
    <w:name w:val="Title_H_CH"/>
    <w:basedOn w:val="HCh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1">
    <w:name w:val="Title_H1"/>
    <w:basedOn w:val="H1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paragraph" w:customStyle="1" w:styleId="AgendaItemNormal">
    <w:name w:val="Agenda_Item_Normal"/>
    <w:next w:val="Normal"/>
    <w:qFormat/>
    <w:rsid w:val="002469E1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AgendaTitleH2">
    <w:name w:val="Agenda_Title_H2"/>
    <w:basedOn w:val="TitleH1"/>
    <w:next w:val="Normal"/>
    <w:qFormat/>
    <w:rsid w:val="002469E1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character" w:styleId="CommentReference">
    <w:name w:val="annotation reference"/>
    <w:basedOn w:val="DefaultParagraphFont"/>
    <w:uiPriority w:val="1"/>
    <w:semiHidden/>
    <w:unhideWhenUsed/>
    <w:rsid w:val="00C14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C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C3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C3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B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36"/>
    <w:rPr>
      <w:rFonts w:ascii="Segoe UI" w:hAnsi="Segoe UI" w:cs="Segoe UI"/>
      <w:spacing w:val="4"/>
      <w:w w:val="103"/>
      <w:kern w:val="14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3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8FFFF-4AB1-43CA-AD94-475EABBBE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Ovchinnikova Olga</dc:creator>
  <cp:lastModifiedBy>Caillot</cp:lastModifiedBy>
  <cp:revision>2</cp:revision>
  <cp:lastPrinted>2016-02-25T10:35:00Z</cp:lastPrinted>
  <dcterms:created xsi:type="dcterms:W3CDTF">2016-03-15T17:37:00Z</dcterms:created>
  <dcterms:modified xsi:type="dcterms:W3CDTF">2016-03-15T17:37:00Z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1601841R</vt:lpwstr>
  </property>
  <property fmtid="{D5CDD505-2E9C-101B-9397-08002B2CF9AE}" pid="3" name="ODSRefJobNo">
    <vt:lpwstr>1602335R</vt:lpwstr>
  </property>
  <property fmtid="{D5CDD505-2E9C-101B-9397-08002B2CF9AE}" pid="4" name="Symbol1">
    <vt:lpwstr>ECE/TRANS/WP.29/GRSG/2016/8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OS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10 February 2016</vt:lpwstr>
  </property>
  <property fmtid="{D5CDD505-2E9C-101B-9397-08002B2CF9AE}" pid="12" name="Original">
    <vt:lpwstr>English</vt:lpwstr>
  </property>
  <property fmtid="{D5CDD505-2E9C-101B-9397-08002B2CF9AE}" pid="13" name="Release Date">
    <vt:lpwstr>250216</vt:lpwstr>
  </property>
</Properties>
</file>