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E34C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E34C4" w:rsidP="004E34C4">
            <w:pPr>
              <w:jc w:val="right"/>
            </w:pPr>
            <w:r w:rsidRPr="004E34C4">
              <w:rPr>
                <w:sz w:val="40"/>
              </w:rPr>
              <w:t>ECE</w:t>
            </w:r>
            <w:r>
              <w:t>/TRANS/WP.29/GRRF/2016/34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E34C4" w:rsidP="00892A2F">
            <w:pPr>
              <w:spacing w:before="240"/>
            </w:pPr>
            <w:r>
              <w:t>Distr. générale</w:t>
            </w:r>
          </w:p>
          <w:p w:rsidR="004E34C4" w:rsidRDefault="004E34C4" w:rsidP="004E34C4">
            <w:pPr>
              <w:spacing w:line="240" w:lineRule="exact"/>
            </w:pPr>
            <w:r>
              <w:t>7 juillet 2016</w:t>
            </w:r>
          </w:p>
          <w:p w:rsidR="004E34C4" w:rsidRDefault="004E34C4" w:rsidP="004E34C4">
            <w:pPr>
              <w:spacing w:line="240" w:lineRule="exact"/>
            </w:pPr>
            <w:r>
              <w:t>Français</w:t>
            </w:r>
          </w:p>
          <w:p w:rsidR="004E34C4" w:rsidRPr="00DB58B5" w:rsidRDefault="004E34C4" w:rsidP="004E34C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C4BA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E34C4" w:rsidRDefault="004E34C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C4BA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E34C4" w:rsidRDefault="004E34C4" w:rsidP="00257168">
      <w:pPr>
        <w:spacing w:before="120" w:after="120" w:line="240" w:lineRule="exact"/>
        <w:rPr>
          <w:b/>
        </w:rPr>
      </w:pPr>
      <w:r>
        <w:rPr>
          <w:b/>
        </w:rPr>
        <w:t>Groupe de travail en matière de roulement et de freinage</w:t>
      </w:r>
    </w:p>
    <w:p w:rsidR="004E34C4" w:rsidRDefault="004E34C4" w:rsidP="00257168">
      <w:pPr>
        <w:spacing w:before="120" w:line="240" w:lineRule="exact"/>
        <w:rPr>
          <w:b/>
        </w:rPr>
      </w:pPr>
      <w:r w:rsidRPr="004E34C4">
        <w:rPr>
          <w:b/>
          <w:lang w:val="fr-FR"/>
        </w:rPr>
        <w:t>Quatre-vingt-deuxième</w:t>
      </w:r>
      <w:r>
        <w:rPr>
          <w:lang w:val="fr-FR"/>
        </w:rPr>
        <w:t xml:space="preserve"> </w:t>
      </w:r>
      <w:r>
        <w:rPr>
          <w:b/>
        </w:rPr>
        <w:t>session</w:t>
      </w:r>
    </w:p>
    <w:p w:rsidR="004E34C4" w:rsidRDefault="004E34C4" w:rsidP="00257168">
      <w:pPr>
        <w:spacing w:line="240" w:lineRule="exact"/>
      </w:pPr>
      <w:r>
        <w:t xml:space="preserve">Genève, </w:t>
      </w:r>
      <w:r>
        <w:rPr>
          <w:lang w:val="fr-FR"/>
        </w:rPr>
        <w:t>20-23 septembre 2016</w:t>
      </w:r>
    </w:p>
    <w:p w:rsidR="004E34C4" w:rsidRDefault="004E34C4" w:rsidP="00257168">
      <w:pPr>
        <w:spacing w:line="240" w:lineRule="exact"/>
      </w:pPr>
      <w:r>
        <w:t>Point 7 b) de l</w:t>
      </w:r>
      <w:r w:rsidR="007C4BA4">
        <w:t>’</w:t>
      </w:r>
      <w:r>
        <w:t>ordre du jour provisoire</w:t>
      </w:r>
    </w:p>
    <w:p w:rsidR="00F9573C" w:rsidRDefault="004E34C4" w:rsidP="00AF0CB5">
      <w:pPr>
        <w:rPr>
          <w:b/>
          <w:lang w:val="fr-FR"/>
        </w:rPr>
      </w:pPr>
      <w:r w:rsidRPr="004E34C4">
        <w:rPr>
          <w:b/>
          <w:lang w:val="fr-FR"/>
        </w:rPr>
        <w:t xml:space="preserve">Pneumatiques − Règlement </w:t>
      </w:r>
      <w:r w:rsidRPr="004E34C4">
        <w:rPr>
          <w:rFonts w:eastAsia="MS Mincho"/>
          <w:b/>
          <w:szCs w:val="22"/>
          <w:lang w:val="fr-FR"/>
        </w:rPr>
        <w:t>n</w:t>
      </w:r>
      <w:r w:rsidRPr="004E34C4">
        <w:rPr>
          <w:rFonts w:eastAsia="MS Mincho"/>
          <w:b/>
          <w:szCs w:val="22"/>
          <w:vertAlign w:val="superscript"/>
          <w:lang w:val="fr-FR"/>
        </w:rPr>
        <w:t>o</w:t>
      </w:r>
      <w:r w:rsidRPr="004E34C4">
        <w:rPr>
          <w:b/>
          <w:lang w:val="fr-FR"/>
        </w:rPr>
        <w:t> 30</w:t>
      </w:r>
    </w:p>
    <w:p w:rsidR="004E34C4" w:rsidRPr="00003ADD" w:rsidRDefault="004E34C4" w:rsidP="004E34C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</w:t>
      </w:r>
      <w:r w:rsidR="007C4BA4">
        <w:rPr>
          <w:lang w:val="fr-FR"/>
        </w:rPr>
        <w:t>’</w:t>
      </w:r>
      <w:r>
        <w:rPr>
          <w:lang w:val="fr-FR"/>
        </w:rPr>
        <w:t xml:space="preserve">amendements au Règlement </w:t>
      </w:r>
      <w:r w:rsidRPr="004E34C4">
        <w:rPr>
          <w:rFonts w:eastAsia="MS Mincho"/>
          <w:szCs w:val="22"/>
          <w:lang w:val="fr-FR"/>
        </w:rPr>
        <w:t>n</w:t>
      </w:r>
      <w:r w:rsidRPr="004E34C4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30 (</w:t>
      </w:r>
      <w:r w:rsidRPr="004E34C4">
        <w:t>Pneumatiques</w:t>
      </w:r>
      <w:r>
        <w:rPr>
          <w:lang w:val="fr-FR"/>
        </w:rPr>
        <w:t xml:space="preserve"> pour voitures particulières </w:t>
      </w:r>
      <w:r>
        <w:rPr>
          <w:lang w:val="fr-FR"/>
        </w:rPr>
        <w:br/>
        <w:t>et leurs remorques)</w:t>
      </w:r>
    </w:p>
    <w:p w:rsidR="004E34C4" w:rsidRPr="00003ADD" w:rsidRDefault="004E34C4" w:rsidP="004E34C4">
      <w:pPr>
        <w:pStyle w:val="H1G"/>
        <w:rPr>
          <w:b w:val="0"/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7C4BA4">
        <w:rPr>
          <w:lang w:val="fr-FR"/>
        </w:rPr>
        <w:t>’</w:t>
      </w:r>
      <w:r>
        <w:rPr>
          <w:lang w:val="fr-FR"/>
        </w:rPr>
        <w:t>expert de la France</w:t>
      </w:r>
      <w:r w:rsidRPr="004E34C4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4E34C4" w:rsidRDefault="004E34C4" w:rsidP="004E34C4">
      <w:pPr>
        <w:pStyle w:val="SingleTxtG"/>
        <w:ind w:firstLine="567"/>
        <w:rPr>
          <w:lang w:val="fr-FR"/>
        </w:rPr>
      </w:pPr>
      <w:r>
        <w:rPr>
          <w:lang w:val="fr-FR"/>
        </w:rPr>
        <w:t>Le texte reproduit ci-après, établi par l</w:t>
      </w:r>
      <w:r w:rsidR="007C4BA4">
        <w:rPr>
          <w:lang w:val="fr-FR"/>
        </w:rPr>
        <w:t>’</w:t>
      </w:r>
      <w:r>
        <w:rPr>
          <w:lang w:val="fr-FR"/>
        </w:rPr>
        <w:t xml:space="preserve">expert de la France, a pour objet de modifier le Règlement </w:t>
      </w:r>
      <w:r w:rsidR="000E2918" w:rsidRPr="000E2918">
        <w:rPr>
          <w:rFonts w:eastAsia="MS Mincho"/>
          <w:szCs w:val="22"/>
          <w:lang w:val="fr-FR"/>
        </w:rPr>
        <w:t>n</w:t>
      </w:r>
      <w:r w:rsidR="000E2918" w:rsidRPr="000E2918">
        <w:rPr>
          <w:rFonts w:eastAsia="MS Mincho"/>
          <w:szCs w:val="22"/>
          <w:vertAlign w:val="superscript"/>
          <w:lang w:val="fr-FR"/>
        </w:rPr>
        <w:t>o</w:t>
      </w:r>
      <w:r w:rsidR="000E2918" w:rsidRPr="000E2918">
        <w:rPr>
          <w:lang w:val="fr-FR"/>
        </w:rPr>
        <w:t> </w:t>
      </w:r>
      <w:r>
        <w:rPr>
          <w:lang w:val="fr-FR"/>
        </w:rPr>
        <w:t>30. La numérotation des paragraphes tient compte des modifications proposées dans le document ECE/TRANS/WP.29/2016/51 (Proposition de complément 18 à la série 02 d</w:t>
      </w:r>
      <w:r w:rsidR="007C4BA4">
        <w:rPr>
          <w:lang w:val="fr-FR"/>
        </w:rPr>
        <w:t>’</w:t>
      </w:r>
      <w:r>
        <w:rPr>
          <w:lang w:val="fr-FR"/>
        </w:rPr>
        <w:t xml:space="preserve">amendements au Règlement </w:t>
      </w:r>
      <w:r w:rsidR="000E2918" w:rsidRPr="000E2918">
        <w:rPr>
          <w:rFonts w:eastAsia="MS Mincho"/>
          <w:szCs w:val="22"/>
          <w:lang w:val="fr-FR"/>
        </w:rPr>
        <w:t>n</w:t>
      </w:r>
      <w:r w:rsidR="000E2918" w:rsidRPr="000E2918">
        <w:rPr>
          <w:rFonts w:eastAsia="MS Mincho"/>
          <w:szCs w:val="22"/>
          <w:vertAlign w:val="superscript"/>
          <w:lang w:val="fr-FR"/>
        </w:rPr>
        <w:t>o</w:t>
      </w:r>
      <w:r w:rsidR="000E2918" w:rsidRPr="000E2918">
        <w:rPr>
          <w:lang w:val="fr-FR"/>
        </w:rPr>
        <w:t> </w:t>
      </w:r>
      <w:r>
        <w:rPr>
          <w:lang w:val="fr-FR"/>
        </w:rPr>
        <w:t>30), examiné lors de la session de juin 2016 du WP.29. Les modifications qu</w:t>
      </w:r>
      <w:r w:rsidR="007C4BA4">
        <w:rPr>
          <w:lang w:val="fr-FR"/>
        </w:rPr>
        <w:t>’</w:t>
      </w:r>
      <w:r>
        <w:rPr>
          <w:lang w:val="fr-FR"/>
        </w:rPr>
        <w:t>il est proposé d</w:t>
      </w:r>
      <w:r w:rsidR="007C4BA4"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:rsidR="000E2918" w:rsidRPr="000E2918" w:rsidRDefault="000E2918" w:rsidP="000E2918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:rsidR="000E2918" w:rsidRDefault="000E2918" w:rsidP="000E2918">
      <w:pPr>
        <w:pStyle w:val="SingleTxtG"/>
      </w:pPr>
      <w:r w:rsidRPr="000E2918">
        <w:rPr>
          <w:i/>
          <w:lang w:val="fr-FR"/>
        </w:rPr>
        <w:t>Paragraphe 3.1.6</w:t>
      </w:r>
      <w:r>
        <w:rPr>
          <w:lang w:val="fr-FR"/>
        </w:rPr>
        <w:t>, modifier comme suit :</w:t>
      </w:r>
    </w:p>
    <w:p w:rsidR="000E2918" w:rsidRPr="00EB6D00" w:rsidRDefault="000E2918" w:rsidP="000E2918">
      <w:pPr>
        <w:pStyle w:val="para"/>
        <w:rPr>
          <w:b/>
          <w:lang w:val="fr-CH"/>
        </w:rPr>
      </w:pPr>
      <w:r>
        <w:rPr>
          <w:lang w:val="fr-FR"/>
        </w:rPr>
        <w:t>« 3.1.6</w:t>
      </w:r>
      <w:r>
        <w:rPr>
          <w:lang w:val="fr-FR"/>
        </w:rPr>
        <w:tab/>
        <w:t>Les lettres M+S ou M.S ou M&amp;S si le pneumatique est classé dans la catégorie “pneumatique neige”</w:t>
      </w:r>
      <w:r w:rsidRPr="00EB6D00">
        <w:rPr>
          <w:strike/>
          <w:lang w:val="fr-FR"/>
        </w:rPr>
        <w:t>;</w:t>
      </w:r>
      <w:r>
        <w:rPr>
          <w:lang w:val="fr-FR"/>
        </w:rPr>
        <w:t xml:space="preserve"> </w:t>
      </w:r>
      <w:r w:rsidRPr="00EB6D00">
        <w:rPr>
          <w:b/>
          <w:lang w:val="fr-FR"/>
        </w:rPr>
        <w:t>ou s</w:t>
      </w:r>
      <w:r w:rsidR="007C4BA4">
        <w:rPr>
          <w:b/>
          <w:lang w:val="fr-FR"/>
        </w:rPr>
        <w:t>’</w:t>
      </w:r>
      <w:r w:rsidRPr="00EB6D00">
        <w:rPr>
          <w:b/>
          <w:lang w:val="fr-FR"/>
        </w:rPr>
        <w:t>il est classé da</w:t>
      </w:r>
      <w:r>
        <w:rPr>
          <w:b/>
          <w:lang w:val="fr-FR"/>
        </w:rPr>
        <w:t xml:space="preserve">ns la catégorie </w:t>
      </w:r>
      <w:r w:rsidRPr="00161180">
        <w:rPr>
          <w:b/>
          <w:lang w:val="fr-FR"/>
        </w:rPr>
        <w:t>“</w:t>
      </w:r>
      <w:r>
        <w:rPr>
          <w:b/>
          <w:lang w:val="fr-FR"/>
        </w:rPr>
        <w:t>usage spécial</w:t>
      </w:r>
      <w:r w:rsidRPr="00161180">
        <w:rPr>
          <w:b/>
          <w:lang w:val="fr-FR"/>
        </w:rPr>
        <w:t>”</w:t>
      </w:r>
      <w:r w:rsidRPr="00EB6D00">
        <w:rPr>
          <w:b/>
          <w:lang w:val="fr-FR"/>
        </w:rPr>
        <w:t xml:space="preserve"> et que le fabricant indique, au titre du paragraphe 4.1.3, qu</w:t>
      </w:r>
      <w:r w:rsidR="007C4BA4">
        <w:rPr>
          <w:b/>
          <w:lang w:val="fr-FR"/>
        </w:rPr>
        <w:t>’</w:t>
      </w:r>
      <w:r w:rsidRPr="00EB6D00">
        <w:rPr>
          <w:b/>
          <w:lang w:val="fr-FR"/>
        </w:rPr>
        <w:t>il correspond également à la définition donnée au paragraphe 2.6</w:t>
      </w:r>
      <w:r w:rsidRPr="00F674CB">
        <w:rPr>
          <w:lang w:val="fr-FR"/>
        </w:rPr>
        <w:t>.</w:t>
      </w:r>
      <w:r w:rsidR="00161180">
        <w:rPr>
          <w:b/>
          <w:lang w:val="fr-FR"/>
        </w:rPr>
        <w:t> </w:t>
      </w:r>
      <w:r>
        <w:rPr>
          <w:lang w:val="fr-FR"/>
        </w:rPr>
        <w:t>».</w:t>
      </w:r>
    </w:p>
    <w:p w:rsidR="000E2918" w:rsidRPr="00003ADD" w:rsidRDefault="000E2918" w:rsidP="000E2918">
      <w:pPr>
        <w:pStyle w:val="SingleTxtG"/>
      </w:pPr>
      <w:r w:rsidRPr="00161180">
        <w:rPr>
          <w:i/>
          <w:lang w:val="fr-FR"/>
        </w:rPr>
        <w:t>Paragraphe 3.1.7</w:t>
      </w:r>
      <w:r>
        <w:rPr>
          <w:lang w:val="fr-FR"/>
        </w:rPr>
        <w:t>, modifier comme suit</w:t>
      </w:r>
      <w:r w:rsidR="00161180">
        <w:rPr>
          <w:lang w:val="fr-FR"/>
        </w:rPr>
        <w:t> </w:t>
      </w:r>
      <w:r>
        <w:rPr>
          <w:lang w:val="fr-FR"/>
        </w:rPr>
        <w:t>:</w:t>
      </w:r>
    </w:p>
    <w:p w:rsidR="000E2918" w:rsidRPr="00003ADD" w:rsidRDefault="00161180" w:rsidP="000E2918">
      <w:pPr>
        <w:tabs>
          <w:tab w:val="left" w:pos="9214"/>
        </w:tabs>
        <w:spacing w:after="120"/>
        <w:ind w:left="2268" w:right="1134" w:hanging="1134"/>
        <w:jc w:val="both"/>
        <w:rPr>
          <w:rFonts w:eastAsia="MS Mincho"/>
          <w:b/>
        </w:rPr>
      </w:pPr>
      <w:r>
        <w:rPr>
          <w:lang w:val="fr-FR"/>
        </w:rPr>
        <w:t>« </w:t>
      </w:r>
      <w:r w:rsidR="000E2918">
        <w:rPr>
          <w:lang w:val="fr-FR"/>
        </w:rPr>
        <w:t>3.1.7</w:t>
      </w:r>
      <w:r w:rsidR="000E2918">
        <w:rPr>
          <w:lang w:val="fr-FR"/>
        </w:rPr>
        <w:tab/>
        <w:t>L</w:t>
      </w:r>
      <w:r w:rsidR="007C4BA4">
        <w:rPr>
          <w:lang w:val="fr-FR"/>
        </w:rPr>
        <w:t>’</w:t>
      </w:r>
      <w:r w:rsidR="000E2918">
        <w:rPr>
          <w:lang w:val="fr-FR"/>
        </w:rPr>
        <w:t xml:space="preserve">inscription “ET” et/ou “POR” si le pneumatique est classé dans la catégorie “usage spécial”. </w:t>
      </w:r>
      <w:r w:rsidR="000E2918" w:rsidRPr="00EB6D00">
        <w:rPr>
          <w:b/>
          <w:lang w:val="fr-FR"/>
        </w:rPr>
        <w:t>Ils peuvent également porter l</w:t>
      </w:r>
      <w:r w:rsidR="007C4BA4">
        <w:rPr>
          <w:b/>
          <w:lang w:val="fr-FR"/>
        </w:rPr>
        <w:t>’</w:t>
      </w:r>
      <w:r w:rsidR="000E2918" w:rsidRPr="00EB6D00">
        <w:rPr>
          <w:b/>
          <w:lang w:val="fr-FR"/>
        </w:rPr>
        <w:t>inscription M+S ou bien M.S ou M&amp;S</w:t>
      </w:r>
      <w:r w:rsidR="000E2918">
        <w:rPr>
          <w:lang w:val="fr-FR"/>
        </w:rPr>
        <w:t>.</w:t>
      </w:r>
    </w:p>
    <w:p w:rsidR="000E2918" w:rsidRPr="00003ADD" w:rsidRDefault="000E2918" w:rsidP="00161180">
      <w:pPr>
        <w:pStyle w:val="SingleTxtG"/>
        <w:ind w:left="2268"/>
      </w:pPr>
      <w:r>
        <w:rPr>
          <w:lang w:val="fr-FR"/>
        </w:rPr>
        <w:tab/>
        <w:t>On entend par ET, “Extra Tread” (bande de roulement spéciale), et par POR, “Professional Off-Road” (tout-terrain professionnel).</w:t>
      </w:r>
      <w:r w:rsidR="00161180">
        <w:rPr>
          <w:lang w:val="fr-FR"/>
        </w:rPr>
        <w:t> </w:t>
      </w:r>
      <w:r>
        <w:rPr>
          <w:lang w:val="fr-FR"/>
        </w:rPr>
        <w:t>».</w:t>
      </w:r>
    </w:p>
    <w:p w:rsidR="000E2918" w:rsidRPr="00003ADD" w:rsidRDefault="000E2918" w:rsidP="000E2918">
      <w:pPr>
        <w:pStyle w:val="SingleTxtG"/>
      </w:pPr>
      <w:r w:rsidRPr="00161180">
        <w:rPr>
          <w:i/>
          <w:lang w:val="fr-FR"/>
        </w:rPr>
        <w:t>Paragraphe 4.1.3</w:t>
      </w:r>
      <w:r>
        <w:rPr>
          <w:lang w:val="fr-FR"/>
        </w:rPr>
        <w:t>, modifier comme suit</w:t>
      </w:r>
      <w:r w:rsidR="00161180">
        <w:rPr>
          <w:lang w:val="fr-FR"/>
        </w:rPr>
        <w:t> </w:t>
      </w:r>
      <w:r>
        <w:rPr>
          <w:lang w:val="fr-FR"/>
        </w:rPr>
        <w:t>:</w:t>
      </w:r>
    </w:p>
    <w:p w:rsidR="000E2918" w:rsidRPr="00003ADD" w:rsidRDefault="00161180" w:rsidP="000E2918">
      <w:pPr>
        <w:pStyle w:val="SingleTxtG"/>
        <w:ind w:left="2268" w:hanging="1134"/>
        <w:rPr>
          <w:rFonts w:eastAsia="MS Mincho"/>
        </w:rPr>
      </w:pPr>
      <w:r>
        <w:rPr>
          <w:lang w:val="fr-FR"/>
        </w:rPr>
        <w:t>« </w:t>
      </w:r>
      <w:r w:rsidR="000E2918">
        <w:rPr>
          <w:lang w:val="fr-FR"/>
        </w:rPr>
        <w:t>4.1.3</w:t>
      </w:r>
      <w:r w:rsidR="000E2918">
        <w:rPr>
          <w:lang w:val="fr-FR"/>
        </w:rPr>
        <w:tab/>
      </w:r>
      <w:r w:rsidR="000E2918">
        <w:rPr>
          <w:lang w:val="fr-FR"/>
        </w:rPr>
        <w:tab/>
        <w:t>La catégorie d</w:t>
      </w:r>
      <w:r w:rsidR="007C4BA4">
        <w:rPr>
          <w:lang w:val="fr-FR"/>
        </w:rPr>
        <w:t>’</w:t>
      </w:r>
      <w:r w:rsidR="000E2918">
        <w:rPr>
          <w:lang w:val="fr-FR"/>
        </w:rPr>
        <w:t>utilisation (pneumatique ordinaire, pneumatique neige, pneumatique à usage spécial ou pneumatique à usage temporaire)</w:t>
      </w:r>
      <w:r>
        <w:rPr>
          <w:lang w:val="fr-FR"/>
        </w:rPr>
        <w:t> </w:t>
      </w:r>
      <w:r w:rsidR="000E2918">
        <w:rPr>
          <w:lang w:val="fr-FR"/>
        </w:rPr>
        <w:t>;</w:t>
      </w:r>
    </w:p>
    <w:p w:rsidR="000E2918" w:rsidRPr="00EB6D00" w:rsidRDefault="000E2918" w:rsidP="000E2918">
      <w:pPr>
        <w:pStyle w:val="para"/>
        <w:rPr>
          <w:b/>
          <w:lang w:val="fr-CH"/>
        </w:rPr>
      </w:pPr>
      <w:r w:rsidRPr="00EB6D00">
        <w:rPr>
          <w:b/>
          <w:lang w:val="fr-FR"/>
        </w:rPr>
        <w:t>4.1.3.1</w:t>
      </w:r>
      <w:r w:rsidRPr="00EB6D00">
        <w:rPr>
          <w:b/>
          <w:lang w:val="fr-FR"/>
        </w:rPr>
        <w:tab/>
        <w:t>Pour les pneumatiques relevant de la catégorie d</w:t>
      </w:r>
      <w:r w:rsidR="007C4BA4">
        <w:rPr>
          <w:b/>
          <w:lang w:val="fr-FR"/>
        </w:rPr>
        <w:t>’</w:t>
      </w:r>
      <w:r w:rsidRPr="00EB6D00">
        <w:rPr>
          <w:b/>
          <w:lang w:val="fr-FR"/>
        </w:rPr>
        <w:t>utilisation “usage spécial”, s</w:t>
      </w:r>
      <w:r w:rsidR="007C4BA4">
        <w:rPr>
          <w:b/>
          <w:lang w:val="fr-FR"/>
        </w:rPr>
        <w:t>’</w:t>
      </w:r>
      <w:r w:rsidRPr="00EB6D00">
        <w:rPr>
          <w:b/>
          <w:lang w:val="fr-FR"/>
        </w:rPr>
        <w:t>ils peuvent la porter, l</w:t>
      </w:r>
      <w:r w:rsidR="007C4BA4">
        <w:rPr>
          <w:b/>
          <w:lang w:val="fr-FR"/>
        </w:rPr>
        <w:t>’</w:t>
      </w:r>
      <w:r w:rsidRPr="00EB6D00">
        <w:rPr>
          <w:b/>
          <w:lang w:val="fr-FR"/>
        </w:rPr>
        <w:t>inscription M+S ou bien M.S ou M&amp;S.</w:t>
      </w:r>
      <w:r>
        <w:rPr>
          <w:lang w:val="fr-FR"/>
        </w:rPr>
        <w:t> ».</w:t>
      </w:r>
    </w:p>
    <w:p w:rsidR="000E2918" w:rsidRPr="00003ADD" w:rsidRDefault="000E2918" w:rsidP="000E2918">
      <w:pPr>
        <w:pStyle w:val="SingleTxtG"/>
      </w:pPr>
      <w:r w:rsidRPr="00950DC4">
        <w:rPr>
          <w:i/>
          <w:lang w:val="fr-FR"/>
        </w:rPr>
        <w:t>Paragraphe 6.1.5.4</w:t>
      </w:r>
      <w:r>
        <w:rPr>
          <w:lang w:val="fr-FR"/>
        </w:rPr>
        <w:t>, modifier comme suit</w:t>
      </w:r>
      <w:r w:rsidR="00950DC4">
        <w:rPr>
          <w:lang w:val="fr-FR"/>
        </w:rPr>
        <w:t> </w:t>
      </w:r>
      <w:r>
        <w:rPr>
          <w:lang w:val="fr-FR"/>
        </w:rPr>
        <w:t>:</w:t>
      </w:r>
    </w:p>
    <w:p w:rsidR="000E2918" w:rsidRPr="00EB6D00" w:rsidRDefault="00950DC4" w:rsidP="000E2918">
      <w:pPr>
        <w:pStyle w:val="para"/>
        <w:rPr>
          <w:lang w:val="fr-CH"/>
        </w:rPr>
      </w:pPr>
      <w:r>
        <w:rPr>
          <w:lang w:val="fr-FR"/>
        </w:rPr>
        <w:t>« </w:t>
      </w:r>
      <w:r w:rsidR="000E2918">
        <w:rPr>
          <w:lang w:val="fr-FR"/>
        </w:rPr>
        <w:t>6.1.5.4</w:t>
      </w:r>
      <w:r w:rsidR="000E2918">
        <w:rPr>
          <w:lang w:val="fr-FR"/>
        </w:rPr>
        <w:tab/>
        <w:t xml:space="preserve">Pour les pneumatiques </w:t>
      </w:r>
      <w:r w:rsidR="000E2918" w:rsidRPr="00EB6D00">
        <w:rPr>
          <w:strike/>
          <w:lang w:val="fr-FR"/>
        </w:rPr>
        <w:t>neige</w:t>
      </w:r>
      <w:r w:rsidR="00161180">
        <w:rPr>
          <w:strike/>
          <w:lang w:val="fr-FR"/>
        </w:rPr>
        <w:t xml:space="preserve"> </w:t>
      </w:r>
      <w:r w:rsidR="000E2918" w:rsidRPr="00EB6D00">
        <w:rPr>
          <w:b/>
          <w:lang w:val="fr-FR"/>
        </w:rPr>
        <w:t xml:space="preserve">de la catégorie </w:t>
      </w:r>
      <w:r w:rsidR="00161180" w:rsidRPr="00EB6D00">
        <w:rPr>
          <w:b/>
          <w:lang w:val="fr-FR"/>
        </w:rPr>
        <w:t>“</w:t>
      </w:r>
      <w:r w:rsidR="000E2918" w:rsidRPr="00EB6D00">
        <w:rPr>
          <w:b/>
          <w:lang w:val="fr-FR"/>
        </w:rPr>
        <w:t>pneumatique neige</w:t>
      </w:r>
      <w:r w:rsidR="00161180" w:rsidRPr="00EB6D00">
        <w:rPr>
          <w:b/>
          <w:lang w:val="fr-FR"/>
        </w:rPr>
        <w:t>”</w:t>
      </w:r>
      <w:r w:rsidR="000E2918">
        <w:rPr>
          <w:lang w:val="fr-FR"/>
        </w:rPr>
        <w:t>, le diamètre extérieur ne doit pas dépasser la valeur suivante</w:t>
      </w:r>
      <w:r w:rsidR="00161180">
        <w:rPr>
          <w:lang w:val="fr-FR"/>
        </w:rPr>
        <w:t> </w:t>
      </w:r>
      <w:r w:rsidR="000E2918">
        <w:rPr>
          <w:lang w:val="fr-FR"/>
        </w:rPr>
        <w:t>:</w:t>
      </w:r>
    </w:p>
    <w:p w:rsidR="000E2918" w:rsidRPr="00EB6D00" w:rsidRDefault="000E2918" w:rsidP="00161180">
      <w:pPr>
        <w:pStyle w:val="SingleTxtG"/>
        <w:ind w:left="2268"/>
      </w:pPr>
      <w:r>
        <w:rPr>
          <w:lang w:val="fr-FR"/>
        </w:rPr>
        <w:tab/>
        <w:t>D</w:t>
      </w:r>
      <w:r w:rsidRPr="00746DBD">
        <w:rPr>
          <w:vertAlign w:val="subscript"/>
          <w:lang w:val="fr-FR"/>
        </w:rPr>
        <w:t>max,snow</w:t>
      </w:r>
      <w:r>
        <w:rPr>
          <w:lang w:val="fr-FR"/>
        </w:rPr>
        <w:t xml:space="preserve"> = 1,01 • D</w:t>
      </w:r>
      <w:r w:rsidRPr="00746DBD">
        <w:rPr>
          <w:vertAlign w:val="subscript"/>
          <w:lang w:val="fr-FR"/>
        </w:rPr>
        <w:t>max</w:t>
      </w:r>
      <w:r w:rsidR="00161180">
        <w:rPr>
          <w:lang w:val="fr-FR"/>
        </w:rPr>
        <w:tab/>
      </w:r>
      <w:r w:rsidR="00161180">
        <w:rPr>
          <w:lang w:val="fr-FR"/>
        </w:rPr>
        <w:tab/>
        <w:t>arrondi au mm le plus proche</w:t>
      </w:r>
      <w:r w:rsidR="002A541C">
        <w:rPr>
          <w:lang w:val="fr-FR"/>
        </w:rPr>
        <w:t> ;</w:t>
      </w:r>
    </w:p>
    <w:p w:rsidR="000E2918" w:rsidRPr="00EB6D00" w:rsidRDefault="000E2918" w:rsidP="000E2918">
      <w:pPr>
        <w:pStyle w:val="para"/>
        <w:ind w:firstLine="0"/>
        <w:rPr>
          <w:lang w:val="fr-CH"/>
        </w:rPr>
      </w:pPr>
      <w:r>
        <w:rPr>
          <w:lang w:val="fr-FR"/>
        </w:rPr>
        <w:t>où D</w:t>
      </w:r>
      <w:r w:rsidRPr="00746DBD">
        <w:rPr>
          <w:vertAlign w:val="subscript"/>
          <w:lang w:val="fr-FR"/>
        </w:rPr>
        <w:t>max</w:t>
      </w:r>
      <w:r>
        <w:rPr>
          <w:lang w:val="fr-FR"/>
        </w:rPr>
        <w:t xml:space="preserve"> est le diamètre extérieur maximal déterminé conformément aux dispositions ci-dessus.</w:t>
      </w:r>
      <w:r w:rsidR="00161180">
        <w:rPr>
          <w:lang w:val="fr-FR"/>
        </w:rPr>
        <w:t> </w:t>
      </w:r>
      <w:r>
        <w:rPr>
          <w:lang w:val="fr-FR"/>
        </w:rPr>
        <w:t>».</w:t>
      </w:r>
    </w:p>
    <w:p w:rsidR="000E2918" w:rsidRPr="00EB6D00" w:rsidRDefault="000E2918" w:rsidP="000E2918">
      <w:pPr>
        <w:pStyle w:val="para"/>
        <w:rPr>
          <w:lang w:val="fr-CH"/>
        </w:rPr>
      </w:pPr>
      <w:r w:rsidRPr="00950DC4">
        <w:rPr>
          <w:i/>
          <w:lang w:val="fr-FR"/>
        </w:rPr>
        <w:t>Titre du paragraphe 12</w:t>
      </w:r>
      <w:r>
        <w:rPr>
          <w:lang w:val="fr-FR"/>
        </w:rPr>
        <w:t>, modifier comme suit</w:t>
      </w:r>
      <w:r w:rsidR="00950DC4">
        <w:rPr>
          <w:lang w:val="fr-FR"/>
        </w:rPr>
        <w:t> </w:t>
      </w:r>
      <w:r>
        <w:rPr>
          <w:lang w:val="fr-FR"/>
        </w:rPr>
        <w:t>:</w:t>
      </w:r>
    </w:p>
    <w:p w:rsidR="000E2918" w:rsidRPr="00EB6D00" w:rsidRDefault="00950DC4" w:rsidP="000E2918">
      <w:pPr>
        <w:pStyle w:val="para"/>
        <w:spacing w:after="0"/>
        <w:rPr>
          <w:lang w:val="fr-CH"/>
        </w:rPr>
      </w:pPr>
      <w:r>
        <w:rPr>
          <w:lang w:val="fr-FR"/>
        </w:rPr>
        <w:t>« </w:t>
      </w:r>
      <w:r w:rsidR="000E2918">
        <w:rPr>
          <w:lang w:val="fr-FR"/>
        </w:rPr>
        <w:t>12.</w:t>
      </w:r>
      <w:r w:rsidR="000E2918">
        <w:rPr>
          <w:lang w:val="fr-FR"/>
        </w:rPr>
        <w:tab/>
        <w:t>Noms et adresses des services techniques chargés des essais d</w:t>
      </w:r>
      <w:r w:rsidR="007C4BA4">
        <w:rPr>
          <w:lang w:val="fr-FR"/>
        </w:rPr>
        <w:t>’</w:t>
      </w:r>
      <w:r w:rsidR="000E2918">
        <w:rPr>
          <w:lang w:val="fr-FR"/>
        </w:rPr>
        <w:t>homologation</w:t>
      </w:r>
      <w:r w:rsidR="000E2918" w:rsidRPr="00EB6D00">
        <w:rPr>
          <w:b/>
          <w:lang w:val="fr-FR"/>
        </w:rPr>
        <w:t>, des laboratoires d</w:t>
      </w:r>
      <w:r w:rsidR="007C4BA4">
        <w:rPr>
          <w:b/>
          <w:lang w:val="fr-FR"/>
        </w:rPr>
        <w:t>’</w:t>
      </w:r>
      <w:r w:rsidR="000E2918" w:rsidRPr="00EB6D00">
        <w:rPr>
          <w:b/>
          <w:lang w:val="fr-FR"/>
        </w:rPr>
        <w:t xml:space="preserve">essai </w:t>
      </w:r>
      <w:r w:rsidR="000E2918">
        <w:rPr>
          <w:lang w:val="fr-FR"/>
        </w:rPr>
        <w:t>et de l</w:t>
      </w:r>
      <w:r w:rsidR="007C4BA4">
        <w:rPr>
          <w:lang w:val="fr-FR"/>
        </w:rPr>
        <w:t>’</w:t>
      </w:r>
      <w:r w:rsidR="000E2918">
        <w:rPr>
          <w:lang w:val="fr-FR"/>
        </w:rPr>
        <w:t>autorité d</w:t>
      </w:r>
      <w:r w:rsidR="007C4BA4">
        <w:rPr>
          <w:lang w:val="fr-FR"/>
        </w:rPr>
        <w:t>’</w:t>
      </w:r>
      <w:r w:rsidR="000E2918">
        <w:rPr>
          <w:lang w:val="fr-FR"/>
        </w:rPr>
        <w:t>homologation de type.</w:t>
      </w:r>
      <w:bookmarkStart w:id="1" w:name="A0_S11_"/>
      <w:bookmarkEnd w:id="1"/>
      <w:r>
        <w:rPr>
          <w:lang w:val="fr-FR"/>
        </w:rPr>
        <w:t> ».</w:t>
      </w:r>
    </w:p>
    <w:p w:rsidR="000E2918" w:rsidRPr="00003ADD" w:rsidRDefault="00950DC4" w:rsidP="00950DC4">
      <w:pPr>
        <w:pStyle w:val="HChG"/>
      </w:pPr>
      <w:r>
        <w:rPr>
          <w:lang w:val="fr-FR"/>
        </w:rPr>
        <w:tab/>
      </w:r>
      <w:r w:rsidR="000E2918">
        <w:rPr>
          <w:lang w:val="fr-FR"/>
        </w:rPr>
        <w:t>II.</w:t>
      </w:r>
      <w:r w:rsidR="000E2918">
        <w:rPr>
          <w:lang w:val="fr-FR"/>
        </w:rPr>
        <w:tab/>
      </w:r>
      <w:r w:rsidR="000E2918" w:rsidRPr="00950DC4">
        <w:t>Justification</w:t>
      </w:r>
    </w:p>
    <w:p w:rsidR="000E2918" w:rsidRPr="00003ADD" w:rsidRDefault="000E2918" w:rsidP="00950DC4">
      <w:pPr>
        <w:pStyle w:val="SingleTxtG"/>
        <w:numPr>
          <w:ilvl w:val="0"/>
          <w:numId w:val="16"/>
        </w:numPr>
        <w:ind w:left="1134" w:firstLine="0"/>
        <w:rPr>
          <w:rFonts w:eastAsia="HGMaruGothicMPRO"/>
        </w:rPr>
      </w:pPr>
      <w:r>
        <w:rPr>
          <w:lang w:val="fr-FR"/>
        </w:rPr>
        <w:t>L</w:t>
      </w:r>
      <w:r w:rsidR="007C4BA4">
        <w:rPr>
          <w:lang w:val="fr-FR"/>
        </w:rPr>
        <w:t>’</w:t>
      </w:r>
      <w:r>
        <w:rPr>
          <w:lang w:val="fr-FR"/>
        </w:rPr>
        <w:t xml:space="preserve">actuel Règlement </w:t>
      </w:r>
      <w:r w:rsidR="00950DC4" w:rsidRPr="00950DC4">
        <w:rPr>
          <w:rFonts w:eastAsia="MS Mincho"/>
          <w:szCs w:val="22"/>
          <w:lang w:val="fr-FR"/>
        </w:rPr>
        <w:t>n</w:t>
      </w:r>
      <w:r w:rsidR="00950DC4" w:rsidRPr="00950DC4">
        <w:rPr>
          <w:rFonts w:eastAsia="MS Mincho"/>
          <w:szCs w:val="22"/>
          <w:vertAlign w:val="superscript"/>
          <w:lang w:val="fr-FR"/>
        </w:rPr>
        <w:t>o</w:t>
      </w:r>
      <w:r w:rsidR="00950DC4">
        <w:rPr>
          <w:lang w:val="fr-FR"/>
        </w:rPr>
        <w:t> </w:t>
      </w:r>
      <w:r>
        <w:rPr>
          <w:lang w:val="fr-FR"/>
        </w:rPr>
        <w:t>30 ne prévoit pas le cas où un pneumatique conçu pour un usage «</w:t>
      </w:r>
      <w:r w:rsidR="00950DC4">
        <w:rPr>
          <w:lang w:val="fr-FR"/>
        </w:rPr>
        <w:t> </w:t>
      </w:r>
      <w:r>
        <w:rPr>
          <w:lang w:val="fr-FR"/>
        </w:rPr>
        <w:t>spécial</w:t>
      </w:r>
      <w:r w:rsidR="00950DC4">
        <w:rPr>
          <w:lang w:val="fr-FR"/>
        </w:rPr>
        <w:t> </w:t>
      </w:r>
      <w:r>
        <w:rPr>
          <w:lang w:val="fr-FR"/>
        </w:rPr>
        <w:t>» peut également correspondre à la définition d</w:t>
      </w:r>
      <w:r w:rsidR="007C4BA4">
        <w:rPr>
          <w:lang w:val="fr-FR"/>
        </w:rPr>
        <w:t>’</w:t>
      </w:r>
      <w:r>
        <w:rPr>
          <w:lang w:val="fr-FR"/>
        </w:rPr>
        <w:t>un pneumatique «</w:t>
      </w:r>
      <w:r w:rsidR="00950DC4">
        <w:rPr>
          <w:lang w:val="fr-FR"/>
        </w:rPr>
        <w:t> </w:t>
      </w:r>
      <w:r>
        <w:rPr>
          <w:lang w:val="fr-FR"/>
        </w:rPr>
        <w:t>neige</w:t>
      </w:r>
      <w:r w:rsidR="00950DC4">
        <w:rPr>
          <w:lang w:val="fr-FR"/>
        </w:rPr>
        <w:t> </w:t>
      </w:r>
      <w:r>
        <w:rPr>
          <w:lang w:val="fr-FR"/>
        </w:rPr>
        <w:t>». Si cette caractéristique a été signalée par le fabricant, le pneumatique doit porter l</w:t>
      </w:r>
      <w:r w:rsidR="007C4BA4">
        <w:rPr>
          <w:lang w:val="fr-FR"/>
        </w:rPr>
        <w:t>’</w:t>
      </w:r>
      <w:r>
        <w:rPr>
          <w:lang w:val="fr-FR"/>
        </w:rPr>
        <w:t>inscription M+S ou bien M.S ou M&amp;S, tout en restant classé dans la catégorie «</w:t>
      </w:r>
      <w:r w:rsidR="00950DC4">
        <w:rPr>
          <w:lang w:val="fr-FR"/>
        </w:rPr>
        <w:t> </w:t>
      </w:r>
      <w:r>
        <w:rPr>
          <w:lang w:val="fr-FR"/>
        </w:rPr>
        <w:t>usage spécial</w:t>
      </w:r>
      <w:r w:rsidR="00950DC4">
        <w:rPr>
          <w:lang w:val="fr-FR"/>
        </w:rPr>
        <w:t> </w:t>
      </w:r>
      <w:r>
        <w:rPr>
          <w:lang w:val="fr-FR"/>
        </w:rPr>
        <w:t>».</w:t>
      </w:r>
    </w:p>
    <w:p w:rsidR="000E2918" w:rsidRPr="00950DC4" w:rsidRDefault="000E2918" w:rsidP="00950DC4">
      <w:pPr>
        <w:pStyle w:val="SingleTxtG"/>
        <w:numPr>
          <w:ilvl w:val="0"/>
          <w:numId w:val="16"/>
        </w:numPr>
        <w:ind w:left="1134" w:firstLine="0"/>
      </w:pPr>
      <w:r>
        <w:rPr>
          <w:lang w:val="fr-FR"/>
        </w:rPr>
        <w:t>Dans le but d</w:t>
      </w:r>
      <w:r w:rsidR="007C4BA4">
        <w:rPr>
          <w:lang w:val="fr-FR"/>
        </w:rPr>
        <w:t>’</w:t>
      </w:r>
      <w:r>
        <w:rPr>
          <w:lang w:val="fr-FR"/>
        </w:rPr>
        <w:t>harmoniser les différents Règlements, il est proposé d</w:t>
      </w:r>
      <w:r w:rsidR="007C4BA4">
        <w:rPr>
          <w:lang w:val="fr-FR"/>
        </w:rPr>
        <w:t>’</w:t>
      </w:r>
      <w:r>
        <w:rPr>
          <w:lang w:val="fr-FR"/>
        </w:rPr>
        <w:t xml:space="preserve">ajouter </w:t>
      </w:r>
      <w:r w:rsidR="00950DC4">
        <w:rPr>
          <w:lang w:val="fr-FR"/>
        </w:rPr>
        <w:t>« </w:t>
      </w:r>
      <w:r>
        <w:rPr>
          <w:lang w:val="fr-FR"/>
        </w:rPr>
        <w:t>laboratoires d</w:t>
      </w:r>
      <w:r w:rsidR="007C4BA4">
        <w:rPr>
          <w:lang w:val="fr-FR"/>
        </w:rPr>
        <w:t>’</w:t>
      </w:r>
      <w:r>
        <w:rPr>
          <w:lang w:val="fr-FR"/>
        </w:rPr>
        <w:t>essai</w:t>
      </w:r>
      <w:r w:rsidR="00950DC4">
        <w:rPr>
          <w:lang w:val="fr-FR"/>
        </w:rPr>
        <w:t> » dans le titre du paragraphe </w:t>
      </w:r>
      <w:r>
        <w:rPr>
          <w:lang w:val="fr-FR"/>
        </w:rPr>
        <w:t>12, comme il est pr</w:t>
      </w:r>
      <w:r w:rsidR="00950DC4">
        <w:rPr>
          <w:lang w:val="fr-FR"/>
        </w:rPr>
        <w:t>oposé de le faire au paragraphe </w:t>
      </w:r>
      <w:r>
        <w:rPr>
          <w:lang w:val="fr-FR"/>
        </w:rPr>
        <w:t>12.1 dans le document ECE/TRANS/WP.29/2016/51 qui a été examiné lors de la session de juin 2016 du WP.29.</w:t>
      </w:r>
    </w:p>
    <w:p w:rsidR="00950DC4" w:rsidRPr="00950DC4" w:rsidRDefault="00950DC4" w:rsidP="00950DC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0DC4" w:rsidRPr="00950DC4" w:rsidSect="004E34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6D" w:rsidRDefault="0041286D" w:rsidP="00F95C08">
      <w:pPr>
        <w:spacing w:line="240" w:lineRule="auto"/>
      </w:pPr>
    </w:p>
  </w:endnote>
  <w:endnote w:type="continuationSeparator" w:id="0">
    <w:p w:rsidR="0041286D" w:rsidRPr="00AC3823" w:rsidRDefault="0041286D" w:rsidP="00AC3823">
      <w:pPr>
        <w:pStyle w:val="Pieddepage"/>
      </w:pPr>
    </w:p>
  </w:endnote>
  <w:endnote w:type="continuationNotice" w:id="1">
    <w:p w:rsidR="0041286D" w:rsidRDefault="004128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C4" w:rsidRPr="004E34C4" w:rsidRDefault="004E34C4" w:rsidP="004E34C4">
    <w:pPr>
      <w:pStyle w:val="Pieddepage"/>
      <w:tabs>
        <w:tab w:val="right" w:pos="9638"/>
      </w:tabs>
    </w:pPr>
    <w:r w:rsidRPr="004E34C4">
      <w:rPr>
        <w:b/>
        <w:sz w:val="18"/>
      </w:rPr>
      <w:fldChar w:fldCharType="begin"/>
    </w:r>
    <w:r w:rsidRPr="004E34C4">
      <w:rPr>
        <w:b/>
        <w:sz w:val="18"/>
      </w:rPr>
      <w:instrText xml:space="preserve"> PAGE  \* MERGEFORMAT </w:instrText>
    </w:r>
    <w:r w:rsidRPr="004E34C4">
      <w:rPr>
        <w:b/>
        <w:sz w:val="18"/>
      </w:rPr>
      <w:fldChar w:fldCharType="separate"/>
    </w:r>
    <w:r w:rsidR="00513019">
      <w:rPr>
        <w:b/>
        <w:noProof/>
        <w:sz w:val="18"/>
      </w:rPr>
      <w:t>2</w:t>
    </w:r>
    <w:r w:rsidRPr="004E34C4">
      <w:rPr>
        <w:b/>
        <w:sz w:val="18"/>
      </w:rPr>
      <w:fldChar w:fldCharType="end"/>
    </w:r>
    <w:r>
      <w:rPr>
        <w:b/>
        <w:sz w:val="18"/>
      </w:rPr>
      <w:tab/>
    </w:r>
    <w:r>
      <w:t>GE.16-11609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C4" w:rsidRPr="004E34C4" w:rsidRDefault="004E34C4" w:rsidP="004E34C4">
    <w:pPr>
      <w:pStyle w:val="Pieddepage"/>
      <w:tabs>
        <w:tab w:val="right" w:pos="9638"/>
      </w:tabs>
      <w:rPr>
        <w:b/>
        <w:sz w:val="18"/>
      </w:rPr>
    </w:pPr>
    <w:r>
      <w:t>GE.16-11609</w:t>
    </w:r>
    <w:r>
      <w:tab/>
    </w:r>
    <w:r w:rsidRPr="004E34C4">
      <w:rPr>
        <w:b/>
        <w:sz w:val="18"/>
      </w:rPr>
      <w:fldChar w:fldCharType="begin"/>
    </w:r>
    <w:r w:rsidRPr="004E34C4">
      <w:rPr>
        <w:b/>
        <w:sz w:val="18"/>
      </w:rPr>
      <w:instrText xml:space="preserve"> PAGE  \* MERGEFORMAT </w:instrText>
    </w:r>
    <w:r w:rsidRPr="004E34C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E34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4E34C4" w:rsidRDefault="004E34C4" w:rsidP="004E34C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54CCD679" wp14:editId="514CB47A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16-11609  (F)</w:t>
    </w:r>
    <w:r w:rsidR="000E2918">
      <w:rPr>
        <w:sz w:val="20"/>
      </w:rPr>
      <w:t xml:space="preserve">    050816    080816</w:t>
    </w:r>
    <w:r>
      <w:rPr>
        <w:sz w:val="20"/>
      </w:rPr>
      <w:br/>
    </w:r>
    <w:r w:rsidRPr="004E34C4">
      <w:rPr>
        <w:rFonts w:ascii="C39T30Lfz" w:hAnsi="C39T30Lfz"/>
        <w:sz w:val="56"/>
      </w:rPr>
      <w:t></w:t>
    </w:r>
    <w:r w:rsidRPr="004E34C4">
      <w:rPr>
        <w:rFonts w:ascii="C39T30Lfz" w:hAnsi="C39T30Lfz"/>
        <w:sz w:val="56"/>
      </w:rPr>
      <w:t></w:t>
    </w:r>
    <w:r w:rsidRPr="004E34C4">
      <w:rPr>
        <w:rFonts w:ascii="C39T30Lfz" w:hAnsi="C39T30Lfz"/>
        <w:sz w:val="56"/>
      </w:rPr>
      <w:t></w:t>
    </w:r>
    <w:r w:rsidRPr="004E34C4">
      <w:rPr>
        <w:rFonts w:ascii="C39T30Lfz" w:hAnsi="C39T30Lfz"/>
        <w:sz w:val="56"/>
      </w:rPr>
      <w:t></w:t>
    </w:r>
    <w:r w:rsidRPr="004E34C4">
      <w:rPr>
        <w:rFonts w:ascii="C39T30Lfz" w:hAnsi="C39T30Lfz"/>
        <w:sz w:val="56"/>
      </w:rPr>
      <w:t></w:t>
    </w:r>
    <w:r w:rsidRPr="004E34C4">
      <w:rPr>
        <w:rFonts w:ascii="C39T30Lfz" w:hAnsi="C39T30Lfz"/>
        <w:sz w:val="56"/>
      </w:rPr>
      <w:t></w:t>
    </w:r>
    <w:r w:rsidRPr="004E34C4">
      <w:rPr>
        <w:rFonts w:ascii="C39T30Lfz" w:hAnsi="C39T30Lfz"/>
        <w:sz w:val="56"/>
      </w:rPr>
      <w:t></w:t>
    </w:r>
    <w:r w:rsidRPr="004E34C4">
      <w:rPr>
        <w:rFonts w:ascii="C39T30Lfz" w:hAnsi="C39T30Lfz"/>
        <w:sz w:val="56"/>
      </w:rPr>
      <w:t></w:t>
    </w:r>
    <w:r w:rsidRPr="004E34C4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6D" w:rsidRPr="00AC3823" w:rsidRDefault="004128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286D" w:rsidRPr="00AC3823" w:rsidRDefault="004128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1286D" w:rsidRPr="00AC3823" w:rsidRDefault="0041286D">
      <w:pPr>
        <w:spacing w:line="240" w:lineRule="auto"/>
        <w:rPr>
          <w:sz w:val="2"/>
          <w:szCs w:val="2"/>
        </w:rPr>
      </w:pPr>
    </w:p>
  </w:footnote>
  <w:footnote w:id="2">
    <w:p w:rsidR="004E34C4" w:rsidRPr="002232AF" w:rsidRDefault="004E34C4" w:rsidP="000E2918">
      <w:pPr>
        <w:pStyle w:val="Notedebasdepage"/>
      </w:pPr>
      <w:r>
        <w:rPr>
          <w:lang w:val="fr-FR"/>
        </w:rPr>
        <w:tab/>
      </w:r>
      <w:r w:rsidRPr="007C4BA4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la période 2016-2017 (ECE/TRANS/254, par. 159, et ECE/TRANS/2016/28/Add.1, module 3, point 3.1), le Forum mondial a pour mission d</w:t>
      </w:r>
      <w:r w:rsidR="007C4BA4">
        <w:rPr>
          <w:lang w:val="fr-FR"/>
        </w:rPr>
        <w:t>’</w:t>
      </w:r>
      <w:r>
        <w:rPr>
          <w:lang w:val="fr-FR"/>
        </w:rPr>
        <w:t>élaborer, d</w:t>
      </w:r>
      <w:r w:rsidR="007C4BA4">
        <w:rPr>
          <w:lang w:val="fr-FR"/>
        </w:rPr>
        <w:t>’</w:t>
      </w:r>
      <w:r>
        <w:rPr>
          <w:lang w:val="fr-FR"/>
        </w:rPr>
        <w:t>harmoniser et de mettre à jour les Règlements en vue d</w:t>
      </w:r>
      <w:r w:rsidR="007C4BA4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C4" w:rsidRPr="004E34C4" w:rsidRDefault="004E34C4">
    <w:pPr>
      <w:pStyle w:val="En-tte"/>
    </w:pPr>
    <w:r>
      <w:t>ECE/TRANS/WP.29/GRRF/2016/34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C4" w:rsidRPr="004E34C4" w:rsidRDefault="004E34C4" w:rsidP="004E34C4">
    <w:pPr>
      <w:pStyle w:val="En-tte"/>
      <w:jc w:val="right"/>
    </w:pPr>
    <w:r>
      <w:t>ECE/TRANS/WP.29/GRRF/2016/34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A76FD3"/>
    <w:multiLevelType w:val="hybridMultilevel"/>
    <w:tmpl w:val="CAACA37A"/>
    <w:lvl w:ilvl="0" w:tplc="24F2C53A">
      <w:start w:val="1"/>
      <w:numFmt w:val="decimal"/>
      <w:lvlText w:val="%1."/>
      <w:lvlJc w:val="left"/>
      <w:pPr>
        <w:ind w:left="1689" w:hanging="555"/>
      </w:pPr>
      <w:rPr>
        <w:rFonts w:eastAsia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B5127F3"/>
    <w:multiLevelType w:val="hybridMultilevel"/>
    <w:tmpl w:val="7CA2C714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E4"/>
    <w:rsid w:val="00017F94"/>
    <w:rsid w:val="00023842"/>
    <w:rsid w:val="000334F9"/>
    <w:rsid w:val="00047C12"/>
    <w:rsid w:val="0007796D"/>
    <w:rsid w:val="00094261"/>
    <w:rsid w:val="00094605"/>
    <w:rsid w:val="000B7790"/>
    <w:rsid w:val="000E2918"/>
    <w:rsid w:val="00111F2F"/>
    <w:rsid w:val="0014365E"/>
    <w:rsid w:val="00143C66"/>
    <w:rsid w:val="00161180"/>
    <w:rsid w:val="00176178"/>
    <w:rsid w:val="001F525A"/>
    <w:rsid w:val="00223272"/>
    <w:rsid w:val="0024779E"/>
    <w:rsid w:val="00257168"/>
    <w:rsid w:val="002744B8"/>
    <w:rsid w:val="002819E4"/>
    <w:rsid w:val="002832AC"/>
    <w:rsid w:val="002A541C"/>
    <w:rsid w:val="002D7C93"/>
    <w:rsid w:val="00305801"/>
    <w:rsid w:val="00311DA1"/>
    <w:rsid w:val="003916DE"/>
    <w:rsid w:val="0041286D"/>
    <w:rsid w:val="00441C3B"/>
    <w:rsid w:val="00446FE5"/>
    <w:rsid w:val="00452396"/>
    <w:rsid w:val="004837D8"/>
    <w:rsid w:val="004E34C4"/>
    <w:rsid w:val="004E468C"/>
    <w:rsid w:val="00513019"/>
    <w:rsid w:val="005505B7"/>
    <w:rsid w:val="00573BE5"/>
    <w:rsid w:val="00586ED3"/>
    <w:rsid w:val="00596AA9"/>
    <w:rsid w:val="005B234C"/>
    <w:rsid w:val="0071601D"/>
    <w:rsid w:val="007A62E6"/>
    <w:rsid w:val="007C4BA4"/>
    <w:rsid w:val="007F20FA"/>
    <w:rsid w:val="0080684C"/>
    <w:rsid w:val="00871C75"/>
    <w:rsid w:val="008776DC"/>
    <w:rsid w:val="00950DC4"/>
    <w:rsid w:val="009705C8"/>
    <w:rsid w:val="009C1CF4"/>
    <w:rsid w:val="009F6B74"/>
    <w:rsid w:val="00A30353"/>
    <w:rsid w:val="00AB1267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674CB"/>
    <w:rsid w:val="00F80233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96964-02B3-47FC-91A0-09F1EC6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,PP,Footnote Text Char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Footnote Text Char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E2918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SingleTxtG"/>
    <w:qFormat/>
    <w:rsid w:val="000E2918"/>
    <w:pPr>
      <w:kinsoku/>
      <w:overflowPunct/>
      <w:autoSpaceDE/>
      <w:autoSpaceDN/>
      <w:adjustRightInd/>
      <w:snapToGrid/>
      <w:ind w:left="2268" w:hanging="1134"/>
    </w:pPr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ECE/TRANS/WP.29/GRRF/2016/34</vt:lpstr>
    </vt:vector>
  </TitlesOfParts>
  <Company>DCM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ECE/TRANS/WP.29/GRRF/2016/34</dc:title>
  <dc:subject/>
  <dc:creator>Robert Corinne</dc:creator>
  <cp:keywords/>
  <dc:description/>
  <cp:lastModifiedBy>Bénédicte Boudol</cp:lastModifiedBy>
  <cp:revision>2</cp:revision>
  <cp:lastPrinted>2016-08-08T06:26:00Z</cp:lastPrinted>
  <dcterms:created xsi:type="dcterms:W3CDTF">2016-08-08T07:44:00Z</dcterms:created>
  <dcterms:modified xsi:type="dcterms:W3CDTF">2016-08-08T07:44:00Z</dcterms:modified>
</cp:coreProperties>
</file>