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1BA2" w:rsidTr="00F01516">
        <w:trPr>
          <w:trHeight w:hRule="exact" w:val="851"/>
        </w:trPr>
        <w:tc>
          <w:tcPr>
            <w:tcW w:w="1277" w:type="dxa"/>
            <w:tcBorders>
              <w:bottom w:val="single" w:sz="4" w:space="0" w:color="auto"/>
            </w:tcBorders>
          </w:tcPr>
          <w:p w:rsidR="003D1DF3" w:rsidRPr="008C1BA2" w:rsidRDefault="003D1DF3" w:rsidP="00F01516">
            <w:pPr>
              <w:rPr>
                <w:lang w:val="fr-FR"/>
              </w:rPr>
            </w:pPr>
          </w:p>
        </w:tc>
        <w:tc>
          <w:tcPr>
            <w:tcW w:w="2268" w:type="dxa"/>
            <w:tcBorders>
              <w:bottom w:val="single" w:sz="4" w:space="0" w:color="auto"/>
            </w:tcBorders>
            <w:vAlign w:val="bottom"/>
          </w:tcPr>
          <w:p w:rsidR="003D1DF3" w:rsidRPr="008C1BA2" w:rsidRDefault="003D1DF3" w:rsidP="00F01516">
            <w:pPr>
              <w:spacing w:after="80" w:line="300" w:lineRule="exact"/>
              <w:rPr>
                <w:sz w:val="28"/>
                <w:lang w:val="fr-FR"/>
              </w:rPr>
            </w:pPr>
            <w:r w:rsidRPr="008C1BA2">
              <w:rPr>
                <w:sz w:val="28"/>
                <w:lang w:val="fr-FR"/>
              </w:rPr>
              <w:t>Nations Unies</w:t>
            </w:r>
          </w:p>
        </w:tc>
        <w:tc>
          <w:tcPr>
            <w:tcW w:w="6094" w:type="dxa"/>
            <w:gridSpan w:val="2"/>
            <w:tcBorders>
              <w:bottom w:val="single" w:sz="4" w:space="0" w:color="auto"/>
            </w:tcBorders>
            <w:vAlign w:val="bottom"/>
          </w:tcPr>
          <w:p w:rsidR="003D1DF3" w:rsidRPr="008C1BA2" w:rsidRDefault="00E90C64" w:rsidP="00E90C64">
            <w:pPr>
              <w:jc w:val="right"/>
              <w:rPr>
                <w:lang w:val="fr-FR"/>
              </w:rPr>
            </w:pPr>
            <w:r w:rsidRPr="00E90C64">
              <w:rPr>
                <w:sz w:val="40"/>
                <w:lang w:val="fr-FR"/>
              </w:rPr>
              <w:t>ECE</w:t>
            </w:r>
            <w:r>
              <w:rPr>
                <w:lang w:val="fr-FR"/>
              </w:rPr>
              <w:t>/TRANS/WP.11/2016/12</w:t>
            </w:r>
          </w:p>
        </w:tc>
      </w:tr>
      <w:tr w:rsidR="003D1DF3" w:rsidRPr="008C1BA2" w:rsidTr="00F01516">
        <w:trPr>
          <w:trHeight w:hRule="exact" w:val="2835"/>
        </w:trPr>
        <w:tc>
          <w:tcPr>
            <w:tcW w:w="1276" w:type="dxa"/>
            <w:tcBorders>
              <w:top w:val="single" w:sz="4" w:space="0" w:color="auto"/>
              <w:bottom w:val="single" w:sz="12" w:space="0" w:color="auto"/>
            </w:tcBorders>
          </w:tcPr>
          <w:p w:rsidR="003D1DF3" w:rsidRPr="008C1BA2" w:rsidRDefault="008C1BA2" w:rsidP="00F01516">
            <w:pPr>
              <w:spacing w:before="120"/>
              <w:jc w:val="center"/>
              <w:rPr>
                <w:lang w:val="fr-FR"/>
              </w:rP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8C1BA2" w:rsidRDefault="003D1DF3" w:rsidP="00F01516">
            <w:pPr>
              <w:spacing w:before="120" w:line="420" w:lineRule="exact"/>
              <w:rPr>
                <w:b/>
                <w:sz w:val="40"/>
                <w:szCs w:val="40"/>
                <w:lang w:val="fr-FR"/>
              </w:rPr>
            </w:pPr>
            <w:r w:rsidRPr="008C1BA2">
              <w:rPr>
                <w:b/>
                <w:sz w:val="40"/>
                <w:szCs w:val="40"/>
                <w:lang w:val="fr-FR"/>
              </w:rPr>
              <w:t>Conseil économique et social</w:t>
            </w:r>
          </w:p>
        </w:tc>
        <w:tc>
          <w:tcPr>
            <w:tcW w:w="2835" w:type="dxa"/>
            <w:tcBorders>
              <w:top w:val="single" w:sz="4" w:space="0" w:color="auto"/>
              <w:bottom w:val="single" w:sz="12" w:space="0" w:color="auto"/>
            </w:tcBorders>
          </w:tcPr>
          <w:p w:rsidR="003D1DF3" w:rsidRDefault="00E90C64" w:rsidP="00E90C64">
            <w:pPr>
              <w:spacing w:before="240" w:line="240" w:lineRule="exact"/>
              <w:rPr>
                <w:lang w:val="fr-FR"/>
              </w:rPr>
            </w:pPr>
            <w:r>
              <w:rPr>
                <w:lang w:val="fr-FR"/>
              </w:rPr>
              <w:t>Distr. générale</w:t>
            </w:r>
          </w:p>
          <w:p w:rsidR="00E90C64" w:rsidRDefault="00F028BB" w:rsidP="00E90C64">
            <w:pPr>
              <w:spacing w:line="240" w:lineRule="exact"/>
              <w:rPr>
                <w:lang w:val="fr-FR"/>
              </w:rPr>
            </w:pPr>
            <w:r>
              <w:rPr>
                <w:lang w:val="fr-FR"/>
              </w:rPr>
              <w:t>20</w:t>
            </w:r>
            <w:r w:rsidR="00E94440">
              <w:rPr>
                <w:lang w:val="fr-FR"/>
              </w:rPr>
              <w:t xml:space="preserve"> </w:t>
            </w:r>
            <w:r w:rsidR="00E90C64">
              <w:rPr>
                <w:lang w:val="fr-FR"/>
              </w:rPr>
              <w:t>juillet 2016</w:t>
            </w:r>
          </w:p>
          <w:p w:rsidR="00E90C64" w:rsidRDefault="00E90C64" w:rsidP="00E90C64">
            <w:pPr>
              <w:spacing w:line="240" w:lineRule="exact"/>
              <w:rPr>
                <w:lang w:val="fr-FR"/>
              </w:rPr>
            </w:pPr>
          </w:p>
          <w:p w:rsidR="00E90C64" w:rsidRPr="008C1BA2" w:rsidRDefault="00E90C64" w:rsidP="00E90C64">
            <w:pPr>
              <w:spacing w:line="240" w:lineRule="exact"/>
              <w:rPr>
                <w:lang w:val="fr-FR"/>
              </w:rPr>
            </w:pPr>
            <w:r>
              <w:rPr>
                <w:lang w:val="fr-FR"/>
              </w:rPr>
              <w:t xml:space="preserve">Original: français </w:t>
            </w:r>
          </w:p>
        </w:tc>
      </w:tr>
    </w:tbl>
    <w:p w:rsidR="00FF1DBD" w:rsidRPr="008C1BA2" w:rsidRDefault="000312C0" w:rsidP="000312C0">
      <w:pPr>
        <w:spacing w:before="120"/>
        <w:rPr>
          <w:b/>
          <w:sz w:val="28"/>
          <w:szCs w:val="28"/>
          <w:lang w:val="fr-FR"/>
        </w:rPr>
      </w:pPr>
      <w:r w:rsidRPr="008C1BA2">
        <w:rPr>
          <w:b/>
          <w:sz w:val="28"/>
          <w:szCs w:val="28"/>
          <w:lang w:val="fr-FR"/>
        </w:rPr>
        <w:t>Commission économique pour l’Europe</w:t>
      </w:r>
    </w:p>
    <w:p w:rsidR="00B93E72" w:rsidRPr="008C1BA2" w:rsidRDefault="00B93E72" w:rsidP="00B93E72">
      <w:pPr>
        <w:spacing w:before="120"/>
        <w:rPr>
          <w:sz w:val="28"/>
          <w:szCs w:val="28"/>
          <w:lang w:val="fr-FR"/>
        </w:rPr>
      </w:pPr>
      <w:r w:rsidRPr="008C1BA2">
        <w:rPr>
          <w:sz w:val="28"/>
          <w:szCs w:val="28"/>
          <w:lang w:val="fr-FR"/>
        </w:rPr>
        <w:t>Comité des transports intérieurs</w:t>
      </w:r>
    </w:p>
    <w:p w:rsidR="00C70623" w:rsidRPr="008C1BA2" w:rsidRDefault="0093785E" w:rsidP="00C70623">
      <w:pPr>
        <w:spacing w:before="120"/>
        <w:rPr>
          <w:b/>
          <w:sz w:val="24"/>
          <w:szCs w:val="24"/>
          <w:lang w:val="fr-FR"/>
        </w:rPr>
      </w:pPr>
      <w:r w:rsidRPr="008C1BA2">
        <w:rPr>
          <w:b/>
          <w:sz w:val="24"/>
          <w:szCs w:val="24"/>
          <w:lang w:val="fr-FR"/>
        </w:rPr>
        <w:t>Groupe de travail du transport des denrées périssables</w:t>
      </w:r>
    </w:p>
    <w:p w:rsidR="00437BB6" w:rsidRPr="00234E40" w:rsidRDefault="00437BB6" w:rsidP="00437BB6">
      <w:pPr>
        <w:spacing w:before="120"/>
        <w:rPr>
          <w:b/>
        </w:rPr>
      </w:pPr>
      <w:r>
        <w:rPr>
          <w:b/>
          <w:bCs/>
        </w:rPr>
        <w:t>Soixante douzième</w:t>
      </w:r>
      <w:r w:rsidRPr="00A9264B">
        <w:rPr>
          <w:b/>
        </w:rPr>
        <w:t xml:space="preserve"> </w:t>
      </w:r>
      <w:r w:rsidRPr="00234E40">
        <w:rPr>
          <w:b/>
        </w:rPr>
        <w:t>session</w:t>
      </w:r>
    </w:p>
    <w:p w:rsidR="00437BB6" w:rsidRDefault="00437BB6" w:rsidP="00437BB6">
      <w:pPr>
        <w:rPr>
          <w:bCs/>
        </w:rPr>
      </w:pPr>
      <w:r>
        <w:t>Genève, 4-7 octobre</w:t>
      </w:r>
      <w:r>
        <w:rPr>
          <w:bCs/>
        </w:rPr>
        <w:t xml:space="preserve"> 2016</w:t>
      </w:r>
    </w:p>
    <w:p w:rsidR="00437BB6" w:rsidRPr="00E94440" w:rsidRDefault="00437BB6" w:rsidP="00437BB6">
      <w:r w:rsidRPr="00E94440">
        <w:t>Point 5 a) de l’ordre du jour provisoire</w:t>
      </w:r>
    </w:p>
    <w:p w:rsidR="00015B9E" w:rsidRDefault="00437BB6" w:rsidP="00437BB6">
      <w:pPr>
        <w:rPr>
          <w:b/>
        </w:rPr>
      </w:pPr>
      <w:r w:rsidRPr="00E94440">
        <w:rPr>
          <w:b/>
        </w:rPr>
        <w:t>Propositions d’amendements à l’ATP</w:t>
      </w:r>
      <w:r w:rsidR="007C207B">
        <w:rPr>
          <w:b/>
        </w:rPr>
        <w:t xml:space="preserve"> </w:t>
      </w:r>
      <w:bookmarkStart w:id="0" w:name="_GoBack"/>
      <w:bookmarkEnd w:id="0"/>
      <w:r w:rsidRPr="00E94440">
        <w:rPr>
          <w:b/>
        </w:rPr>
        <w:t xml:space="preserve">: </w:t>
      </w:r>
    </w:p>
    <w:p w:rsidR="00C70623" w:rsidRPr="008C1BA2" w:rsidRDefault="00437BB6" w:rsidP="00437BB6">
      <w:pPr>
        <w:rPr>
          <w:lang w:val="fr-FR"/>
        </w:rPr>
      </w:pPr>
      <w:r w:rsidRPr="00E94440">
        <w:rPr>
          <w:b/>
        </w:rPr>
        <w:t>propositions en suspens</w:t>
      </w:r>
    </w:p>
    <w:p w:rsidR="00C70623" w:rsidRDefault="00437BB6" w:rsidP="00437BB6">
      <w:pPr>
        <w:pStyle w:val="HChG"/>
        <w:rPr>
          <w:lang w:val="fr-FR"/>
        </w:rPr>
      </w:pPr>
      <w:r>
        <w:rPr>
          <w:lang w:val="fr-FR"/>
        </w:rPr>
        <w:tab/>
      </w:r>
      <w:r>
        <w:rPr>
          <w:lang w:val="fr-FR"/>
        </w:rPr>
        <w:tab/>
      </w:r>
      <w:r w:rsidRPr="00437BB6">
        <w:rPr>
          <w:lang w:val="fr-FR"/>
        </w:rPr>
        <w:t>Durée de validité des attestations délivrées à des engins fabriqués en vue d’un transfert dans un autre pays</w:t>
      </w:r>
    </w:p>
    <w:p w:rsidR="00437BB6" w:rsidRDefault="00437BB6" w:rsidP="00437BB6">
      <w:pPr>
        <w:pStyle w:val="H1G"/>
      </w:pPr>
      <w:r w:rsidRPr="0058486B">
        <w:tab/>
      </w:r>
      <w:r w:rsidRPr="0058486B">
        <w:tab/>
      </w:r>
      <w:r w:rsidRPr="00157272">
        <w:t>Communication</w:t>
      </w:r>
      <w:r w:rsidRPr="00CB58C7">
        <w:t xml:space="preserve"> du Gouvernement </w:t>
      </w:r>
      <w:r w:rsidRPr="00CF34D2">
        <w:t>français</w:t>
      </w:r>
    </w:p>
    <w:p w:rsidR="00437BB6" w:rsidRDefault="00437BB6" w:rsidP="00437BB6">
      <w:pPr>
        <w:pStyle w:val="HChG"/>
        <w:rPr>
          <w:lang w:val="fr-FR"/>
        </w:rPr>
      </w:pPr>
      <w:r>
        <w:rPr>
          <w:lang w:val="fr-FR"/>
        </w:rPr>
        <w:tab/>
      </w:r>
      <w:r>
        <w:rPr>
          <w:lang w:val="fr-FR"/>
        </w:rPr>
        <w:tab/>
      </w:r>
      <w:r w:rsidRPr="00437BB6">
        <w:rPr>
          <w:lang w:val="fr-FR"/>
        </w:rPr>
        <w:t>Contexte et enjeux</w:t>
      </w:r>
    </w:p>
    <w:p w:rsidR="00437BB6" w:rsidRPr="00437BB6" w:rsidRDefault="00437BB6" w:rsidP="00437BB6">
      <w:pPr>
        <w:pStyle w:val="SingleTxtG"/>
        <w:rPr>
          <w:lang w:val="fr-FR"/>
        </w:rPr>
      </w:pPr>
      <w:r w:rsidRPr="00437BB6">
        <w:rPr>
          <w:lang w:val="fr-FR"/>
        </w:rPr>
        <w:t>1.</w:t>
      </w:r>
      <w:r w:rsidRPr="00437BB6">
        <w:rPr>
          <w:lang w:val="fr-FR"/>
        </w:rPr>
        <w:tab/>
        <w:t xml:space="preserve">L’annexe 1, appendice 1 de l’accord ATP précise les conditions de transfert d’un engin d’un pays à un autre sans définir de durée de validité de l’attestation délivré par le pays d’origine. </w:t>
      </w:r>
    </w:p>
    <w:p w:rsidR="00437BB6" w:rsidRPr="00437BB6" w:rsidRDefault="00437BB6" w:rsidP="00437BB6">
      <w:pPr>
        <w:pStyle w:val="SingleTxtG"/>
        <w:rPr>
          <w:lang w:val="fr-FR"/>
        </w:rPr>
      </w:pPr>
      <w:r w:rsidRPr="00437BB6">
        <w:rPr>
          <w:lang w:val="fr-FR"/>
        </w:rPr>
        <w:t>2.</w:t>
      </w:r>
      <w:r w:rsidRPr="00437BB6">
        <w:rPr>
          <w:lang w:val="fr-FR"/>
        </w:rPr>
        <w:tab/>
        <w:t>Le détenteur de l’engin dispose de 3 mois pour convertir l’attestation ATP du pays d’origine en attestation du nouveau pays d’exploitation. Les détenteurs ne sont pas toujours informés par les vendeurs ou ne suivent pas toujours les consignes. Il en résulte que les détenteurs des engins ne transforment pas toujours les attestations, en particulier lorsqu’ils disposent d’une attestation délivré</w:t>
      </w:r>
      <w:r>
        <w:rPr>
          <w:lang w:val="fr-FR"/>
        </w:rPr>
        <w:t>e</w:t>
      </w:r>
      <w:r w:rsidRPr="00437BB6">
        <w:rPr>
          <w:lang w:val="fr-FR"/>
        </w:rPr>
        <w:t xml:space="preserve"> par le pays d’origine dont la validité peut atteindre 6 ans, ce qui est le cas des engins neufs.</w:t>
      </w:r>
    </w:p>
    <w:p w:rsidR="00437BB6" w:rsidRPr="00437BB6" w:rsidRDefault="00437BB6" w:rsidP="00437BB6">
      <w:pPr>
        <w:pStyle w:val="SingleTxtG"/>
        <w:rPr>
          <w:lang w:val="fr-FR"/>
        </w:rPr>
      </w:pPr>
      <w:r w:rsidRPr="00437BB6">
        <w:rPr>
          <w:lang w:val="fr-FR"/>
        </w:rPr>
        <w:t>3.</w:t>
      </w:r>
      <w:r w:rsidRPr="00437BB6">
        <w:rPr>
          <w:lang w:val="fr-FR"/>
        </w:rPr>
        <w:tab/>
        <w:t>Il en résulte des problèmes d’application de l’accord signalé à plusieurs reprises par certaines autorités compétentes et des distorsions de concurrence entre professionnels fabricants comme exploitants.</w:t>
      </w:r>
    </w:p>
    <w:p w:rsidR="00437BB6" w:rsidRPr="00437BB6" w:rsidRDefault="00437BB6" w:rsidP="00437BB6">
      <w:pPr>
        <w:pStyle w:val="SingleTxtG"/>
        <w:rPr>
          <w:lang w:val="fr-FR"/>
        </w:rPr>
      </w:pPr>
      <w:r w:rsidRPr="00437BB6">
        <w:rPr>
          <w:lang w:val="fr-FR"/>
        </w:rPr>
        <w:t>4.</w:t>
      </w:r>
      <w:r w:rsidRPr="00437BB6">
        <w:rPr>
          <w:lang w:val="fr-FR"/>
        </w:rPr>
        <w:tab/>
        <w:t>Certains pays, pour y remédier, ne délivrent pour les engins destinés à l’export que des certificats de durée limitée à 3 mois renouvelable une fois. Cette mesure permet de rendre quasi systématique la conversion des attestations et le respect de l’accord qui est l’objectif de toutes les parties signataires et de leurs autorités compétentes.</w:t>
      </w:r>
    </w:p>
    <w:p w:rsidR="00437BB6" w:rsidRPr="00437BB6" w:rsidRDefault="00437BB6" w:rsidP="00437BB6">
      <w:pPr>
        <w:pStyle w:val="SingleTxtG"/>
        <w:rPr>
          <w:lang w:val="fr-FR"/>
        </w:rPr>
      </w:pPr>
      <w:r w:rsidRPr="00437BB6">
        <w:rPr>
          <w:lang w:val="fr-FR"/>
        </w:rPr>
        <w:t>5.</w:t>
      </w:r>
      <w:r w:rsidRPr="00437BB6">
        <w:rPr>
          <w:lang w:val="fr-FR"/>
        </w:rPr>
        <w:tab/>
        <w:t>Soumise à la dernière session du WP11, seul un pays s’est opposé à cette mesure. Le consensus étant quasiment établi, la France souhaite que cet proposition d’amendement soit de nouveau discuté.</w:t>
      </w:r>
    </w:p>
    <w:p w:rsidR="00437BB6" w:rsidRPr="00437BB6" w:rsidRDefault="00437BB6" w:rsidP="00437BB6">
      <w:pPr>
        <w:pStyle w:val="HChG"/>
        <w:rPr>
          <w:lang w:val="fr-FR"/>
        </w:rPr>
      </w:pPr>
      <w:r w:rsidRPr="00437BB6">
        <w:rPr>
          <w:lang w:val="fr-FR"/>
        </w:rPr>
        <w:lastRenderedPageBreak/>
        <w:tab/>
      </w:r>
      <w:r w:rsidRPr="00437BB6">
        <w:rPr>
          <w:lang w:val="fr-FR"/>
        </w:rPr>
        <w:tab/>
        <w:t>Objectifs</w:t>
      </w:r>
    </w:p>
    <w:p w:rsidR="00437BB6" w:rsidRPr="00437BB6" w:rsidRDefault="00437BB6" w:rsidP="00437BB6">
      <w:pPr>
        <w:pStyle w:val="SingleTxtG"/>
        <w:rPr>
          <w:lang w:val="fr-FR"/>
        </w:rPr>
      </w:pPr>
      <w:r w:rsidRPr="00437BB6">
        <w:rPr>
          <w:lang w:val="fr-FR"/>
        </w:rPr>
        <w:t>6.</w:t>
      </w:r>
      <w:r w:rsidRPr="00437BB6">
        <w:rPr>
          <w:lang w:val="fr-FR"/>
        </w:rPr>
        <w:tab/>
        <w:t>L’objectif est de mettre en place un dispositif simple et peu couteux permettant l’application la plus juste et uniforme de l’accord dans les pays parties à l’accord.</w:t>
      </w:r>
    </w:p>
    <w:p w:rsidR="00437BB6" w:rsidRPr="00437BB6" w:rsidRDefault="00437BB6" w:rsidP="00437BB6">
      <w:pPr>
        <w:pStyle w:val="HChG"/>
        <w:rPr>
          <w:lang w:val="fr-FR"/>
        </w:rPr>
      </w:pPr>
      <w:r w:rsidRPr="00437BB6">
        <w:rPr>
          <w:lang w:val="fr-FR"/>
        </w:rPr>
        <w:tab/>
      </w:r>
      <w:r w:rsidRPr="00437BB6">
        <w:rPr>
          <w:lang w:val="fr-FR"/>
        </w:rPr>
        <w:tab/>
        <w:t>Solution proposée</w:t>
      </w:r>
    </w:p>
    <w:p w:rsidR="00437BB6" w:rsidRPr="00437BB6" w:rsidRDefault="00437BB6" w:rsidP="00437BB6">
      <w:pPr>
        <w:pStyle w:val="SingleTxtG"/>
        <w:rPr>
          <w:lang w:val="fr-FR"/>
        </w:rPr>
      </w:pPr>
      <w:r w:rsidRPr="00437BB6">
        <w:rPr>
          <w:lang w:val="fr-FR"/>
        </w:rPr>
        <w:t>7.</w:t>
      </w:r>
      <w:r w:rsidRPr="00437BB6">
        <w:rPr>
          <w:lang w:val="fr-FR"/>
        </w:rPr>
        <w:tab/>
        <w:t>Il est proposé d’introduire dans l’accord une disposition imposant de limiter la durée des attestations pour les engins destinés à l’export.</w:t>
      </w:r>
    </w:p>
    <w:p w:rsidR="00437BB6" w:rsidRPr="00437BB6" w:rsidRDefault="00437BB6" w:rsidP="00437BB6">
      <w:pPr>
        <w:pStyle w:val="SingleTxtG"/>
        <w:rPr>
          <w:lang w:val="fr-FR"/>
        </w:rPr>
      </w:pPr>
      <w:r w:rsidRPr="00437BB6">
        <w:rPr>
          <w:lang w:val="fr-FR"/>
        </w:rPr>
        <w:t>8.</w:t>
      </w:r>
      <w:r w:rsidRPr="00437BB6">
        <w:rPr>
          <w:lang w:val="fr-FR"/>
        </w:rPr>
        <w:tab/>
        <w:t>Il apparait qu’une période de 3 mois permet à l’autorité du pays de destination de l’engin de mettre en pratique les dispositions prévues et de convertir l’attestation. Cette attestation pourra le cas échéant être renouvelée une fois.</w:t>
      </w:r>
    </w:p>
    <w:p w:rsidR="00437BB6" w:rsidRPr="00437BB6" w:rsidRDefault="00437BB6" w:rsidP="00437BB6">
      <w:pPr>
        <w:pStyle w:val="HChG"/>
        <w:rPr>
          <w:lang w:val="fr-FR"/>
        </w:rPr>
      </w:pPr>
      <w:r w:rsidRPr="00437BB6">
        <w:rPr>
          <w:lang w:val="fr-FR"/>
        </w:rPr>
        <w:tab/>
      </w:r>
      <w:r w:rsidRPr="00437BB6">
        <w:rPr>
          <w:lang w:val="fr-FR"/>
        </w:rPr>
        <w:tab/>
        <w:t>Proposition d'amendement à l'accord ATP</w:t>
      </w:r>
    </w:p>
    <w:p w:rsidR="00437BB6" w:rsidRPr="00437BB6" w:rsidRDefault="00437BB6" w:rsidP="00437BB6">
      <w:pPr>
        <w:pStyle w:val="SingleTxtG"/>
      </w:pPr>
      <w:r w:rsidRPr="00437BB6">
        <w:t>9.</w:t>
      </w:r>
      <w:r w:rsidRPr="00437BB6">
        <w:tab/>
        <w:t>Modifier le paragraphe 3 de l'</w:t>
      </w:r>
      <w:r w:rsidRPr="00437BB6">
        <w:rPr>
          <w:lang w:val="fr-FR"/>
        </w:rPr>
        <w:t>annexe 1 appendice 1 pour lire comme suit</w:t>
      </w:r>
      <w:r w:rsidRPr="00437BB6">
        <w:t>:</w:t>
      </w:r>
    </w:p>
    <w:p w:rsidR="00437BB6" w:rsidRDefault="00E94440" w:rsidP="00437BB6">
      <w:pPr>
        <w:pStyle w:val="SingleTxtG"/>
        <w:rPr>
          <w:b/>
          <w:lang w:val="fr-FR"/>
        </w:rPr>
      </w:pPr>
      <w:r>
        <w:rPr>
          <w:lang w:val="fr-FR"/>
        </w:rPr>
        <w:t>«</w:t>
      </w:r>
      <w:r w:rsidR="00437BB6" w:rsidRPr="00437BB6">
        <w:rPr>
          <w:lang w:val="fr-FR"/>
        </w:rPr>
        <w:t xml:space="preserve">3. </w:t>
      </w:r>
      <w:r w:rsidR="00437BB6" w:rsidRPr="00437BB6">
        <w:rPr>
          <w:lang w:val="fr-FR"/>
        </w:rPr>
        <w:tab/>
        <w:t xml:space="preserve">Une attestation de conformité aux normes sera délivrée par l’autorité compétente du pays dans lequel l’engin doit être immatriculé ou enregistré. Cette attestation devra être conforme au modèle reproduit à l’appendice 3 de la présente annexe. </w:t>
      </w:r>
      <w:r w:rsidR="00437BB6" w:rsidRPr="00437BB6">
        <w:rPr>
          <w:b/>
          <w:lang w:val="fr-FR"/>
        </w:rPr>
        <w:t xml:space="preserve">Lorsque l’attestation est délivrée à un engin en vue de son transfert dans un autre pays signataire de l’accord qui dispose d’une autorité compétente, l’autorité compétente concernée délivre l’attestation pour une durée limitée </w:t>
      </w:r>
      <w:r>
        <w:rPr>
          <w:b/>
          <w:lang w:val="fr-FR"/>
        </w:rPr>
        <w:t>à 3 mois renouvelable une fois.».</w:t>
      </w:r>
    </w:p>
    <w:p w:rsidR="00437BB6" w:rsidRPr="00437BB6" w:rsidRDefault="00437BB6" w:rsidP="00437BB6">
      <w:pPr>
        <w:pStyle w:val="SingleTxtG"/>
        <w:spacing w:before="240" w:after="0"/>
        <w:jc w:val="center"/>
        <w:rPr>
          <w:u w:val="single"/>
          <w:lang w:val="fr-FR"/>
        </w:rPr>
      </w:pPr>
      <w:r w:rsidRPr="00437BB6">
        <w:rPr>
          <w:u w:val="single"/>
          <w:lang w:val="fr-FR"/>
        </w:rPr>
        <w:tab/>
      </w:r>
      <w:r w:rsidRPr="00437BB6">
        <w:rPr>
          <w:u w:val="single"/>
          <w:lang w:val="fr-FR"/>
        </w:rPr>
        <w:tab/>
      </w:r>
      <w:r w:rsidRPr="00437BB6">
        <w:rPr>
          <w:u w:val="single"/>
          <w:lang w:val="fr-FR"/>
        </w:rPr>
        <w:tab/>
      </w:r>
    </w:p>
    <w:sectPr w:rsidR="00437BB6" w:rsidRPr="00437BB6" w:rsidSect="00E90C6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64" w:rsidRDefault="00E90C64"/>
  </w:endnote>
  <w:endnote w:type="continuationSeparator" w:id="0">
    <w:p w:rsidR="00E90C64" w:rsidRDefault="00E90C64"/>
  </w:endnote>
  <w:endnote w:type="continuationNotice" w:id="1">
    <w:p w:rsidR="00E90C64" w:rsidRDefault="00E9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sz w:val="18"/>
      </w:rPr>
    </w:pPr>
    <w:r w:rsidRPr="00E90C64">
      <w:rPr>
        <w:b/>
        <w:sz w:val="18"/>
      </w:rPr>
      <w:fldChar w:fldCharType="begin"/>
    </w:r>
    <w:r w:rsidRPr="00E90C64">
      <w:rPr>
        <w:b/>
        <w:sz w:val="18"/>
      </w:rPr>
      <w:instrText xml:space="preserve"> PAGE  \* MERGEFORMAT </w:instrText>
    </w:r>
    <w:r w:rsidRPr="00E90C64">
      <w:rPr>
        <w:b/>
        <w:sz w:val="18"/>
      </w:rPr>
      <w:fldChar w:fldCharType="separate"/>
    </w:r>
    <w:r w:rsidR="007C207B">
      <w:rPr>
        <w:b/>
        <w:noProof/>
        <w:sz w:val="18"/>
      </w:rPr>
      <w:t>2</w:t>
    </w:r>
    <w:r w:rsidRPr="00E90C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b/>
        <w:sz w:val="18"/>
      </w:rPr>
    </w:pPr>
    <w:r>
      <w:tab/>
    </w:r>
    <w:r w:rsidRPr="00E90C64">
      <w:rPr>
        <w:b/>
        <w:sz w:val="18"/>
      </w:rPr>
      <w:fldChar w:fldCharType="begin"/>
    </w:r>
    <w:r w:rsidRPr="00E90C64">
      <w:rPr>
        <w:b/>
        <w:sz w:val="18"/>
      </w:rPr>
      <w:instrText xml:space="preserve"> PAGE  \* MERGEFORMAT </w:instrText>
    </w:r>
    <w:r w:rsidRPr="00E90C64">
      <w:rPr>
        <w:b/>
        <w:sz w:val="18"/>
      </w:rPr>
      <w:fldChar w:fldCharType="separate"/>
    </w:r>
    <w:r w:rsidR="00437BB6">
      <w:rPr>
        <w:b/>
        <w:noProof/>
        <w:sz w:val="18"/>
      </w:rPr>
      <w:t>3</w:t>
    </w:r>
    <w:r w:rsidRPr="00E90C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64" w:rsidRPr="00D27D5E" w:rsidRDefault="00E90C64" w:rsidP="00D27D5E">
      <w:pPr>
        <w:tabs>
          <w:tab w:val="right" w:pos="2155"/>
        </w:tabs>
        <w:spacing w:after="80"/>
        <w:ind w:left="680"/>
        <w:rPr>
          <w:u w:val="single"/>
        </w:rPr>
      </w:pPr>
      <w:r>
        <w:rPr>
          <w:u w:val="single"/>
        </w:rPr>
        <w:tab/>
      </w:r>
    </w:p>
  </w:footnote>
  <w:footnote w:type="continuationSeparator" w:id="0">
    <w:p w:rsidR="00E90C64" w:rsidRPr="002E0F43" w:rsidRDefault="00E90C64" w:rsidP="002E0F43">
      <w:pPr>
        <w:tabs>
          <w:tab w:val="right" w:pos="2155"/>
        </w:tabs>
        <w:spacing w:after="80"/>
        <w:ind w:left="680"/>
        <w:rPr>
          <w:u w:val="single"/>
        </w:rPr>
      </w:pPr>
      <w:r>
        <w:rPr>
          <w:u w:val="single"/>
        </w:rPr>
        <w:tab/>
      </w:r>
    </w:p>
  </w:footnote>
  <w:footnote w:type="continuationNotice" w:id="1">
    <w:p w:rsidR="00E90C64" w:rsidRDefault="00E90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pPr>
      <w:pStyle w:val="Header"/>
    </w:pPr>
    <w:r>
      <w:t>ECE/TRANS/WP.11/2016/12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Header"/>
      <w:jc w:val="right"/>
    </w:pPr>
    <w:r>
      <w:t>ECE/TRANS/WP.11/2016/12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4"/>
    <w:rsid w:val="00015B9E"/>
    <w:rsid w:val="00016AC5"/>
    <w:rsid w:val="00030ADE"/>
    <w:rsid w:val="000312C0"/>
    <w:rsid w:val="000F41F2"/>
    <w:rsid w:val="000F4B71"/>
    <w:rsid w:val="00126030"/>
    <w:rsid w:val="00127B34"/>
    <w:rsid w:val="00131208"/>
    <w:rsid w:val="00135C0D"/>
    <w:rsid w:val="00160540"/>
    <w:rsid w:val="0017182C"/>
    <w:rsid w:val="00177007"/>
    <w:rsid w:val="00186EE9"/>
    <w:rsid w:val="001901A6"/>
    <w:rsid w:val="00192EEB"/>
    <w:rsid w:val="001A20FB"/>
    <w:rsid w:val="001B6F40"/>
    <w:rsid w:val="001D7F8A"/>
    <w:rsid w:val="001E3FEB"/>
    <w:rsid w:val="001E4A02"/>
    <w:rsid w:val="00223B89"/>
    <w:rsid w:val="00225A8C"/>
    <w:rsid w:val="0026106F"/>
    <w:rsid w:val="002659F1"/>
    <w:rsid w:val="00271C7C"/>
    <w:rsid w:val="00287E79"/>
    <w:rsid w:val="002928F9"/>
    <w:rsid w:val="002A5D07"/>
    <w:rsid w:val="002E0F43"/>
    <w:rsid w:val="003016B7"/>
    <w:rsid w:val="00317CE1"/>
    <w:rsid w:val="00330F9C"/>
    <w:rsid w:val="00340C35"/>
    <w:rsid w:val="003515AA"/>
    <w:rsid w:val="00370E0F"/>
    <w:rsid w:val="00374106"/>
    <w:rsid w:val="00395DFE"/>
    <w:rsid w:val="003976D5"/>
    <w:rsid w:val="003A0FE8"/>
    <w:rsid w:val="003B1596"/>
    <w:rsid w:val="003D1DF3"/>
    <w:rsid w:val="003D46A7"/>
    <w:rsid w:val="003D6C68"/>
    <w:rsid w:val="004159D0"/>
    <w:rsid w:val="004249E7"/>
    <w:rsid w:val="00437BB6"/>
    <w:rsid w:val="00440D4C"/>
    <w:rsid w:val="00473A8F"/>
    <w:rsid w:val="004C0D3F"/>
    <w:rsid w:val="0054385B"/>
    <w:rsid w:val="00543D5E"/>
    <w:rsid w:val="00571F41"/>
    <w:rsid w:val="005837D4"/>
    <w:rsid w:val="00595BE4"/>
    <w:rsid w:val="005B76A3"/>
    <w:rsid w:val="005E0C83"/>
    <w:rsid w:val="005E5D1F"/>
    <w:rsid w:val="00600247"/>
    <w:rsid w:val="00603391"/>
    <w:rsid w:val="00611D43"/>
    <w:rsid w:val="00612D48"/>
    <w:rsid w:val="00615149"/>
    <w:rsid w:val="00616B45"/>
    <w:rsid w:val="00630D9B"/>
    <w:rsid w:val="00631953"/>
    <w:rsid w:val="006439EC"/>
    <w:rsid w:val="00685843"/>
    <w:rsid w:val="006A7D2C"/>
    <w:rsid w:val="006B4590"/>
    <w:rsid w:val="006C340C"/>
    <w:rsid w:val="006E5FC7"/>
    <w:rsid w:val="0070347C"/>
    <w:rsid w:val="007176C1"/>
    <w:rsid w:val="0076498D"/>
    <w:rsid w:val="00787B8A"/>
    <w:rsid w:val="00790F2F"/>
    <w:rsid w:val="007C207B"/>
    <w:rsid w:val="007F55CB"/>
    <w:rsid w:val="00812C1A"/>
    <w:rsid w:val="008317F6"/>
    <w:rsid w:val="00844750"/>
    <w:rsid w:val="00856D39"/>
    <w:rsid w:val="00865375"/>
    <w:rsid w:val="00872885"/>
    <w:rsid w:val="008B44C4"/>
    <w:rsid w:val="008B7879"/>
    <w:rsid w:val="008C1BA2"/>
    <w:rsid w:val="008D3919"/>
    <w:rsid w:val="008E7FAE"/>
    <w:rsid w:val="009117E5"/>
    <w:rsid w:val="00911BF7"/>
    <w:rsid w:val="0093785E"/>
    <w:rsid w:val="00952FDB"/>
    <w:rsid w:val="00977EC8"/>
    <w:rsid w:val="009D3A8C"/>
    <w:rsid w:val="009E7956"/>
    <w:rsid w:val="00A2492E"/>
    <w:rsid w:val="00A70163"/>
    <w:rsid w:val="00AC332B"/>
    <w:rsid w:val="00AC67A1"/>
    <w:rsid w:val="00AC7977"/>
    <w:rsid w:val="00AE352C"/>
    <w:rsid w:val="00B32E2D"/>
    <w:rsid w:val="00B367AE"/>
    <w:rsid w:val="00B4466B"/>
    <w:rsid w:val="00B61990"/>
    <w:rsid w:val="00B672BC"/>
    <w:rsid w:val="00B85D99"/>
    <w:rsid w:val="00B92B4A"/>
    <w:rsid w:val="00B93E72"/>
    <w:rsid w:val="00BC4943"/>
    <w:rsid w:val="00BF0556"/>
    <w:rsid w:val="00C24B53"/>
    <w:rsid w:val="00C261F8"/>
    <w:rsid w:val="00C33100"/>
    <w:rsid w:val="00C44BA1"/>
    <w:rsid w:val="00C70623"/>
    <w:rsid w:val="00C9000D"/>
    <w:rsid w:val="00C940E9"/>
    <w:rsid w:val="00C94A6B"/>
    <w:rsid w:val="00C9635B"/>
    <w:rsid w:val="00CB6267"/>
    <w:rsid w:val="00CD1A71"/>
    <w:rsid w:val="00CD1FBB"/>
    <w:rsid w:val="00D016B5"/>
    <w:rsid w:val="00D034F1"/>
    <w:rsid w:val="00D11B17"/>
    <w:rsid w:val="00D27D5E"/>
    <w:rsid w:val="00D3313B"/>
    <w:rsid w:val="00D60301"/>
    <w:rsid w:val="00DA57D4"/>
    <w:rsid w:val="00DB4793"/>
    <w:rsid w:val="00DE01E3"/>
    <w:rsid w:val="00DE6D90"/>
    <w:rsid w:val="00DF002F"/>
    <w:rsid w:val="00E0244D"/>
    <w:rsid w:val="00E467D9"/>
    <w:rsid w:val="00E55D71"/>
    <w:rsid w:val="00E81E94"/>
    <w:rsid w:val="00E82607"/>
    <w:rsid w:val="00E90C64"/>
    <w:rsid w:val="00E94440"/>
    <w:rsid w:val="00EA31C2"/>
    <w:rsid w:val="00EE2EA3"/>
    <w:rsid w:val="00F01516"/>
    <w:rsid w:val="00F028BB"/>
    <w:rsid w:val="00F06C2A"/>
    <w:rsid w:val="00F30D47"/>
    <w:rsid w:val="00F57129"/>
    <w:rsid w:val="00F70316"/>
    <w:rsid w:val="00FA5A7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F617110"/>
  <w15:docId w15:val="{BE9F01F6-4657-483F-B81F-950E0E74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E9444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94440"/>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TRANS_WP11_F.dotm</Template>
  <TotalTime>53</TotalTime>
  <Pages>2</Pages>
  <Words>482</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Caillot</dc:creator>
  <cp:lastModifiedBy>ECE/ADN/36</cp:lastModifiedBy>
  <cp:revision>5</cp:revision>
  <cp:lastPrinted>2009-10-14T15:14:00Z</cp:lastPrinted>
  <dcterms:created xsi:type="dcterms:W3CDTF">2016-07-01T15:56:00Z</dcterms:created>
  <dcterms:modified xsi:type="dcterms:W3CDTF">2016-07-20T08:26:00Z</dcterms:modified>
</cp:coreProperties>
</file>