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D2" w:rsidRDefault="00457DD2" w:rsidP="00457DD2">
      <w:pPr>
        <w:spacing w:line="240" w:lineRule="auto"/>
        <w:rPr>
          <w:sz w:val="2"/>
        </w:rPr>
        <w:sectPr w:rsidR="00457DD2" w:rsidSect="00457DD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457DD2" w:rsidRDefault="00457DD2" w:rsidP="00457DD2">
      <w:pPr>
        <w:pStyle w:val="H1"/>
        <w:spacing w:after="120"/>
        <w:rPr>
          <w:sz w:val="28"/>
        </w:rPr>
      </w:pPr>
      <w:r>
        <w:rPr>
          <w:sz w:val="28"/>
        </w:rPr>
        <w:lastRenderedPageBreak/>
        <w:t>Commission économique pour l’Europe</w:t>
      </w:r>
    </w:p>
    <w:p w:rsidR="00457DD2" w:rsidRDefault="00457DD2" w:rsidP="00457DD2">
      <w:pPr>
        <w:pStyle w:val="H1"/>
        <w:spacing w:after="120" w:line="300" w:lineRule="exact"/>
        <w:rPr>
          <w:b w:val="0"/>
          <w:sz w:val="28"/>
        </w:rPr>
      </w:pPr>
      <w:r>
        <w:rPr>
          <w:b w:val="0"/>
          <w:sz w:val="28"/>
        </w:rPr>
        <w:t>Comité des transports intérieurs</w:t>
      </w:r>
    </w:p>
    <w:p w:rsidR="00CC63F4" w:rsidRPr="00CC63F4" w:rsidRDefault="00CC63F4" w:rsidP="00CC63F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CC63F4">
        <w:rPr>
          <w:lang w:val="fr-FR"/>
        </w:rPr>
        <w:t>Soixante-dix-huitième session</w:t>
      </w:r>
    </w:p>
    <w:p w:rsidR="00CC63F4" w:rsidRDefault="00CC63F4" w:rsidP="00CC63F4">
      <w:pPr>
        <w:rPr>
          <w:lang w:val="fr-FR"/>
        </w:rPr>
      </w:pPr>
      <w:r w:rsidRPr="00CC63F4">
        <w:rPr>
          <w:lang w:val="fr-FR"/>
        </w:rPr>
        <w:t>Genève, 23</w:t>
      </w:r>
      <w:r>
        <w:rPr>
          <w:lang w:val="fr-FR"/>
        </w:rPr>
        <w:t>-26 </w:t>
      </w:r>
      <w:r w:rsidRPr="00CC63F4">
        <w:rPr>
          <w:lang w:val="fr-FR"/>
        </w:rPr>
        <w:t>février 2016</w:t>
      </w:r>
      <w:bookmarkStart w:id="1" w:name="_GoBack"/>
      <w:bookmarkEnd w:id="1"/>
    </w:p>
    <w:p w:rsidR="00CC63F4" w:rsidRDefault="00CC63F4" w:rsidP="00CC63F4">
      <w:pPr>
        <w:rPr>
          <w:lang w:val="fr-FR"/>
        </w:rPr>
      </w:pPr>
      <w:r w:rsidRPr="00CC63F4">
        <w:rPr>
          <w:lang w:val="fr-FR"/>
        </w:rPr>
        <w:t>Point 13 de l’ordre du jour provisoire</w:t>
      </w:r>
    </w:p>
    <w:p w:rsidR="00CC63F4" w:rsidRDefault="00CC63F4" w:rsidP="00CC63F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63F4">
        <w:rPr>
          <w:lang w:val="fr-FR"/>
        </w:rPr>
        <w:t xml:space="preserve">Programme de travail </w:t>
      </w:r>
      <w:r w:rsidR="007F242A">
        <w:rPr>
          <w:lang w:val="fr-FR"/>
        </w:rPr>
        <w:br/>
      </w:r>
      <w:r w:rsidRPr="00CC63F4">
        <w:rPr>
          <w:lang w:val="fr-FR"/>
        </w:rPr>
        <w:t xml:space="preserve">et évaluation biennale pour 2016-2017 </w:t>
      </w:r>
      <w:r w:rsidR="007F242A">
        <w:rPr>
          <w:lang w:val="fr-FR"/>
        </w:rPr>
        <w:br/>
      </w:r>
      <w:r w:rsidRPr="00CC63F4">
        <w:rPr>
          <w:lang w:val="fr-FR"/>
        </w:rPr>
        <w:t>et cadre stratégique pour 2018-2019</w:t>
      </w:r>
      <w:bookmarkStart w:id="2" w:name="insstart"/>
      <w:bookmarkEnd w:id="2"/>
    </w:p>
    <w:p w:rsidR="00CC63F4" w:rsidRPr="00CC63F4" w:rsidRDefault="00CC63F4" w:rsidP="00CC63F4">
      <w:pPr>
        <w:spacing w:line="120" w:lineRule="exact"/>
        <w:rPr>
          <w:bCs/>
          <w:sz w:val="10"/>
          <w:lang w:val="fr-CH"/>
        </w:rPr>
      </w:pPr>
    </w:p>
    <w:p w:rsidR="00CC63F4" w:rsidRPr="00CC63F4" w:rsidRDefault="00CC63F4" w:rsidP="00CC63F4">
      <w:pPr>
        <w:spacing w:line="120" w:lineRule="exact"/>
        <w:rPr>
          <w:bCs/>
          <w:sz w:val="10"/>
          <w:lang w:val="fr-CH"/>
        </w:rPr>
      </w:pPr>
    </w:p>
    <w:p w:rsidR="00CC63F4" w:rsidRPr="00CC63F4" w:rsidRDefault="00CC63F4" w:rsidP="00CC63F4">
      <w:pPr>
        <w:spacing w:line="120" w:lineRule="exact"/>
        <w:rPr>
          <w:bCs/>
          <w:sz w:val="10"/>
          <w:lang w:val="fr-CH"/>
        </w:rPr>
      </w:pPr>
    </w:p>
    <w:p w:rsidR="00CC63F4" w:rsidRDefault="00CC63F4" w:rsidP="00CC63F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sidRPr="00CC63F4">
        <w:rPr>
          <w:lang w:val="fr-FR"/>
        </w:rPr>
        <w:t xml:space="preserve">Plan d’évaluation biennale pour le sous-programme </w:t>
      </w:r>
      <w:r>
        <w:rPr>
          <w:lang w:val="fr-FR"/>
        </w:rPr>
        <w:br/>
      </w:r>
      <w:r w:rsidRPr="00CC63F4">
        <w:rPr>
          <w:lang w:val="fr-FR"/>
        </w:rPr>
        <w:t>sur les transports (2016</w:t>
      </w:r>
      <w:r w:rsidR="002956EB">
        <w:rPr>
          <w:lang w:val="fr-FR"/>
        </w:rPr>
        <w:t>-</w:t>
      </w:r>
      <w:r w:rsidRPr="00CC63F4">
        <w:rPr>
          <w:lang w:val="fr-FR"/>
        </w:rPr>
        <w:t>2017)</w:t>
      </w:r>
    </w:p>
    <w:p w:rsidR="002956EB" w:rsidRPr="002956EB" w:rsidRDefault="002956EB" w:rsidP="002956EB">
      <w:pPr>
        <w:spacing w:line="120" w:lineRule="exact"/>
        <w:rPr>
          <w:sz w:val="10"/>
          <w:lang w:val="fr-FR"/>
        </w:rPr>
      </w:pPr>
    </w:p>
    <w:p w:rsidR="002956EB" w:rsidRPr="002956EB" w:rsidRDefault="002956EB" w:rsidP="002956EB">
      <w:pPr>
        <w:spacing w:line="120" w:lineRule="exact"/>
        <w:rPr>
          <w:sz w:val="10"/>
          <w:lang w:val="fr-FR"/>
        </w:rPr>
      </w:pPr>
    </w:p>
    <w:p w:rsidR="00457DD2" w:rsidRDefault="00CC63F4" w:rsidP="002956E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63F4">
        <w:rPr>
          <w:lang w:val="fr-FR"/>
        </w:rPr>
        <w:tab/>
      </w:r>
      <w:r w:rsidRPr="00CC63F4">
        <w:rPr>
          <w:lang w:val="fr-FR"/>
        </w:rPr>
        <w:tab/>
        <w:t>Note du secrétariat</w:t>
      </w:r>
    </w:p>
    <w:p w:rsidR="002956EB" w:rsidRPr="002956EB" w:rsidRDefault="002956EB" w:rsidP="002956EB">
      <w:pPr>
        <w:spacing w:line="120" w:lineRule="exact"/>
        <w:rPr>
          <w:sz w:val="10"/>
          <w:lang w:val="fr-FR"/>
        </w:rPr>
      </w:pPr>
    </w:p>
    <w:p w:rsidR="002956EB" w:rsidRPr="002956EB" w:rsidRDefault="002956EB" w:rsidP="002956EB">
      <w:pPr>
        <w:spacing w:line="120" w:lineRule="exact"/>
        <w:rPr>
          <w:sz w:val="10"/>
          <w:lang w:val="fr-FR"/>
        </w:rPr>
      </w:pPr>
    </w:p>
    <w:p w:rsidR="002956EB" w:rsidRPr="002956EB" w:rsidRDefault="002956EB" w:rsidP="002956EB">
      <w:pPr>
        <w:spacing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647D0" w:rsidTr="003647D0">
        <w:tc>
          <w:tcPr>
            <w:tcW w:w="10051" w:type="dxa"/>
            <w:tcBorders>
              <w:top w:val="single" w:sz="2" w:space="0" w:color="auto"/>
            </w:tcBorders>
            <w:shd w:val="clear" w:color="auto" w:fill="auto"/>
          </w:tcPr>
          <w:p w:rsidR="003647D0" w:rsidRPr="003647D0" w:rsidRDefault="003647D0" w:rsidP="003647D0">
            <w:pPr>
              <w:tabs>
                <w:tab w:val="left" w:pos="240"/>
              </w:tabs>
              <w:spacing w:before="240" w:after="120"/>
              <w:rPr>
                <w:i/>
                <w:sz w:val="24"/>
              </w:rPr>
            </w:pPr>
            <w:r>
              <w:rPr>
                <w:i/>
                <w:sz w:val="24"/>
              </w:rPr>
              <w:tab/>
              <w:t>Résumé</w:t>
            </w:r>
          </w:p>
        </w:tc>
      </w:tr>
      <w:tr w:rsidR="003647D0" w:rsidTr="003647D0">
        <w:tc>
          <w:tcPr>
            <w:tcW w:w="10051" w:type="dxa"/>
            <w:shd w:val="clear" w:color="auto" w:fill="auto"/>
          </w:tcPr>
          <w:p w:rsidR="003647D0" w:rsidRPr="003647D0" w:rsidRDefault="003647D0" w:rsidP="00F21197">
            <w:pPr>
              <w:pStyle w:val="SingleTxt"/>
            </w:pPr>
            <w:r>
              <w:tab/>
            </w:r>
            <w:r w:rsidRPr="003647D0">
              <w:rPr>
                <w:lang w:val="fr-FR"/>
              </w:rPr>
              <w:t>On trouvera dans la présente note le cadre logique de l’évaluation biennale du sous</w:t>
            </w:r>
            <w:r w:rsidR="00F21197">
              <w:rPr>
                <w:lang w:val="fr-FR"/>
              </w:rPr>
              <w:t>-</w:t>
            </w:r>
            <w:r w:rsidRPr="003647D0">
              <w:rPr>
                <w:lang w:val="fr-FR"/>
              </w:rPr>
              <w:t>programme sur les transports de la CEE pour la période 2016-2017. Cette note est soumise au Comité des transports intérieurs pour approbation.</w:t>
            </w:r>
          </w:p>
        </w:tc>
      </w:tr>
      <w:tr w:rsidR="003647D0" w:rsidTr="003647D0">
        <w:tc>
          <w:tcPr>
            <w:tcW w:w="10051" w:type="dxa"/>
            <w:shd w:val="clear" w:color="auto" w:fill="auto"/>
          </w:tcPr>
          <w:p w:rsidR="003647D0" w:rsidRPr="003647D0" w:rsidRDefault="003647D0" w:rsidP="003647D0">
            <w:pPr>
              <w:pStyle w:val="SingleTxt"/>
            </w:pPr>
            <w:r>
              <w:tab/>
            </w:r>
            <w:r w:rsidRPr="003647D0">
              <w:rPr>
                <w:lang w:val="fr-FR"/>
              </w:rPr>
              <w:t>Chaque réalisation escomptée (RE) est suivie de tous les indicateurs de succès (IS) pertinents.</w:t>
            </w:r>
          </w:p>
        </w:tc>
      </w:tr>
      <w:tr w:rsidR="003647D0" w:rsidTr="003647D0">
        <w:tc>
          <w:tcPr>
            <w:tcW w:w="10051" w:type="dxa"/>
            <w:tcBorders>
              <w:bottom w:val="single" w:sz="2" w:space="0" w:color="auto"/>
            </w:tcBorders>
            <w:shd w:val="clear" w:color="auto" w:fill="auto"/>
          </w:tcPr>
          <w:p w:rsidR="003647D0" w:rsidRPr="003647D0" w:rsidRDefault="003647D0" w:rsidP="003647D0">
            <w:pPr>
              <w:pStyle w:val="SingleTxt"/>
            </w:pPr>
          </w:p>
        </w:tc>
      </w:tr>
    </w:tbl>
    <w:p w:rsidR="00F21197" w:rsidRDefault="00F21197" w:rsidP="00457DD2">
      <w:pPr>
        <w:pStyle w:val="SingleTxt"/>
      </w:pPr>
    </w:p>
    <w:p w:rsidR="00F21197" w:rsidRDefault="00F21197">
      <w:pPr>
        <w:spacing w:line="240" w:lineRule="auto"/>
      </w:pPr>
      <w:r>
        <w:br w:type="page"/>
      </w:r>
    </w:p>
    <w:p w:rsidR="00457DD2" w:rsidRDefault="00533D1A" w:rsidP="00533D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3D1A">
        <w:rPr>
          <w:lang w:val="fr-FR"/>
        </w:rPr>
        <w:lastRenderedPageBreak/>
        <w:t xml:space="preserve">Sous-programme 2 </w:t>
      </w:r>
      <w:r>
        <w:rPr>
          <w:lang w:val="fr-FR"/>
        </w:rPr>
        <w:t>–</w:t>
      </w:r>
      <w:r w:rsidRPr="00533D1A">
        <w:rPr>
          <w:lang w:val="fr-FR"/>
        </w:rPr>
        <w:t xml:space="preserve"> Transports</w:t>
      </w:r>
    </w:p>
    <w:p w:rsidR="00533D1A" w:rsidRPr="00533D1A" w:rsidRDefault="00533D1A" w:rsidP="00533D1A">
      <w:pPr>
        <w:pStyle w:val="SingleTxt"/>
        <w:spacing w:after="0" w:line="120" w:lineRule="exact"/>
        <w:rPr>
          <w:sz w:val="10"/>
          <w:lang w:val="fr-FR"/>
        </w:rPr>
      </w:pPr>
    </w:p>
    <w:p w:rsidR="00533D1A" w:rsidRPr="00533D1A" w:rsidRDefault="00533D1A" w:rsidP="00533D1A">
      <w:pPr>
        <w:pStyle w:val="SingleTxt"/>
        <w:spacing w:after="0" w:line="120" w:lineRule="exact"/>
        <w:rPr>
          <w:sz w:val="10"/>
          <w:lang w:val="fr-FR"/>
        </w:rPr>
      </w:pPr>
    </w:p>
    <w:tbl>
      <w:tblPr>
        <w:tblW w:w="10026" w:type="dxa"/>
        <w:tblLayout w:type="fixed"/>
        <w:tblCellMar>
          <w:left w:w="0" w:type="dxa"/>
          <w:right w:w="0" w:type="dxa"/>
        </w:tblCellMar>
        <w:tblLook w:val="0000" w:firstRow="0" w:lastRow="0" w:firstColumn="0" w:lastColumn="0" w:noHBand="0" w:noVBand="0"/>
      </w:tblPr>
      <w:tblGrid>
        <w:gridCol w:w="3042"/>
        <w:gridCol w:w="2043"/>
        <w:gridCol w:w="4941"/>
      </w:tblGrid>
      <w:tr w:rsidR="00533D1A" w:rsidRPr="00533D1A" w:rsidTr="00165249">
        <w:trPr>
          <w:tblHeader/>
        </w:trPr>
        <w:tc>
          <w:tcPr>
            <w:tcW w:w="3042" w:type="dxa"/>
            <w:tcBorders>
              <w:top w:val="single" w:sz="4" w:space="0" w:color="auto"/>
              <w:bottom w:val="single" w:sz="12" w:space="0" w:color="auto"/>
            </w:tcBorders>
            <w:shd w:val="clear" w:color="auto" w:fill="auto"/>
            <w:vAlign w:val="bottom"/>
          </w:tcPr>
          <w:p w:rsidR="00533D1A" w:rsidRPr="001857B9" w:rsidRDefault="00533D1A" w:rsidP="00B676D0">
            <w:pPr>
              <w:suppressAutoHyphens/>
              <w:spacing w:before="80" w:after="80" w:line="160" w:lineRule="exact"/>
              <w:ind w:right="115"/>
              <w:rPr>
                <w:i/>
                <w:spacing w:val="2"/>
                <w:sz w:val="14"/>
              </w:rPr>
            </w:pPr>
            <w:r w:rsidRPr="001857B9">
              <w:rPr>
                <w:i/>
                <w:spacing w:val="2"/>
                <w:sz w:val="14"/>
              </w:rPr>
              <w:t>Réalisations es</w:t>
            </w:r>
            <w:r w:rsidR="00B63E68" w:rsidRPr="001857B9">
              <w:rPr>
                <w:i/>
                <w:spacing w:val="2"/>
                <w:sz w:val="14"/>
              </w:rPr>
              <w:t xml:space="preserve">comptées (RE) et indicateurs de </w:t>
            </w:r>
            <w:r w:rsidRPr="001857B9">
              <w:rPr>
                <w:i/>
                <w:spacing w:val="2"/>
                <w:sz w:val="14"/>
              </w:rPr>
              <w:t>succès (IS) pour le cadre stratégique 2014-2015</w:t>
            </w:r>
          </w:p>
        </w:tc>
        <w:tc>
          <w:tcPr>
            <w:tcW w:w="2043" w:type="dxa"/>
            <w:tcBorders>
              <w:top w:val="single" w:sz="4" w:space="0" w:color="auto"/>
              <w:bottom w:val="single" w:sz="12" w:space="0" w:color="auto"/>
            </w:tcBorders>
            <w:shd w:val="clear" w:color="auto" w:fill="auto"/>
            <w:vAlign w:val="bottom"/>
          </w:tcPr>
          <w:p w:rsidR="00533D1A" w:rsidRPr="00533D1A" w:rsidRDefault="00B63E68" w:rsidP="00B676D0">
            <w:pPr>
              <w:suppressAutoHyphens/>
              <w:spacing w:before="80" w:after="80" w:line="160" w:lineRule="exact"/>
              <w:ind w:right="115"/>
              <w:rPr>
                <w:i/>
                <w:sz w:val="14"/>
              </w:rPr>
            </w:pPr>
            <w:r>
              <w:rPr>
                <w:i/>
                <w:sz w:val="14"/>
              </w:rPr>
              <w:t>Groupe d’activités</w:t>
            </w:r>
          </w:p>
        </w:tc>
        <w:tc>
          <w:tcPr>
            <w:tcW w:w="4941" w:type="dxa"/>
            <w:tcBorders>
              <w:top w:val="single" w:sz="4" w:space="0" w:color="auto"/>
              <w:bottom w:val="single" w:sz="12" w:space="0" w:color="auto"/>
            </w:tcBorders>
            <w:shd w:val="clear" w:color="auto" w:fill="auto"/>
            <w:vAlign w:val="bottom"/>
          </w:tcPr>
          <w:p w:rsidR="00533D1A" w:rsidRPr="00533D1A" w:rsidRDefault="00B63E68" w:rsidP="00B676D0">
            <w:pPr>
              <w:suppressAutoHyphens/>
              <w:spacing w:before="80" w:after="80" w:line="160" w:lineRule="exact"/>
              <w:ind w:right="115"/>
              <w:rPr>
                <w:i/>
                <w:sz w:val="14"/>
              </w:rPr>
            </w:pPr>
            <w:r>
              <w:rPr>
                <w:i/>
                <w:sz w:val="14"/>
              </w:rPr>
              <w:t>Réalisations escomptées (RE) et indicateurs de succès (IS) pour l’évaluation biennale 2014-2015</w:t>
            </w:r>
          </w:p>
        </w:tc>
      </w:tr>
      <w:tr w:rsidR="00533D1A" w:rsidRPr="00533D1A" w:rsidTr="00165249">
        <w:trPr>
          <w:trHeight w:hRule="exact" w:val="115"/>
          <w:tblHeader/>
        </w:trPr>
        <w:tc>
          <w:tcPr>
            <w:tcW w:w="3042" w:type="dxa"/>
            <w:tcBorders>
              <w:top w:val="single" w:sz="12" w:space="0" w:color="auto"/>
            </w:tcBorders>
            <w:shd w:val="clear" w:color="auto" w:fill="auto"/>
            <w:vAlign w:val="bottom"/>
          </w:tcPr>
          <w:p w:rsidR="00533D1A" w:rsidRPr="00533D1A" w:rsidRDefault="00533D1A" w:rsidP="00533D1A">
            <w:pPr>
              <w:suppressAutoHyphens/>
              <w:spacing w:before="40" w:after="80"/>
              <w:ind w:right="40"/>
            </w:pPr>
          </w:p>
        </w:tc>
        <w:tc>
          <w:tcPr>
            <w:tcW w:w="2043" w:type="dxa"/>
            <w:tcBorders>
              <w:top w:val="single" w:sz="12" w:space="0" w:color="auto"/>
            </w:tcBorders>
            <w:shd w:val="clear" w:color="auto" w:fill="auto"/>
            <w:vAlign w:val="bottom"/>
          </w:tcPr>
          <w:p w:rsidR="00533D1A" w:rsidRPr="00533D1A" w:rsidRDefault="00533D1A" w:rsidP="00533D1A">
            <w:pPr>
              <w:suppressAutoHyphens/>
              <w:spacing w:before="40" w:after="80"/>
              <w:ind w:right="397"/>
            </w:pPr>
          </w:p>
        </w:tc>
        <w:tc>
          <w:tcPr>
            <w:tcW w:w="4941" w:type="dxa"/>
            <w:tcBorders>
              <w:top w:val="single" w:sz="12" w:space="0" w:color="auto"/>
            </w:tcBorders>
            <w:shd w:val="clear" w:color="auto" w:fill="auto"/>
            <w:vAlign w:val="bottom"/>
          </w:tcPr>
          <w:p w:rsidR="00533D1A" w:rsidRPr="00533D1A" w:rsidRDefault="00533D1A" w:rsidP="00533D1A">
            <w:pPr>
              <w:suppressAutoHyphens/>
              <w:spacing w:before="40" w:after="80"/>
              <w:ind w:right="397"/>
            </w:pPr>
          </w:p>
        </w:tc>
      </w:tr>
      <w:tr w:rsidR="00533D1A" w:rsidRPr="00533D1A" w:rsidTr="00165249">
        <w:tc>
          <w:tcPr>
            <w:tcW w:w="3042" w:type="dxa"/>
            <w:shd w:val="clear" w:color="auto" w:fill="auto"/>
          </w:tcPr>
          <w:p w:rsidR="00533D1A" w:rsidRPr="00B676D0" w:rsidRDefault="00BD128E" w:rsidP="007A4FC5">
            <w:pPr>
              <w:tabs>
                <w:tab w:val="left" w:pos="288"/>
                <w:tab w:val="left" w:pos="576"/>
                <w:tab w:val="left" w:pos="864"/>
                <w:tab w:val="left" w:pos="1152"/>
              </w:tabs>
              <w:suppressAutoHyphens/>
              <w:spacing w:before="40" w:after="80"/>
              <w:ind w:right="43"/>
              <w:rPr>
                <w:b/>
              </w:rPr>
            </w:pPr>
            <w:r w:rsidRPr="00B676D0">
              <w:rPr>
                <w:b/>
              </w:rPr>
              <w:t>1.</w:t>
            </w:r>
            <w:r w:rsidR="00B676D0">
              <w:rPr>
                <w:b/>
              </w:rPr>
              <w:t> </w:t>
            </w:r>
            <w:r w:rsidR="00EE1CC9">
              <w:rPr>
                <w:b/>
              </w:rPr>
              <w:t>RE </w:t>
            </w:r>
            <w:r w:rsidR="0029066B">
              <w:rPr>
                <w:b/>
              </w:rPr>
              <w:t>a)</w:t>
            </w:r>
            <w:r w:rsidR="0029066B">
              <w:rPr>
                <w:b/>
              </w:rPr>
              <w:tab/>
              <w:t>Renforcement du</w:t>
            </w:r>
            <w:r w:rsidR="00100875">
              <w:rPr>
                <w:b/>
              </w:rPr>
              <w:t xml:space="preserve"> </w:t>
            </w:r>
            <w:r w:rsidRPr="00B676D0">
              <w:rPr>
                <w:b/>
              </w:rPr>
              <w:t>cadre juridique et réglementaire</w:t>
            </w:r>
            <w:r w:rsidR="0029066B">
              <w:rPr>
                <w:b/>
              </w:rPr>
              <w:t xml:space="preserve"> concernant les</w:t>
            </w:r>
            <w:r w:rsidR="00100875">
              <w:rPr>
                <w:b/>
              </w:rPr>
              <w:t xml:space="preserve"> </w:t>
            </w:r>
            <w:r w:rsidRPr="00B676D0">
              <w:rPr>
                <w:b/>
              </w:rPr>
              <w:t>transports terrestres internationaux (routiers, ferroviaires, fluviaux</w:t>
            </w:r>
            <w:r w:rsidR="00165249">
              <w:rPr>
                <w:b/>
              </w:rPr>
              <w:t> </w:t>
            </w:r>
            <w:r w:rsidRPr="00B676D0">
              <w:rPr>
                <w:b/>
              </w:rPr>
              <w:t xml:space="preserve">et </w:t>
            </w:r>
            <w:r w:rsidRPr="00100875">
              <w:rPr>
                <w:b/>
              </w:rPr>
              <w:t>intermodaux), les infrastructures,</w:t>
            </w:r>
            <w:r w:rsidRPr="00B676D0">
              <w:rPr>
                <w:b/>
              </w:rPr>
              <w:t xml:space="preserve"> la facilitation du</w:t>
            </w:r>
            <w:r w:rsidR="0029066B">
              <w:rPr>
                <w:b/>
              </w:rPr>
              <w:t xml:space="preserve"> passage des frontières, le </w:t>
            </w:r>
            <w:r w:rsidRPr="00B676D0">
              <w:rPr>
                <w:b/>
              </w:rPr>
              <w:t>transport des marchandises dangereuses, la construction automobile et d’autres services liés aux transports</w:t>
            </w:r>
          </w:p>
        </w:tc>
        <w:tc>
          <w:tcPr>
            <w:tcW w:w="2043" w:type="dxa"/>
            <w:shd w:val="clear" w:color="auto" w:fill="auto"/>
          </w:tcPr>
          <w:p w:rsidR="00533D1A" w:rsidRPr="00533D1A" w:rsidRDefault="00B676D0" w:rsidP="007F242A">
            <w:pPr>
              <w:tabs>
                <w:tab w:val="left" w:pos="288"/>
                <w:tab w:val="left" w:pos="576"/>
                <w:tab w:val="left" w:pos="864"/>
                <w:tab w:val="left" w:pos="1152"/>
              </w:tabs>
              <w:suppressAutoHyphens/>
              <w:spacing w:before="40" w:after="80"/>
              <w:ind w:left="576" w:right="115" w:hanging="576"/>
            </w:pPr>
            <w:r>
              <w:t>1.</w:t>
            </w:r>
            <w:r>
              <w:tab/>
            </w:r>
            <w:r w:rsidR="005B0275">
              <w:tab/>
            </w:r>
            <w:r>
              <w:t>Coordination générale</w:t>
            </w:r>
          </w:p>
        </w:tc>
        <w:tc>
          <w:tcPr>
            <w:tcW w:w="4941" w:type="dxa"/>
            <w:shd w:val="clear" w:color="auto" w:fill="auto"/>
          </w:tcPr>
          <w:p w:rsidR="00B676D0" w:rsidRPr="0029066B" w:rsidRDefault="00B676D0" w:rsidP="0001772E">
            <w:pPr>
              <w:tabs>
                <w:tab w:val="left" w:pos="288"/>
                <w:tab w:val="left" w:pos="576"/>
                <w:tab w:val="left" w:pos="864"/>
                <w:tab w:val="left" w:pos="1152"/>
              </w:tabs>
              <w:suppressAutoHyphens/>
              <w:spacing w:before="40" w:after="80"/>
              <w:ind w:right="115"/>
              <w:rPr>
                <w:spacing w:val="2"/>
                <w:lang w:val="fr-CH"/>
              </w:rPr>
            </w:pPr>
            <w:r w:rsidRPr="0029066B">
              <w:rPr>
                <w:spacing w:val="2"/>
              </w:rPr>
              <w:t>RE 1.</w:t>
            </w:r>
            <w:r w:rsidRPr="0029066B">
              <w:rPr>
                <w:spacing w:val="2"/>
              </w:rPr>
              <w:tab/>
            </w:r>
            <w:r w:rsidR="0001772E" w:rsidRPr="0029066B">
              <w:rPr>
                <w:spacing w:val="2"/>
              </w:rPr>
              <w:tab/>
            </w:r>
            <w:r w:rsidRPr="0029066B">
              <w:rPr>
                <w:spacing w:val="2"/>
              </w:rPr>
              <w:t xml:space="preserve">Déroulement </w:t>
            </w:r>
            <w:r w:rsidRPr="0029066B">
              <w:rPr>
                <w:spacing w:val="2"/>
                <w:lang w:val="fr-FR"/>
              </w:rPr>
              <w:t>fructueux des réunions annuelles du Comité des transports intérieurs (CTI) et de son bureau et de celles du Président et des Vice-Présidents du Comité des transports intérieurs avec le Comité exécutif</w:t>
            </w:r>
          </w:p>
          <w:p w:rsidR="00B676D0" w:rsidRPr="00B676D0" w:rsidRDefault="00B676D0" w:rsidP="0001772E">
            <w:pPr>
              <w:tabs>
                <w:tab w:val="left" w:pos="288"/>
                <w:tab w:val="left" w:pos="576"/>
                <w:tab w:val="left" w:pos="864"/>
                <w:tab w:val="left" w:pos="1152"/>
              </w:tabs>
              <w:suppressAutoHyphens/>
              <w:spacing w:before="40" w:after="80"/>
              <w:ind w:right="115"/>
              <w:rPr>
                <w:lang w:val="fr-CH"/>
              </w:rPr>
            </w:pPr>
            <w:r w:rsidRPr="00B676D0">
              <w:rPr>
                <w:lang w:val="fr-FR"/>
              </w:rPr>
              <w:t>IS</w:t>
            </w:r>
            <w:r>
              <w:rPr>
                <w:lang w:val="fr-FR"/>
              </w:rPr>
              <w:t> </w:t>
            </w:r>
            <w:r w:rsidRPr="00B676D0">
              <w:rPr>
                <w:lang w:val="fr-FR"/>
              </w:rPr>
              <w:t>1.</w:t>
            </w:r>
            <w:r>
              <w:rPr>
                <w:lang w:val="fr-FR"/>
              </w:rPr>
              <w:tab/>
            </w:r>
            <w:r w:rsidR="0001772E">
              <w:rPr>
                <w:lang w:val="fr-FR"/>
              </w:rPr>
              <w:tab/>
            </w:r>
            <w:r w:rsidRPr="00B676D0">
              <w:rPr>
                <w:lang w:val="fr-FR"/>
              </w:rPr>
              <w:t>Nombre d’États membres participant aux réunions du Comité des transports intérieurs</w:t>
            </w:r>
          </w:p>
          <w:p w:rsidR="00533D1A" w:rsidRPr="00533D1A" w:rsidRDefault="00B676D0" w:rsidP="00213832">
            <w:pPr>
              <w:tabs>
                <w:tab w:val="left" w:pos="288"/>
                <w:tab w:val="left" w:pos="576"/>
                <w:tab w:val="left" w:pos="864"/>
                <w:tab w:val="left" w:pos="1152"/>
              </w:tabs>
              <w:suppressAutoHyphens/>
              <w:spacing w:before="40" w:after="80"/>
              <w:ind w:right="115"/>
            </w:pPr>
            <w:r w:rsidRPr="00B676D0">
              <w:rPr>
                <w:i/>
                <w:lang w:val="fr-FR"/>
              </w:rPr>
              <w:t>Mesure des résultats</w:t>
            </w:r>
            <w:r>
              <w:rPr>
                <w:lang w:val="fr-FR"/>
              </w:rPr>
              <w:t> </w:t>
            </w:r>
            <w:r w:rsidRPr="00B676D0">
              <w:rPr>
                <w:lang w:val="fr-FR"/>
              </w:rPr>
              <w:t>:</w:t>
            </w:r>
            <w:r>
              <w:rPr>
                <w:lang w:val="fr-FR"/>
              </w:rPr>
              <w:t xml:space="preserve"> </w:t>
            </w:r>
            <w:r w:rsidRPr="00B676D0">
              <w:rPr>
                <w:lang w:val="fr-FR"/>
              </w:rPr>
              <w:br/>
              <w:t>Référence 2014</w:t>
            </w:r>
            <w:r>
              <w:rPr>
                <w:lang w:val="fr-FR"/>
              </w:rPr>
              <w:t>-2015 </w:t>
            </w:r>
            <w:r w:rsidRPr="00B676D0">
              <w:rPr>
                <w:lang w:val="fr-FR"/>
              </w:rPr>
              <w:t>: 40 + 15 Organisations intergouvernementales (OIG)/Organisations non gouvernementales (ONG), 165 au total</w:t>
            </w:r>
            <w:r>
              <w:rPr>
                <w:lang w:val="fr-FR"/>
              </w:rPr>
              <w:t xml:space="preserve"> </w:t>
            </w:r>
            <w:r w:rsidRPr="00B676D0">
              <w:rPr>
                <w:lang w:val="fr-FR"/>
              </w:rPr>
              <w:br/>
              <w:t>Objectif 2016</w:t>
            </w:r>
            <w:r>
              <w:rPr>
                <w:lang w:val="fr-FR"/>
              </w:rPr>
              <w:t>-2017 </w:t>
            </w:r>
            <w:r w:rsidRPr="00B676D0">
              <w:rPr>
                <w:lang w:val="fr-FR"/>
              </w:rPr>
              <w:t>: 42 + 15 OIG/ONG, 170 au total</w:t>
            </w:r>
          </w:p>
        </w:tc>
      </w:tr>
      <w:tr w:rsidR="007A4FC5" w:rsidRPr="00533D1A" w:rsidTr="00165249">
        <w:tc>
          <w:tcPr>
            <w:tcW w:w="3042" w:type="dxa"/>
            <w:shd w:val="clear" w:color="auto" w:fill="auto"/>
          </w:tcPr>
          <w:p w:rsidR="007A4FC5" w:rsidRPr="00F04AFB" w:rsidRDefault="007A4FC5" w:rsidP="007A4FC5">
            <w:pPr>
              <w:tabs>
                <w:tab w:val="left" w:pos="288"/>
                <w:tab w:val="left" w:pos="576"/>
                <w:tab w:val="left" w:pos="864"/>
                <w:tab w:val="left" w:pos="1152"/>
              </w:tabs>
              <w:suppressAutoHyphens/>
              <w:spacing w:before="40" w:after="80"/>
              <w:ind w:right="115"/>
              <w:rPr>
                <w:lang w:val="fr-CH"/>
              </w:rPr>
            </w:pPr>
            <w:r w:rsidRPr="00F04AFB">
              <w:rPr>
                <w:lang w:val="fr-FR"/>
              </w:rPr>
              <w:t>IS</w:t>
            </w:r>
            <w:r>
              <w:rPr>
                <w:lang w:val="fr-FR"/>
              </w:rPr>
              <w:t> </w:t>
            </w:r>
            <w:r w:rsidRPr="00F04AFB">
              <w:rPr>
                <w:lang w:val="fr-FR"/>
              </w:rPr>
              <w:t>a)</w:t>
            </w:r>
            <w:r>
              <w:rPr>
                <w:lang w:val="fr-FR"/>
              </w:rPr>
              <w:t> </w:t>
            </w:r>
            <w:r w:rsidRPr="00F04AFB">
              <w:rPr>
                <w:lang w:val="fr-FR"/>
              </w:rPr>
              <w:t>i)</w:t>
            </w:r>
            <w:r>
              <w:rPr>
                <w:lang w:val="fr-FR"/>
              </w:rPr>
              <w:tab/>
            </w:r>
            <w:r w:rsidRPr="00F04AFB">
              <w:rPr>
                <w:lang w:val="fr-FR"/>
              </w:rPr>
              <w:t>Augmentation du nombre d’instruments juridiques rel</w:t>
            </w:r>
            <w:r>
              <w:rPr>
                <w:lang w:val="fr-FR"/>
              </w:rPr>
              <w:t>atifs aux transports en vigueur</w:t>
            </w:r>
            <w:r w:rsidRPr="00F04AFB">
              <w:rPr>
                <w:lang w:val="fr-FR"/>
              </w:rPr>
              <w:t xml:space="preserve"> par rapport au nombre total d’instruments juridiques des Nations Unies en matière de </w:t>
            </w:r>
            <w:r w:rsidRPr="0029066B">
              <w:rPr>
                <w:spacing w:val="2"/>
                <w:lang w:val="fr-FR"/>
              </w:rPr>
              <w:t>transports administrés par la CEE</w:t>
            </w:r>
          </w:p>
          <w:p w:rsidR="007A4FC5" w:rsidRPr="00B676D0" w:rsidRDefault="007A4FC5" w:rsidP="007A4FC5">
            <w:pPr>
              <w:tabs>
                <w:tab w:val="left" w:pos="288"/>
                <w:tab w:val="left" w:pos="576"/>
                <w:tab w:val="left" w:pos="864"/>
                <w:tab w:val="left" w:pos="1152"/>
              </w:tabs>
              <w:suppressAutoHyphens/>
              <w:spacing w:before="40" w:after="80"/>
              <w:ind w:right="43"/>
              <w:rPr>
                <w:b/>
              </w:rPr>
            </w:pPr>
            <w:r w:rsidRPr="00F04AFB">
              <w:rPr>
                <w:i/>
                <w:iCs/>
                <w:lang w:val="fr-FR"/>
              </w:rPr>
              <w:t>Mesure des résultats</w:t>
            </w:r>
            <w:r>
              <w:rPr>
                <w:i/>
                <w:iCs/>
                <w:lang w:val="fr-FR"/>
              </w:rPr>
              <w:t xml:space="preserve"> </w:t>
            </w:r>
            <w:r w:rsidRPr="00F04AFB">
              <w:rPr>
                <w:lang w:val="fr-FR"/>
              </w:rPr>
              <w:br/>
              <w:t>Référence 2015</w:t>
            </w:r>
            <w:r>
              <w:rPr>
                <w:lang w:val="fr-FR"/>
              </w:rPr>
              <w:t> </w:t>
            </w:r>
            <w:r w:rsidRPr="00F04AFB">
              <w:rPr>
                <w:lang w:val="fr-FR"/>
              </w:rPr>
              <w:t>: 86</w:t>
            </w:r>
            <w:r>
              <w:rPr>
                <w:lang w:val="fr-FR"/>
              </w:rPr>
              <w:t> </w:t>
            </w:r>
            <w:r w:rsidRPr="00F04AFB">
              <w:rPr>
                <w:lang w:val="fr-FR"/>
              </w:rPr>
              <w:t>%</w:t>
            </w:r>
            <w:r>
              <w:rPr>
                <w:lang w:val="fr-FR"/>
              </w:rPr>
              <w:t xml:space="preserve"> </w:t>
            </w:r>
            <w:r w:rsidRPr="00F04AFB">
              <w:rPr>
                <w:lang w:val="fr-FR"/>
              </w:rPr>
              <w:br/>
              <w:t>Objectif 2016</w:t>
            </w:r>
            <w:r>
              <w:rPr>
                <w:lang w:val="fr-FR"/>
              </w:rPr>
              <w:t>-</w:t>
            </w:r>
            <w:r w:rsidRPr="00F04AFB">
              <w:rPr>
                <w:lang w:val="fr-FR"/>
              </w:rPr>
              <w:t>2017</w:t>
            </w:r>
            <w:r>
              <w:rPr>
                <w:lang w:val="fr-FR"/>
              </w:rPr>
              <w:t> </w:t>
            </w:r>
            <w:r w:rsidRPr="00F04AFB">
              <w:rPr>
                <w:lang w:val="fr-FR"/>
              </w:rPr>
              <w:t>: 87</w:t>
            </w:r>
            <w:r>
              <w:rPr>
                <w:lang w:val="fr-FR"/>
              </w:rPr>
              <w:t> </w:t>
            </w:r>
            <w:r w:rsidRPr="00F04AFB">
              <w:rPr>
                <w:lang w:val="fr-FR"/>
              </w:rPr>
              <w:t>%</w:t>
            </w:r>
          </w:p>
        </w:tc>
        <w:tc>
          <w:tcPr>
            <w:tcW w:w="2043" w:type="dxa"/>
            <w:shd w:val="clear" w:color="auto" w:fill="auto"/>
          </w:tcPr>
          <w:p w:rsidR="007A4FC5" w:rsidRDefault="007A4FC5" w:rsidP="00233FB1">
            <w:pPr>
              <w:tabs>
                <w:tab w:val="left" w:pos="288"/>
                <w:tab w:val="left" w:pos="576"/>
                <w:tab w:val="left" w:pos="864"/>
                <w:tab w:val="left" w:pos="1152"/>
              </w:tabs>
              <w:suppressAutoHyphens/>
              <w:spacing w:before="40" w:after="80"/>
              <w:ind w:left="576" w:right="115" w:hanging="576"/>
            </w:pPr>
            <w:r>
              <w:rPr>
                <w:lang w:val="fr-FR"/>
              </w:rPr>
              <w:t>2 </w:t>
            </w:r>
            <w:r w:rsidRPr="00F04AFB">
              <w:rPr>
                <w:lang w:val="fr-FR"/>
              </w:rPr>
              <w:t>a</w:t>
            </w:r>
            <w:r w:rsidR="00233FB1">
              <w:rPr>
                <w:lang w:val="fr-FR"/>
              </w:rPr>
              <w:t>)</w:t>
            </w:r>
            <w:r w:rsidRPr="00F04AFB">
              <w:rPr>
                <w:lang w:val="fr-FR"/>
              </w:rPr>
              <w:tab/>
              <w:t>Tendances et</w:t>
            </w:r>
            <w:r>
              <w:rPr>
                <w:lang w:val="fr-FR"/>
              </w:rPr>
              <w:t> </w:t>
            </w:r>
            <w:r w:rsidRPr="00F04AFB">
              <w:rPr>
                <w:lang w:val="fr-FR"/>
              </w:rPr>
              <w:t>économie des</w:t>
            </w:r>
            <w:r>
              <w:rPr>
                <w:lang w:val="fr-FR"/>
              </w:rPr>
              <w:t> </w:t>
            </w:r>
            <w:r w:rsidRPr="00F04AFB">
              <w:rPr>
                <w:lang w:val="fr-FR"/>
              </w:rPr>
              <w:t>transports (y</w:t>
            </w:r>
            <w:r>
              <w:rPr>
                <w:lang w:val="fr-FR"/>
              </w:rPr>
              <w:t> </w:t>
            </w:r>
            <w:r w:rsidRPr="00F04AFB">
              <w:rPr>
                <w:lang w:val="fr-FR"/>
              </w:rPr>
              <w:t>compris les</w:t>
            </w:r>
            <w:r>
              <w:rPr>
                <w:lang w:val="fr-FR"/>
              </w:rPr>
              <w:t> </w:t>
            </w:r>
            <w:r w:rsidRPr="00F04AFB">
              <w:rPr>
                <w:lang w:val="fr-FR"/>
              </w:rPr>
              <w:t>liaisons de</w:t>
            </w:r>
            <w:r>
              <w:rPr>
                <w:lang w:val="fr-FR"/>
              </w:rPr>
              <w:t> </w:t>
            </w:r>
            <w:r w:rsidRPr="00F04AFB">
              <w:rPr>
                <w:lang w:val="fr-FR"/>
              </w:rPr>
              <w:t>transport Europe-Asie)</w:t>
            </w:r>
          </w:p>
        </w:tc>
        <w:tc>
          <w:tcPr>
            <w:tcW w:w="4941" w:type="dxa"/>
            <w:shd w:val="clear" w:color="auto" w:fill="auto"/>
          </w:tcPr>
          <w:p w:rsidR="00770E4E" w:rsidRPr="007342F5" w:rsidRDefault="00770E4E" w:rsidP="00233FB1">
            <w:pPr>
              <w:tabs>
                <w:tab w:val="left" w:pos="288"/>
                <w:tab w:val="left" w:pos="576"/>
                <w:tab w:val="left" w:pos="864"/>
                <w:tab w:val="left" w:pos="1152"/>
              </w:tabs>
              <w:suppressAutoHyphens/>
              <w:spacing w:before="40" w:after="80"/>
              <w:ind w:right="115"/>
              <w:rPr>
                <w:lang w:val="fr-CH"/>
              </w:rPr>
            </w:pPr>
            <w:r w:rsidRPr="007342F5">
              <w:rPr>
                <w:lang w:val="fr-FR"/>
              </w:rPr>
              <w:t>RE</w:t>
            </w:r>
            <w:r>
              <w:rPr>
                <w:lang w:val="fr-FR"/>
              </w:rPr>
              <w:t> </w:t>
            </w:r>
            <w:r w:rsidRPr="007342F5">
              <w:rPr>
                <w:lang w:val="fr-FR"/>
              </w:rPr>
              <w:t>2.</w:t>
            </w:r>
            <w:r w:rsidR="00233FB1">
              <w:rPr>
                <w:lang w:val="fr-FR"/>
              </w:rPr>
              <w:t> </w:t>
            </w:r>
            <w:r w:rsidRPr="007342F5">
              <w:rPr>
                <w:lang w:val="fr-FR"/>
              </w:rPr>
              <w:t>1.</w:t>
            </w:r>
            <w:r>
              <w:rPr>
                <w:lang w:val="fr-FR"/>
              </w:rPr>
              <w:tab/>
            </w:r>
            <w:r w:rsidRPr="007342F5">
              <w:rPr>
                <w:lang w:val="fr-FR"/>
              </w:rPr>
              <w:t>Meilleure compréhension par les États membres des grandes tendances et de l’évolution des transports dans la région de la CEE et renforcement de la coopération dans le cadre du développement des liaisons de transport entre l’Europe et l’Asie</w:t>
            </w:r>
          </w:p>
          <w:p w:rsidR="00770E4E" w:rsidRPr="007342F5" w:rsidRDefault="00770E4E" w:rsidP="00770E4E">
            <w:pPr>
              <w:tabs>
                <w:tab w:val="left" w:pos="288"/>
                <w:tab w:val="left" w:pos="576"/>
                <w:tab w:val="left" w:pos="864"/>
                <w:tab w:val="left" w:pos="1152"/>
              </w:tabs>
              <w:suppressAutoHyphens/>
              <w:spacing w:before="40" w:after="80"/>
              <w:ind w:right="115"/>
              <w:rPr>
                <w:lang w:val="fr-CH"/>
              </w:rPr>
            </w:pPr>
            <w:r>
              <w:rPr>
                <w:lang w:val="fr-FR"/>
              </w:rPr>
              <w:t>IS </w:t>
            </w:r>
            <w:r w:rsidRPr="007342F5">
              <w:rPr>
                <w:lang w:val="fr-FR"/>
              </w:rPr>
              <w:t>2.</w:t>
            </w:r>
            <w:r w:rsidR="00233FB1">
              <w:rPr>
                <w:lang w:val="fr-FR"/>
              </w:rPr>
              <w:t> </w:t>
            </w:r>
            <w:r w:rsidRPr="007342F5">
              <w:rPr>
                <w:lang w:val="fr-FR"/>
              </w:rPr>
              <w:t>1</w:t>
            </w:r>
            <w:r>
              <w:rPr>
                <w:lang w:val="fr-FR"/>
              </w:rPr>
              <w:t> </w:t>
            </w:r>
            <w:r w:rsidRPr="007342F5">
              <w:rPr>
                <w:lang w:val="fr-FR"/>
              </w:rPr>
              <w:t>a)</w:t>
            </w:r>
            <w:r>
              <w:rPr>
                <w:lang w:val="fr-FR"/>
              </w:rPr>
              <w:tab/>
            </w:r>
            <w:r w:rsidRPr="007342F5">
              <w:rPr>
                <w:lang w:val="fr-FR"/>
              </w:rPr>
              <w:t>Nombre de pays participant aux réunions du Groupe de travail et du Groupe d’experts</w:t>
            </w:r>
          </w:p>
          <w:p w:rsidR="007A4FC5" w:rsidRPr="0029066B" w:rsidRDefault="00770E4E" w:rsidP="00770E4E">
            <w:pPr>
              <w:tabs>
                <w:tab w:val="left" w:pos="288"/>
                <w:tab w:val="left" w:pos="576"/>
                <w:tab w:val="left" w:pos="864"/>
                <w:tab w:val="left" w:pos="1152"/>
              </w:tabs>
              <w:suppressAutoHyphens/>
              <w:spacing w:before="40" w:after="80"/>
              <w:ind w:right="115"/>
              <w:rPr>
                <w:spacing w:val="2"/>
              </w:rPr>
            </w:pPr>
            <w:r w:rsidRPr="007342F5">
              <w:rPr>
                <w:i/>
                <w:iCs/>
                <w:lang w:val="fr-FR"/>
              </w:rPr>
              <w:t>Mesure des résultats</w:t>
            </w:r>
            <w:r w:rsidRPr="007342F5">
              <w:rPr>
                <w:iCs/>
                <w:lang w:val="fr-FR"/>
              </w:rPr>
              <w:t> :</w:t>
            </w:r>
            <w:r>
              <w:rPr>
                <w:i/>
                <w:iCs/>
                <w:lang w:val="fr-FR"/>
              </w:rPr>
              <w:t xml:space="preserve"> </w:t>
            </w:r>
            <w:r w:rsidRPr="007342F5">
              <w:rPr>
                <w:lang w:val="fr-FR"/>
              </w:rPr>
              <w:br/>
              <w:t>Référence 2014</w:t>
            </w:r>
            <w:r>
              <w:rPr>
                <w:lang w:val="fr-FR"/>
              </w:rPr>
              <w:t>-2015 </w:t>
            </w:r>
            <w:r w:rsidRPr="007342F5">
              <w:rPr>
                <w:lang w:val="fr-FR"/>
              </w:rPr>
              <w:t xml:space="preserve">: 53 en 2014 </w:t>
            </w:r>
            <w:r w:rsidRPr="007342F5">
              <w:rPr>
                <w:lang w:val="fr-FR"/>
              </w:rPr>
              <w:br/>
              <w:t>Objectif 2016</w:t>
            </w:r>
            <w:r>
              <w:rPr>
                <w:lang w:val="fr-FR"/>
              </w:rPr>
              <w:t>-</w:t>
            </w:r>
            <w:r w:rsidRPr="007342F5">
              <w:rPr>
                <w:lang w:val="fr-FR"/>
              </w:rPr>
              <w:t>2017</w:t>
            </w:r>
            <w:r>
              <w:rPr>
                <w:lang w:val="fr-FR"/>
              </w:rPr>
              <w:t> </w:t>
            </w:r>
            <w:r w:rsidRPr="007342F5">
              <w:rPr>
                <w:lang w:val="fr-FR"/>
              </w:rPr>
              <w:t>: 50</w:t>
            </w:r>
          </w:p>
        </w:tc>
      </w:tr>
      <w:tr w:rsidR="007342F5" w:rsidRPr="00533D1A" w:rsidTr="00165249">
        <w:tc>
          <w:tcPr>
            <w:tcW w:w="3042" w:type="dxa"/>
            <w:shd w:val="clear" w:color="auto" w:fill="auto"/>
          </w:tcPr>
          <w:p w:rsidR="00770E4E" w:rsidRPr="00F04AFB" w:rsidRDefault="00770E4E" w:rsidP="00770E4E">
            <w:pPr>
              <w:tabs>
                <w:tab w:val="left" w:pos="288"/>
                <w:tab w:val="left" w:pos="576"/>
                <w:tab w:val="left" w:pos="864"/>
                <w:tab w:val="left" w:pos="1152"/>
              </w:tabs>
              <w:suppressAutoHyphens/>
              <w:spacing w:before="40" w:after="80"/>
              <w:ind w:right="115"/>
              <w:rPr>
                <w:lang w:val="fr-CH"/>
              </w:rPr>
            </w:pPr>
            <w:r>
              <w:rPr>
                <w:lang w:val="fr-FR"/>
              </w:rPr>
              <w:t>IS </w:t>
            </w:r>
            <w:r w:rsidRPr="00F04AFB">
              <w:rPr>
                <w:lang w:val="fr-FR"/>
              </w:rPr>
              <w:t>a)</w:t>
            </w:r>
            <w:r>
              <w:rPr>
                <w:lang w:val="fr-FR"/>
              </w:rPr>
              <w:t> </w:t>
            </w:r>
            <w:r w:rsidRPr="00F04AFB">
              <w:rPr>
                <w:lang w:val="fr-FR"/>
              </w:rPr>
              <w:t>ii)</w:t>
            </w:r>
            <w:r>
              <w:rPr>
                <w:lang w:val="fr-FR"/>
              </w:rPr>
              <w:tab/>
            </w:r>
            <w:r w:rsidRPr="00F04AFB">
              <w:rPr>
                <w:lang w:val="fr-FR"/>
              </w:rPr>
              <w:t>Nombre de nouveaux règlements concernant les véhicules et d’amendements aux</w:t>
            </w:r>
            <w:r>
              <w:rPr>
                <w:lang w:val="fr-FR"/>
              </w:rPr>
              <w:t> </w:t>
            </w:r>
            <w:r w:rsidRPr="00F04AFB">
              <w:rPr>
                <w:lang w:val="fr-FR"/>
              </w:rPr>
              <w:t>dispositions existantes</w:t>
            </w:r>
          </w:p>
          <w:p w:rsidR="007342F5" w:rsidRPr="00533D1A" w:rsidRDefault="00770E4E" w:rsidP="00770E4E">
            <w:pPr>
              <w:tabs>
                <w:tab w:val="left" w:pos="288"/>
                <w:tab w:val="left" w:pos="576"/>
                <w:tab w:val="left" w:pos="864"/>
                <w:tab w:val="left" w:pos="1152"/>
              </w:tabs>
              <w:suppressAutoHyphens/>
              <w:spacing w:before="40" w:after="80"/>
              <w:ind w:right="115"/>
            </w:pPr>
            <w:r w:rsidRPr="00F04AFB">
              <w:rPr>
                <w:i/>
                <w:iCs/>
                <w:lang w:val="fr-FR"/>
              </w:rPr>
              <w:t>Mesure des résultats</w:t>
            </w:r>
            <w:r>
              <w:rPr>
                <w:i/>
                <w:iCs/>
                <w:lang w:val="fr-FR"/>
              </w:rPr>
              <w:t xml:space="preserve"> </w:t>
            </w:r>
            <w:r>
              <w:rPr>
                <w:lang w:val="fr-FR"/>
              </w:rPr>
              <w:br/>
              <w:t>Référence 2015 </w:t>
            </w:r>
            <w:r w:rsidRPr="00F04AFB">
              <w:rPr>
                <w:lang w:val="fr-FR"/>
              </w:rPr>
              <w:t xml:space="preserve">: </w:t>
            </w:r>
            <w:r>
              <w:rPr>
                <w:lang w:val="fr-FR"/>
              </w:rPr>
              <w:br/>
            </w:r>
            <w:r w:rsidRPr="00F04AFB">
              <w:rPr>
                <w:lang w:val="fr-FR"/>
              </w:rPr>
              <w:t>100</w:t>
            </w:r>
            <w:r>
              <w:rPr>
                <w:lang w:val="fr-FR"/>
              </w:rPr>
              <w:t> </w:t>
            </w:r>
            <w:r w:rsidRPr="00F04AFB">
              <w:rPr>
                <w:lang w:val="fr-FR"/>
              </w:rPr>
              <w:t xml:space="preserve">amendements </w:t>
            </w:r>
            <w:r>
              <w:rPr>
                <w:lang w:val="fr-FR"/>
              </w:rPr>
              <w:br/>
            </w:r>
            <w:r w:rsidRPr="00F04AFB">
              <w:rPr>
                <w:lang w:val="fr-FR"/>
              </w:rPr>
              <w:t>et nouveaux règlements</w:t>
            </w:r>
            <w:r>
              <w:rPr>
                <w:lang w:val="fr-FR"/>
              </w:rPr>
              <w:t xml:space="preserve"> </w:t>
            </w:r>
            <w:r w:rsidRPr="00F04AFB">
              <w:rPr>
                <w:lang w:val="fr-FR"/>
              </w:rPr>
              <w:br/>
              <w:t>Objectif 2016</w:t>
            </w:r>
            <w:r>
              <w:rPr>
                <w:lang w:val="fr-FR"/>
              </w:rPr>
              <w:t>-</w:t>
            </w:r>
            <w:r w:rsidRPr="00F04AFB">
              <w:rPr>
                <w:lang w:val="fr-FR"/>
              </w:rPr>
              <w:t>2017</w:t>
            </w:r>
            <w:r>
              <w:rPr>
                <w:lang w:val="fr-FR"/>
              </w:rPr>
              <w:t> </w:t>
            </w:r>
            <w:r w:rsidRPr="00F04AFB">
              <w:rPr>
                <w:lang w:val="fr-FR"/>
              </w:rPr>
              <w:t>:</w:t>
            </w:r>
            <w:r>
              <w:rPr>
                <w:lang w:val="fr-FR"/>
              </w:rPr>
              <w:t xml:space="preserve"> </w:t>
            </w:r>
            <w:r>
              <w:rPr>
                <w:lang w:val="fr-FR"/>
              </w:rPr>
              <w:br/>
            </w:r>
            <w:r w:rsidRPr="00F04AFB">
              <w:rPr>
                <w:lang w:val="fr-FR"/>
              </w:rPr>
              <w:t>100</w:t>
            </w:r>
            <w:r>
              <w:rPr>
                <w:lang w:val="fr-FR"/>
              </w:rPr>
              <w:t> </w:t>
            </w:r>
            <w:r w:rsidRPr="00F04AFB">
              <w:rPr>
                <w:lang w:val="fr-FR"/>
              </w:rPr>
              <w:t xml:space="preserve">amendements </w:t>
            </w:r>
            <w:r>
              <w:rPr>
                <w:lang w:val="fr-FR"/>
              </w:rPr>
              <w:br/>
            </w:r>
            <w:r w:rsidRPr="00F04AFB">
              <w:rPr>
                <w:lang w:val="fr-FR"/>
              </w:rPr>
              <w:t>et nouveaux règlements</w:t>
            </w:r>
          </w:p>
        </w:tc>
        <w:tc>
          <w:tcPr>
            <w:tcW w:w="2043" w:type="dxa"/>
            <w:shd w:val="clear" w:color="auto" w:fill="auto"/>
          </w:tcPr>
          <w:p w:rsidR="007342F5" w:rsidRPr="00533D1A" w:rsidRDefault="007342F5" w:rsidP="007A4FC5">
            <w:pPr>
              <w:tabs>
                <w:tab w:val="left" w:pos="288"/>
                <w:tab w:val="left" w:pos="576"/>
                <w:tab w:val="left" w:pos="864"/>
                <w:tab w:val="left" w:pos="1152"/>
              </w:tabs>
              <w:suppressAutoHyphens/>
              <w:spacing w:before="40" w:after="80"/>
              <w:ind w:left="576" w:right="115" w:hanging="576"/>
            </w:pPr>
          </w:p>
        </w:tc>
        <w:tc>
          <w:tcPr>
            <w:tcW w:w="4941" w:type="dxa"/>
            <w:vMerge w:val="restart"/>
            <w:shd w:val="clear" w:color="auto" w:fill="auto"/>
          </w:tcPr>
          <w:p w:rsidR="007342F5" w:rsidRPr="007342F5" w:rsidRDefault="007342F5" w:rsidP="0029066B">
            <w:pPr>
              <w:tabs>
                <w:tab w:val="left" w:pos="288"/>
                <w:tab w:val="left" w:pos="576"/>
                <w:tab w:val="left" w:pos="864"/>
                <w:tab w:val="left" w:pos="1152"/>
              </w:tabs>
              <w:suppressAutoHyphens/>
              <w:spacing w:before="40" w:after="80"/>
              <w:ind w:right="115"/>
              <w:rPr>
                <w:lang w:val="fr-CH"/>
              </w:rPr>
            </w:pPr>
            <w:r w:rsidRPr="007342F5">
              <w:rPr>
                <w:lang w:val="fr-FR"/>
              </w:rPr>
              <w:t>IS</w:t>
            </w:r>
            <w:r>
              <w:rPr>
                <w:lang w:val="fr-FR"/>
              </w:rPr>
              <w:t> </w:t>
            </w:r>
            <w:r w:rsidRPr="007342F5">
              <w:rPr>
                <w:lang w:val="fr-FR"/>
              </w:rPr>
              <w:t>2.</w:t>
            </w:r>
            <w:r w:rsidR="00233FB1">
              <w:rPr>
                <w:lang w:val="fr-FR"/>
              </w:rPr>
              <w:t> </w:t>
            </w:r>
            <w:r w:rsidRPr="007342F5">
              <w:rPr>
                <w:lang w:val="fr-FR"/>
              </w:rPr>
              <w:t>1</w:t>
            </w:r>
            <w:r>
              <w:rPr>
                <w:lang w:val="fr-FR"/>
              </w:rPr>
              <w:t> </w:t>
            </w:r>
            <w:r w:rsidRPr="007342F5">
              <w:rPr>
                <w:lang w:val="fr-FR"/>
              </w:rPr>
              <w:t>b)</w:t>
            </w:r>
            <w:r w:rsidR="0001772E">
              <w:rPr>
                <w:lang w:val="fr-FR"/>
              </w:rPr>
              <w:tab/>
            </w:r>
            <w:r w:rsidRPr="007342F5">
              <w:rPr>
                <w:lang w:val="fr-FR"/>
              </w:rPr>
              <w:t>Niveau de satisfaction des participants quant à l’utilité des renseignements obtenus ainsi que des réunions et des activités, mesuré au moyen d’enquêtes à</w:t>
            </w:r>
            <w:r w:rsidR="00C36E16">
              <w:rPr>
                <w:lang w:val="fr-FR"/>
              </w:rPr>
              <w:t> </w:t>
            </w:r>
            <w:r w:rsidRPr="007342F5">
              <w:rPr>
                <w:lang w:val="fr-FR"/>
              </w:rPr>
              <w:t>mener</w:t>
            </w:r>
          </w:p>
          <w:p w:rsidR="007342F5" w:rsidRPr="00533D1A" w:rsidRDefault="007342F5" w:rsidP="00514759">
            <w:pPr>
              <w:tabs>
                <w:tab w:val="left" w:pos="288"/>
                <w:tab w:val="left" w:pos="576"/>
                <w:tab w:val="left" w:pos="864"/>
                <w:tab w:val="left" w:pos="1152"/>
              </w:tabs>
              <w:suppressAutoHyphens/>
              <w:spacing w:before="40" w:after="80"/>
              <w:ind w:right="115"/>
            </w:pPr>
            <w:r w:rsidRPr="007342F5">
              <w:rPr>
                <w:i/>
                <w:iCs/>
                <w:lang w:val="fr-FR"/>
              </w:rPr>
              <w:t>Mesure des résultats</w:t>
            </w:r>
            <w:r>
              <w:rPr>
                <w:i/>
                <w:iCs/>
                <w:lang w:val="fr-FR"/>
              </w:rPr>
              <w:t> </w:t>
            </w:r>
            <w:r w:rsidRPr="007342F5">
              <w:rPr>
                <w:iCs/>
                <w:lang w:val="fr-FR"/>
              </w:rPr>
              <w:t>:</w:t>
            </w:r>
            <w:r w:rsidR="003D5433">
              <w:rPr>
                <w:iCs/>
                <w:lang w:val="fr-FR"/>
              </w:rPr>
              <w:t xml:space="preserve"> </w:t>
            </w:r>
            <w:r w:rsidRPr="007342F5">
              <w:rPr>
                <w:lang w:val="fr-FR"/>
              </w:rPr>
              <w:br/>
              <w:t>Référence 2014-2015</w:t>
            </w:r>
            <w:r>
              <w:rPr>
                <w:lang w:val="fr-FR"/>
              </w:rPr>
              <w:t> </w:t>
            </w:r>
            <w:r w:rsidRPr="007342F5">
              <w:rPr>
                <w:lang w:val="fr-FR"/>
              </w:rPr>
              <w:t>: 75</w:t>
            </w:r>
            <w:r>
              <w:rPr>
                <w:lang w:val="fr-FR"/>
              </w:rPr>
              <w:t> </w:t>
            </w:r>
            <w:r w:rsidRPr="007342F5">
              <w:rPr>
                <w:lang w:val="fr-FR"/>
              </w:rPr>
              <w:t>% de satisfaction</w:t>
            </w:r>
            <w:r>
              <w:rPr>
                <w:lang w:val="fr-FR"/>
              </w:rPr>
              <w:t xml:space="preserve"> </w:t>
            </w:r>
            <w:r w:rsidR="0001772E">
              <w:rPr>
                <w:lang w:val="fr-FR"/>
              </w:rPr>
              <w:br/>
            </w:r>
            <w:r w:rsidRPr="007342F5">
              <w:rPr>
                <w:lang w:val="fr-FR"/>
              </w:rPr>
              <w:t>Objectif 2016-2017</w:t>
            </w:r>
            <w:r>
              <w:rPr>
                <w:lang w:val="fr-FR"/>
              </w:rPr>
              <w:t> </w:t>
            </w:r>
            <w:r w:rsidRPr="007342F5">
              <w:rPr>
                <w:lang w:val="fr-FR"/>
              </w:rPr>
              <w:t>: 75</w:t>
            </w:r>
            <w:r>
              <w:rPr>
                <w:lang w:val="fr-FR"/>
              </w:rPr>
              <w:t> </w:t>
            </w:r>
            <w:r w:rsidRPr="007342F5">
              <w:rPr>
                <w:lang w:val="fr-FR"/>
              </w:rPr>
              <w:t>% de satisfaction</w:t>
            </w:r>
          </w:p>
        </w:tc>
      </w:tr>
      <w:tr w:rsidR="007342F5" w:rsidRPr="00533D1A" w:rsidTr="00165249">
        <w:tc>
          <w:tcPr>
            <w:tcW w:w="3042" w:type="dxa"/>
            <w:shd w:val="clear" w:color="auto" w:fill="auto"/>
          </w:tcPr>
          <w:p w:rsidR="00770E4E" w:rsidRPr="007342F5" w:rsidRDefault="00770E4E" w:rsidP="00165249">
            <w:pPr>
              <w:tabs>
                <w:tab w:val="left" w:pos="288"/>
                <w:tab w:val="left" w:pos="576"/>
                <w:tab w:val="left" w:pos="864"/>
                <w:tab w:val="left" w:pos="1152"/>
              </w:tabs>
              <w:suppressAutoHyphens/>
              <w:spacing w:before="40" w:after="80"/>
              <w:ind w:right="115"/>
              <w:rPr>
                <w:lang w:val="fr-CH"/>
              </w:rPr>
            </w:pPr>
            <w:r>
              <w:rPr>
                <w:lang w:val="fr-FR"/>
              </w:rPr>
              <w:t>IS </w:t>
            </w:r>
            <w:r w:rsidRPr="007342F5">
              <w:rPr>
                <w:lang w:val="fr-FR"/>
              </w:rPr>
              <w:t>a)</w:t>
            </w:r>
            <w:r>
              <w:rPr>
                <w:lang w:val="fr-FR"/>
              </w:rPr>
              <w:t> </w:t>
            </w:r>
            <w:r w:rsidRPr="007342F5">
              <w:rPr>
                <w:lang w:val="fr-FR"/>
              </w:rPr>
              <w:t>iii)</w:t>
            </w:r>
            <w:r>
              <w:rPr>
                <w:lang w:val="fr-FR"/>
              </w:rPr>
              <w:tab/>
            </w:r>
            <w:r w:rsidRPr="007342F5">
              <w:rPr>
                <w:lang w:val="fr-FR"/>
              </w:rPr>
              <w:t xml:space="preserve">Nombre d’instruments </w:t>
            </w:r>
            <w:r w:rsidRPr="0029066B">
              <w:rPr>
                <w:spacing w:val="2"/>
                <w:lang w:val="fr-FR"/>
              </w:rPr>
              <w:t>juridiques internationaux modifiés suite à la révision la plus récente des</w:t>
            </w:r>
            <w:r w:rsidRPr="007342F5">
              <w:rPr>
                <w:lang w:val="fr-FR"/>
              </w:rPr>
              <w:t xml:space="preserve"> Recommandations de l’ONU relatives au transport des marchandises dangereuses</w:t>
            </w:r>
          </w:p>
          <w:p w:rsidR="007342F5" w:rsidRPr="00533D1A" w:rsidRDefault="00770E4E" w:rsidP="00165249">
            <w:pPr>
              <w:tabs>
                <w:tab w:val="left" w:pos="288"/>
                <w:tab w:val="left" w:pos="576"/>
                <w:tab w:val="left" w:pos="864"/>
                <w:tab w:val="left" w:pos="1152"/>
              </w:tabs>
              <w:suppressAutoHyphens/>
              <w:spacing w:before="40" w:after="80"/>
              <w:ind w:right="115"/>
            </w:pPr>
            <w:r w:rsidRPr="007342F5">
              <w:rPr>
                <w:i/>
                <w:lang w:val="fr-FR"/>
              </w:rPr>
              <w:t>Mesure des résultats</w:t>
            </w:r>
            <w:r>
              <w:rPr>
                <w:i/>
                <w:lang w:val="fr-FR"/>
              </w:rPr>
              <w:t xml:space="preserve"> </w:t>
            </w:r>
            <w:r w:rsidRPr="007342F5">
              <w:rPr>
                <w:lang w:val="fr-FR"/>
              </w:rPr>
              <w:br/>
              <w:t>Référence 2015</w:t>
            </w:r>
            <w:r>
              <w:rPr>
                <w:lang w:val="fr-FR"/>
              </w:rPr>
              <w:t> </w:t>
            </w:r>
            <w:r w:rsidRPr="007342F5">
              <w:rPr>
                <w:lang w:val="fr-FR"/>
              </w:rPr>
              <w:t xml:space="preserve">: </w:t>
            </w:r>
            <w:r>
              <w:rPr>
                <w:lang w:val="fr-FR"/>
              </w:rPr>
              <w:br/>
            </w:r>
            <w:r w:rsidRPr="007342F5">
              <w:rPr>
                <w:lang w:val="fr-FR"/>
              </w:rPr>
              <w:t>6</w:t>
            </w:r>
            <w:r>
              <w:rPr>
                <w:lang w:val="fr-FR"/>
              </w:rPr>
              <w:t> </w:t>
            </w:r>
            <w:r w:rsidRPr="007342F5">
              <w:rPr>
                <w:lang w:val="fr-FR"/>
              </w:rPr>
              <w:t>instruments juridiques</w:t>
            </w:r>
            <w:r>
              <w:rPr>
                <w:lang w:val="fr-FR"/>
              </w:rPr>
              <w:t xml:space="preserve"> </w:t>
            </w:r>
            <w:r w:rsidRPr="007342F5">
              <w:rPr>
                <w:lang w:val="fr-FR"/>
              </w:rPr>
              <w:br/>
              <w:t>Objectif 2016-2017</w:t>
            </w:r>
            <w:r>
              <w:rPr>
                <w:lang w:val="fr-FR"/>
              </w:rPr>
              <w:t> </w:t>
            </w:r>
            <w:r w:rsidRPr="007342F5">
              <w:rPr>
                <w:lang w:val="fr-FR"/>
              </w:rPr>
              <w:t>: 6</w:t>
            </w:r>
            <w:r>
              <w:rPr>
                <w:lang w:val="fr-FR"/>
              </w:rPr>
              <w:t> </w:t>
            </w:r>
            <w:r w:rsidRPr="007342F5">
              <w:rPr>
                <w:lang w:val="fr-FR"/>
              </w:rPr>
              <w:t>instruments juridiques</w:t>
            </w:r>
          </w:p>
        </w:tc>
        <w:tc>
          <w:tcPr>
            <w:tcW w:w="2043" w:type="dxa"/>
            <w:shd w:val="clear" w:color="auto" w:fill="auto"/>
          </w:tcPr>
          <w:p w:rsidR="007342F5" w:rsidRPr="00533D1A" w:rsidRDefault="007342F5" w:rsidP="00165249">
            <w:pPr>
              <w:tabs>
                <w:tab w:val="left" w:pos="288"/>
                <w:tab w:val="left" w:pos="576"/>
                <w:tab w:val="left" w:pos="864"/>
                <w:tab w:val="left" w:pos="1152"/>
              </w:tabs>
              <w:suppressAutoHyphens/>
              <w:spacing w:before="40" w:after="80"/>
              <w:ind w:right="115"/>
            </w:pPr>
          </w:p>
        </w:tc>
        <w:tc>
          <w:tcPr>
            <w:tcW w:w="4941" w:type="dxa"/>
            <w:vMerge/>
            <w:shd w:val="clear" w:color="auto" w:fill="auto"/>
          </w:tcPr>
          <w:p w:rsidR="007342F5" w:rsidRPr="00533D1A" w:rsidRDefault="007342F5" w:rsidP="00165249">
            <w:pPr>
              <w:tabs>
                <w:tab w:val="left" w:pos="288"/>
                <w:tab w:val="left" w:pos="576"/>
                <w:tab w:val="left" w:pos="864"/>
                <w:tab w:val="left" w:pos="1152"/>
              </w:tabs>
              <w:suppressAutoHyphens/>
              <w:spacing w:before="40" w:after="80"/>
              <w:ind w:right="115"/>
            </w:pPr>
          </w:p>
        </w:tc>
      </w:tr>
      <w:tr w:rsidR="00533D1A" w:rsidRPr="00533D1A" w:rsidTr="00165249">
        <w:tc>
          <w:tcPr>
            <w:tcW w:w="3042" w:type="dxa"/>
            <w:shd w:val="clear" w:color="auto" w:fill="auto"/>
          </w:tcPr>
          <w:p w:rsidR="00533D1A" w:rsidRPr="00533D1A" w:rsidRDefault="00533D1A" w:rsidP="00165249">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9E2063" w:rsidP="00165249">
            <w:pPr>
              <w:keepNext/>
              <w:keepLines/>
              <w:tabs>
                <w:tab w:val="left" w:pos="288"/>
                <w:tab w:val="left" w:pos="576"/>
                <w:tab w:val="left" w:pos="864"/>
                <w:tab w:val="left" w:pos="1152"/>
              </w:tabs>
              <w:suppressAutoHyphens/>
              <w:spacing w:before="40" w:after="80"/>
              <w:ind w:left="576" w:right="115" w:hanging="576"/>
            </w:pPr>
            <w:r w:rsidRPr="009E2063">
              <w:rPr>
                <w:lang w:val="fr-FR"/>
              </w:rPr>
              <w:t>3.</w:t>
            </w:r>
            <w:r w:rsidRPr="009E2063">
              <w:rPr>
                <w:lang w:val="fr-FR"/>
              </w:rPr>
              <w:tab/>
            </w:r>
            <w:r w:rsidR="007F242A" w:rsidRPr="007F242A">
              <w:rPr>
                <w:spacing w:val="2"/>
                <w:lang w:val="fr-FR"/>
              </w:rPr>
              <w:tab/>
            </w:r>
            <w:r w:rsidRPr="007F242A">
              <w:rPr>
                <w:spacing w:val="2"/>
                <w:lang w:val="fr-FR"/>
              </w:rPr>
              <w:t xml:space="preserve">Harmonisation </w:t>
            </w:r>
            <w:r w:rsidRPr="001857B9">
              <w:rPr>
                <w:spacing w:val="2"/>
                <w:lang w:val="fr-FR"/>
              </w:rPr>
              <w:t>des Règlements</w:t>
            </w:r>
            <w:r w:rsidRPr="009E2063">
              <w:rPr>
                <w:lang w:val="fr-FR"/>
              </w:rPr>
              <w:t xml:space="preserve"> concernant les</w:t>
            </w:r>
            <w:r w:rsidR="0029066B">
              <w:rPr>
                <w:lang w:val="fr-FR"/>
              </w:rPr>
              <w:t xml:space="preserve"> </w:t>
            </w:r>
            <w:r w:rsidRPr="009E2063">
              <w:rPr>
                <w:lang w:val="fr-FR"/>
              </w:rPr>
              <w:t>véhicules</w:t>
            </w:r>
          </w:p>
        </w:tc>
        <w:tc>
          <w:tcPr>
            <w:tcW w:w="4941" w:type="dxa"/>
            <w:shd w:val="clear" w:color="auto" w:fill="auto"/>
          </w:tcPr>
          <w:p w:rsidR="00533D1A" w:rsidRPr="00533D1A" w:rsidRDefault="009E2063" w:rsidP="00233FB1">
            <w:pPr>
              <w:keepNext/>
              <w:keepLines/>
              <w:tabs>
                <w:tab w:val="left" w:pos="288"/>
                <w:tab w:val="left" w:pos="576"/>
                <w:tab w:val="left" w:pos="864"/>
                <w:tab w:val="left" w:pos="1152"/>
              </w:tabs>
              <w:suppressAutoHyphens/>
              <w:spacing w:before="40" w:after="80"/>
              <w:ind w:right="115"/>
            </w:pPr>
            <w:r w:rsidRPr="009E2063">
              <w:rPr>
                <w:lang w:val="fr-FR"/>
              </w:rPr>
              <w:t>R.E</w:t>
            </w:r>
            <w:r w:rsidR="00233FB1">
              <w:rPr>
                <w:lang w:val="fr-FR"/>
              </w:rPr>
              <w:t> </w:t>
            </w:r>
            <w:r w:rsidRPr="009E2063">
              <w:rPr>
                <w:lang w:val="fr-FR"/>
              </w:rPr>
              <w:t>3.</w:t>
            </w:r>
            <w:r>
              <w:rPr>
                <w:lang w:val="fr-FR"/>
              </w:rPr>
              <w:tab/>
            </w:r>
            <w:r w:rsidR="0029066B">
              <w:rPr>
                <w:lang w:val="fr-FR"/>
              </w:rPr>
              <w:tab/>
            </w:r>
            <w:r w:rsidRPr="009E2063">
              <w:rPr>
                <w:lang w:val="fr-FR"/>
              </w:rPr>
              <w:t>Établissement de nouveaux Règlements concernant les véhicules et d’amendement aux Règlements existants pour rendre les véhicules plus sûrs et plus écologiques</w:t>
            </w:r>
          </w:p>
        </w:tc>
      </w:tr>
      <w:tr w:rsidR="00533D1A" w:rsidRPr="00533D1A" w:rsidTr="00165249">
        <w:tc>
          <w:tcPr>
            <w:tcW w:w="3042" w:type="dxa"/>
            <w:shd w:val="clear" w:color="auto" w:fill="auto"/>
          </w:tcPr>
          <w:p w:rsidR="00533D1A" w:rsidRPr="00533D1A" w:rsidRDefault="00533D1A" w:rsidP="00165249">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165249">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9E2063" w:rsidRPr="002417E0" w:rsidRDefault="009E2063" w:rsidP="00165249">
            <w:pPr>
              <w:keepNext/>
              <w:keepLines/>
              <w:tabs>
                <w:tab w:val="left" w:pos="288"/>
                <w:tab w:val="left" w:pos="576"/>
                <w:tab w:val="left" w:pos="864"/>
                <w:tab w:val="left" w:pos="1152"/>
              </w:tabs>
              <w:suppressAutoHyphens/>
              <w:spacing w:before="40" w:after="80"/>
              <w:ind w:right="43"/>
              <w:rPr>
                <w:spacing w:val="-2"/>
                <w:lang w:val="fr-CH"/>
              </w:rPr>
            </w:pPr>
            <w:r w:rsidRPr="002417E0">
              <w:rPr>
                <w:spacing w:val="-2"/>
                <w:lang w:val="fr-FR"/>
              </w:rPr>
              <w:t>IS 3 a)</w:t>
            </w:r>
            <w:r w:rsidRPr="002417E0">
              <w:rPr>
                <w:spacing w:val="-2"/>
                <w:lang w:val="fr-FR"/>
              </w:rPr>
              <w:tab/>
            </w:r>
            <w:r w:rsidR="00C36E16" w:rsidRPr="002417E0">
              <w:rPr>
                <w:spacing w:val="-2"/>
                <w:lang w:val="fr-FR"/>
              </w:rPr>
              <w:tab/>
            </w:r>
            <w:r w:rsidRPr="002417E0">
              <w:rPr>
                <w:spacing w:val="-2"/>
                <w:lang w:val="fr-FR"/>
              </w:rPr>
              <w:t xml:space="preserve">Adoption de nouveaux Règlements concernant les </w:t>
            </w:r>
            <w:r w:rsidRPr="002417E0">
              <w:rPr>
                <w:spacing w:val="0"/>
                <w:lang w:val="fr-FR"/>
              </w:rPr>
              <w:t>véhicules (Règlements et RTM de l’ONU) et de nouvelles</w:t>
            </w:r>
            <w:r w:rsidRPr="002417E0">
              <w:rPr>
                <w:spacing w:val="-2"/>
                <w:lang w:val="fr-FR"/>
              </w:rPr>
              <w:t xml:space="preserve"> </w:t>
            </w:r>
            <w:r w:rsidRPr="002417E0">
              <w:rPr>
                <w:lang w:val="fr-FR"/>
              </w:rPr>
              <w:t>Règles de l’ONU ainsi que d’ame</w:t>
            </w:r>
            <w:r w:rsidR="0029066B" w:rsidRPr="002417E0">
              <w:rPr>
                <w:lang w:val="fr-FR"/>
              </w:rPr>
              <w:t>ndements y</w:t>
            </w:r>
            <w:r w:rsidR="00233FB1">
              <w:rPr>
                <w:lang w:val="fr-FR"/>
              </w:rPr>
              <w:t> </w:t>
            </w:r>
            <w:r w:rsidR="0029066B" w:rsidRPr="002417E0">
              <w:rPr>
                <w:lang w:val="fr-FR"/>
              </w:rPr>
              <w:t>relatifs</w:t>
            </w:r>
          </w:p>
          <w:p w:rsidR="00533D1A" w:rsidRPr="00533D1A" w:rsidRDefault="009E2063" w:rsidP="00165249">
            <w:pPr>
              <w:keepNext/>
              <w:keepLines/>
              <w:tabs>
                <w:tab w:val="left" w:pos="288"/>
                <w:tab w:val="left" w:pos="576"/>
                <w:tab w:val="left" w:pos="864"/>
                <w:tab w:val="left" w:pos="1152"/>
              </w:tabs>
              <w:suppressAutoHyphens/>
              <w:spacing w:before="40" w:after="80"/>
              <w:ind w:right="115"/>
            </w:pPr>
            <w:r w:rsidRPr="009E2063">
              <w:rPr>
                <w:i/>
                <w:lang w:val="fr-FR"/>
              </w:rPr>
              <w:t>Mesure des résultats</w:t>
            </w:r>
            <w:r>
              <w:rPr>
                <w:lang w:val="fr-FR"/>
              </w:rPr>
              <w:t> </w:t>
            </w:r>
            <w:r w:rsidRPr="009E2063">
              <w:rPr>
                <w:lang w:val="fr-FR"/>
              </w:rPr>
              <w:t>:</w:t>
            </w:r>
            <w:r>
              <w:rPr>
                <w:lang w:val="fr-FR"/>
              </w:rPr>
              <w:t xml:space="preserve"> </w:t>
            </w:r>
            <w:r w:rsidRPr="009E2063">
              <w:rPr>
                <w:lang w:val="fr-FR"/>
              </w:rPr>
              <w:br/>
              <w:t>Référence 2014</w:t>
            </w:r>
            <w:r>
              <w:rPr>
                <w:lang w:val="fr-FR"/>
              </w:rPr>
              <w:t>-2015 </w:t>
            </w:r>
            <w:r w:rsidRPr="009E2063">
              <w:rPr>
                <w:lang w:val="fr-FR"/>
              </w:rPr>
              <w:t>: 169 amendements et nouveaux</w:t>
            </w:r>
            <w:r w:rsidR="0029066B">
              <w:rPr>
                <w:lang w:val="fr-FR"/>
              </w:rPr>
              <w:t xml:space="preserve"> </w:t>
            </w:r>
            <w:r w:rsidRPr="009E2063">
              <w:rPr>
                <w:lang w:val="fr-FR"/>
              </w:rPr>
              <w:t>règlements adoptés jusqu’à juin 2013 et textes attendus p</w:t>
            </w:r>
            <w:r>
              <w:rPr>
                <w:lang w:val="fr-FR"/>
              </w:rPr>
              <w:t xml:space="preserve">our la session de novembre 2015 </w:t>
            </w:r>
            <w:r>
              <w:rPr>
                <w:lang w:val="fr-FR"/>
              </w:rPr>
              <w:br/>
            </w:r>
            <w:r w:rsidRPr="009E2063">
              <w:rPr>
                <w:lang w:val="fr-FR"/>
              </w:rPr>
              <w:t>Objectif 2016</w:t>
            </w:r>
            <w:r>
              <w:rPr>
                <w:lang w:val="fr-FR"/>
              </w:rPr>
              <w:t>-</w:t>
            </w:r>
            <w:r w:rsidRPr="009E2063">
              <w:rPr>
                <w:lang w:val="fr-FR"/>
              </w:rPr>
              <w:t>2017</w:t>
            </w:r>
            <w:r>
              <w:rPr>
                <w:lang w:val="fr-FR"/>
              </w:rPr>
              <w:t> </w:t>
            </w:r>
            <w:r w:rsidRPr="009E2063">
              <w:rPr>
                <w:lang w:val="fr-FR"/>
              </w:rPr>
              <w:t>: 130 amendements et nouveaux règlements</w:t>
            </w:r>
          </w:p>
        </w:tc>
      </w:tr>
      <w:tr w:rsidR="00533D1A" w:rsidRPr="00533D1A" w:rsidTr="00165249">
        <w:tc>
          <w:tcPr>
            <w:tcW w:w="3042" w:type="dxa"/>
            <w:shd w:val="clear" w:color="auto" w:fill="auto"/>
          </w:tcPr>
          <w:p w:rsidR="00533D1A" w:rsidRPr="00533D1A" w:rsidRDefault="00533D1A" w:rsidP="001857B9">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1857B9">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5B280C" w:rsidRDefault="00447605" w:rsidP="001857B9">
            <w:pPr>
              <w:keepNext/>
              <w:keepLines/>
              <w:tabs>
                <w:tab w:val="left" w:pos="288"/>
                <w:tab w:val="left" w:pos="576"/>
                <w:tab w:val="left" w:pos="864"/>
                <w:tab w:val="left" w:pos="1152"/>
              </w:tabs>
              <w:suppressAutoHyphens/>
              <w:spacing w:before="40" w:after="80"/>
              <w:ind w:right="115"/>
              <w:rPr>
                <w:lang w:val="fr-FR"/>
              </w:rPr>
            </w:pPr>
            <w:r>
              <w:rPr>
                <w:lang w:val="fr-FR"/>
              </w:rPr>
              <w:t>IS 3 b)</w:t>
            </w:r>
            <w:r>
              <w:rPr>
                <w:lang w:val="fr-FR"/>
              </w:rPr>
              <w:tab/>
              <w:t>Un</w:t>
            </w:r>
            <w:r w:rsidR="00233FB1">
              <w:rPr>
                <w:lang w:val="fr-FR"/>
              </w:rPr>
              <w:t xml:space="preserve">e publication sur le WP.29 et </w:t>
            </w:r>
            <w:r>
              <w:rPr>
                <w:lang w:val="fr-FR"/>
              </w:rPr>
              <w:t>une brochure sur les véhicules autonomes</w:t>
            </w:r>
          </w:p>
          <w:p w:rsidR="00533D1A" w:rsidRPr="00533D1A" w:rsidRDefault="00447605" w:rsidP="001857B9">
            <w:pPr>
              <w:keepNext/>
              <w:keepLines/>
              <w:tabs>
                <w:tab w:val="left" w:pos="288"/>
                <w:tab w:val="left" w:pos="576"/>
                <w:tab w:val="left" w:pos="864"/>
                <w:tab w:val="left" w:pos="1152"/>
              </w:tabs>
              <w:suppressAutoHyphens/>
              <w:spacing w:before="40" w:after="80"/>
              <w:ind w:right="115"/>
            </w:pPr>
            <w:r>
              <w:rPr>
                <w:i/>
                <w:lang w:val="fr-FR"/>
              </w:rPr>
              <w:t>Mesure des résultats </w:t>
            </w:r>
            <w:r>
              <w:rPr>
                <w:lang w:val="fr-FR"/>
              </w:rPr>
              <w:t xml:space="preserve">: </w:t>
            </w:r>
            <w:r>
              <w:rPr>
                <w:lang w:val="fr-FR"/>
              </w:rPr>
              <w:br/>
              <w:t>Référence 2014-2015 :</w:t>
            </w:r>
            <w:r w:rsidR="005B280C">
              <w:rPr>
                <w:lang w:val="fr-FR"/>
              </w:rPr>
              <w:t xml:space="preserve"> </w:t>
            </w:r>
            <w:r>
              <w:rPr>
                <w:lang w:val="fr-FR"/>
              </w:rPr>
              <w:br/>
              <w:t>Une publication sur les casques de protection pour motocyclistes et une brochure sur les dispositifs de retenue pour enfants</w:t>
            </w:r>
            <w:r w:rsidR="005B280C">
              <w:rPr>
                <w:lang w:val="fr-FR"/>
              </w:rPr>
              <w:t xml:space="preserve"> </w:t>
            </w:r>
            <w:r w:rsidR="005B280C">
              <w:rPr>
                <w:lang w:val="fr-FR"/>
              </w:rPr>
              <w:br/>
            </w:r>
            <w:r>
              <w:rPr>
                <w:lang w:val="fr-FR"/>
              </w:rPr>
              <w:t>Objectif 2014-2015 : 1 publication sur les casques et 1</w:t>
            </w:r>
            <w:r w:rsidR="0029066B">
              <w:rPr>
                <w:lang w:val="fr-FR"/>
              </w:rPr>
              <w:t> </w:t>
            </w:r>
            <w:r>
              <w:rPr>
                <w:lang w:val="fr-FR"/>
              </w:rPr>
              <w:t>brochure sur les dispositifs de retenue pour enfants</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6369EC" w:rsidP="007F242A">
            <w:pPr>
              <w:tabs>
                <w:tab w:val="left" w:pos="288"/>
                <w:tab w:val="left" w:pos="576"/>
                <w:tab w:val="left" w:pos="864"/>
                <w:tab w:val="left" w:pos="1152"/>
              </w:tabs>
              <w:suppressAutoHyphens/>
              <w:spacing w:before="40" w:after="80"/>
              <w:ind w:left="576" w:right="115" w:hanging="576"/>
            </w:pPr>
            <w:r w:rsidRPr="006369EC">
              <w:rPr>
                <w:lang w:val="fr-FR"/>
              </w:rPr>
              <w:t>4.</w:t>
            </w:r>
            <w:r w:rsidRPr="006369EC">
              <w:rPr>
                <w:lang w:val="fr-FR"/>
              </w:rPr>
              <w:tab/>
            </w:r>
            <w:r w:rsidR="007F242A">
              <w:rPr>
                <w:lang w:val="fr-FR"/>
              </w:rPr>
              <w:tab/>
            </w:r>
            <w:r w:rsidRPr="006369EC">
              <w:rPr>
                <w:lang w:val="fr-FR"/>
              </w:rPr>
              <w:t xml:space="preserve">Transport ferroviaire </w:t>
            </w:r>
            <w:r>
              <w:rPr>
                <w:lang w:val="fr-FR"/>
              </w:rPr>
              <w:t>[</w:t>
            </w:r>
            <w:r w:rsidRPr="006369EC">
              <w:rPr>
                <w:lang w:val="fr-FR"/>
              </w:rPr>
              <w:t>projet de chemin de fer transeuropéen (TER)</w:t>
            </w:r>
            <w:r>
              <w:rPr>
                <w:lang w:val="fr-FR"/>
              </w:rPr>
              <w:t>]</w:t>
            </w:r>
          </w:p>
        </w:tc>
        <w:tc>
          <w:tcPr>
            <w:tcW w:w="4941" w:type="dxa"/>
            <w:shd w:val="clear" w:color="auto" w:fill="auto"/>
          </w:tcPr>
          <w:p w:rsidR="00533D1A" w:rsidRPr="00533D1A" w:rsidRDefault="006369EC" w:rsidP="00233FB1">
            <w:pPr>
              <w:tabs>
                <w:tab w:val="left" w:pos="288"/>
                <w:tab w:val="left" w:pos="576"/>
                <w:tab w:val="left" w:pos="864"/>
                <w:tab w:val="left" w:pos="1152"/>
              </w:tabs>
              <w:suppressAutoHyphens/>
              <w:spacing w:before="40" w:after="80"/>
              <w:ind w:right="115"/>
            </w:pPr>
            <w:r w:rsidRPr="006369EC">
              <w:rPr>
                <w:lang w:val="fr-FR"/>
              </w:rPr>
              <w:t>RE</w:t>
            </w:r>
            <w:r>
              <w:rPr>
                <w:lang w:val="fr-FR"/>
              </w:rPr>
              <w:t> </w:t>
            </w:r>
            <w:r w:rsidRPr="006369EC">
              <w:rPr>
                <w:lang w:val="fr-FR"/>
              </w:rPr>
              <w:t>4</w:t>
            </w:r>
            <w:r>
              <w:rPr>
                <w:lang w:val="fr-FR"/>
              </w:rPr>
              <w:t> </w:t>
            </w:r>
            <w:r w:rsidRPr="006369EC">
              <w:rPr>
                <w:lang w:val="fr-FR"/>
              </w:rPr>
              <w:t>a</w:t>
            </w:r>
            <w:r w:rsidR="00233FB1">
              <w:rPr>
                <w:lang w:val="fr-FR"/>
              </w:rPr>
              <w:t>)</w:t>
            </w:r>
            <w:r>
              <w:rPr>
                <w:lang w:val="fr-FR"/>
              </w:rPr>
              <w:tab/>
            </w:r>
            <w:r w:rsidRPr="006369EC">
              <w:rPr>
                <w:lang w:val="fr-FR"/>
              </w:rPr>
              <w:t>Meilleure compréhension des activités et des</w:t>
            </w:r>
            <w:r w:rsidR="005B280C">
              <w:rPr>
                <w:lang w:val="fr-FR"/>
              </w:rPr>
              <w:t xml:space="preserve"> </w:t>
            </w:r>
            <w:r w:rsidRPr="006369EC">
              <w:rPr>
                <w:lang w:val="fr-FR"/>
              </w:rPr>
              <w:t>politiques en matière de trans</w:t>
            </w:r>
            <w:r w:rsidR="0029066B">
              <w:rPr>
                <w:lang w:val="fr-FR"/>
              </w:rPr>
              <w:t>port ferroviaire dans</w:t>
            </w:r>
            <w:r w:rsidR="005B280C">
              <w:rPr>
                <w:lang w:val="fr-FR"/>
              </w:rPr>
              <w:t xml:space="preserve"> </w:t>
            </w:r>
            <w:r w:rsidRPr="006369EC">
              <w:rPr>
                <w:lang w:val="fr-FR"/>
              </w:rPr>
              <w:t xml:space="preserve">la </w:t>
            </w:r>
            <w:r w:rsidRPr="00C36E16">
              <w:rPr>
                <w:spacing w:val="2"/>
                <w:lang w:val="fr-FR"/>
              </w:rPr>
              <w:t>région, n</w:t>
            </w:r>
            <w:r w:rsidR="0029066B" w:rsidRPr="00C36E16">
              <w:rPr>
                <w:spacing w:val="2"/>
                <w:lang w:val="fr-FR"/>
              </w:rPr>
              <w:t>otamment en ce qui concerne les</w:t>
            </w:r>
            <w:r w:rsidR="005B280C" w:rsidRPr="00C36E16">
              <w:rPr>
                <w:spacing w:val="2"/>
                <w:lang w:val="fr-FR"/>
              </w:rPr>
              <w:t xml:space="preserve"> </w:t>
            </w:r>
            <w:r w:rsidRPr="00C36E16">
              <w:rPr>
                <w:spacing w:val="2"/>
                <w:lang w:val="fr-FR"/>
              </w:rPr>
              <w:t xml:space="preserve">infrastructures, le passage des frontières, l’interopérabilité </w:t>
            </w:r>
            <w:r w:rsidR="00100875">
              <w:rPr>
                <w:lang w:val="fr-FR"/>
              </w:rPr>
              <w:t>ainsi que le </w:t>
            </w:r>
            <w:r w:rsidRPr="006369EC">
              <w:rPr>
                <w:lang w:val="fr-FR"/>
              </w:rPr>
              <w:t>suivi et l’actualisation des instruments juridiques pertinents, et</w:t>
            </w:r>
            <w:r>
              <w:rPr>
                <w:lang w:val="fr-FR"/>
              </w:rPr>
              <w:t xml:space="preserve"> </w:t>
            </w:r>
            <w:r w:rsidRPr="006369EC">
              <w:rPr>
                <w:lang w:val="fr-FR"/>
              </w:rPr>
              <w:t>renforcement de la coopération entre les</w:t>
            </w:r>
            <w:r w:rsidR="00100875">
              <w:rPr>
                <w:lang w:val="fr-FR"/>
              </w:rPr>
              <w:t> </w:t>
            </w:r>
            <w:r w:rsidRPr="006369EC">
              <w:rPr>
                <w:lang w:val="fr-FR"/>
              </w:rPr>
              <w:t xml:space="preserve">pays membres de la CEE dans la mise en </w:t>
            </w:r>
            <w:r w:rsidR="00C36E16">
              <w:rPr>
                <w:lang w:val="fr-FR"/>
              </w:rPr>
              <w:t xml:space="preserve">œuvre </w:t>
            </w:r>
            <w:r w:rsidRPr="006369EC">
              <w:rPr>
                <w:lang w:val="fr-FR"/>
              </w:rPr>
              <w:t>desdites activités et politiques</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5B280C" w:rsidRDefault="00921727" w:rsidP="00233FB1">
            <w:pPr>
              <w:tabs>
                <w:tab w:val="left" w:pos="288"/>
                <w:tab w:val="left" w:pos="576"/>
                <w:tab w:val="left" w:pos="864"/>
                <w:tab w:val="left" w:pos="1152"/>
              </w:tabs>
              <w:suppressAutoHyphens/>
              <w:spacing w:before="40" w:after="80"/>
              <w:ind w:right="115"/>
              <w:rPr>
                <w:lang w:val="fr-FR"/>
              </w:rPr>
            </w:pPr>
            <w:r w:rsidRPr="00094E56">
              <w:rPr>
                <w:spacing w:val="0"/>
                <w:w w:val="100"/>
                <w:lang w:val="fr-FR"/>
              </w:rPr>
              <w:t>IS 4 </w:t>
            </w:r>
            <w:r w:rsidR="00233FB1" w:rsidRPr="00094E56">
              <w:rPr>
                <w:spacing w:val="0"/>
                <w:w w:val="100"/>
                <w:lang w:val="fr-FR"/>
              </w:rPr>
              <w:t>a)</w:t>
            </w:r>
            <w:r w:rsidR="0029066B" w:rsidRPr="00094E56">
              <w:rPr>
                <w:spacing w:val="0"/>
                <w:w w:val="100"/>
                <w:lang w:val="fr-FR"/>
              </w:rPr>
              <w:t> </w:t>
            </w:r>
            <w:r w:rsidRPr="00094E56">
              <w:rPr>
                <w:spacing w:val="0"/>
                <w:w w:val="100"/>
                <w:lang w:val="fr-FR"/>
              </w:rPr>
              <w:t>a)</w:t>
            </w:r>
            <w:r w:rsidR="0029066B" w:rsidRPr="0029066B">
              <w:rPr>
                <w:lang w:val="fr-FR"/>
              </w:rPr>
              <w:tab/>
            </w:r>
            <w:r w:rsidRPr="0029066B">
              <w:rPr>
                <w:lang w:val="fr-FR"/>
              </w:rPr>
              <w:t>Nombre de pays, d’organisations intergouvernementales (OIG) et d’organisations non</w:t>
            </w:r>
            <w:r w:rsidR="0029066B" w:rsidRPr="0029066B">
              <w:rPr>
                <w:lang w:val="fr-FR"/>
              </w:rPr>
              <w:t xml:space="preserve"> </w:t>
            </w:r>
            <w:r w:rsidRPr="0029066B">
              <w:rPr>
                <w:lang w:val="fr-FR"/>
              </w:rPr>
              <w:t>gouvernementales (ONG) participant aux deux réunions annuelles du Groupe de travail des transports par chemin de fer et au projet TER</w:t>
            </w:r>
            <w:r w:rsidR="00233FB1">
              <w:rPr>
                <w:lang w:val="fr-FR"/>
              </w:rPr>
              <w:t>,</w:t>
            </w:r>
            <w:r w:rsidRPr="0029066B">
              <w:rPr>
                <w:lang w:val="fr-FR"/>
              </w:rPr>
              <w:t xml:space="preserve"> et degré de satisfaction révélé par les enquêtes</w:t>
            </w:r>
          </w:p>
          <w:p w:rsidR="00533D1A" w:rsidRPr="00533D1A" w:rsidRDefault="00921727" w:rsidP="001857B9">
            <w:pPr>
              <w:tabs>
                <w:tab w:val="left" w:pos="288"/>
                <w:tab w:val="left" w:pos="576"/>
                <w:tab w:val="left" w:pos="864"/>
                <w:tab w:val="left" w:pos="1152"/>
              </w:tabs>
              <w:suppressAutoHyphens/>
              <w:spacing w:before="40" w:after="80"/>
              <w:ind w:right="115"/>
            </w:pPr>
            <w:r w:rsidRPr="00921727">
              <w:rPr>
                <w:i/>
                <w:lang w:val="fr-FR"/>
              </w:rPr>
              <w:t>Mesure des résultats</w:t>
            </w:r>
            <w:r>
              <w:rPr>
                <w:i/>
                <w:lang w:val="fr-FR"/>
              </w:rPr>
              <w:t> </w:t>
            </w:r>
            <w:r w:rsidRPr="00921727">
              <w:rPr>
                <w:lang w:val="fr-FR"/>
              </w:rPr>
              <w:t>:</w:t>
            </w:r>
            <w:r>
              <w:rPr>
                <w:lang w:val="fr-FR"/>
              </w:rPr>
              <w:t xml:space="preserve"> </w:t>
            </w:r>
            <w:r w:rsidRPr="00921727">
              <w:rPr>
                <w:lang w:val="fr-FR"/>
              </w:rPr>
              <w:br/>
              <w:t>Référence 2014</w:t>
            </w:r>
            <w:r>
              <w:rPr>
                <w:lang w:val="fr-FR"/>
              </w:rPr>
              <w:t>-2015 </w:t>
            </w:r>
            <w:r w:rsidRPr="00921727">
              <w:rPr>
                <w:lang w:val="fr-FR"/>
              </w:rPr>
              <w:t>:</w:t>
            </w:r>
            <w:r w:rsidR="003455BC">
              <w:rPr>
                <w:lang w:val="fr-FR"/>
              </w:rPr>
              <w:t xml:space="preserve"> </w:t>
            </w:r>
            <w:r w:rsidRPr="00921727">
              <w:rPr>
                <w:lang w:val="fr-FR"/>
              </w:rPr>
              <w:t>40</w:t>
            </w:r>
            <w:r>
              <w:rPr>
                <w:lang w:val="fr-FR"/>
              </w:rPr>
              <w:t xml:space="preserve"> </w:t>
            </w:r>
            <w:r w:rsidRPr="00921727">
              <w:rPr>
                <w:lang w:val="fr-FR"/>
              </w:rPr>
              <w:br/>
              <w:t>Objectif</w:t>
            </w:r>
            <w:r>
              <w:rPr>
                <w:lang w:val="fr-FR"/>
              </w:rPr>
              <w:t> </w:t>
            </w:r>
            <w:r w:rsidRPr="00921727">
              <w:rPr>
                <w:lang w:val="fr-FR"/>
              </w:rPr>
              <w:t>: 2016-2017</w:t>
            </w:r>
            <w:r>
              <w:rPr>
                <w:lang w:val="fr-FR"/>
              </w:rPr>
              <w:t> </w:t>
            </w:r>
            <w:r w:rsidRPr="00921727">
              <w:rPr>
                <w:lang w:val="fr-FR"/>
              </w:rPr>
              <w:t>: 40</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AA34B7" w:rsidRPr="0029066B" w:rsidRDefault="00AA34B7" w:rsidP="00C36E16">
            <w:pPr>
              <w:tabs>
                <w:tab w:val="left" w:pos="288"/>
                <w:tab w:val="left" w:pos="576"/>
                <w:tab w:val="left" w:pos="864"/>
                <w:tab w:val="left" w:pos="1152"/>
              </w:tabs>
              <w:suppressAutoHyphens/>
              <w:spacing w:before="40" w:after="80"/>
              <w:ind w:right="115"/>
              <w:rPr>
                <w:lang w:val="fr-CH"/>
              </w:rPr>
            </w:pPr>
            <w:r w:rsidRPr="00094E56">
              <w:rPr>
                <w:spacing w:val="-2"/>
                <w:w w:val="100"/>
                <w:lang w:val="fr-FR"/>
              </w:rPr>
              <w:t>IS 4 </w:t>
            </w:r>
            <w:r w:rsidR="00233FB1" w:rsidRPr="00094E56">
              <w:rPr>
                <w:spacing w:val="-2"/>
                <w:w w:val="100"/>
                <w:lang w:val="fr-FR"/>
              </w:rPr>
              <w:t>a)</w:t>
            </w:r>
            <w:r w:rsidR="0029066B" w:rsidRPr="00094E56">
              <w:rPr>
                <w:spacing w:val="-2"/>
                <w:w w:val="100"/>
                <w:lang w:val="fr-FR"/>
              </w:rPr>
              <w:t> </w:t>
            </w:r>
            <w:r w:rsidRPr="00094E56">
              <w:rPr>
                <w:spacing w:val="-2"/>
                <w:w w:val="100"/>
                <w:lang w:val="fr-FR"/>
              </w:rPr>
              <w:t>b)</w:t>
            </w:r>
            <w:r w:rsidR="0029066B" w:rsidRPr="0029066B">
              <w:rPr>
                <w:lang w:val="fr-FR"/>
              </w:rPr>
              <w:tab/>
            </w:r>
            <w:r w:rsidRPr="0029066B">
              <w:rPr>
                <w:lang w:val="fr-FR"/>
              </w:rPr>
              <w:t>Nombre d’amendements à l’Accord européen sur les grandes lignes internationales de chemin de fer (AGC) et de lignes actualisé</w:t>
            </w:r>
            <w:r w:rsidR="0029066B" w:rsidRPr="0029066B">
              <w:rPr>
                <w:lang w:val="fr-FR"/>
              </w:rPr>
              <w:t>es et modifiées dans son annexe</w:t>
            </w:r>
            <w:r w:rsidR="00C36E16">
              <w:rPr>
                <w:lang w:val="fr-FR"/>
              </w:rPr>
              <w:t> </w:t>
            </w:r>
            <w:r w:rsidRPr="0029066B">
              <w:rPr>
                <w:lang w:val="fr-FR"/>
              </w:rPr>
              <w:t>I, dont le Groupe de travail a assuré l’entrée en</w:t>
            </w:r>
            <w:r w:rsidR="00100875">
              <w:rPr>
                <w:lang w:val="fr-FR"/>
              </w:rPr>
              <w:t> </w:t>
            </w:r>
            <w:r w:rsidR="000B2BEB">
              <w:rPr>
                <w:lang w:val="fr-FR"/>
              </w:rPr>
              <w:t>vigueur</w:t>
            </w:r>
          </w:p>
          <w:p w:rsidR="00533D1A" w:rsidRPr="00533D1A" w:rsidRDefault="00AA34B7" w:rsidP="00AA34B7">
            <w:pPr>
              <w:tabs>
                <w:tab w:val="left" w:pos="288"/>
                <w:tab w:val="left" w:pos="576"/>
                <w:tab w:val="left" w:pos="864"/>
                <w:tab w:val="left" w:pos="1152"/>
              </w:tabs>
              <w:suppressAutoHyphens/>
              <w:spacing w:before="40" w:after="80"/>
              <w:ind w:right="115"/>
            </w:pPr>
            <w:r w:rsidRPr="00AA34B7">
              <w:rPr>
                <w:i/>
                <w:lang w:val="fr-FR"/>
              </w:rPr>
              <w:t>Mesure des résultats</w:t>
            </w:r>
            <w:r>
              <w:rPr>
                <w:i/>
                <w:lang w:val="fr-FR"/>
              </w:rPr>
              <w:t> </w:t>
            </w:r>
            <w:r w:rsidRPr="00AA34B7">
              <w:rPr>
                <w:lang w:val="fr-FR"/>
              </w:rPr>
              <w:t>:</w:t>
            </w:r>
            <w:r>
              <w:rPr>
                <w:lang w:val="fr-FR"/>
              </w:rPr>
              <w:t xml:space="preserve"> </w:t>
            </w:r>
            <w:r w:rsidRPr="00AA34B7">
              <w:rPr>
                <w:lang w:val="fr-FR"/>
              </w:rPr>
              <w:br/>
              <w:t>Référence 2014</w:t>
            </w:r>
            <w:r>
              <w:rPr>
                <w:lang w:val="fr-FR"/>
              </w:rPr>
              <w:t>-2015 </w:t>
            </w:r>
            <w:r w:rsidRPr="00AA34B7">
              <w:rPr>
                <w:lang w:val="fr-FR"/>
              </w:rPr>
              <w:t>:</w:t>
            </w:r>
            <w:r>
              <w:rPr>
                <w:lang w:val="fr-FR"/>
              </w:rPr>
              <w:t xml:space="preserve"> </w:t>
            </w:r>
            <w:r w:rsidRPr="00AA34B7">
              <w:rPr>
                <w:lang w:val="fr-FR"/>
              </w:rPr>
              <w:t>1</w:t>
            </w:r>
            <w:r>
              <w:rPr>
                <w:lang w:val="fr-FR"/>
              </w:rPr>
              <w:t xml:space="preserve"> </w:t>
            </w:r>
            <w:r w:rsidRPr="00AA34B7">
              <w:rPr>
                <w:lang w:val="fr-FR"/>
              </w:rPr>
              <w:br/>
            </w:r>
            <w:r w:rsidRPr="00AA34B7">
              <w:rPr>
                <w:lang w:val="fr-FR"/>
              </w:rPr>
              <w:lastRenderedPageBreak/>
              <w:t>Objectif</w:t>
            </w:r>
            <w:r>
              <w:rPr>
                <w:lang w:val="fr-FR"/>
              </w:rPr>
              <w:t> </w:t>
            </w:r>
            <w:r w:rsidRPr="00AA34B7">
              <w:rPr>
                <w:lang w:val="fr-FR"/>
              </w:rPr>
              <w:t>: 2016</w:t>
            </w:r>
            <w:r>
              <w:rPr>
                <w:lang w:val="fr-FR"/>
              </w:rPr>
              <w:t>-</w:t>
            </w:r>
            <w:r w:rsidRPr="00AA34B7">
              <w:rPr>
                <w:lang w:val="fr-FR"/>
              </w:rPr>
              <w:t>2017</w:t>
            </w:r>
            <w:r>
              <w:rPr>
                <w:lang w:val="fr-FR"/>
              </w:rPr>
              <w:t> :</w:t>
            </w:r>
            <w:r w:rsidRPr="00AA34B7">
              <w:rPr>
                <w:lang w:val="fr-FR"/>
              </w:rPr>
              <w:t xml:space="preserve"> 1</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C5840" w:rsidRPr="002C5840" w:rsidRDefault="002C5840" w:rsidP="002417E0">
            <w:pPr>
              <w:tabs>
                <w:tab w:val="left" w:pos="288"/>
                <w:tab w:val="left" w:pos="576"/>
                <w:tab w:val="left" w:pos="864"/>
                <w:tab w:val="left" w:pos="1152"/>
              </w:tabs>
              <w:suppressAutoHyphens/>
              <w:spacing w:before="40" w:after="80"/>
              <w:ind w:right="115"/>
              <w:rPr>
                <w:lang w:val="fr-CH"/>
              </w:rPr>
            </w:pPr>
            <w:r>
              <w:rPr>
                <w:lang w:val="fr-FR"/>
              </w:rPr>
              <w:t>IS</w:t>
            </w:r>
            <w:r w:rsidRPr="002C5840">
              <w:rPr>
                <w:lang w:val="fr-FR"/>
              </w:rPr>
              <w:t>4</w:t>
            </w:r>
            <w:r w:rsidR="00BB0F95">
              <w:rPr>
                <w:lang w:val="fr-FR"/>
              </w:rPr>
              <w:t> </w:t>
            </w:r>
            <w:r w:rsidRPr="002C5840">
              <w:rPr>
                <w:lang w:val="fr-FR"/>
              </w:rPr>
              <w:t>a</w:t>
            </w:r>
            <w:r w:rsidR="00BB0F95">
              <w:rPr>
                <w:lang w:val="fr-FR"/>
              </w:rPr>
              <w:t>)</w:t>
            </w:r>
            <w:r>
              <w:rPr>
                <w:lang w:val="fr-FR"/>
              </w:rPr>
              <w:t> </w:t>
            </w:r>
            <w:r w:rsidRPr="002C5840">
              <w:rPr>
                <w:lang w:val="fr-FR"/>
              </w:rPr>
              <w:t>c)</w:t>
            </w:r>
            <w:r>
              <w:rPr>
                <w:lang w:val="fr-FR"/>
              </w:rPr>
              <w:tab/>
            </w:r>
            <w:r w:rsidRPr="002C5840">
              <w:rPr>
                <w:lang w:val="fr-FR"/>
              </w:rPr>
              <w:t>Nombre d’ateliers ou de séminaires thématiques orga</w:t>
            </w:r>
            <w:r w:rsidR="000B2BEB">
              <w:rPr>
                <w:lang w:val="fr-FR"/>
              </w:rPr>
              <w:t>nisés et nombre de participants</w:t>
            </w:r>
          </w:p>
          <w:p w:rsidR="00533D1A" w:rsidRPr="00533D1A" w:rsidRDefault="002C5840" w:rsidP="002C5840">
            <w:pPr>
              <w:tabs>
                <w:tab w:val="left" w:pos="288"/>
                <w:tab w:val="left" w:pos="576"/>
                <w:tab w:val="left" w:pos="864"/>
                <w:tab w:val="left" w:pos="1152"/>
              </w:tabs>
              <w:suppressAutoHyphens/>
              <w:spacing w:before="40" w:after="80"/>
              <w:ind w:right="115"/>
            </w:pPr>
            <w:r w:rsidRPr="002C5840">
              <w:rPr>
                <w:i/>
                <w:iCs/>
                <w:lang w:val="fr-FR"/>
              </w:rPr>
              <w:t>Mesure des résultats</w:t>
            </w:r>
            <w:r>
              <w:rPr>
                <w:iCs/>
                <w:lang w:val="fr-FR"/>
              </w:rPr>
              <w:t> </w:t>
            </w:r>
            <w:r w:rsidRPr="002C5840">
              <w:rPr>
                <w:iCs/>
                <w:lang w:val="fr-FR"/>
              </w:rPr>
              <w:t>:</w:t>
            </w:r>
            <w:r>
              <w:rPr>
                <w:lang w:val="fr-FR"/>
              </w:rPr>
              <w:t xml:space="preserve"> </w:t>
            </w:r>
            <w:r w:rsidRPr="002C5840">
              <w:rPr>
                <w:lang w:val="fr-FR"/>
              </w:rPr>
              <w:br/>
              <w:t>Référence 2014</w:t>
            </w:r>
            <w:r>
              <w:rPr>
                <w:lang w:val="fr-FR"/>
              </w:rPr>
              <w:t>-2015 </w:t>
            </w:r>
            <w:r w:rsidRPr="002C5840">
              <w:rPr>
                <w:lang w:val="fr-FR"/>
              </w:rPr>
              <w:t>:</w:t>
            </w:r>
            <w:r>
              <w:rPr>
                <w:lang w:val="fr-FR"/>
              </w:rPr>
              <w:t xml:space="preserve"> </w:t>
            </w:r>
            <w:r w:rsidRPr="002C5840">
              <w:rPr>
                <w:lang w:val="fr-FR"/>
              </w:rPr>
              <w:t>2</w:t>
            </w:r>
            <w:r>
              <w:rPr>
                <w:lang w:val="fr-FR"/>
              </w:rPr>
              <w:t xml:space="preserve"> </w:t>
            </w:r>
            <w:r w:rsidRPr="002C5840">
              <w:rPr>
                <w:lang w:val="fr-FR"/>
              </w:rPr>
              <w:br/>
              <w:t>Objectif 2016-2017</w:t>
            </w:r>
            <w:r>
              <w:rPr>
                <w:lang w:val="fr-FR"/>
              </w:rPr>
              <w:t> </w:t>
            </w:r>
            <w:r w:rsidRPr="002C5840">
              <w:rPr>
                <w:lang w:val="fr-FR"/>
              </w:rPr>
              <w:t>: 2</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8343CC" w:rsidP="007F242A">
            <w:pPr>
              <w:tabs>
                <w:tab w:val="left" w:pos="288"/>
                <w:tab w:val="left" w:pos="576"/>
                <w:tab w:val="left" w:pos="864"/>
                <w:tab w:val="left" w:pos="1152"/>
              </w:tabs>
              <w:suppressAutoHyphens/>
              <w:spacing w:before="40" w:after="80"/>
              <w:ind w:left="576" w:right="115" w:hanging="576"/>
            </w:pPr>
            <w:r w:rsidRPr="008343CC">
              <w:rPr>
                <w:lang w:val="fr-FR"/>
              </w:rPr>
              <w:t>5.</w:t>
            </w:r>
            <w:r w:rsidR="007F242A">
              <w:rPr>
                <w:lang w:val="fr-FR"/>
              </w:rPr>
              <w:tab/>
            </w:r>
            <w:r w:rsidRPr="008343CC">
              <w:rPr>
                <w:lang w:val="fr-FR"/>
              </w:rPr>
              <w:tab/>
              <w:t>Transport par voie navigable</w:t>
            </w:r>
          </w:p>
        </w:tc>
        <w:tc>
          <w:tcPr>
            <w:tcW w:w="4941" w:type="dxa"/>
            <w:shd w:val="clear" w:color="auto" w:fill="auto"/>
          </w:tcPr>
          <w:p w:rsidR="00533D1A" w:rsidRPr="00533D1A" w:rsidRDefault="008343CC" w:rsidP="00C36E16">
            <w:pPr>
              <w:tabs>
                <w:tab w:val="left" w:pos="288"/>
                <w:tab w:val="left" w:pos="576"/>
                <w:tab w:val="left" w:pos="864"/>
                <w:tab w:val="left" w:pos="1152"/>
              </w:tabs>
              <w:suppressAutoHyphens/>
              <w:spacing w:before="40" w:after="80"/>
              <w:ind w:right="115"/>
            </w:pPr>
            <w:r w:rsidRPr="008343CC">
              <w:rPr>
                <w:lang w:val="fr-FR"/>
              </w:rPr>
              <w:t>RE</w:t>
            </w:r>
            <w:r>
              <w:rPr>
                <w:lang w:val="fr-FR"/>
              </w:rPr>
              <w:t> </w:t>
            </w:r>
            <w:r w:rsidRPr="008343CC">
              <w:rPr>
                <w:lang w:val="fr-FR"/>
              </w:rPr>
              <w:t>5.</w:t>
            </w:r>
            <w:r>
              <w:rPr>
                <w:lang w:val="fr-FR"/>
              </w:rPr>
              <w:tab/>
            </w:r>
            <w:r w:rsidR="00C36E16">
              <w:rPr>
                <w:lang w:val="fr-FR"/>
              </w:rPr>
              <w:tab/>
            </w:r>
            <w:r w:rsidRPr="008343CC">
              <w:rPr>
                <w:lang w:val="fr-FR"/>
              </w:rPr>
              <w:t>Amélioration et actualisation du cadre réglementaire pour l’infrastructure et les b</w:t>
            </w:r>
            <w:r w:rsidR="00C36E16">
              <w:rPr>
                <w:lang w:val="fr-FR"/>
              </w:rPr>
              <w:t>ateaux de </w:t>
            </w:r>
            <w:r w:rsidRPr="008343CC">
              <w:rPr>
                <w:lang w:val="fr-FR"/>
              </w:rPr>
              <w:t>navigation intérieure dans la région de la CEE</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lang w:val="fr-FR"/>
              </w:rPr>
              <w:t>IS</w:t>
            </w:r>
            <w:r>
              <w:rPr>
                <w:lang w:val="fr-FR"/>
              </w:rPr>
              <w:t> </w:t>
            </w:r>
            <w:r w:rsidRPr="008343CC">
              <w:rPr>
                <w:lang w:val="fr-FR"/>
              </w:rPr>
              <w:t>5</w:t>
            </w:r>
            <w:r>
              <w:rPr>
                <w:lang w:val="fr-FR"/>
              </w:rPr>
              <w:t> </w:t>
            </w:r>
            <w:r w:rsidRPr="008343CC">
              <w:rPr>
                <w:lang w:val="fr-FR"/>
              </w:rPr>
              <w:t>a)</w:t>
            </w:r>
            <w:r>
              <w:rPr>
                <w:lang w:val="fr-FR"/>
              </w:rPr>
              <w:tab/>
            </w:r>
            <w:r w:rsidRPr="008343CC">
              <w:rPr>
                <w:lang w:val="fr-FR"/>
              </w:rPr>
              <w:t xml:space="preserve">Promotion de la deuxième édition du Livre </w:t>
            </w:r>
            <w:r w:rsidRPr="00C36E16">
              <w:rPr>
                <w:spacing w:val="2"/>
                <w:lang w:val="fr-FR"/>
              </w:rPr>
              <w:t>bleu de la CEE et, sur cette base, mise à jour de l’Accord AGN et d’autres instruments pertinents de la CEE</w:t>
            </w:r>
          </w:p>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i/>
                <w:lang w:val="fr-FR"/>
              </w:rPr>
              <w:t>Mesure des résultats</w:t>
            </w:r>
            <w:r>
              <w:rPr>
                <w:i/>
                <w:lang w:val="fr-FR"/>
              </w:rPr>
              <w:t> </w:t>
            </w:r>
            <w:r w:rsidRPr="008343CC">
              <w:rPr>
                <w:lang w:val="fr-FR"/>
              </w:rPr>
              <w:t>:</w:t>
            </w:r>
            <w:r>
              <w:rPr>
                <w:lang w:val="fr-FR"/>
              </w:rPr>
              <w:t xml:space="preserve"> </w:t>
            </w:r>
            <w:r w:rsidRPr="008343CC">
              <w:rPr>
                <w:lang w:val="fr-FR"/>
              </w:rPr>
              <w:br/>
              <w:t>Objectif 2014-2015</w:t>
            </w:r>
            <w:r>
              <w:rPr>
                <w:lang w:val="fr-FR"/>
              </w:rPr>
              <w:t> </w:t>
            </w:r>
            <w:r w:rsidRPr="008343CC">
              <w:rPr>
                <w:lang w:val="fr-FR"/>
              </w:rPr>
              <w:t>: Adoption d’amendements à l’AGN et aux instruments juridiques pertinents de la CEE ayant trait aux infrastructures de transport, comme le Protocole à l’Accord européen sur les grandes lignes de transport international combiné et les installations connexes (AGTC) concernant le trans</w:t>
            </w:r>
            <w:r>
              <w:rPr>
                <w:lang w:val="fr-FR"/>
              </w:rPr>
              <w:t>port combiné par voie navigable</w:t>
            </w:r>
            <w:r w:rsidR="00443396">
              <w:rPr>
                <w:lang w:val="fr-FR"/>
              </w:rPr>
              <w:t> :</w:t>
            </w:r>
          </w:p>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lang w:val="fr-FR"/>
              </w:rPr>
              <w:tab/>
              <w:t>a)</w:t>
            </w:r>
            <w:r w:rsidRPr="008343CC">
              <w:rPr>
                <w:lang w:val="fr-FR"/>
              </w:rPr>
              <w:tab/>
              <w:t>Les amendements apportés à l’AGN sont entrés en vigueur le 7</w:t>
            </w:r>
            <w:r>
              <w:rPr>
                <w:lang w:val="fr-FR"/>
              </w:rPr>
              <w:t> </w:t>
            </w:r>
            <w:r w:rsidRPr="008343CC">
              <w:rPr>
                <w:lang w:val="fr-FR"/>
              </w:rPr>
              <w:t>novembre 2014, et la troisième édition révisée de l’AGN est disponible sur le site Web</w:t>
            </w:r>
            <w:r w:rsidR="00443396">
              <w:rPr>
                <w:lang w:val="fr-FR"/>
              </w:rPr>
              <w:t xml:space="preserve"> de la CEE depuis novembre 2014;</w:t>
            </w:r>
          </w:p>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lang w:val="fr-FR"/>
              </w:rPr>
              <w:tab/>
              <w:t>b)</w:t>
            </w:r>
            <w:r w:rsidRPr="008343CC">
              <w:rPr>
                <w:lang w:val="fr-FR"/>
              </w:rPr>
              <w:tab/>
              <w:t>Le deuxième additif à la deuxième édition révisée du Livre bleu est dispo</w:t>
            </w:r>
            <w:r w:rsidR="00443396">
              <w:rPr>
                <w:lang w:val="fr-FR"/>
              </w:rPr>
              <w:t>nible sur le site Web de la CEE;</w:t>
            </w:r>
          </w:p>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lang w:val="fr-FR"/>
              </w:rPr>
              <w:tab/>
              <w:t>c)</w:t>
            </w:r>
            <w:r w:rsidRPr="008343CC">
              <w:rPr>
                <w:lang w:val="fr-FR"/>
              </w:rPr>
              <w:tab/>
              <w:t>La base de données en ligne du réseau des voies navigables E gérée par la CEE a été enrichie et complétée par des informations concernant les ports</w:t>
            </w:r>
            <w:r w:rsidR="00C36E16">
              <w:rPr>
                <w:lang w:val="fr-FR"/>
              </w:rPr>
              <w:t> </w:t>
            </w:r>
            <w:r w:rsidR="00443396">
              <w:rPr>
                <w:lang w:val="fr-FR"/>
              </w:rPr>
              <w:t>E;</w:t>
            </w:r>
          </w:p>
          <w:p w:rsidR="008343CC" w:rsidRPr="008343CC" w:rsidRDefault="008343CC" w:rsidP="008343CC">
            <w:pPr>
              <w:tabs>
                <w:tab w:val="left" w:pos="288"/>
                <w:tab w:val="left" w:pos="576"/>
                <w:tab w:val="left" w:pos="864"/>
                <w:tab w:val="left" w:pos="1152"/>
              </w:tabs>
              <w:suppressAutoHyphens/>
              <w:spacing w:before="40" w:after="80"/>
              <w:ind w:right="115"/>
              <w:rPr>
                <w:lang w:val="fr-CH"/>
              </w:rPr>
            </w:pPr>
            <w:r w:rsidRPr="008343CC">
              <w:rPr>
                <w:lang w:val="fr-FR"/>
              </w:rPr>
              <w:tab/>
              <w:t>d)</w:t>
            </w:r>
            <w:r w:rsidRPr="008343CC">
              <w:rPr>
                <w:lang w:val="fr-FR"/>
              </w:rPr>
              <w:tab/>
              <w:t>L</w:t>
            </w:r>
            <w:r>
              <w:rPr>
                <w:lang w:val="fr-FR"/>
              </w:rPr>
              <w:t>es amendements à la Résolution n</w:t>
            </w:r>
            <w:r w:rsidRPr="008343CC">
              <w:rPr>
                <w:vertAlign w:val="superscript"/>
                <w:lang w:val="fr-FR"/>
              </w:rPr>
              <w:t>o</w:t>
            </w:r>
            <w:r>
              <w:rPr>
                <w:lang w:val="fr-FR"/>
              </w:rPr>
              <w:t> </w:t>
            </w:r>
            <w:r w:rsidR="00BB0F95">
              <w:rPr>
                <w:lang w:val="fr-FR"/>
              </w:rPr>
              <w:t xml:space="preserve">49 ont été adoptés par le SC.3 </w:t>
            </w:r>
            <w:r w:rsidRPr="008343CC">
              <w:rPr>
                <w:lang w:val="fr-FR"/>
              </w:rPr>
              <w:t>en 2014</w:t>
            </w:r>
            <w:r w:rsidR="00443396">
              <w:rPr>
                <w:lang w:val="fr-FR"/>
              </w:rPr>
              <w:t>.</w:t>
            </w:r>
          </w:p>
          <w:p w:rsidR="00533D1A" w:rsidRPr="00533D1A" w:rsidRDefault="008343CC" w:rsidP="00C36E16">
            <w:pPr>
              <w:tabs>
                <w:tab w:val="left" w:pos="288"/>
                <w:tab w:val="left" w:pos="576"/>
                <w:tab w:val="left" w:pos="864"/>
                <w:tab w:val="left" w:pos="1152"/>
              </w:tabs>
              <w:suppressAutoHyphens/>
              <w:spacing w:before="40" w:after="80"/>
              <w:ind w:right="115"/>
            </w:pPr>
            <w:r w:rsidRPr="008343CC">
              <w:rPr>
                <w:lang w:val="fr-FR"/>
              </w:rPr>
              <w:t>Objectif 2016-2017</w:t>
            </w:r>
            <w:r>
              <w:rPr>
                <w:lang w:val="fr-FR"/>
              </w:rPr>
              <w:t> </w:t>
            </w:r>
            <w:r w:rsidRPr="008343CC">
              <w:rPr>
                <w:lang w:val="fr-FR"/>
              </w:rPr>
              <w:t>:</w:t>
            </w:r>
            <w:r>
              <w:rPr>
                <w:lang w:val="fr-FR"/>
              </w:rPr>
              <w:t xml:space="preserve"> </w:t>
            </w:r>
            <w:r>
              <w:rPr>
                <w:lang w:val="fr-FR"/>
              </w:rPr>
              <w:br/>
            </w:r>
            <w:r w:rsidRPr="008343CC">
              <w:rPr>
                <w:lang w:val="fr-FR"/>
              </w:rPr>
              <w:t>Adoption des amendements à la deuxième édition révisée du Livre bleu et élaboration de la troisième édition révisée</w:t>
            </w:r>
          </w:p>
        </w:tc>
      </w:tr>
      <w:tr w:rsidR="00C36E16" w:rsidRPr="00533D1A" w:rsidTr="00165249">
        <w:tc>
          <w:tcPr>
            <w:tcW w:w="3042"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C36E16" w:rsidRPr="00C36E16" w:rsidRDefault="00C36E16" w:rsidP="00C36E16">
            <w:pPr>
              <w:tabs>
                <w:tab w:val="left" w:pos="288"/>
                <w:tab w:val="left" w:pos="576"/>
                <w:tab w:val="left" w:pos="864"/>
                <w:tab w:val="left" w:pos="1152"/>
              </w:tabs>
              <w:suppressAutoHyphens/>
              <w:spacing w:before="40" w:after="80"/>
              <w:ind w:right="115"/>
              <w:rPr>
                <w:lang w:val="fr-CH"/>
              </w:rPr>
            </w:pPr>
            <w:r w:rsidRPr="00C36E16">
              <w:rPr>
                <w:lang w:val="fr-FR"/>
              </w:rPr>
              <w:t>IS 5 b)</w:t>
            </w:r>
            <w:r w:rsidRPr="00C36E16">
              <w:rPr>
                <w:lang w:val="fr-FR"/>
              </w:rPr>
              <w:tab/>
              <w:t>Élaboration de la prochaine révision du CEVNI en tenant compte des informations relatives à</w:t>
            </w:r>
            <w:r>
              <w:rPr>
                <w:lang w:val="fr-FR"/>
              </w:rPr>
              <w:t> </w:t>
            </w:r>
            <w:r w:rsidRPr="00C36E16">
              <w:rPr>
                <w:lang w:val="fr-FR"/>
              </w:rPr>
              <w:t>son application dans les États membres et par les commissions fluviales</w:t>
            </w:r>
          </w:p>
          <w:p w:rsidR="00C36E16" w:rsidRPr="00C36E16" w:rsidRDefault="00C36E16" w:rsidP="00C96366">
            <w:pPr>
              <w:tabs>
                <w:tab w:val="left" w:pos="288"/>
                <w:tab w:val="left" w:pos="576"/>
                <w:tab w:val="left" w:pos="864"/>
                <w:tab w:val="left" w:pos="1152"/>
              </w:tabs>
              <w:suppressAutoHyphens/>
              <w:spacing w:before="40" w:after="360"/>
              <w:ind w:right="115"/>
              <w:rPr>
                <w:lang w:val="fr-CH"/>
              </w:rPr>
            </w:pPr>
            <w:r w:rsidRPr="00C36E16">
              <w:rPr>
                <w:i/>
                <w:lang w:val="fr-FR"/>
              </w:rPr>
              <w:t>Mesure des résultats </w:t>
            </w:r>
            <w:r w:rsidRPr="00C36E16">
              <w:rPr>
                <w:lang w:val="fr-FR"/>
              </w:rPr>
              <w:t xml:space="preserve">: </w:t>
            </w:r>
            <w:r w:rsidRPr="00C36E16">
              <w:rPr>
                <w:lang w:val="fr-FR"/>
              </w:rPr>
              <w:br/>
              <w:t xml:space="preserve">Référence 2014-2015 : Élaboration et adoption de la cinquième édition du CEVNI et mise en ligne du </w:t>
            </w:r>
            <w:r w:rsidR="00443396">
              <w:rPr>
                <w:lang w:val="fr-FR"/>
              </w:rPr>
              <w:t>Code (réalisé) :</w:t>
            </w:r>
          </w:p>
          <w:p w:rsidR="00C36E16" w:rsidRPr="00C96366" w:rsidRDefault="00C36E16" w:rsidP="00C36E16">
            <w:pPr>
              <w:tabs>
                <w:tab w:val="left" w:pos="288"/>
                <w:tab w:val="left" w:pos="576"/>
                <w:tab w:val="left" w:pos="864"/>
                <w:tab w:val="left" w:pos="1152"/>
              </w:tabs>
              <w:suppressAutoHyphens/>
              <w:spacing w:before="40" w:after="80"/>
              <w:ind w:right="115"/>
              <w:rPr>
                <w:lang w:val="fr-CH"/>
              </w:rPr>
            </w:pPr>
            <w:r w:rsidRPr="00D11BD4">
              <w:rPr>
                <w:color w:val="FF0000"/>
                <w:lang w:val="fr-FR"/>
              </w:rPr>
              <w:lastRenderedPageBreak/>
              <w:tab/>
            </w:r>
            <w:r w:rsidRPr="00C96366">
              <w:rPr>
                <w:lang w:val="fr-FR"/>
              </w:rPr>
              <w:t>a)</w:t>
            </w:r>
            <w:r w:rsidRPr="00C96366">
              <w:rPr>
                <w:lang w:val="fr-FR"/>
              </w:rPr>
              <w:tab/>
              <w:t>La cinquième éd</w:t>
            </w:r>
            <w:r w:rsidR="00100875" w:rsidRPr="00C96366">
              <w:rPr>
                <w:lang w:val="fr-FR"/>
              </w:rPr>
              <w:t>ition du CEVNI a été adopté</w:t>
            </w:r>
            <w:r w:rsidR="00C96366">
              <w:rPr>
                <w:lang w:val="fr-FR"/>
              </w:rPr>
              <w:t>e</w:t>
            </w:r>
            <w:r w:rsidR="00100875" w:rsidRPr="00C96366">
              <w:rPr>
                <w:lang w:val="fr-FR"/>
              </w:rPr>
              <w:t xml:space="preserve"> par </w:t>
            </w:r>
            <w:r w:rsidRPr="00C96366">
              <w:rPr>
                <w:lang w:val="fr-FR"/>
              </w:rPr>
              <w:t>le SC.3 dans sa Résolution n</w:t>
            </w:r>
            <w:r w:rsidRPr="00C96366">
              <w:rPr>
                <w:vertAlign w:val="superscript"/>
                <w:lang w:val="fr-FR"/>
              </w:rPr>
              <w:t>o</w:t>
            </w:r>
            <w:r w:rsidRPr="00C96366">
              <w:rPr>
                <w:lang w:val="fr-FR"/>
              </w:rPr>
              <w:t> </w:t>
            </w:r>
            <w:r w:rsidR="00443396" w:rsidRPr="00C96366">
              <w:rPr>
                <w:lang w:val="fr-FR"/>
              </w:rPr>
              <w:t>81;</w:t>
            </w:r>
          </w:p>
          <w:p w:rsidR="00C36E16" w:rsidRPr="00C36E16" w:rsidRDefault="00C36E16" w:rsidP="00C36E16">
            <w:pPr>
              <w:tabs>
                <w:tab w:val="left" w:pos="288"/>
                <w:tab w:val="left" w:pos="576"/>
                <w:tab w:val="left" w:pos="864"/>
                <w:tab w:val="left" w:pos="1152"/>
              </w:tabs>
              <w:suppressAutoHyphens/>
              <w:spacing w:before="40" w:after="80"/>
              <w:ind w:right="115"/>
              <w:rPr>
                <w:lang w:val="fr-CH"/>
              </w:rPr>
            </w:pPr>
            <w:r w:rsidRPr="00C36E16">
              <w:rPr>
                <w:lang w:val="fr-FR"/>
              </w:rPr>
              <w:tab/>
              <w:t>b)</w:t>
            </w:r>
            <w:r w:rsidRPr="00C36E16">
              <w:rPr>
                <w:lang w:val="fr-FR"/>
              </w:rPr>
              <w:tab/>
              <w:t xml:space="preserve">Une version papier de </w:t>
            </w:r>
            <w:r w:rsidR="00131EA3">
              <w:rPr>
                <w:lang w:val="fr-FR"/>
              </w:rPr>
              <w:t xml:space="preserve">la </w:t>
            </w:r>
            <w:r w:rsidRPr="00C36E16">
              <w:rPr>
                <w:lang w:val="fr-FR"/>
              </w:rPr>
              <w:t>cinquième édition du CEVNI a été publiée en septembre 2015 dans les tro</w:t>
            </w:r>
            <w:r w:rsidR="00443396">
              <w:rPr>
                <w:lang w:val="fr-FR"/>
              </w:rPr>
              <w:t>is langues de travail de la CEE;</w:t>
            </w:r>
          </w:p>
          <w:p w:rsidR="00C36E16" w:rsidRPr="00C36E16" w:rsidRDefault="00C36E16" w:rsidP="00C36E16">
            <w:pPr>
              <w:tabs>
                <w:tab w:val="left" w:pos="288"/>
                <w:tab w:val="left" w:pos="576"/>
                <w:tab w:val="left" w:pos="864"/>
                <w:tab w:val="left" w:pos="1152"/>
              </w:tabs>
              <w:suppressAutoHyphens/>
              <w:spacing w:before="40" w:after="80"/>
              <w:ind w:right="115"/>
              <w:rPr>
                <w:lang w:val="fr-CH"/>
              </w:rPr>
            </w:pPr>
            <w:r w:rsidRPr="00C36E16">
              <w:rPr>
                <w:lang w:val="fr-FR"/>
              </w:rPr>
              <w:tab/>
              <w:t>c)</w:t>
            </w:r>
            <w:r w:rsidRPr="00C36E16">
              <w:rPr>
                <w:lang w:val="fr-FR"/>
              </w:rPr>
              <w:tab/>
              <w:t xml:space="preserve">La cinquième édition du CEVNI peut être consultée en ligne ou téléchargée au format </w:t>
            </w:r>
            <w:r w:rsidR="00131EA3">
              <w:rPr>
                <w:lang w:val="fr-FR"/>
              </w:rPr>
              <w:t>PDF</w:t>
            </w:r>
            <w:r w:rsidRPr="00C36E16">
              <w:rPr>
                <w:lang w:val="fr-FR"/>
              </w:rPr>
              <w:t xml:space="preserve"> sur le site</w:t>
            </w:r>
            <w:r w:rsidR="00443396">
              <w:rPr>
                <w:lang w:val="fr-FR"/>
              </w:rPr>
              <w:t xml:space="preserve"> Web de la CEE depuis juin 2015;</w:t>
            </w:r>
          </w:p>
          <w:p w:rsidR="00C36E16" w:rsidRPr="008343CC" w:rsidRDefault="00C36E16" w:rsidP="002417E0">
            <w:pPr>
              <w:tabs>
                <w:tab w:val="left" w:pos="288"/>
                <w:tab w:val="left" w:pos="576"/>
                <w:tab w:val="left" w:pos="864"/>
                <w:tab w:val="left" w:pos="1152"/>
              </w:tabs>
              <w:suppressAutoHyphens/>
              <w:spacing w:before="40" w:after="80"/>
              <w:ind w:right="115"/>
              <w:rPr>
                <w:lang w:val="fr-FR"/>
              </w:rPr>
            </w:pPr>
            <w:r w:rsidRPr="00C36E16">
              <w:rPr>
                <w:lang w:val="fr-FR"/>
              </w:rPr>
              <w:tab/>
              <w:t>d)</w:t>
            </w:r>
            <w:r w:rsidRPr="00C36E16">
              <w:rPr>
                <w:lang w:val="fr-FR"/>
              </w:rPr>
              <w:tab/>
              <w:t>Le document sur la mise en œuvre du CEVNI est</w:t>
            </w:r>
            <w:r w:rsidR="002417E0">
              <w:rPr>
                <w:lang w:val="fr-FR"/>
              </w:rPr>
              <w:t> </w:t>
            </w:r>
            <w:r w:rsidRPr="00C36E16">
              <w:rPr>
                <w:lang w:val="fr-FR"/>
              </w:rPr>
              <w:t>publié en 2015 pour la cinquante-neuvième session du SC.3 (ECE/TRANS/SC.3/2015/7).</w:t>
            </w:r>
          </w:p>
        </w:tc>
      </w:tr>
      <w:tr w:rsidR="00C36E16" w:rsidRPr="00533D1A" w:rsidTr="00165249">
        <w:tc>
          <w:tcPr>
            <w:tcW w:w="3042"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C36E16" w:rsidRPr="00C36E16" w:rsidRDefault="00131EA3" w:rsidP="002417E0">
            <w:pPr>
              <w:tabs>
                <w:tab w:val="left" w:pos="288"/>
                <w:tab w:val="left" w:pos="576"/>
                <w:tab w:val="left" w:pos="864"/>
                <w:tab w:val="left" w:pos="1152"/>
              </w:tabs>
              <w:suppressAutoHyphens/>
              <w:spacing w:before="40" w:after="80"/>
              <w:ind w:right="115"/>
              <w:rPr>
                <w:lang w:val="fr-CH"/>
              </w:rPr>
            </w:pPr>
            <w:r>
              <w:rPr>
                <w:lang w:val="fr-FR"/>
              </w:rPr>
              <w:t>IS 5</w:t>
            </w:r>
            <w:r w:rsidR="00C36E16" w:rsidRPr="00C36E16">
              <w:rPr>
                <w:lang w:val="fr-FR"/>
              </w:rPr>
              <w:t> c)</w:t>
            </w:r>
            <w:r w:rsidR="00C36E16" w:rsidRPr="00C36E16">
              <w:rPr>
                <w:lang w:val="fr-FR"/>
              </w:rPr>
              <w:tab/>
              <w:t>Élaboration de la troisième édition du Livre blanc sur l’efficacité et la viabilité du transport par voie navigable en Europe (2020)</w:t>
            </w:r>
          </w:p>
          <w:p w:rsidR="00C36E16" w:rsidRPr="00C36E16" w:rsidRDefault="00C36E16" w:rsidP="00C36E16">
            <w:pPr>
              <w:tabs>
                <w:tab w:val="left" w:pos="288"/>
                <w:tab w:val="left" w:pos="576"/>
                <w:tab w:val="left" w:pos="864"/>
                <w:tab w:val="left" w:pos="1152"/>
              </w:tabs>
              <w:suppressAutoHyphens/>
              <w:spacing w:before="40" w:after="80"/>
              <w:ind w:right="115"/>
              <w:rPr>
                <w:lang w:val="fr-CH"/>
              </w:rPr>
            </w:pPr>
            <w:r w:rsidRPr="00C36E16">
              <w:rPr>
                <w:i/>
                <w:iCs/>
                <w:lang w:val="fr-FR"/>
              </w:rPr>
              <w:t>Mesure des résultats </w:t>
            </w:r>
            <w:r w:rsidRPr="00C36E16">
              <w:rPr>
                <w:iCs/>
                <w:lang w:val="fr-FR"/>
              </w:rPr>
              <w:t xml:space="preserve">: </w:t>
            </w:r>
            <w:r w:rsidRPr="00C36E16">
              <w:rPr>
                <w:lang w:val="fr-FR"/>
              </w:rPr>
              <w:br/>
              <w:t>Référence 2011 : Adoption de la deuxième édition du Livre blanc sur l’efficacité et la viabilité du transport par voie navigable en Europe</w:t>
            </w:r>
          </w:p>
          <w:p w:rsidR="00C36E16" w:rsidRPr="00C36E16" w:rsidRDefault="00C36E16" w:rsidP="00C36E16">
            <w:pPr>
              <w:tabs>
                <w:tab w:val="left" w:pos="288"/>
                <w:tab w:val="left" w:pos="576"/>
                <w:tab w:val="left" w:pos="864"/>
                <w:tab w:val="left" w:pos="1152"/>
              </w:tabs>
              <w:suppressAutoHyphens/>
              <w:spacing w:before="40" w:after="80"/>
              <w:ind w:right="115"/>
              <w:rPr>
                <w:lang w:val="fr-CH"/>
              </w:rPr>
            </w:pPr>
            <w:r w:rsidRPr="00C36E16">
              <w:rPr>
                <w:lang w:val="fr-FR"/>
              </w:rPr>
              <w:t>Le Livre blanc a été publié en 2011.</w:t>
            </w:r>
          </w:p>
          <w:p w:rsidR="00C36E16" w:rsidRPr="00C36E16" w:rsidRDefault="00C36E16" w:rsidP="002417E0">
            <w:pPr>
              <w:tabs>
                <w:tab w:val="left" w:pos="288"/>
                <w:tab w:val="left" w:pos="576"/>
                <w:tab w:val="left" w:pos="864"/>
                <w:tab w:val="left" w:pos="1152"/>
              </w:tabs>
              <w:suppressAutoHyphens/>
              <w:spacing w:before="40" w:after="80"/>
              <w:ind w:right="115"/>
              <w:rPr>
                <w:lang w:val="fr-FR"/>
              </w:rPr>
            </w:pPr>
            <w:r w:rsidRPr="00C36E16">
              <w:rPr>
                <w:lang w:val="fr-FR"/>
              </w:rPr>
              <w:t>Objectif 2016-2017 : Élaboration d’un document sur la mise en œuvre du Livre blanc</w:t>
            </w:r>
          </w:p>
        </w:tc>
      </w:tr>
      <w:tr w:rsidR="00C36E16" w:rsidRPr="00533D1A" w:rsidTr="00165249">
        <w:tc>
          <w:tcPr>
            <w:tcW w:w="3042"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C36E16" w:rsidRPr="00533D1A" w:rsidRDefault="00C36E16"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417E0" w:rsidRPr="002417E0" w:rsidRDefault="002417E0" w:rsidP="002417E0">
            <w:pPr>
              <w:tabs>
                <w:tab w:val="left" w:pos="288"/>
                <w:tab w:val="left" w:pos="576"/>
                <w:tab w:val="left" w:pos="864"/>
                <w:tab w:val="left" w:pos="1152"/>
              </w:tabs>
              <w:suppressAutoHyphens/>
              <w:spacing w:before="40" w:after="80"/>
              <w:ind w:right="115"/>
              <w:rPr>
                <w:lang w:val="fr-FR"/>
              </w:rPr>
            </w:pPr>
            <w:r w:rsidRPr="002417E0">
              <w:rPr>
                <w:lang w:val="fr-FR"/>
              </w:rPr>
              <w:t>IS 5 d)</w:t>
            </w:r>
            <w:r w:rsidRPr="002417E0">
              <w:rPr>
                <w:lang w:val="fr-FR"/>
              </w:rPr>
              <w:tab/>
              <w:t>Élaboration et adoption de la prochaine révision de la Résolution n</w:t>
            </w:r>
            <w:r w:rsidRPr="002417E0">
              <w:rPr>
                <w:vertAlign w:val="superscript"/>
                <w:lang w:val="fr-FR"/>
              </w:rPr>
              <w:t>o</w:t>
            </w:r>
            <w:r w:rsidRPr="002417E0">
              <w:rPr>
                <w:lang w:val="fr-FR"/>
              </w:rPr>
              <w:t> 61 (Recommandations relatives à des prescri</w:t>
            </w:r>
            <w:r>
              <w:rPr>
                <w:lang w:val="fr-FR"/>
              </w:rPr>
              <w:t>ptions techniques harmonisées à </w:t>
            </w:r>
            <w:r w:rsidRPr="002417E0">
              <w:rPr>
                <w:lang w:val="fr-FR"/>
              </w:rPr>
              <w:t>l’échelle européenne applicables aux bateaux de navigation intérieure</w:t>
            </w:r>
            <w:r>
              <w:rPr>
                <w:lang w:val="fr-FR"/>
              </w:rPr>
              <w:t>)</w:t>
            </w:r>
          </w:p>
          <w:p w:rsidR="002417E0" w:rsidRPr="002417E0" w:rsidRDefault="002417E0" w:rsidP="002417E0">
            <w:pPr>
              <w:tabs>
                <w:tab w:val="left" w:pos="288"/>
                <w:tab w:val="left" w:pos="576"/>
                <w:tab w:val="left" w:pos="864"/>
                <w:tab w:val="left" w:pos="1152"/>
              </w:tabs>
              <w:suppressAutoHyphens/>
              <w:spacing w:before="40" w:after="80"/>
              <w:ind w:right="115"/>
              <w:rPr>
                <w:lang w:val="fr-CH"/>
              </w:rPr>
            </w:pPr>
            <w:r w:rsidRPr="002417E0">
              <w:rPr>
                <w:i/>
                <w:iCs/>
                <w:lang w:val="fr-FR"/>
              </w:rPr>
              <w:t>Mesure des résultats</w:t>
            </w:r>
            <w:r w:rsidR="003D5433" w:rsidRPr="003D5433">
              <w:rPr>
                <w:iCs/>
                <w:lang w:val="fr-FR"/>
              </w:rPr>
              <w:t> </w:t>
            </w:r>
            <w:r w:rsidRPr="003D5433">
              <w:rPr>
                <w:iCs/>
                <w:lang w:val="fr-FR"/>
              </w:rPr>
              <w:t>:</w:t>
            </w:r>
            <w:r w:rsidRPr="002417E0">
              <w:rPr>
                <w:iCs/>
                <w:lang w:val="fr-FR"/>
              </w:rPr>
              <w:t xml:space="preserve"> </w:t>
            </w:r>
            <w:r w:rsidRPr="002417E0">
              <w:rPr>
                <w:lang w:val="fr-FR"/>
              </w:rPr>
              <w:br/>
              <w:t xml:space="preserve">Référence 2015 : </w:t>
            </w:r>
            <w:r w:rsidRPr="002417E0">
              <w:rPr>
                <w:lang w:val="fr-FR"/>
              </w:rPr>
              <w:br/>
              <w:t>La révision 1 de la Résolution n</w:t>
            </w:r>
            <w:r w:rsidRPr="002417E0">
              <w:rPr>
                <w:vertAlign w:val="superscript"/>
                <w:lang w:val="fr-FR"/>
              </w:rPr>
              <w:t>o</w:t>
            </w:r>
            <w:r w:rsidRPr="002417E0">
              <w:rPr>
                <w:lang w:val="fr-FR"/>
              </w:rPr>
              <w:t> 61 a été adoptée en</w:t>
            </w:r>
            <w:r>
              <w:rPr>
                <w:lang w:val="fr-FR"/>
              </w:rPr>
              <w:t> </w:t>
            </w:r>
            <w:r w:rsidRPr="002417E0">
              <w:rPr>
                <w:lang w:val="fr-FR"/>
              </w:rPr>
              <w:t>2011, l’amendement 1 en 2011 égal</w:t>
            </w:r>
            <w:r>
              <w:rPr>
                <w:lang w:val="fr-FR"/>
              </w:rPr>
              <w:t>ement et l’amendement </w:t>
            </w:r>
            <w:r w:rsidRPr="002417E0">
              <w:rPr>
                <w:lang w:val="fr-FR"/>
              </w:rPr>
              <w:t>2 en 2012.</w:t>
            </w:r>
          </w:p>
          <w:p w:rsidR="00C36E16" w:rsidRPr="00C36E16" w:rsidRDefault="002417E0" w:rsidP="002417E0">
            <w:pPr>
              <w:tabs>
                <w:tab w:val="left" w:pos="288"/>
                <w:tab w:val="left" w:pos="576"/>
                <w:tab w:val="left" w:pos="864"/>
                <w:tab w:val="left" w:pos="1152"/>
              </w:tabs>
              <w:suppressAutoHyphens/>
              <w:spacing w:before="40" w:after="80"/>
              <w:ind w:right="115"/>
              <w:rPr>
                <w:lang w:val="fr-FR"/>
              </w:rPr>
            </w:pPr>
            <w:r w:rsidRPr="002417E0">
              <w:rPr>
                <w:lang w:val="fr-FR"/>
              </w:rPr>
              <w:t xml:space="preserve">Objectif 2016-2017 : </w:t>
            </w:r>
            <w:r w:rsidRPr="002417E0">
              <w:rPr>
                <w:lang w:val="fr-FR"/>
              </w:rPr>
              <w:br/>
              <w:t>Élaboration d’une version consolidée de la Résolution n</w:t>
            </w:r>
            <w:r w:rsidRPr="002417E0">
              <w:rPr>
                <w:vertAlign w:val="superscript"/>
                <w:lang w:val="fr-FR"/>
              </w:rPr>
              <w:t>o</w:t>
            </w:r>
            <w:r w:rsidRPr="002417E0">
              <w:rPr>
                <w:lang w:val="fr-FR"/>
              </w:rPr>
              <w:t> 61 et de la révision</w:t>
            </w:r>
            <w:r>
              <w:rPr>
                <w:lang w:val="fr-FR"/>
              </w:rPr>
              <w:t> </w:t>
            </w:r>
            <w:r w:rsidRPr="002417E0">
              <w:rPr>
                <w:lang w:val="fr-FR"/>
              </w:rPr>
              <w:t>2 de cette résolution</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8343CC" w:rsidP="007F242A">
            <w:pPr>
              <w:tabs>
                <w:tab w:val="left" w:pos="288"/>
                <w:tab w:val="left" w:pos="576"/>
                <w:tab w:val="left" w:pos="864"/>
                <w:tab w:val="left" w:pos="1152"/>
              </w:tabs>
              <w:suppressAutoHyphens/>
              <w:spacing w:before="40" w:after="80"/>
              <w:ind w:left="576" w:right="115" w:hanging="576"/>
            </w:pPr>
            <w:r w:rsidRPr="008343CC">
              <w:rPr>
                <w:lang w:val="fr-FR"/>
              </w:rPr>
              <w:t>6.</w:t>
            </w:r>
            <w:r w:rsidRPr="008343CC">
              <w:rPr>
                <w:lang w:val="fr-FR"/>
              </w:rPr>
              <w:tab/>
            </w:r>
            <w:r w:rsidR="007F242A">
              <w:rPr>
                <w:lang w:val="fr-FR"/>
              </w:rPr>
              <w:tab/>
            </w:r>
            <w:r w:rsidRPr="008343CC">
              <w:rPr>
                <w:lang w:val="fr-FR"/>
              </w:rPr>
              <w:t>Transport intermodal et</w:t>
            </w:r>
            <w:r w:rsidR="007F242A">
              <w:rPr>
                <w:lang w:val="fr-FR"/>
              </w:rPr>
              <w:t> </w:t>
            </w:r>
            <w:r w:rsidRPr="008343CC">
              <w:rPr>
                <w:lang w:val="fr-FR"/>
              </w:rPr>
              <w:t>logistique</w:t>
            </w:r>
          </w:p>
        </w:tc>
        <w:tc>
          <w:tcPr>
            <w:tcW w:w="4941" w:type="dxa"/>
            <w:shd w:val="clear" w:color="auto" w:fill="auto"/>
          </w:tcPr>
          <w:p w:rsidR="00533D1A" w:rsidRPr="00533D1A" w:rsidRDefault="00FD3607" w:rsidP="002417E0">
            <w:pPr>
              <w:tabs>
                <w:tab w:val="left" w:pos="288"/>
                <w:tab w:val="left" w:pos="576"/>
                <w:tab w:val="left" w:pos="864"/>
                <w:tab w:val="left" w:pos="1152"/>
              </w:tabs>
              <w:suppressAutoHyphens/>
              <w:spacing w:before="40" w:after="80"/>
              <w:ind w:right="115"/>
            </w:pPr>
            <w:r>
              <w:rPr>
                <w:lang w:val="fr-FR"/>
              </w:rPr>
              <w:t>RE </w:t>
            </w:r>
            <w:r w:rsidRPr="00FD3607">
              <w:rPr>
                <w:lang w:val="fr-FR"/>
              </w:rPr>
              <w:t>6.</w:t>
            </w:r>
            <w:r>
              <w:rPr>
                <w:lang w:val="fr-FR"/>
              </w:rPr>
              <w:tab/>
            </w:r>
            <w:r w:rsidR="002417E0">
              <w:rPr>
                <w:lang w:val="fr-FR"/>
              </w:rPr>
              <w:tab/>
            </w:r>
            <w:r w:rsidRPr="00FD3607">
              <w:rPr>
                <w:lang w:val="fr-FR"/>
              </w:rPr>
              <w:t>Cadre renforcé pour les activités et les politiques concernant le transport intermodal durable et</w:t>
            </w:r>
            <w:r w:rsidR="002417E0">
              <w:rPr>
                <w:lang w:val="fr-FR"/>
              </w:rPr>
              <w:t> </w:t>
            </w:r>
            <w:r w:rsidRPr="00FD3607">
              <w:rPr>
                <w:lang w:val="fr-FR"/>
              </w:rPr>
              <w:t>la logistique dans la région, et meilleure coopération entre les pays membres de la CEE dans l’examen des questions abordées, grâce à l’échange de données d’expérience et de bonnes pratiques. Ces questions concernent les infrastructures et le passage des frontières, ainsi que le suivi et la mise à jour des instruments juridiques pertinents (Accord AGTC et son</w:t>
            </w:r>
            <w:r w:rsidR="002417E0">
              <w:rPr>
                <w:lang w:val="fr-FR"/>
              </w:rPr>
              <w:t> </w:t>
            </w:r>
            <w:r w:rsidRPr="00FD3607">
              <w:rPr>
                <w:lang w:val="fr-FR"/>
              </w:rPr>
              <w:t>Protocole sur le transport combiné par voies navigables)</w:t>
            </w:r>
          </w:p>
        </w:tc>
      </w:tr>
      <w:tr w:rsidR="00533D1A" w:rsidRPr="00533D1A" w:rsidTr="00165249">
        <w:tc>
          <w:tcPr>
            <w:tcW w:w="3042" w:type="dxa"/>
            <w:shd w:val="clear" w:color="auto" w:fill="auto"/>
          </w:tcPr>
          <w:p w:rsidR="00533D1A" w:rsidRPr="00533D1A" w:rsidRDefault="00533D1A" w:rsidP="002417E0">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417E0">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FD3607" w:rsidRPr="00FD3607" w:rsidRDefault="00FD3607" w:rsidP="00094E56">
            <w:pPr>
              <w:keepNext/>
              <w:keepLines/>
              <w:tabs>
                <w:tab w:val="left" w:pos="288"/>
                <w:tab w:val="left" w:pos="576"/>
                <w:tab w:val="left" w:pos="864"/>
                <w:tab w:val="left" w:pos="1152"/>
              </w:tabs>
              <w:suppressAutoHyphens/>
              <w:spacing w:before="40" w:after="80"/>
              <w:ind w:right="115"/>
              <w:rPr>
                <w:lang w:val="fr-CH"/>
              </w:rPr>
            </w:pPr>
            <w:r>
              <w:rPr>
                <w:lang w:val="fr-FR"/>
              </w:rPr>
              <w:t>IS </w:t>
            </w:r>
            <w:r w:rsidR="00685D94">
              <w:rPr>
                <w:lang w:val="fr-FR"/>
              </w:rPr>
              <w:t>6</w:t>
            </w:r>
            <w:r>
              <w:rPr>
                <w:lang w:val="fr-FR"/>
              </w:rPr>
              <w:t> </w:t>
            </w:r>
            <w:r w:rsidRPr="00FD3607">
              <w:rPr>
                <w:lang w:val="fr-FR"/>
              </w:rPr>
              <w:t>a)</w:t>
            </w:r>
            <w:r>
              <w:rPr>
                <w:lang w:val="fr-FR"/>
              </w:rPr>
              <w:tab/>
            </w:r>
            <w:r w:rsidRPr="00FD3607">
              <w:rPr>
                <w:lang w:val="fr-FR"/>
              </w:rPr>
              <w:t>Nombre de pays, d’organisations intergouvernemental</w:t>
            </w:r>
            <w:r>
              <w:rPr>
                <w:lang w:val="fr-FR"/>
              </w:rPr>
              <w:t>es (OIG) et d’organisations non</w:t>
            </w:r>
            <w:r w:rsidRPr="00FD3607">
              <w:rPr>
                <w:lang w:val="fr-FR"/>
              </w:rPr>
              <w:t xml:space="preserve"> gouvernementales (ONG) participant aux deux réunions annuelles du Groupe de travail du transport intermodal et de la logistique (WP.24)</w:t>
            </w:r>
          </w:p>
          <w:p w:rsidR="00533D1A" w:rsidRPr="00533D1A" w:rsidRDefault="00FD3607" w:rsidP="002417E0">
            <w:pPr>
              <w:keepNext/>
              <w:keepLines/>
              <w:tabs>
                <w:tab w:val="left" w:pos="288"/>
                <w:tab w:val="left" w:pos="576"/>
                <w:tab w:val="left" w:pos="864"/>
                <w:tab w:val="left" w:pos="1152"/>
              </w:tabs>
              <w:suppressAutoHyphens/>
              <w:spacing w:before="40" w:after="80"/>
              <w:ind w:right="115"/>
            </w:pPr>
            <w:r w:rsidRPr="00FD3607">
              <w:rPr>
                <w:i/>
                <w:iCs/>
                <w:lang w:val="fr-FR"/>
              </w:rPr>
              <w:t>Mesure des résultats</w:t>
            </w:r>
            <w:r>
              <w:rPr>
                <w:i/>
                <w:iCs/>
                <w:lang w:val="fr-FR"/>
              </w:rPr>
              <w:t> </w:t>
            </w:r>
            <w:r w:rsidRPr="00FD3607">
              <w:rPr>
                <w:iCs/>
                <w:lang w:val="fr-FR"/>
              </w:rPr>
              <w:t>:</w:t>
            </w:r>
            <w:r>
              <w:rPr>
                <w:lang w:val="fr-FR"/>
              </w:rPr>
              <w:t xml:space="preserve"> </w:t>
            </w:r>
            <w:r w:rsidRPr="00FD3607">
              <w:rPr>
                <w:lang w:val="fr-FR"/>
              </w:rPr>
              <w:br/>
              <w:t>Référence 2014</w:t>
            </w:r>
            <w:r>
              <w:rPr>
                <w:lang w:val="fr-FR"/>
              </w:rPr>
              <w:t>-</w:t>
            </w:r>
            <w:r w:rsidRPr="00FD3607">
              <w:rPr>
                <w:lang w:val="fr-FR"/>
              </w:rPr>
              <w:t>2015</w:t>
            </w:r>
            <w:r>
              <w:rPr>
                <w:lang w:val="fr-FR"/>
              </w:rPr>
              <w:t> </w:t>
            </w:r>
            <w:r w:rsidRPr="00FD3607">
              <w:rPr>
                <w:lang w:val="fr-FR"/>
              </w:rPr>
              <w:t>: 24 en 2014, 31 en 2015</w:t>
            </w:r>
            <w:r>
              <w:rPr>
                <w:lang w:val="fr-FR"/>
              </w:rPr>
              <w:t xml:space="preserve"> </w:t>
            </w:r>
            <w:r w:rsidRPr="00FD3607">
              <w:rPr>
                <w:lang w:val="fr-FR"/>
              </w:rPr>
              <w:br/>
              <w:t>Objec</w:t>
            </w:r>
            <w:r>
              <w:rPr>
                <w:lang w:val="fr-FR"/>
              </w:rPr>
              <w:t>tif </w:t>
            </w:r>
            <w:r w:rsidRPr="00FD3607">
              <w:rPr>
                <w:lang w:val="fr-FR"/>
              </w:rPr>
              <w:t>: 2016</w:t>
            </w:r>
            <w:r>
              <w:rPr>
                <w:lang w:val="fr-FR"/>
              </w:rPr>
              <w:t>-</w:t>
            </w:r>
            <w:r w:rsidRPr="00FD3607">
              <w:rPr>
                <w:lang w:val="fr-FR"/>
              </w:rPr>
              <w:t>2017</w:t>
            </w:r>
            <w:r>
              <w:rPr>
                <w:lang w:val="fr-FR"/>
              </w:rPr>
              <w:t> </w:t>
            </w:r>
            <w:r w:rsidRPr="00FD3607">
              <w:rPr>
                <w:lang w:val="fr-FR"/>
              </w:rPr>
              <w:t>: 30</w:t>
            </w:r>
          </w:p>
        </w:tc>
      </w:tr>
      <w:tr w:rsidR="00533D1A" w:rsidRPr="00533D1A" w:rsidTr="00165249">
        <w:tc>
          <w:tcPr>
            <w:tcW w:w="3042" w:type="dxa"/>
            <w:shd w:val="clear" w:color="auto" w:fill="auto"/>
          </w:tcPr>
          <w:p w:rsidR="00533D1A" w:rsidRPr="00533D1A" w:rsidRDefault="00533D1A" w:rsidP="002417E0">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417E0">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CA4D13" w:rsidRPr="00CA4D13" w:rsidRDefault="00CA4D13" w:rsidP="00685D94">
            <w:pPr>
              <w:keepNext/>
              <w:keepLines/>
              <w:tabs>
                <w:tab w:val="left" w:pos="288"/>
                <w:tab w:val="left" w:pos="576"/>
                <w:tab w:val="left" w:pos="864"/>
                <w:tab w:val="left" w:pos="1152"/>
              </w:tabs>
              <w:suppressAutoHyphens/>
              <w:spacing w:before="40" w:after="80"/>
              <w:ind w:right="115"/>
              <w:rPr>
                <w:lang w:val="fr-CH"/>
              </w:rPr>
            </w:pPr>
            <w:r w:rsidRPr="00094E56">
              <w:rPr>
                <w:spacing w:val="-2"/>
                <w:w w:val="100"/>
                <w:lang w:val="fr-FR"/>
              </w:rPr>
              <w:t>IS 6 a</w:t>
            </w:r>
            <w:r w:rsidR="00685D94" w:rsidRPr="00094E56">
              <w:rPr>
                <w:spacing w:val="-2"/>
                <w:w w:val="100"/>
                <w:lang w:val="fr-FR"/>
              </w:rPr>
              <w:t>)</w:t>
            </w:r>
            <w:r w:rsidRPr="00094E56">
              <w:rPr>
                <w:spacing w:val="-2"/>
                <w:w w:val="100"/>
                <w:lang w:val="fr-FR"/>
              </w:rPr>
              <w:t> b)</w:t>
            </w:r>
            <w:r>
              <w:rPr>
                <w:lang w:val="fr-FR"/>
              </w:rPr>
              <w:tab/>
            </w:r>
            <w:r w:rsidRPr="00CA4D13">
              <w:rPr>
                <w:lang w:val="fr-FR"/>
              </w:rPr>
              <w:t>Nombre d’amendements et de lignes actualisées ou modifiées dans l’AGTC et son Protocole</w:t>
            </w:r>
          </w:p>
          <w:p w:rsidR="00533D1A" w:rsidRPr="00533D1A" w:rsidRDefault="00CA4D13" w:rsidP="00165249">
            <w:pPr>
              <w:keepNext/>
              <w:keepLines/>
              <w:tabs>
                <w:tab w:val="left" w:pos="288"/>
                <w:tab w:val="left" w:pos="576"/>
                <w:tab w:val="left" w:pos="864"/>
                <w:tab w:val="left" w:pos="1152"/>
              </w:tabs>
              <w:suppressAutoHyphens/>
              <w:spacing w:before="40" w:after="80"/>
              <w:ind w:right="115"/>
            </w:pPr>
            <w:r w:rsidRPr="00CA4D13">
              <w:rPr>
                <w:i/>
                <w:iCs/>
                <w:lang w:val="fr-FR"/>
              </w:rPr>
              <w:t>Mesure des résultats</w:t>
            </w:r>
            <w:r w:rsidRPr="00CA4D13">
              <w:rPr>
                <w:iCs/>
                <w:lang w:val="fr-FR"/>
              </w:rPr>
              <w:t> :</w:t>
            </w:r>
            <w:r>
              <w:rPr>
                <w:i/>
                <w:iCs/>
                <w:lang w:val="fr-FR"/>
              </w:rPr>
              <w:t xml:space="preserve"> </w:t>
            </w:r>
            <w:r w:rsidRPr="00CA4D13">
              <w:rPr>
                <w:lang w:val="fr-FR"/>
              </w:rPr>
              <w:br/>
              <w:t>Référence 2014</w:t>
            </w:r>
            <w:r>
              <w:rPr>
                <w:lang w:val="fr-FR"/>
              </w:rPr>
              <w:t>-</w:t>
            </w:r>
            <w:r w:rsidRPr="00CA4D13">
              <w:rPr>
                <w:lang w:val="fr-FR"/>
              </w:rPr>
              <w:t>2015</w:t>
            </w:r>
            <w:r>
              <w:rPr>
                <w:lang w:val="fr-FR"/>
              </w:rPr>
              <w:t> </w:t>
            </w:r>
            <w:r w:rsidR="009C7DC6">
              <w:rPr>
                <w:lang w:val="fr-FR"/>
              </w:rPr>
              <w:t>: aucun amendement en 2014, 1 </w:t>
            </w:r>
            <w:r w:rsidRPr="00CA4D13">
              <w:rPr>
                <w:lang w:val="fr-FR"/>
              </w:rPr>
              <w:t>notification dépositaire envoyée avec 3</w:t>
            </w:r>
            <w:r w:rsidR="00165249">
              <w:rPr>
                <w:lang w:val="fr-FR"/>
              </w:rPr>
              <w:t> </w:t>
            </w:r>
            <w:r w:rsidRPr="00CA4D13">
              <w:rPr>
                <w:lang w:val="fr-FR"/>
              </w:rPr>
              <w:t>modifications en 2015</w:t>
            </w:r>
            <w:r>
              <w:rPr>
                <w:lang w:val="fr-FR"/>
              </w:rPr>
              <w:t xml:space="preserve"> </w:t>
            </w:r>
            <w:r w:rsidRPr="00CA4D13">
              <w:rPr>
                <w:lang w:val="fr-FR"/>
              </w:rPr>
              <w:br/>
              <w:t>Objectif 2016-2017</w:t>
            </w:r>
            <w:r>
              <w:rPr>
                <w:lang w:val="fr-FR"/>
              </w:rPr>
              <w:t> </w:t>
            </w:r>
            <w:r w:rsidRPr="00CA4D13">
              <w:rPr>
                <w:lang w:val="fr-FR"/>
              </w:rPr>
              <w:t>: 2 amendements</w:t>
            </w:r>
          </w:p>
        </w:tc>
      </w:tr>
      <w:tr w:rsidR="002417E0" w:rsidRPr="00533D1A" w:rsidTr="00165249">
        <w:tc>
          <w:tcPr>
            <w:tcW w:w="3042" w:type="dxa"/>
            <w:shd w:val="clear" w:color="auto" w:fill="auto"/>
          </w:tcPr>
          <w:p w:rsidR="002417E0" w:rsidRPr="00533D1A" w:rsidRDefault="002417E0" w:rsidP="002417E0">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2417E0" w:rsidRPr="00533D1A" w:rsidRDefault="002417E0" w:rsidP="002417E0">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2417E0" w:rsidRPr="002417E0" w:rsidRDefault="002417E0" w:rsidP="009C7DC6">
            <w:pPr>
              <w:keepNext/>
              <w:keepLines/>
              <w:tabs>
                <w:tab w:val="left" w:pos="288"/>
                <w:tab w:val="left" w:pos="576"/>
                <w:tab w:val="left" w:pos="864"/>
                <w:tab w:val="left" w:pos="1152"/>
              </w:tabs>
              <w:suppressAutoHyphens/>
              <w:spacing w:before="40" w:after="80"/>
              <w:ind w:right="115"/>
              <w:rPr>
                <w:lang w:val="fr-CH"/>
              </w:rPr>
            </w:pPr>
            <w:r w:rsidRPr="002417E0">
              <w:rPr>
                <w:lang w:val="fr-FR"/>
              </w:rPr>
              <w:t>IS 6 c)</w:t>
            </w:r>
            <w:r w:rsidRPr="002417E0">
              <w:rPr>
                <w:lang w:val="fr-FR"/>
              </w:rPr>
              <w:tab/>
              <w:t>Examen et mise à jour des Directives OMI/OIT/CEE pour le chargement des cargaisons dans</w:t>
            </w:r>
            <w:r w:rsidR="009C7DC6">
              <w:rPr>
                <w:lang w:val="fr-FR"/>
              </w:rPr>
              <w:t> </w:t>
            </w:r>
            <w:r w:rsidRPr="002417E0">
              <w:rPr>
                <w:lang w:val="fr-FR"/>
              </w:rPr>
              <w:t>des unités de transport intermodales</w:t>
            </w:r>
          </w:p>
          <w:p w:rsidR="002417E0" w:rsidRPr="002417E0" w:rsidRDefault="002417E0" w:rsidP="002417E0">
            <w:pPr>
              <w:keepNext/>
              <w:keepLines/>
              <w:tabs>
                <w:tab w:val="left" w:pos="288"/>
                <w:tab w:val="left" w:pos="576"/>
                <w:tab w:val="left" w:pos="864"/>
                <w:tab w:val="left" w:pos="1152"/>
              </w:tabs>
              <w:suppressAutoHyphens/>
              <w:spacing w:before="40" w:after="80"/>
              <w:ind w:right="115"/>
              <w:rPr>
                <w:lang w:val="fr-CH"/>
              </w:rPr>
            </w:pPr>
            <w:r w:rsidRPr="002417E0">
              <w:rPr>
                <w:i/>
                <w:iCs/>
                <w:lang w:val="fr-FR"/>
              </w:rPr>
              <w:t>Mesure des résultats </w:t>
            </w:r>
            <w:r w:rsidRPr="002417E0">
              <w:rPr>
                <w:iCs/>
                <w:lang w:val="fr-FR"/>
              </w:rPr>
              <w:t>:</w:t>
            </w:r>
            <w:r w:rsidRPr="002417E0">
              <w:rPr>
                <w:lang w:val="fr-FR"/>
              </w:rPr>
              <w:t xml:space="preserve"> </w:t>
            </w:r>
            <w:r w:rsidRPr="002417E0">
              <w:rPr>
                <w:lang w:val="fr-FR"/>
              </w:rPr>
              <w:br/>
              <w:t xml:space="preserve">Référence 2012-2013 : </w:t>
            </w:r>
            <w:r w:rsidR="009C7DC6">
              <w:rPr>
                <w:lang w:val="fr-FR"/>
              </w:rPr>
              <w:t>r</w:t>
            </w:r>
            <w:r w:rsidRPr="002417E0">
              <w:rPr>
                <w:lang w:val="fr-FR"/>
              </w:rPr>
              <w:t>éalisé</w:t>
            </w:r>
          </w:p>
          <w:p w:rsidR="002417E0" w:rsidRPr="002417E0" w:rsidRDefault="002417E0" w:rsidP="002417E0">
            <w:pPr>
              <w:keepNext/>
              <w:keepLines/>
              <w:tabs>
                <w:tab w:val="left" w:pos="288"/>
                <w:tab w:val="left" w:pos="576"/>
                <w:tab w:val="left" w:pos="864"/>
                <w:tab w:val="left" w:pos="1152"/>
              </w:tabs>
              <w:suppressAutoHyphens/>
              <w:spacing w:before="40" w:after="80"/>
              <w:ind w:right="115"/>
              <w:rPr>
                <w:lang w:val="fr-CH"/>
              </w:rPr>
            </w:pPr>
            <w:r w:rsidRPr="002417E0">
              <w:rPr>
                <w:lang w:val="fr-FR"/>
              </w:rPr>
              <w:t>2015 : publication en ligne des traductions officielles en français, espagnol, russe, arabe et chinois, ainsi que d’une version allemande (traduction non officielle)</w:t>
            </w:r>
          </w:p>
          <w:p w:rsidR="002417E0" w:rsidRPr="002417E0" w:rsidRDefault="002417E0" w:rsidP="002417E0">
            <w:pPr>
              <w:keepNext/>
              <w:keepLines/>
              <w:tabs>
                <w:tab w:val="left" w:pos="288"/>
                <w:tab w:val="left" w:pos="576"/>
                <w:tab w:val="left" w:pos="864"/>
                <w:tab w:val="left" w:pos="1152"/>
              </w:tabs>
              <w:suppressAutoHyphens/>
              <w:spacing w:before="40" w:after="80"/>
              <w:ind w:right="115"/>
              <w:rPr>
                <w:lang w:val="fr-CH"/>
              </w:rPr>
            </w:pPr>
            <w:r w:rsidRPr="002417E0">
              <w:rPr>
                <w:lang w:val="fr-FR"/>
              </w:rPr>
              <w:t>2015 : mise au point de la version Web en anglais</w:t>
            </w:r>
          </w:p>
          <w:p w:rsidR="002417E0" w:rsidRPr="002D4BC2" w:rsidRDefault="002417E0" w:rsidP="00685D94">
            <w:pPr>
              <w:keepNext/>
              <w:keepLines/>
              <w:tabs>
                <w:tab w:val="left" w:pos="288"/>
                <w:tab w:val="left" w:pos="576"/>
                <w:tab w:val="left" w:pos="864"/>
                <w:tab w:val="left" w:pos="1152"/>
              </w:tabs>
              <w:suppressAutoHyphens/>
              <w:spacing w:before="40" w:after="80"/>
              <w:ind w:right="115"/>
              <w:rPr>
                <w:lang w:val="fr-FR"/>
              </w:rPr>
            </w:pPr>
            <w:r w:rsidRPr="002D4BC2">
              <w:rPr>
                <w:lang w:val="fr-FR"/>
              </w:rPr>
              <w:t>Objectif pour 2016 : version Web dans les autres langues</w:t>
            </w:r>
            <w:r w:rsidR="009C7DC6" w:rsidRPr="002D4BC2">
              <w:rPr>
                <w:lang w:val="fr-FR"/>
              </w:rPr>
              <w:t xml:space="preserve"> </w:t>
            </w:r>
            <w:r w:rsidR="009C7DC6" w:rsidRPr="002D4BC2">
              <w:rPr>
                <w:lang w:val="fr-FR"/>
              </w:rPr>
              <w:br/>
            </w:r>
            <w:r w:rsidRPr="002D4BC2">
              <w:rPr>
                <w:lang w:val="fr-FR"/>
              </w:rPr>
              <w:t xml:space="preserve">Objectif pour 2017 : </w:t>
            </w:r>
            <w:r w:rsidR="00685D94">
              <w:rPr>
                <w:lang w:val="fr-FR"/>
              </w:rPr>
              <w:t>e</w:t>
            </w:r>
            <w:r w:rsidRPr="002D4BC2">
              <w:rPr>
                <w:lang w:val="fr-FR"/>
              </w:rPr>
              <w:t>xamen de l’utilisation du Code CTU</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685D94" w:rsidP="00685D94">
            <w:pPr>
              <w:tabs>
                <w:tab w:val="left" w:pos="288"/>
                <w:tab w:val="left" w:pos="576"/>
                <w:tab w:val="left" w:pos="864"/>
                <w:tab w:val="left" w:pos="1152"/>
              </w:tabs>
              <w:suppressAutoHyphens/>
              <w:spacing w:before="40" w:after="80"/>
              <w:ind w:left="576" w:right="115" w:hanging="576"/>
            </w:pPr>
            <w:r>
              <w:rPr>
                <w:lang w:val="fr-FR"/>
              </w:rPr>
              <w:t>7</w:t>
            </w:r>
            <w:r w:rsidR="00C317B0">
              <w:rPr>
                <w:lang w:val="fr-FR"/>
              </w:rPr>
              <w:t> </w:t>
            </w:r>
            <w:r w:rsidR="00C317B0" w:rsidRPr="00C317B0">
              <w:rPr>
                <w:lang w:val="fr-FR"/>
              </w:rPr>
              <w:t>a</w:t>
            </w:r>
            <w:r>
              <w:rPr>
                <w:lang w:val="fr-FR"/>
              </w:rPr>
              <w:t>)</w:t>
            </w:r>
            <w:r w:rsidR="00C317B0" w:rsidRPr="00C317B0">
              <w:rPr>
                <w:lang w:val="fr-FR"/>
              </w:rPr>
              <w:tab/>
              <w:t>Prob</w:t>
            </w:r>
            <w:r w:rsidR="007F242A">
              <w:rPr>
                <w:lang w:val="fr-FR"/>
              </w:rPr>
              <w:t>lèmes douaniers intéressant les </w:t>
            </w:r>
            <w:r w:rsidR="00C317B0" w:rsidRPr="00C317B0">
              <w:rPr>
                <w:lang w:val="fr-FR"/>
              </w:rPr>
              <w:t>transports</w:t>
            </w:r>
          </w:p>
        </w:tc>
        <w:tc>
          <w:tcPr>
            <w:tcW w:w="4941" w:type="dxa"/>
            <w:shd w:val="clear" w:color="auto" w:fill="auto"/>
          </w:tcPr>
          <w:p w:rsidR="00533D1A" w:rsidRPr="00533D1A" w:rsidRDefault="00BE2094" w:rsidP="00685D94">
            <w:pPr>
              <w:tabs>
                <w:tab w:val="left" w:pos="288"/>
                <w:tab w:val="left" w:pos="576"/>
                <w:tab w:val="left" w:pos="864"/>
                <w:tab w:val="left" w:pos="1152"/>
              </w:tabs>
              <w:suppressAutoHyphens/>
              <w:spacing w:before="40" w:after="80"/>
              <w:ind w:right="115"/>
            </w:pPr>
            <w:r w:rsidRPr="00BE2094">
              <w:rPr>
                <w:lang w:val="fr-FR"/>
              </w:rPr>
              <w:t>RE</w:t>
            </w:r>
            <w:r>
              <w:rPr>
                <w:lang w:val="fr-FR"/>
              </w:rPr>
              <w:t> </w:t>
            </w:r>
            <w:r w:rsidRPr="00BE2094">
              <w:rPr>
                <w:lang w:val="fr-FR"/>
              </w:rPr>
              <w:t>7</w:t>
            </w:r>
            <w:r>
              <w:rPr>
                <w:lang w:val="fr-FR"/>
              </w:rPr>
              <w:t> </w:t>
            </w:r>
            <w:r w:rsidR="00685D94">
              <w:rPr>
                <w:lang w:val="fr-FR"/>
              </w:rPr>
              <w:t>a)</w:t>
            </w:r>
            <w:r>
              <w:rPr>
                <w:lang w:val="fr-FR"/>
              </w:rPr>
              <w:tab/>
            </w:r>
            <w:r w:rsidRPr="00BE2094">
              <w:rPr>
                <w:lang w:val="fr-FR"/>
              </w:rPr>
              <w:t>Nouvelles adhésions aux instruments juridiques internationaux dans le domaine de la facilitation du passage des frontières et meilleure application de ceux-ci</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E2094" w:rsidRPr="00BE2094" w:rsidRDefault="00BE2094" w:rsidP="00165249">
            <w:pPr>
              <w:tabs>
                <w:tab w:val="left" w:pos="288"/>
                <w:tab w:val="left" w:pos="576"/>
                <w:tab w:val="left" w:pos="864"/>
                <w:tab w:val="left" w:pos="1152"/>
              </w:tabs>
              <w:suppressAutoHyphens/>
              <w:spacing w:before="40" w:after="80"/>
              <w:ind w:right="115"/>
              <w:rPr>
                <w:lang w:val="fr-CH"/>
              </w:rPr>
            </w:pPr>
            <w:r w:rsidRPr="00094E56">
              <w:rPr>
                <w:spacing w:val="-8"/>
                <w:w w:val="100"/>
                <w:lang w:val="fr-FR"/>
              </w:rPr>
              <w:t>IS 7 a</w:t>
            </w:r>
            <w:r w:rsidR="00685D94" w:rsidRPr="00094E56">
              <w:rPr>
                <w:spacing w:val="-8"/>
                <w:w w:val="100"/>
                <w:lang w:val="fr-FR"/>
              </w:rPr>
              <w:t>)</w:t>
            </w:r>
            <w:r w:rsidRPr="00094E56">
              <w:rPr>
                <w:spacing w:val="-8"/>
                <w:w w:val="100"/>
                <w:lang w:val="fr-FR"/>
              </w:rPr>
              <w:t> a)</w:t>
            </w:r>
            <w:r w:rsidRPr="00165249">
              <w:rPr>
                <w:spacing w:val="-6"/>
                <w:w w:val="100"/>
                <w:lang w:val="fr-FR"/>
              </w:rPr>
              <w:tab/>
            </w:r>
            <w:r w:rsidRPr="00BE2094">
              <w:rPr>
                <w:lang w:val="fr-FR"/>
              </w:rPr>
              <w:t xml:space="preserve">Nombre cumulé de délégations de pays (Parties contractantes) et de participants aux sessions du Groupe de travail des problèmes douaniers intéressant les transports (WP.30) et de ses comités administratifs (AC.2 et AC.3) et aux </w:t>
            </w:r>
            <w:r w:rsidR="000B2BEB">
              <w:rPr>
                <w:lang w:val="fr-FR"/>
              </w:rPr>
              <w:t>réunions des groupes d’experts</w:t>
            </w:r>
          </w:p>
          <w:p w:rsidR="00533D1A" w:rsidRPr="00533D1A" w:rsidRDefault="00BE2094" w:rsidP="00BE2094">
            <w:pPr>
              <w:tabs>
                <w:tab w:val="left" w:pos="288"/>
                <w:tab w:val="left" w:pos="576"/>
                <w:tab w:val="left" w:pos="864"/>
                <w:tab w:val="left" w:pos="1152"/>
              </w:tabs>
              <w:suppressAutoHyphens/>
              <w:spacing w:before="40" w:after="80"/>
              <w:ind w:right="115"/>
            </w:pPr>
            <w:r w:rsidRPr="00BE2094">
              <w:rPr>
                <w:i/>
                <w:iCs/>
                <w:lang w:val="fr-FR"/>
              </w:rPr>
              <w:t>Mesure des résultats</w:t>
            </w:r>
            <w:r>
              <w:rPr>
                <w:i/>
                <w:iCs/>
                <w:lang w:val="fr-FR"/>
              </w:rPr>
              <w:t> </w:t>
            </w:r>
            <w:r w:rsidRPr="00BE2094">
              <w:rPr>
                <w:iCs/>
                <w:lang w:val="fr-FR"/>
              </w:rPr>
              <w:t>:</w:t>
            </w:r>
            <w:r>
              <w:rPr>
                <w:lang w:val="fr-FR"/>
              </w:rPr>
              <w:t xml:space="preserve"> </w:t>
            </w:r>
            <w:r w:rsidRPr="00BE2094">
              <w:rPr>
                <w:lang w:val="fr-FR"/>
              </w:rPr>
              <w:br/>
            </w:r>
            <w:r w:rsidRPr="002D4BC2">
              <w:rPr>
                <w:lang w:val="fr-FR"/>
              </w:rPr>
              <w:t xml:space="preserve">Référence 2014-2015 : 410 délégations, </w:t>
            </w:r>
            <w:r w:rsidR="002D4BC2">
              <w:rPr>
                <w:lang w:val="fr-FR"/>
              </w:rPr>
              <w:br/>
            </w:r>
            <w:r w:rsidRPr="002D4BC2">
              <w:rPr>
                <w:lang w:val="fr-FR"/>
              </w:rPr>
              <w:t xml:space="preserve">1 100 participants </w:t>
            </w:r>
            <w:r w:rsidRPr="002D4BC2">
              <w:rPr>
                <w:lang w:val="fr-FR"/>
              </w:rPr>
              <w:br/>
            </w:r>
            <w:r w:rsidRPr="002D4BC2">
              <w:rPr>
                <w:spacing w:val="2"/>
                <w:lang w:val="fr-FR"/>
              </w:rPr>
              <w:t>Objectif 2016-2017 : 400 délégations, 1 000 participants</w:t>
            </w:r>
          </w:p>
        </w:tc>
      </w:tr>
      <w:tr w:rsidR="00533D1A" w:rsidRPr="00533D1A" w:rsidTr="00165249">
        <w:tc>
          <w:tcPr>
            <w:tcW w:w="3042"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533D1A" w:rsidRPr="00533D1A" w:rsidRDefault="00533D1A"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61129" w:rsidRPr="009C7DC6" w:rsidRDefault="00261129" w:rsidP="00261129">
            <w:pPr>
              <w:tabs>
                <w:tab w:val="left" w:pos="288"/>
                <w:tab w:val="left" w:pos="576"/>
                <w:tab w:val="left" w:pos="864"/>
                <w:tab w:val="left" w:pos="1152"/>
              </w:tabs>
              <w:suppressAutoHyphens/>
              <w:spacing w:before="40" w:after="80"/>
              <w:ind w:right="115"/>
              <w:rPr>
                <w:lang w:val="fr-CH"/>
              </w:rPr>
            </w:pPr>
            <w:r w:rsidRPr="00094E56">
              <w:rPr>
                <w:spacing w:val="-6"/>
                <w:w w:val="100"/>
                <w:lang w:val="fr-FR"/>
              </w:rPr>
              <w:t>IS 7 a</w:t>
            </w:r>
            <w:r w:rsidR="00685D94" w:rsidRPr="00094E56">
              <w:rPr>
                <w:spacing w:val="-6"/>
                <w:w w:val="100"/>
                <w:lang w:val="fr-FR"/>
              </w:rPr>
              <w:t>)</w:t>
            </w:r>
            <w:r w:rsidRPr="00094E56">
              <w:rPr>
                <w:spacing w:val="-6"/>
                <w:w w:val="100"/>
                <w:lang w:val="fr-FR"/>
              </w:rPr>
              <w:t> b)</w:t>
            </w:r>
            <w:r w:rsidRPr="009C7DC6">
              <w:rPr>
                <w:lang w:val="fr-FR"/>
              </w:rPr>
              <w:tab/>
              <w:t>Nombre de nouveaux amendements adoptés et/ou examinés et nombre de no</w:t>
            </w:r>
            <w:r w:rsidR="000B2BEB">
              <w:rPr>
                <w:lang w:val="fr-FR"/>
              </w:rPr>
              <w:t>uvelles Parties contractantes</w:t>
            </w:r>
          </w:p>
          <w:p w:rsidR="00533D1A" w:rsidRPr="00533D1A" w:rsidRDefault="00261129" w:rsidP="002D4BC2">
            <w:pPr>
              <w:keepNext/>
              <w:keepLines/>
              <w:tabs>
                <w:tab w:val="left" w:pos="288"/>
                <w:tab w:val="left" w:pos="576"/>
                <w:tab w:val="left" w:pos="864"/>
                <w:tab w:val="left" w:pos="1152"/>
              </w:tabs>
              <w:suppressAutoHyphens/>
              <w:spacing w:before="40" w:after="80"/>
              <w:ind w:right="115"/>
            </w:pPr>
            <w:r w:rsidRPr="00261129">
              <w:rPr>
                <w:i/>
                <w:iCs/>
                <w:lang w:val="fr-FR"/>
              </w:rPr>
              <w:lastRenderedPageBreak/>
              <w:t>Mesure des résultats</w:t>
            </w:r>
            <w:r>
              <w:rPr>
                <w:i/>
                <w:iCs/>
                <w:lang w:val="fr-FR"/>
              </w:rPr>
              <w:t> </w:t>
            </w:r>
            <w:r w:rsidRPr="00261129">
              <w:rPr>
                <w:iCs/>
                <w:lang w:val="fr-FR"/>
              </w:rPr>
              <w:t>:</w:t>
            </w:r>
            <w:r>
              <w:rPr>
                <w:lang w:val="fr-FR"/>
              </w:rPr>
              <w:t xml:space="preserve"> </w:t>
            </w:r>
            <w:r w:rsidRPr="00261129">
              <w:rPr>
                <w:lang w:val="fr-FR"/>
              </w:rPr>
              <w:br/>
              <w:t>Référence 2014-2015</w:t>
            </w:r>
            <w:r>
              <w:rPr>
                <w:lang w:val="fr-FR"/>
              </w:rPr>
              <w:t> </w:t>
            </w:r>
            <w:r w:rsidRPr="00261129">
              <w:rPr>
                <w:lang w:val="fr-FR"/>
              </w:rPr>
              <w:t>: 3 amendements, aucune nouvelle Partie contractante</w:t>
            </w:r>
            <w:r>
              <w:rPr>
                <w:lang w:val="fr-FR"/>
              </w:rPr>
              <w:t xml:space="preserve"> </w:t>
            </w:r>
            <w:r w:rsidRPr="00261129">
              <w:rPr>
                <w:lang w:val="fr-FR"/>
              </w:rPr>
              <w:br/>
              <w:t>Objectif 2016-2017</w:t>
            </w:r>
            <w:r>
              <w:rPr>
                <w:lang w:val="fr-FR"/>
              </w:rPr>
              <w:t> </w:t>
            </w:r>
            <w:r w:rsidRPr="00261129">
              <w:rPr>
                <w:lang w:val="fr-FR"/>
              </w:rPr>
              <w:t>: 3 amendements, 2 nouvelles Parties contractantes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261129" w:rsidP="007F242A">
            <w:pPr>
              <w:tabs>
                <w:tab w:val="left" w:pos="288"/>
                <w:tab w:val="left" w:pos="576"/>
                <w:tab w:val="left" w:pos="864"/>
                <w:tab w:val="left" w:pos="1152"/>
              </w:tabs>
              <w:suppressAutoHyphens/>
              <w:spacing w:before="40" w:after="80"/>
              <w:ind w:left="576" w:right="115" w:hanging="576"/>
            </w:pPr>
            <w:r w:rsidRPr="00261129">
              <w:rPr>
                <w:lang w:val="fr-FR"/>
              </w:rPr>
              <w:t>8.</w:t>
            </w:r>
            <w:r w:rsidRPr="00261129">
              <w:rPr>
                <w:lang w:val="fr-FR"/>
              </w:rPr>
              <w:tab/>
            </w:r>
            <w:r w:rsidR="007F242A">
              <w:rPr>
                <w:lang w:val="fr-FR"/>
              </w:rPr>
              <w:tab/>
            </w:r>
            <w:r w:rsidRPr="00261129">
              <w:rPr>
                <w:lang w:val="fr-FR"/>
              </w:rPr>
              <w:t>Programme paneuropéen sur les transports, la</w:t>
            </w:r>
            <w:r w:rsidR="007F242A">
              <w:rPr>
                <w:lang w:val="fr-FR"/>
              </w:rPr>
              <w:t> </w:t>
            </w:r>
            <w:r w:rsidRPr="00261129">
              <w:rPr>
                <w:lang w:val="fr-FR"/>
              </w:rPr>
              <w:t xml:space="preserve">santé et </w:t>
            </w:r>
            <w:r w:rsidRPr="007F242A">
              <w:rPr>
                <w:spacing w:val="-2"/>
                <w:lang w:val="fr-FR"/>
              </w:rPr>
              <w:t>l’environnement</w:t>
            </w:r>
            <w:r w:rsidRPr="00261129">
              <w:rPr>
                <w:lang w:val="fr-FR"/>
              </w:rPr>
              <w:t xml:space="preserve"> (PPE-TSE)</w:t>
            </w:r>
          </w:p>
        </w:tc>
        <w:tc>
          <w:tcPr>
            <w:tcW w:w="4941" w:type="dxa"/>
            <w:shd w:val="clear" w:color="auto" w:fill="auto"/>
          </w:tcPr>
          <w:p w:rsidR="00BE2094" w:rsidRPr="00533D1A" w:rsidRDefault="00261129" w:rsidP="000B2BEB">
            <w:pPr>
              <w:tabs>
                <w:tab w:val="left" w:pos="288"/>
                <w:tab w:val="left" w:pos="576"/>
                <w:tab w:val="left" w:pos="864"/>
                <w:tab w:val="left" w:pos="1152"/>
              </w:tabs>
              <w:suppressAutoHyphens/>
              <w:spacing w:before="40" w:after="80"/>
              <w:ind w:right="115"/>
            </w:pPr>
            <w:r w:rsidRPr="00261129">
              <w:rPr>
                <w:lang w:val="fr-FR"/>
              </w:rPr>
              <w:t>RE</w:t>
            </w:r>
            <w:r>
              <w:rPr>
                <w:lang w:val="fr-FR"/>
              </w:rPr>
              <w:t> </w:t>
            </w:r>
            <w:r w:rsidRPr="00261129">
              <w:rPr>
                <w:lang w:val="fr-FR"/>
              </w:rPr>
              <w:t>8.</w:t>
            </w:r>
            <w:r>
              <w:rPr>
                <w:lang w:val="fr-FR"/>
              </w:rPr>
              <w:tab/>
            </w:r>
            <w:r w:rsidR="00327E8E">
              <w:rPr>
                <w:lang w:val="fr-FR"/>
              </w:rPr>
              <w:tab/>
            </w:r>
            <w:r w:rsidRPr="00261129">
              <w:rPr>
                <w:lang w:val="fr-FR"/>
              </w:rPr>
              <w:t xml:space="preserve">Meilleure intégration des politiques relatives aux transports, à la santé et à l’environnement par l’échange de données d’expérience et de bonnes pratiques et le renforcement des capacités, en mettant l’accent sur les pays d’Europe orientale, du Caucase et d’Asie centrale (EOCAC) et les pays d’Europe du </w:t>
            </w:r>
            <w:r w:rsidR="00327E8E">
              <w:rPr>
                <w:lang w:val="fr-FR"/>
              </w:rPr>
              <w:t>S</w:t>
            </w:r>
            <w:r w:rsidRPr="00261129">
              <w:rPr>
                <w:lang w:val="fr-FR"/>
              </w:rPr>
              <w:t>ud-Est (ESE)</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61129" w:rsidRPr="00261129" w:rsidRDefault="00261129" w:rsidP="00261129">
            <w:pPr>
              <w:tabs>
                <w:tab w:val="left" w:pos="288"/>
                <w:tab w:val="left" w:pos="576"/>
                <w:tab w:val="left" w:pos="864"/>
                <w:tab w:val="left" w:pos="1152"/>
              </w:tabs>
              <w:suppressAutoHyphens/>
              <w:spacing w:before="40" w:after="80"/>
              <w:ind w:right="115"/>
              <w:rPr>
                <w:lang w:val="fr-CH"/>
              </w:rPr>
            </w:pPr>
            <w:r w:rsidRPr="00261129">
              <w:rPr>
                <w:lang w:val="fr-FR"/>
              </w:rPr>
              <w:t>IS</w:t>
            </w:r>
            <w:r>
              <w:rPr>
                <w:lang w:val="fr-FR"/>
              </w:rPr>
              <w:t> </w:t>
            </w:r>
            <w:r w:rsidRPr="00261129">
              <w:rPr>
                <w:lang w:val="fr-FR"/>
              </w:rPr>
              <w:t>8.</w:t>
            </w:r>
            <w:r>
              <w:rPr>
                <w:lang w:val="fr-FR"/>
              </w:rPr>
              <w:tab/>
            </w:r>
            <w:r w:rsidR="00327E8E">
              <w:rPr>
                <w:lang w:val="fr-FR"/>
              </w:rPr>
              <w:tab/>
            </w:r>
            <w:r w:rsidRPr="00261129">
              <w:rPr>
                <w:lang w:val="fr-FR"/>
              </w:rPr>
              <w:t xml:space="preserve">Plus grand </w:t>
            </w:r>
            <w:r w:rsidR="00327E8E">
              <w:rPr>
                <w:lang w:val="fr-FR"/>
              </w:rPr>
              <w:t>engagement des États membres et</w:t>
            </w:r>
            <w:r w:rsidR="00867AEA">
              <w:rPr>
                <w:lang w:val="fr-FR"/>
              </w:rPr>
              <w:t> </w:t>
            </w:r>
            <w:r w:rsidRPr="00261129">
              <w:rPr>
                <w:lang w:val="fr-FR"/>
              </w:rPr>
              <w:t>des coordonnateur</w:t>
            </w:r>
            <w:r w:rsidR="00327E8E">
              <w:rPr>
                <w:lang w:val="fr-FR"/>
              </w:rPr>
              <w:t>s du Programme PPE-TSE dans</w:t>
            </w:r>
            <w:r w:rsidR="00100875">
              <w:rPr>
                <w:lang w:val="fr-FR"/>
              </w:rPr>
              <w:t xml:space="preserve"> </w:t>
            </w:r>
            <w:r w:rsidR="00327E8E">
              <w:rPr>
                <w:lang w:val="fr-FR"/>
              </w:rPr>
              <w:t>les</w:t>
            </w:r>
            <w:r w:rsidR="00100875">
              <w:rPr>
                <w:lang w:val="fr-FR"/>
              </w:rPr>
              <w:t> </w:t>
            </w:r>
            <w:r w:rsidRPr="00261129">
              <w:rPr>
                <w:lang w:val="fr-FR"/>
              </w:rPr>
              <w:t>domaines de</w:t>
            </w:r>
            <w:r w:rsidR="000B2BEB">
              <w:rPr>
                <w:lang w:val="fr-FR"/>
              </w:rPr>
              <w:t>s transports, de la santé et de</w:t>
            </w:r>
            <w:r w:rsidR="00100875">
              <w:rPr>
                <w:lang w:val="fr-FR"/>
              </w:rPr>
              <w:t xml:space="preserve"> </w:t>
            </w:r>
            <w:r w:rsidRPr="00261129">
              <w:rPr>
                <w:lang w:val="fr-FR"/>
              </w:rPr>
              <w:t>l’environnem</w:t>
            </w:r>
            <w:r>
              <w:rPr>
                <w:lang w:val="fr-FR"/>
              </w:rPr>
              <w:t>ent, dans le cadre du Programme</w:t>
            </w:r>
          </w:p>
          <w:p w:rsidR="00BE2094" w:rsidRPr="00533D1A" w:rsidRDefault="00261129" w:rsidP="000B2BEB">
            <w:pPr>
              <w:tabs>
                <w:tab w:val="left" w:pos="288"/>
                <w:tab w:val="left" w:pos="576"/>
                <w:tab w:val="left" w:pos="864"/>
                <w:tab w:val="left" w:pos="1152"/>
              </w:tabs>
              <w:suppressAutoHyphens/>
              <w:spacing w:before="40" w:after="80"/>
              <w:ind w:right="115"/>
            </w:pPr>
            <w:r w:rsidRPr="00261129">
              <w:rPr>
                <w:i/>
                <w:iCs/>
                <w:lang w:val="fr-FR"/>
              </w:rPr>
              <w:t>Mesure des résultats</w:t>
            </w:r>
            <w:r>
              <w:rPr>
                <w:i/>
                <w:iCs/>
                <w:lang w:val="fr-FR"/>
              </w:rPr>
              <w:t> </w:t>
            </w:r>
            <w:r w:rsidRPr="00261129">
              <w:rPr>
                <w:iCs/>
                <w:lang w:val="fr-FR"/>
              </w:rPr>
              <w:t>:</w:t>
            </w:r>
            <w:r w:rsidRPr="00261129">
              <w:rPr>
                <w:lang w:val="fr-FR"/>
              </w:rPr>
              <w:t xml:space="preserve"> </w:t>
            </w:r>
            <w:r w:rsidRPr="00261129">
              <w:rPr>
                <w:lang w:val="fr-FR"/>
              </w:rPr>
              <w:br/>
              <w:t>Référence 2015</w:t>
            </w:r>
            <w:r>
              <w:rPr>
                <w:lang w:val="fr-FR"/>
              </w:rPr>
              <w:t> </w:t>
            </w:r>
            <w:r w:rsidRPr="00261129">
              <w:rPr>
                <w:lang w:val="fr-FR"/>
              </w:rPr>
              <w:t>: 40 pays et 20 organisations intergouvernementales et non gouvernementales; 3</w:t>
            </w:r>
            <w:r w:rsidR="00327E8E">
              <w:rPr>
                <w:lang w:val="fr-FR"/>
              </w:rPr>
              <w:t> </w:t>
            </w:r>
            <w:r w:rsidRPr="00261129">
              <w:rPr>
                <w:lang w:val="fr-FR"/>
              </w:rPr>
              <w:t>ateliers de renforcement des capacités et 2</w:t>
            </w:r>
            <w:r w:rsidR="000B2BEB">
              <w:rPr>
                <w:lang w:val="fr-FR"/>
              </w:rPr>
              <w:t> </w:t>
            </w:r>
            <w:r w:rsidRPr="00261129">
              <w:rPr>
                <w:lang w:val="fr-FR"/>
              </w:rPr>
              <w:t>sessions du</w:t>
            </w:r>
            <w:r w:rsidR="00327E8E">
              <w:rPr>
                <w:lang w:val="fr-FR"/>
              </w:rPr>
              <w:t> </w:t>
            </w:r>
            <w:r w:rsidRPr="00261129">
              <w:rPr>
                <w:lang w:val="fr-FR"/>
              </w:rPr>
              <w:t>Comité directeur</w:t>
            </w:r>
            <w:r>
              <w:rPr>
                <w:lang w:val="fr-FR"/>
              </w:rPr>
              <w:t xml:space="preserve"> </w:t>
            </w:r>
            <w:r w:rsidRPr="00261129">
              <w:rPr>
                <w:lang w:val="fr-FR"/>
              </w:rPr>
              <w:br/>
              <w:t>Objectif 2016-2017</w:t>
            </w:r>
            <w:r>
              <w:rPr>
                <w:lang w:val="fr-FR"/>
              </w:rPr>
              <w:t> </w:t>
            </w:r>
            <w:r w:rsidRPr="00261129">
              <w:rPr>
                <w:lang w:val="fr-FR"/>
              </w:rPr>
              <w:t>: 40 pays et 20 organisations intergouvernementales et non gouvernementales; 3</w:t>
            </w:r>
            <w:r w:rsidR="00327E8E">
              <w:rPr>
                <w:lang w:val="fr-FR"/>
              </w:rPr>
              <w:t> </w:t>
            </w:r>
            <w:r w:rsidRPr="00261129">
              <w:rPr>
                <w:lang w:val="fr-FR"/>
              </w:rPr>
              <w:t>ateliers de renforcement des capacités et 2</w:t>
            </w:r>
            <w:r w:rsidR="000B2BEB">
              <w:rPr>
                <w:lang w:val="fr-FR"/>
              </w:rPr>
              <w:t> </w:t>
            </w:r>
            <w:r w:rsidRPr="00261129">
              <w:rPr>
                <w:lang w:val="fr-FR"/>
              </w:rPr>
              <w:t>sessions du</w:t>
            </w:r>
            <w:r w:rsidR="00327E8E">
              <w:rPr>
                <w:lang w:val="fr-FR"/>
              </w:rPr>
              <w:t> </w:t>
            </w:r>
            <w:r w:rsidRPr="00261129">
              <w:rPr>
                <w:lang w:val="fr-FR"/>
              </w:rPr>
              <w:t>Comité directeur</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867AEA" w:rsidP="00867AEA">
            <w:pPr>
              <w:tabs>
                <w:tab w:val="left" w:pos="288"/>
                <w:tab w:val="left" w:pos="576"/>
                <w:tab w:val="left" w:pos="864"/>
                <w:tab w:val="left" w:pos="1152"/>
              </w:tabs>
              <w:suppressAutoHyphens/>
              <w:spacing w:before="40" w:after="80"/>
              <w:ind w:left="576" w:right="115" w:hanging="576"/>
            </w:pPr>
            <w:r>
              <w:rPr>
                <w:lang w:val="fr-FR"/>
              </w:rPr>
              <w:t>9</w:t>
            </w:r>
            <w:r w:rsidR="0091010C">
              <w:rPr>
                <w:lang w:val="fr-FR"/>
              </w:rPr>
              <w:t> </w:t>
            </w:r>
            <w:r w:rsidR="0091010C" w:rsidRPr="0091010C">
              <w:rPr>
                <w:lang w:val="fr-FR"/>
              </w:rPr>
              <w:t>a</w:t>
            </w:r>
            <w:r>
              <w:rPr>
                <w:lang w:val="fr-FR"/>
              </w:rPr>
              <w:t>)</w:t>
            </w:r>
            <w:r w:rsidR="0091010C" w:rsidRPr="0091010C">
              <w:rPr>
                <w:lang w:val="fr-FR"/>
              </w:rPr>
              <w:tab/>
              <w:t>Transport de marchandises dangereuses (CEE)</w:t>
            </w:r>
          </w:p>
        </w:tc>
        <w:tc>
          <w:tcPr>
            <w:tcW w:w="4941" w:type="dxa"/>
            <w:shd w:val="clear" w:color="auto" w:fill="auto"/>
          </w:tcPr>
          <w:p w:rsidR="00BE2094" w:rsidRPr="00533D1A" w:rsidRDefault="005647A3" w:rsidP="00867AEA">
            <w:pPr>
              <w:tabs>
                <w:tab w:val="left" w:pos="288"/>
                <w:tab w:val="left" w:pos="576"/>
                <w:tab w:val="left" w:pos="864"/>
                <w:tab w:val="left" w:pos="1152"/>
              </w:tabs>
              <w:suppressAutoHyphens/>
              <w:spacing w:before="40" w:after="80"/>
              <w:ind w:right="115"/>
            </w:pPr>
            <w:r>
              <w:rPr>
                <w:lang w:val="fr-FR"/>
              </w:rPr>
              <w:t>RE </w:t>
            </w:r>
            <w:r w:rsidRPr="005647A3">
              <w:rPr>
                <w:lang w:val="fr-FR"/>
              </w:rPr>
              <w:t>9</w:t>
            </w:r>
            <w:r>
              <w:rPr>
                <w:lang w:val="fr-FR"/>
              </w:rPr>
              <w:t> </w:t>
            </w:r>
            <w:r w:rsidRPr="005647A3">
              <w:rPr>
                <w:lang w:val="fr-FR"/>
              </w:rPr>
              <w:t>a</w:t>
            </w:r>
            <w:r w:rsidR="00867AEA">
              <w:rPr>
                <w:lang w:val="fr-FR"/>
              </w:rPr>
              <w:t>)</w:t>
            </w:r>
            <w:r>
              <w:rPr>
                <w:lang w:val="fr-FR"/>
              </w:rPr>
              <w:tab/>
            </w:r>
            <w:r w:rsidRPr="005647A3">
              <w:rPr>
                <w:lang w:val="fr-FR"/>
              </w:rPr>
              <w:t>Adopt</w:t>
            </w:r>
            <w:r w:rsidR="00327E8E">
              <w:rPr>
                <w:lang w:val="fr-FR"/>
              </w:rPr>
              <w:t>ion d’amendements à l’ADR</w:t>
            </w:r>
            <w:r w:rsidR="00867AEA" w:rsidRPr="00867AEA">
              <w:rPr>
                <w:rStyle w:val="FootnoteReference"/>
                <w:lang w:val="fr-FR"/>
              </w:rPr>
              <w:footnoteReference w:id="1"/>
            </w:r>
            <w:r w:rsidR="00327E8E">
              <w:rPr>
                <w:lang w:val="fr-FR"/>
              </w:rPr>
              <w:t xml:space="preserve"> et, à </w:t>
            </w:r>
            <w:r w:rsidRPr="005647A3">
              <w:rPr>
                <w:lang w:val="fr-FR"/>
              </w:rPr>
              <w:t>l’issue d’activités communes entreprises avec l’Organisation intergouvernementale pour les transports internationaux ferroviaires (OTIF) et la Commission centrale pour la navigation du Rhin (CCNR) respectivement, d’amendements au RID</w:t>
            </w:r>
            <w:r w:rsidR="00867AEA" w:rsidRPr="00867AEA">
              <w:rPr>
                <w:rStyle w:val="FootnoteReference"/>
                <w:lang w:val="fr-FR"/>
              </w:rPr>
              <w:footnoteReference w:id="2"/>
            </w:r>
            <w:r w:rsidRPr="005647A3">
              <w:rPr>
                <w:lang w:val="fr-FR"/>
              </w:rPr>
              <w:t xml:space="preserve"> et à l’ADN</w:t>
            </w:r>
            <w:r w:rsidR="00867AEA" w:rsidRPr="00867AEA">
              <w:rPr>
                <w:rStyle w:val="FootnoteReference"/>
                <w:lang w:val="fr-FR"/>
              </w:rPr>
              <w:footnoteReference w:id="3"/>
            </w:r>
            <w:r w:rsidRPr="005647A3">
              <w:rPr>
                <w:lang w:val="fr-FR"/>
              </w:rPr>
              <w:t xml:space="preserve">, afin de conserver le niveau nécessaire de sûreté, de sécurité et de protection de l’environnement dans un dispositif réglementaire harmonisé et cohérent applicable au transport des marchandises dangereuses, en s’inspirant des Recommandations de l’ONU relatives au transport des marchandises dangereuses; mise en application effective par la voie de </w:t>
            </w:r>
            <w:r w:rsidRPr="005647A3">
              <w:rPr>
                <w:spacing w:val="-2"/>
                <w:lang w:val="fr-FR"/>
              </w:rPr>
              <w:t>la législation internationale et nationale</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5B4868" w:rsidRPr="005B4868" w:rsidRDefault="005B4868" w:rsidP="000B2BEB">
            <w:pPr>
              <w:tabs>
                <w:tab w:val="left" w:pos="288"/>
                <w:tab w:val="left" w:pos="576"/>
                <w:tab w:val="left" w:pos="864"/>
                <w:tab w:val="left" w:pos="1152"/>
              </w:tabs>
              <w:suppressAutoHyphens/>
              <w:spacing w:before="40" w:after="80"/>
              <w:ind w:right="115"/>
              <w:rPr>
                <w:lang w:val="fr-CH"/>
              </w:rPr>
            </w:pPr>
            <w:r w:rsidRPr="00094E56">
              <w:rPr>
                <w:spacing w:val="-6"/>
                <w:w w:val="100"/>
                <w:lang w:val="fr-FR"/>
              </w:rPr>
              <w:t>IS 9 a</w:t>
            </w:r>
            <w:r w:rsidR="00867AEA" w:rsidRPr="00094E56">
              <w:rPr>
                <w:spacing w:val="-6"/>
                <w:w w:val="100"/>
                <w:lang w:val="fr-FR"/>
              </w:rPr>
              <w:t>)</w:t>
            </w:r>
            <w:r w:rsidRPr="00094E56">
              <w:rPr>
                <w:spacing w:val="-6"/>
                <w:w w:val="100"/>
                <w:lang w:val="fr-FR"/>
              </w:rPr>
              <w:t> a)</w:t>
            </w:r>
            <w:r>
              <w:rPr>
                <w:lang w:val="fr-FR"/>
              </w:rPr>
              <w:tab/>
            </w:r>
            <w:r w:rsidRPr="005B4868">
              <w:rPr>
                <w:lang w:val="fr-FR"/>
              </w:rPr>
              <w:t>Amendements à l’Accord ADR, au Règlement RID et à l’Accord ADN adoptés en 2015 et</w:t>
            </w:r>
            <w:r w:rsidR="00327E8E">
              <w:rPr>
                <w:lang w:val="fr-FR"/>
              </w:rPr>
              <w:t> </w:t>
            </w:r>
            <w:r w:rsidRPr="005B4868">
              <w:rPr>
                <w:lang w:val="fr-FR"/>
              </w:rPr>
              <w:t xml:space="preserve">2016 et </w:t>
            </w:r>
            <w:r w:rsidR="00963928">
              <w:rPr>
                <w:lang w:val="fr-FR"/>
              </w:rPr>
              <w:t>devant entrer</w:t>
            </w:r>
            <w:r w:rsidRPr="005B4868">
              <w:rPr>
                <w:lang w:val="fr-FR"/>
              </w:rPr>
              <w:t xml:space="preserve"> en vigueur le 1</w:t>
            </w:r>
            <w:r w:rsidRPr="005B4868">
              <w:rPr>
                <w:vertAlign w:val="superscript"/>
                <w:lang w:val="fr-FR"/>
              </w:rPr>
              <w:t>er</w:t>
            </w:r>
            <w:r>
              <w:rPr>
                <w:lang w:val="fr-FR"/>
              </w:rPr>
              <w:t> </w:t>
            </w:r>
            <w:r w:rsidRPr="005B4868">
              <w:rPr>
                <w:lang w:val="fr-FR"/>
              </w:rPr>
              <w:t>janvier 2017 pour le transport international et applicables à compter du 1</w:t>
            </w:r>
            <w:r w:rsidRPr="00100875">
              <w:rPr>
                <w:vertAlign w:val="superscript"/>
                <w:lang w:val="fr-FR"/>
              </w:rPr>
              <w:t>er</w:t>
            </w:r>
            <w:r w:rsidR="00100875">
              <w:rPr>
                <w:lang w:val="fr-FR"/>
              </w:rPr>
              <w:t> </w:t>
            </w:r>
            <w:r w:rsidRPr="005B4868">
              <w:rPr>
                <w:lang w:val="fr-FR"/>
              </w:rPr>
              <w:t xml:space="preserve">juillet 2017 pour la circulation intérieure dans tous les pays membres de l’Union européenne et de </w:t>
            </w:r>
            <w:r w:rsidRPr="005B4868">
              <w:rPr>
                <w:lang w:val="fr-FR"/>
              </w:rPr>
              <w:lastRenderedPageBreak/>
              <w:t>l’Espace économique européen (EEE), correspondant notamment à la dix-neuvième édition révisée des Recommandations de l’Organisation des Nations</w:t>
            </w:r>
            <w:r w:rsidR="00327E8E">
              <w:rPr>
                <w:lang w:val="fr-FR"/>
              </w:rPr>
              <w:t> </w:t>
            </w:r>
            <w:r w:rsidRPr="005B4868">
              <w:rPr>
                <w:lang w:val="fr-FR"/>
              </w:rPr>
              <w:t>Unies relatives au transport des marchandises dangereuses (Règlement type, 2015)</w:t>
            </w:r>
          </w:p>
          <w:p w:rsidR="00BE2094" w:rsidRPr="00533D1A" w:rsidRDefault="005B4868" w:rsidP="005B4868">
            <w:pPr>
              <w:tabs>
                <w:tab w:val="left" w:pos="288"/>
                <w:tab w:val="left" w:pos="576"/>
                <w:tab w:val="left" w:pos="864"/>
                <w:tab w:val="left" w:pos="1152"/>
              </w:tabs>
              <w:suppressAutoHyphens/>
              <w:spacing w:before="40" w:after="80"/>
              <w:ind w:right="115"/>
            </w:pPr>
            <w:r w:rsidRPr="005B4868">
              <w:rPr>
                <w:i/>
                <w:iCs/>
                <w:lang w:val="fr-FR"/>
              </w:rPr>
              <w:t>Mesure des résultats</w:t>
            </w:r>
            <w:r w:rsidRPr="005B4868">
              <w:rPr>
                <w:iCs/>
                <w:lang w:val="fr-FR"/>
              </w:rPr>
              <w:t> :</w:t>
            </w:r>
            <w:r>
              <w:rPr>
                <w:i/>
                <w:iCs/>
                <w:lang w:val="fr-FR"/>
              </w:rPr>
              <w:t xml:space="preserve"> </w:t>
            </w:r>
            <w:r w:rsidRPr="005B4868">
              <w:rPr>
                <w:lang w:val="fr-FR"/>
              </w:rPr>
              <w:br/>
              <w:t>Référence 2014 -2015</w:t>
            </w:r>
            <w:r>
              <w:rPr>
                <w:lang w:val="fr-FR"/>
              </w:rPr>
              <w:t> </w:t>
            </w:r>
            <w:r w:rsidRPr="005B4868">
              <w:rPr>
                <w:lang w:val="fr-FR"/>
              </w:rPr>
              <w:t xml:space="preserve">: </w:t>
            </w:r>
            <w:r w:rsidRPr="005B4868">
              <w:rPr>
                <w:lang w:val="fr-FR"/>
              </w:rPr>
              <w:br/>
              <w:t>1 ensemble d’amendements pour chaque instrument juridique</w:t>
            </w:r>
            <w:r w:rsidR="00327E8E">
              <w:rPr>
                <w:lang w:val="fr-FR"/>
              </w:rPr>
              <w:t xml:space="preserve"> </w:t>
            </w:r>
            <w:r w:rsidRPr="005B4868">
              <w:rPr>
                <w:lang w:val="fr-FR"/>
              </w:rPr>
              <w:br/>
              <w:t>Objectif 2016-2017</w:t>
            </w:r>
            <w:r>
              <w:rPr>
                <w:lang w:val="fr-FR"/>
              </w:rPr>
              <w:t> </w:t>
            </w:r>
            <w:r w:rsidRPr="005B4868">
              <w:rPr>
                <w:lang w:val="fr-FR"/>
              </w:rPr>
              <w:t xml:space="preserve">: </w:t>
            </w:r>
            <w:r w:rsidRPr="005B4868">
              <w:rPr>
                <w:lang w:val="fr-FR"/>
              </w:rPr>
              <w:br/>
              <w:t>1 ensemble d’amendements pour chaque instrument juridique</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482A0A" w:rsidRPr="00482A0A" w:rsidRDefault="00482A0A" w:rsidP="000B2BEB">
            <w:pPr>
              <w:tabs>
                <w:tab w:val="left" w:pos="288"/>
                <w:tab w:val="left" w:pos="576"/>
                <w:tab w:val="left" w:pos="864"/>
                <w:tab w:val="left" w:pos="1152"/>
              </w:tabs>
              <w:suppressAutoHyphens/>
              <w:spacing w:before="40" w:after="80"/>
              <w:ind w:right="115"/>
              <w:rPr>
                <w:lang w:val="fr-CH"/>
              </w:rPr>
            </w:pPr>
            <w:r w:rsidRPr="00094E56">
              <w:rPr>
                <w:spacing w:val="-6"/>
                <w:w w:val="100"/>
                <w:lang w:val="fr-FR"/>
              </w:rPr>
              <w:t>IS 9 a</w:t>
            </w:r>
            <w:r w:rsidR="00867AEA" w:rsidRPr="00094E56">
              <w:rPr>
                <w:spacing w:val="-6"/>
                <w:w w:val="100"/>
                <w:lang w:val="fr-FR"/>
              </w:rPr>
              <w:t>)</w:t>
            </w:r>
            <w:r w:rsidRPr="00094E56">
              <w:rPr>
                <w:spacing w:val="-6"/>
                <w:w w:val="100"/>
                <w:lang w:val="fr-FR"/>
              </w:rPr>
              <w:t> b)</w:t>
            </w:r>
            <w:r>
              <w:rPr>
                <w:lang w:val="fr-FR"/>
              </w:rPr>
              <w:tab/>
            </w:r>
            <w:r w:rsidRPr="00482A0A">
              <w:rPr>
                <w:lang w:val="fr-FR"/>
              </w:rPr>
              <w:t>Publication</w:t>
            </w:r>
            <w:r w:rsidR="000B2BEB">
              <w:rPr>
                <w:lang w:val="fr-FR"/>
              </w:rPr>
              <w:t xml:space="preserve"> des éditions 2017 complètes et</w:t>
            </w:r>
            <w:r w:rsidR="00100875">
              <w:rPr>
                <w:lang w:val="fr-FR"/>
              </w:rPr>
              <w:t xml:space="preserve"> </w:t>
            </w:r>
            <w:r w:rsidRPr="00482A0A">
              <w:rPr>
                <w:lang w:val="fr-FR"/>
              </w:rPr>
              <w:t>révisées de l’ADR et de l’ADN avant la fin 2016</w:t>
            </w:r>
          </w:p>
          <w:p w:rsidR="00BE2094" w:rsidRPr="00533D1A" w:rsidRDefault="00482A0A" w:rsidP="00482A0A">
            <w:pPr>
              <w:tabs>
                <w:tab w:val="left" w:pos="288"/>
                <w:tab w:val="left" w:pos="576"/>
                <w:tab w:val="left" w:pos="864"/>
                <w:tab w:val="left" w:pos="1152"/>
              </w:tabs>
              <w:suppressAutoHyphens/>
              <w:spacing w:before="40" w:after="80"/>
              <w:ind w:right="115"/>
            </w:pPr>
            <w:r w:rsidRPr="00482A0A">
              <w:rPr>
                <w:i/>
                <w:iCs/>
                <w:lang w:val="fr-FR"/>
              </w:rPr>
              <w:t>Mesure des résultats</w:t>
            </w:r>
            <w:r w:rsidRPr="00482A0A">
              <w:rPr>
                <w:iCs/>
                <w:lang w:val="fr-FR"/>
              </w:rPr>
              <w:t> :</w:t>
            </w:r>
            <w:r>
              <w:rPr>
                <w:i/>
                <w:iCs/>
                <w:lang w:val="fr-FR"/>
              </w:rPr>
              <w:t xml:space="preserve"> </w:t>
            </w:r>
            <w:r w:rsidRPr="00482A0A">
              <w:rPr>
                <w:lang w:val="fr-FR"/>
              </w:rPr>
              <w:br/>
              <w:t>Référence 2014-2015</w:t>
            </w:r>
            <w:r>
              <w:rPr>
                <w:lang w:val="fr-FR"/>
              </w:rPr>
              <w:t> </w:t>
            </w:r>
            <w:r w:rsidRPr="00482A0A">
              <w:rPr>
                <w:lang w:val="fr-FR"/>
              </w:rPr>
              <w:t>: 1 ADR et 1 ADN</w:t>
            </w:r>
            <w:r>
              <w:rPr>
                <w:lang w:val="fr-FR"/>
              </w:rPr>
              <w:t xml:space="preserve"> </w:t>
            </w:r>
            <w:r w:rsidRPr="00482A0A">
              <w:rPr>
                <w:lang w:val="fr-FR"/>
              </w:rPr>
              <w:br/>
              <w:t>Objectif 2016</w:t>
            </w:r>
            <w:r>
              <w:rPr>
                <w:lang w:val="fr-FR"/>
              </w:rPr>
              <w:t>-</w:t>
            </w:r>
            <w:r w:rsidRPr="00482A0A">
              <w:rPr>
                <w:lang w:val="fr-FR"/>
              </w:rPr>
              <w:t>2017</w:t>
            </w:r>
            <w:r>
              <w:rPr>
                <w:lang w:val="fr-FR"/>
              </w:rPr>
              <w:t> </w:t>
            </w:r>
            <w:r w:rsidRPr="00482A0A">
              <w:rPr>
                <w:lang w:val="fr-FR"/>
              </w:rPr>
              <w:t>: 1 ADR et 1 ADN</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15181B" w:rsidP="00867AEA">
            <w:pPr>
              <w:tabs>
                <w:tab w:val="left" w:pos="288"/>
                <w:tab w:val="left" w:pos="576"/>
                <w:tab w:val="left" w:pos="864"/>
                <w:tab w:val="left" w:pos="1152"/>
              </w:tabs>
              <w:suppressAutoHyphens/>
              <w:spacing w:before="40" w:after="80"/>
              <w:ind w:left="576" w:right="115" w:hanging="576"/>
            </w:pPr>
            <w:r w:rsidRPr="0015181B">
              <w:rPr>
                <w:lang w:val="fr-FR"/>
              </w:rPr>
              <w:t>10</w:t>
            </w:r>
            <w:r>
              <w:rPr>
                <w:lang w:val="fr-FR"/>
              </w:rPr>
              <w:t> </w:t>
            </w:r>
            <w:r w:rsidRPr="0015181B">
              <w:rPr>
                <w:lang w:val="fr-FR"/>
              </w:rPr>
              <w:t>a</w:t>
            </w:r>
            <w:r w:rsidR="00867AEA">
              <w:rPr>
                <w:lang w:val="fr-FR"/>
              </w:rPr>
              <w:t>)</w:t>
            </w:r>
            <w:r w:rsidRPr="0015181B">
              <w:rPr>
                <w:lang w:val="fr-FR"/>
              </w:rPr>
              <w:tab/>
              <w:t>Transport de marchandises dangereuses (ECOSOC)</w:t>
            </w:r>
          </w:p>
        </w:tc>
        <w:tc>
          <w:tcPr>
            <w:tcW w:w="4941" w:type="dxa"/>
            <w:shd w:val="clear" w:color="auto" w:fill="auto"/>
          </w:tcPr>
          <w:p w:rsidR="00BE2094" w:rsidRPr="00533D1A" w:rsidRDefault="00C15D99" w:rsidP="00867AEA">
            <w:pPr>
              <w:tabs>
                <w:tab w:val="left" w:pos="288"/>
                <w:tab w:val="left" w:pos="576"/>
                <w:tab w:val="left" w:pos="864"/>
                <w:tab w:val="left" w:pos="1152"/>
              </w:tabs>
              <w:suppressAutoHyphens/>
              <w:spacing w:before="40" w:after="80"/>
              <w:ind w:right="115"/>
            </w:pPr>
            <w:r w:rsidRPr="00094E56">
              <w:rPr>
                <w:spacing w:val="-6"/>
                <w:w w:val="100"/>
                <w:lang w:val="fr-FR"/>
              </w:rPr>
              <w:t>RE 10 a</w:t>
            </w:r>
            <w:r w:rsidR="00867AEA" w:rsidRPr="00094E56">
              <w:rPr>
                <w:spacing w:val="-6"/>
                <w:w w:val="100"/>
                <w:lang w:val="fr-FR"/>
              </w:rPr>
              <w:t>)</w:t>
            </w:r>
            <w:r>
              <w:rPr>
                <w:lang w:val="fr-FR"/>
              </w:rPr>
              <w:tab/>
            </w:r>
            <w:r w:rsidRPr="00C15D99">
              <w:rPr>
                <w:lang w:val="fr-FR"/>
              </w:rPr>
              <w:t>Adoption d’amendements aux Recommandations de l’ONU relatives au transport des</w:t>
            </w:r>
            <w:r w:rsidR="00327E8E">
              <w:rPr>
                <w:lang w:val="fr-FR"/>
              </w:rPr>
              <w:t> </w:t>
            </w:r>
            <w:r w:rsidRPr="00C15D99">
              <w:rPr>
                <w:lang w:val="fr-FR"/>
              </w:rPr>
              <w:t>marchandises dan</w:t>
            </w:r>
            <w:r w:rsidR="00327E8E">
              <w:rPr>
                <w:lang w:val="fr-FR"/>
              </w:rPr>
              <w:t>gereuses (Règlement type) et au </w:t>
            </w:r>
            <w:r w:rsidRPr="00C15D99">
              <w:rPr>
                <w:lang w:val="fr-FR"/>
              </w:rPr>
              <w:t>Manuel d’épreuves et de critères et publication de nouvelles recommandations en 2014, et publication en</w:t>
            </w:r>
            <w:r w:rsidR="00327E8E">
              <w:rPr>
                <w:lang w:val="fr-FR"/>
              </w:rPr>
              <w:t> </w:t>
            </w:r>
            <w:r w:rsidRPr="00C15D99">
              <w:rPr>
                <w:lang w:val="fr-FR"/>
              </w:rPr>
              <w:t>2015 des nouvelles versions récapitulatives du Règlement type et du Manuel d’épreuves et de critères comprenant les amendements et les nouvelles recommandations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DD381A" w:rsidRPr="00443396" w:rsidRDefault="00DD381A" w:rsidP="00100875">
            <w:pPr>
              <w:tabs>
                <w:tab w:val="left" w:pos="288"/>
                <w:tab w:val="left" w:pos="576"/>
                <w:tab w:val="left" w:pos="864"/>
                <w:tab w:val="left" w:pos="1152"/>
              </w:tabs>
              <w:suppressAutoHyphens/>
              <w:spacing w:before="40" w:after="80"/>
              <w:ind w:right="115"/>
              <w:rPr>
                <w:spacing w:val="2"/>
                <w:lang w:val="fr-CH"/>
              </w:rPr>
            </w:pPr>
            <w:r w:rsidRPr="00443396">
              <w:rPr>
                <w:spacing w:val="-8"/>
                <w:w w:val="100"/>
                <w:lang w:val="fr-FR"/>
              </w:rPr>
              <w:t>IS 10 a</w:t>
            </w:r>
            <w:r w:rsidR="00867AEA">
              <w:rPr>
                <w:spacing w:val="-8"/>
                <w:w w:val="100"/>
                <w:lang w:val="fr-FR"/>
              </w:rPr>
              <w:t>)</w:t>
            </w:r>
            <w:r w:rsidRPr="00443396">
              <w:rPr>
                <w:spacing w:val="-8"/>
                <w:w w:val="100"/>
                <w:lang w:val="fr-FR"/>
              </w:rPr>
              <w:t> a)</w:t>
            </w:r>
            <w:r w:rsidRPr="00443396">
              <w:rPr>
                <w:spacing w:val="2"/>
                <w:lang w:val="fr-FR"/>
              </w:rPr>
              <w:tab/>
              <w:t>Amendements à la dix-neuvième édition révisée du Règlement type et à la sixième édition révisée du Manuel d’épreuves</w:t>
            </w:r>
            <w:r w:rsidR="00443396">
              <w:rPr>
                <w:spacing w:val="2"/>
                <w:lang w:val="fr-FR"/>
              </w:rPr>
              <w:t xml:space="preserve"> et de critères adoptés en 2016</w:t>
            </w:r>
          </w:p>
          <w:p w:rsidR="00BE2094" w:rsidRPr="00443396" w:rsidRDefault="00DD381A" w:rsidP="00DD381A">
            <w:pPr>
              <w:tabs>
                <w:tab w:val="left" w:pos="288"/>
                <w:tab w:val="left" w:pos="576"/>
                <w:tab w:val="left" w:pos="864"/>
                <w:tab w:val="left" w:pos="1152"/>
              </w:tabs>
              <w:suppressAutoHyphens/>
              <w:spacing w:before="40" w:after="80"/>
              <w:ind w:right="115"/>
            </w:pPr>
            <w:r w:rsidRPr="00443396">
              <w:rPr>
                <w:i/>
                <w:iCs/>
                <w:lang w:val="fr-FR"/>
              </w:rPr>
              <w:t>Mesure des résultats </w:t>
            </w:r>
            <w:r w:rsidRPr="00443396">
              <w:rPr>
                <w:lang w:val="fr-FR"/>
              </w:rPr>
              <w:t xml:space="preserve">: </w:t>
            </w:r>
            <w:r w:rsidRPr="00443396">
              <w:rPr>
                <w:lang w:val="fr-FR"/>
              </w:rPr>
              <w:br/>
              <w:t xml:space="preserve">Référence 2014-2015 : 2 séries d’amendements </w:t>
            </w:r>
            <w:r w:rsidRPr="00443396">
              <w:rPr>
                <w:lang w:val="fr-FR"/>
              </w:rPr>
              <w:br/>
              <w:t>Objectif 2016-2017 : 2 séries d’amendements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766796" w:rsidRPr="00443396" w:rsidRDefault="00766796" w:rsidP="00443396">
            <w:pPr>
              <w:tabs>
                <w:tab w:val="left" w:pos="288"/>
                <w:tab w:val="left" w:pos="576"/>
                <w:tab w:val="left" w:pos="864"/>
                <w:tab w:val="left" w:pos="1152"/>
              </w:tabs>
              <w:suppressAutoHyphens/>
              <w:spacing w:before="40" w:after="80"/>
              <w:ind w:right="115"/>
              <w:rPr>
                <w:lang w:val="fr-CH"/>
              </w:rPr>
            </w:pPr>
            <w:r w:rsidRPr="00443396">
              <w:rPr>
                <w:spacing w:val="-8"/>
                <w:w w:val="100"/>
                <w:lang w:val="fr-FR"/>
              </w:rPr>
              <w:t>IS 10 a</w:t>
            </w:r>
            <w:r w:rsidR="00867AEA">
              <w:rPr>
                <w:spacing w:val="-8"/>
                <w:w w:val="100"/>
                <w:lang w:val="fr-FR"/>
              </w:rPr>
              <w:t>)</w:t>
            </w:r>
            <w:r w:rsidRPr="00443396">
              <w:rPr>
                <w:spacing w:val="-8"/>
                <w:w w:val="100"/>
                <w:lang w:val="fr-FR"/>
              </w:rPr>
              <w:t> b)</w:t>
            </w:r>
            <w:r w:rsidRPr="00443396">
              <w:rPr>
                <w:lang w:val="fr-FR"/>
              </w:rPr>
              <w:tab/>
              <w:t>Publication de la vingtième édition révisée du Règlement type et de la septième édition révisée du Manuel (ou de l’amendement à la sixième édition révisée) avant la fin 2017</w:t>
            </w:r>
          </w:p>
          <w:p w:rsidR="00BE2094" w:rsidRPr="00443396" w:rsidRDefault="00766796" w:rsidP="00766796">
            <w:pPr>
              <w:tabs>
                <w:tab w:val="left" w:pos="288"/>
                <w:tab w:val="left" w:pos="576"/>
                <w:tab w:val="left" w:pos="864"/>
                <w:tab w:val="left" w:pos="1152"/>
              </w:tabs>
              <w:suppressAutoHyphens/>
              <w:spacing w:before="40" w:after="80"/>
              <w:ind w:right="115"/>
            </w:pPr>
            <w:r w:rsidRPr="00443396">
              <w:rPr>
                <w:i/>
                <w:iCs/>
                <w:lang w:val="fr-FR"/>
              </w:rPr>
              <w:t>Mesure des résultats </w:t>
            </w:r>
            <w:r w:rsidRPr="00443396">
              <w:rPr>
                <w:iCs/>
                <w:lang w:val="fr-FR"/>
              </w:rPr>
              <w:t xml:space="preserve">: </w:t>
            </w:r>
            <w:r w:rsidRPr="00443396">
              <w:rPr>
                <w:lang w:val="fr-FR"/>
              </w:rPr>
              <w:br/>
              <w:t xml:space="preserve">Référence 2014-2015 : 1 Règlement type et 1 Manuel </w:t>
            </w:r>
            <w:r w:rsidRPr="00443396">
              <w:rPr>
                <w:lang w:val="fr-FR"/>
              </w:rPr>
              <w:br/>
              <w:t>Objectif 2016-2017 : 1 Règlement type et 1 Manuel</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100875" w:rsidRDefault="000F4DA1" w:rsidP="00867AEA">
            <w:pPr>
              <w:tabs>
                <w:tab w:val="left" w:pos="288"/>
                <w:tab w:val="left" w:pos="576"/>
                <w:tab w:val="left" w:pos="864"/>
                <w:tab w:val="left" w:pos="1152"/>
              </w:tabs>
              <w:suppressAutoHyphens/>
              <w:spacing w:before="40" w:after="80"/>
              <w:ind w:left="576" w:right="115" w:hanging="576"/>
            </w:pPr>
            <w:r w:rsidRPr="00100875">
              <w:rPr>
                <w:lang w:val="fr-FR"/>
              </w:rPr>
              <w:t>11 a</w:t>
            </w:r>
            <w:r w:rsidR="00867AEA">
              <w:rPr>
                <w:lang w:val="fr-FR"/>
              </w:rPr>
              <w:t>)</w:t>
            </w:r>
            <w:r w:rsidRPr="00100875">
              <w:rPr>
                <w:lang w:val="fr-FR"/>
              </w:rPr>
              <w:tab/>
              <w:t>Système général harmonisé de classification et d’étiquetage des produits chimiques (SGH)</w:t>
            </w:r>
          </w:p>
        </w:tc>
        <w:tc>
          <w:tcPr>
            <w:tcW w:w="4941" w:type="dxa"/>
            <w:shd w:val="clear" w:color="auto" w:fill="auto"/>
          </w:tcPr>
          <w:p w:rsidR="00BE2094" w:rsidRPr="00100875" w:rsidRDefault="000F4DA1" w:rsidP="00867AEA">
            <w:pPr>
              <w:tabs>
                <w:tab w:val="left" w:pos="288"/>
                <w:tab w:val="left" w:pos="576"/>
                <w:tab w:val="left" w:pos="864"/>
                <w:tab w:val="left" w:pos="1152"/>
              </w:tabs>
              <w:suppressAutoHyphens/>
              <w:spacing w:before="40" w:after="80"/>
              <w:ind w:right="115"/>
            </w:pPr>
            <w:r w:rsidRPr="00094E56">
              <w:rPr>
                <w:spacing w:val="-6"/>
                <w:w w:val="100"/>
                <w:lang w:val="fr-FR"/>
              </w:rPr>
              <w:t>RE 11 a</w:t>
            </w:r>
            <w:r w:rsidR="00867AEA" w:rsidRPr="00094E56">
              <w:rPr>
                <w:spacing w:val="-6"/>
                <w:w w:val="100"/>
                <w:lang w:val="fr-FR"/>
              </w:rPr>
              <w:t>)</w:t>
            </w:r>
            <w:r w:rsidRPr="00100875">
              <w:rPr>
                <w:lang w:val="fr-FR"/>
              </w:rPr>
              <w:tab/>
              <w:t>Adoption d’amendements au Système général harmonisé visant à préciser ou harmoniser davantage les critères de classification et d’étiquetage actuels ou à</w:t>
            </w:r>
            <w:r w:rsidR="005B0AB6" w:rsidRPr="00100875">
              <w:rPr>
                <w:lang w:val="fr-FR"/>
              </w:rPr>
              <w:t> </w:t>
            </w:r>
            <w:r w:rsidRPr="00100875">
              <w:rPr>
                <w:lang w:val="fr-FR"/>
              </w:rPr>
              <w:t xml:space="preserve">adopter de nouveaux critères, de façon à maintenir ou renforcer le niveau de protection de l’environnement et des personnes qui fabriquent, manipulent, transportent ou utilisent des produits chimiques dangereux, en veillant à l’harmonisation et à la cohérence et en </w:t>
            </w:r>
            <w:r w:rsidRPr="00100875">
              <w:rPr>
                <w:lang w:val="fr-FR"/>
              </w:rPr>
              <w:lastRenderedPageBreak/>
              <w:t>facilitant la mise en œuvre effective des dispositions dans la législation internationale et nationale, et publication en 2017 de</w:t>
            </w:r>
            <w:r w:rsidR="005B0AB6" w:rsidRPr="00100875">
              <w:rPr>
                <w:lang w:val="fr-FR"/>
              </w:rPr>
              <w:t xml:space="preserve"> la septième édition révisée du</w:t>
            </w:r>
            <w:r w:rsidR="00100875">
              <w:rPr>
                <w:lang w:val="fr-FR"/>
              </w:rPr>
              <w:t> </w:t>
            </w:r>
            <w:r w:rsidRPr="00100875">
              <w:rPr>
                <w:lang w:val="fr-FR"/>
              </w:rPr>
              <w:t>SGH</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3D601E" w:rsidRPr="003D601E" w:rsidRDefault="003D601E" w:rsidP="00094E56">
            <w:pPr>
              <w:tabs>
                <w:tab w:val="left" w:pos="288"/>
                <w:tab w:val="left" w:pos="576"/>
                <w:tab w:val="left" w:pos="864"/>
                <w:tab w:val="left" w:pos="1152"/>
              </w:tabs>
              <w:suppressAutoHyphens/>
              <w:spacing w:before="40" w:after="80"/>
              <w:ind w:right="115"/>
              <w:rPr>
                <w:lang w:val="fr-CH"/>
              </w:rPr>
            </w:pPr>
            <w:r w:rsidRPr="00094E56">
              <w:rPr>
                <w:spacing w:val="-6"/>
                <w:w w:val="100"/>
                <w:lang w:val="fr-FR"/>
              </w:rPr>
              <w:t>IS 11 a</w:t>
            </w:r>
            <w:r w:rsidR="00867AEA" w:rsidRPr="00094E56">
              <w:rPr>
                <w:spacing w:val="-6"/>
                <w:w w:val="100"/>
                <w:lang w:val="fr-FR"/>
              </w:rPr>
              <w:t>)</w:t>
            </w:r>
            <w:r w:rsidRPr="00094E56">
              <w:rPr>
                <w:spacing w:val="-6"/>
                <w:w w:val="100"/>
                <w:lang w:val="fr-FR"/>
              </w:rPr>
              <w:t> a)</w:t>
            </w:r>
            <w:r w:rsidRPr="00094E56">
              <w:rPr>
                <w:spacing w:val="-6"/>
                <w:lang w:val="fr-FR"/>
              </w:rPr>
              <w:tab/>
            </w:r>
            <w:r w:rsidRPr="003D601E">
              <w:rPr>
                <w:lang w:val="fr-FR"/>
              </w:rPr>
              <w:t>Une série d’ame</w:t>
            </w:r>
            <w:r w:rsidR="00100875">
              <w:rPr>
                <w:lang w:val="fr-FR"/>
              </w:rPr>
              <w:t>ndements au SGH adoptée en</w:t>
            </w:r>
            <w:r w:rsidR="00165249">
              <w:rPr>
                <w:lang w:val="fr-FR"/>
              </w:rPr>
              <w:t> </w:t>
            </w:r>
            <w:r w:rsidR="00100875">
              <w:rPr>
                <w:lang w:val="fr-FR"/>
              </w:rPr>
              <w:t>2016</w:t>
            </w:r>
          </w:p>
          <w:p w:rsidR="00BE2094" w:rsidRPr="00533D1A" w:rsidRDefault="003D601E" w:rsidP="003D601E">
            <w:pPr>
              <w:tabs>
                <w:tab w:val="left" w:pos="288"/>
                <w:tab w:val="left" w:pos="576"/>
                <w:tab w:val="left" w:pos="864"/>
                <w:tab w:val="left" w:pos="1152"/>
              </w:tabs>
              <w:suppressAutoHyphens/>
              <w:spacing w:before="40" w:after="80"/>
              <w:ind w:right="115"/>
            </w:pPr>
            <w:r w:rsidRPr="003D601E">
              <w:rPr>
                <w:i/>
                <w:iCs/>
                <w:lang w:val="fr-FR"/>
              </w:rPr>
              <w:t>Mesure des résultats</w:t>
            </w:r>
            <w:r w:rsidRPr="003D601E">
              <w:rPr>
                <w:iCs/>
                <w:lang w:val="fr-FR"/>
              </w:rPr>
              <w:t> :</w:t>
            </w:r>
            <w:r>
              <w:rPr>
                <w:i/>
                <w:iCs/>
                <w:lang w:val="fr-FR"/>
              </w:rPr>
              <w:t xml:space="preserve"> </w:t>
            </w:r>
            <w:r w:rsidRPr="003D601E">
              <w:rPr>
                <w:lang w:val="fr-FR"/>
              </w:rPr>
              <w:br/>
              <w:t>Référence 2014</w:t>
            </w:r>
            <w:r>
              <w:rPr>
                <w:lang w:val="fr-FR"/>
              </w:rPr>
              <w:t>-</w:t>
            </w:r>
            <w:r w:rsidRPr="003D601E">
              <w:rPr>
                <w:lang w:val="fr-FR"/>
              </w:rPr>
              <w:t>2015</w:t>
            </w:r>
            <w:r>
              <w:rPr>
                <w:lang w:val="fr-FR"/>
              </w:rPr>
              <w:t> </w:t>
            </w:r>
            <w:r w:rsidRPr="003D601E">
              <w:rPr>
                <w:lang w:val="fr-FR"/>
              </w:rPr>
              <w:t>: 1 série d’amendements</w:t>
            </w:r>
            <w:r>
              <w:rPr>
                <w:lang w:val="fr-FR"/>
              </w:rPr>
              <w:t xml:space="preserve"> </w:t>
            </w:r>
            <w:r>
              <w:rPr>
                <w:lang w:val="fr-FR"/>
              </w:rPr>
              <w:br/>
              <w:t>Objectif</w:t>
            </w:r>
            <w:r w:rsidRPr="003D601E">
              <w:rPr>
                <w:lang w:val="fr-FR"/>
              </w:rPr>
              <w:t xml:space="preserve"> 2016</w:t>
            </w:r>
            <w:r>
              <w:rPr>
                <w:lang w:val="fr-FR"/>
              </w:rPr>
              <w:t>-</w:t>
            </w:r>
            <w:r w:rsidRPr="003D601E">
              <w:rPr>
                <w:lang w:val="fr-FR"/>
              </w:rPr>
              <w:t>2017</w:t>
            </w:r>
            <w:r>
              <w:rPr>
                <w:lang w:val="fr-FR"/>
              </w:rPr>
              <w:t> </w:t>
            </w:r>
            <w:r w:rsidRPr="003D601E">
              <w:rPr>
                <w:lang w:val="fr-FR"/>
              </w:rPr>
              <w:t>: 1 série d’amendements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3D601E" w:rsidRPr="003D601E" w:rsidRDefault="003D601E" w:rsidP="00100875">
            <w:pPr>
              <w:tabs>
                <w:tab w:val="left" w:pos="288"/>
                <w:tab w:val="left" w:pos="576"/>
                <w:tab w:val="left" w:pos="864"/>
                <w:tab w:val="left" w:pos="1152"/>
              </w:tabs>
              <w:suppressAutoHyphens/>
              <w:spacing w:before="40" w:after="80"/>
              <w:ind w:right="115"/>
              <w:rPr>
                <w:lang w:val="fr-CH"/>
              </w:rPr>
            </w:pPr>
            <w:r w:rsidRPr="00094E56">
              <w:rPr>
                <w:spacing w:val="-8"/>
                <w:w w:val="100"/>
                <w:lang w:val="fr-FR"/>
              </w:rPr>
              <w:t>IS 11 a</w:t>
            </w:r>
            <w:r w:rsidR="00867AEA" w:rsidRPr="00094E56">
              <w:rPr>
                <w:spacing w:val="-8"/>
                <w:w w:val="100"/>
                <w:lang w:val="fr-FR"/>
              </w:rPr>
              <w:t>)</w:t>
            </w:r>
            <w:r w:rsidRPr="00094E56">
              <w:rPr>
                <w:spacing w:val="-8"/>
                <w:w w:val="100"/>
                <w:lang w:val="fr-FR"/>
              </w:rPr>
              <w:t> b)</w:t>
            </w:r>
            <w:r w:rsidRPr="00094E56">
              <w:rPr>
                <w:spacing w:val="-8"/>
                <w:lang w:val="fr-FR"/>
              </w:rPr>
              <w:tab/>
            </w:r>
            <w:r w:rsidRPr="003D601E">
              <w:rPr>
                <w:lang w:val="fr-FR"/>
              </w:rPr>
              <w:t>Publication de la septième édition révisée du</w:t>
            </w:r>
            <w:r w:rsidR="00165249">
              <w:rPr>
                <w:lang w:val="fr-FR"/>
              </w:rPr>
              <w:t> </w:t>
            </w:r>
            <w:r w:rsidRPr="003D601E">
              <w:rPr>
                <w:lang w:val="fr-FR"/>
              </w:rPr>
              <w:t>SGH avant la fin 2017</w:t>
            </w:r>
          </w:p>
          <w:p w:rsidR="00BE2094" w:rsidRPr="00533D1A" w:rsidRDefault="003D601E" w:rsidP="003D601E">
            <w:pPr>
              <w:tabs>
                <w:tab w:val="left" w:pos="288"/>
                <w:tab w:val="left" w:pos="576"/>
                <w:tab w:val="left" w:pos="864"/>
                <w:tab w:val="left" w:pos="1152"/>
              </w:tabs>
              <w:suppressAutoHyphens/>
              <w:spacing w:before="40" w:after="80"/>
              <w:ind w:right="115"/>
            </w:pPr>
            <w:r w:rsidRPr="003D601E">
              <w:rPr>
                <w:i/>
                <w:iCs/>
                <w:lang w:val="fr-FR"/>
              </w:rPr>
              <w:t>Mesure des résultats</w:t>
            </w:r>
            <w:r w:rsidRPr="003D601E">
              <w:rPr>
                <w:iCs/>
                <w:lang w:val="fr-FR"/>
              </w:rPr>
              <w:t xml:space="preserve"> : </w:t>
            </w:r>
            <w:r w:rsidRPr="003D601E">
              <w:rPr>
                <w:lang w:val="fr-FR"/>
              </w:rPr>
              <w:br/>
              <w:t>Référence 2014</w:t>
            </w:r>
            <w:r>
              <w:rPr>
                <w:lang w:val="fr-FR"/>
              </w:rPr>
              <w:t>-</w:t>
            </w:r>
            <w:r w:rsidRPr="003D601E">
              <w:rPr>
                <w:lang w:val="fr-FR"/>
              </w:rPr>
              <w:t>2015</w:t>
            </w:r>
            <w:r>
              <w:rPr>
                <w:lang w:val="fr-FR"/>
              </w:rPr>
              <w:t> </w:t>
            </w:r>
            <w:r w:rsidRPr="003D601E">
              <w:rPr>
                <w:lang w:val="fr-FR"/>
              </w:rPr>
              <w:t>: 1 SGH</w:t>
            </w:r>
            <w:r>
              <w:rPr>
                <w:lang w:val="fr-FR"/>
              </w:rPr>
              <w:t xml:space="preserve"> </w:t>
            </w:r>
            <w:r w:rsidRPr="003D601E">
              <w:rPr>
                <w:lang w:val="fr-FR"/>
              </w:rPr>
              <w:br/>
              <w:t>Objectif 2016</w:t>
            </w:r>
            <w:r>
              <w:rPr>
                <w:lang w:val="fr-FR"/>
              </w:rPr>
              <w:t>-</w:t>
            </w:r>
            <w:r w:rsidRPr="003D601E">
              <w:rPr>
                <w:lang w:val="fr-FR"/>
              </w:rPr>
              <w:t>2017</w:t>
            </w:r>
            <w:r>
              <w:rPr>
                <w:lang w:val="fr-FR"/>
              </w:rPr>
              <w:t> </w:t>
            </w:r>
            <w:r w:rsidRPr="003D601E">
              <w:rPr>
                <w:lang w:val="fr-FR"/>
              </w:rPr>
              <w:t>: 1 SGH</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867AEA" w:rsidP="00867AEA">
            <w:pPr>
              <w:tabs>
                <w:tab w:val="left" w:pos="288"/>
                <w:tab w:val="left" w:pos="576"/>
                <w:tab w:val="left" w:pos="864"/>
                <w:tab w:val="left" w:pos="1152"/>
              </w:tabs>
              <w:suppressAutoHyphens/>
              <w:spacing w:before="40" w:after="80"/>
              <w:ind w:left="576" w:right="115" w:hanging="576"/>
            </w:pPr>
            <w:r>
              <w:rPr>
                <w:lang w:val="fr-FR"/>
              </w:rPr>
              <w:t>12</w:t>
            </w:r>
            <w:r w:rsidR="00E911ED">
              <w:rPr>
                <w:lang w:val="fr-FR"/>
              </w:rPr>
              <w:t> </w:t>
            </w:r>
            <w:r w:rsidR="007F242A">
              <w:rPr>
                <w:lang w:val="fr-FR"/>
              </w:rPr>
              <w:t>a</w:t>
            </w:r>
            <w:r>
              <w:rPr>
                <w:lang w:val="fr-FR"/>
              </w:rPr>
              <w:t>)</w:t>
            </w:r>
            <w:r w:rsidR="007F242A">
              <w:rPr>
                <w:lang w:val="fr-FR"/>
              </w:rPr>
              <w:tab/>
              <w:t>Transport de </w:t>
            </w:r>
            <w:r w:rsidR="00E911ED" w:rsidRPr="00E911ED">
              <w:rPr>
                <w:lang w:val="fr-FR"/>
              </w:rPr>
              <w:t>denrées périssables</w:t>
            </w:r>
          </w:p>
        </w:tc>
        <w:tc>
          <w:tcPr>
            <w:tcW w:w="4941" w:type="dxa"/>
            <w:shd w:val="clear" w:color="auto" w:fill="auto"/>
          </w:tcPr>
          <w:p w:rsidR="00BE2094" w:rsidRPr="00533D1A" w:rsidRDefault="008833CD" w:rsidP="00867AEA">
            <w:pPr>
              <w:tabs>
                <w:tab w:val="left" w:pos="288"/>
                <w:tab w:val="left" w:pos="576"/>
                <w:tab w:val="left" w:pos="864"/>
                <w:tab w:val="left" w:pos="1152"/>
              </w:tabs>
              <w:suppressAutoHyphens/>
              <w:spacing w:before="40" w:after="80"/>
              <w:ind w:right="115"/>
            </w:pPr>
            <w:r>
              <w:rPr>
                <w:lang w:val="fr-FR"/>
              </w:rPr>
              <w:t>RE </w:t>
            </w:r>
            <w:r w:rsidRPr="008833CD">
              <w:rPr>
                <w:lang w:val="fr-FR"/>
              </w:rPr>
              <w:t>12</w:t>
            </w:r>
            <w:r>
              <w:rPr>
                <w:lang w:val="fr-FR"/>
              </w:rPr>
              <w:t> </w:t>
            </w:r>
            <w:r w:rsidRPr="008833CD">
              <w:rPr>
                <w:lang w:val="fr-FR"/>
              </w:rPr>
              <w:t>a</w:t>
            </w:r>
            <w:r w:rsidR="00867AEA">
              <w:rPr>
                <w:lang w:val="fr-FR"/>
              </w:rPr>
              <w:t>)</w:t>
            </w:r>
            <w:r>
              <w:rPr>
                <w:lang w:val="fr-FR"/>
              </w:rPr>
              <w:tab/>
            </w:r>
            <w:r w:rsidRPr="008833CD">
              <w:rPr>
                <w:lang w:val="fr-FR"/>
              </w:rPr>
              <w:t>Renforcement et mise à jour des prescriptions régissant le transport international des denrées périssables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8833CD" w:rsidRPr="008833CD" w:rsidRDefault="008833CD" w:rsidP="00100875">
            <w:pPr>
              <w:tabs>
                <w:tab w:val="left" w:pos="288"/>
                <w:tab w:val="left" w:pos="576"/>
                <w:tab w:val="left" w:pos="864"/>
                <w:tab w:val="left" w:pos="1152"/>
              </w:tabs>
              <w:suppressAutoHyphens/>
              <w:spacing w:before="40" w:after="80"/>
              <w:ind w:right="115"/>
              <w:rPr>
                <w:lang w:val="fr-CH"/>
              </w:rPr>
            </w:pPr>
            <w:r w:rsidRPr="00100875">
              <w:rPr>
                <w:spacing w:val="-8"/>
                <w:w w:val="100"/>
                <w:lang w:val="fr-FR"/>
              </w:rPr>
              <w:t>IS 12 a</w:t>
            </w:r>
            <w:r w:rsidR="00867AEA">
              <w:rPr>
                <w:spacing w:val="-8"/>
                <w:w w:val="100"/>
                <w:lang w:val="fr-FR"/>
              </w:rPr>
              <w:t>)</w:t>
            </w:r>
            <w:r w:rsidRPr="00100875">
              <w:rPr>
                <w:spacing w:val="-8"/>
                <w:w w:val="100"/>
                <w:lang w:val="fr-FR"/>
              </w:rPr>
              <w:t> a)</w:t>
            </w:r>
            <w:r w:rsidR="00100875" w:rsidRPr="00100875">
              <w:rPr>
                <w:spacing w:val="-8"/>
                <w:w w:val="100"/>
                <w:lang w:val="fr-FR"/>
              </w:rPr>
              <w:tab/>
            </w:r>
            <w:r w:rsidRPr="008833CD">
              <w:rPr>
                <w:lang w:val="fr-FR"/>
              </w:rPr>
              <w:t>Pourcentage de propositions d’amendement autres que rédactionnelles dans l’ensemble des amendements adoptées par le WP.11</w:t>
            </w:r>
          </w:p>
          <w:p w:rsidR="00BE2094" w:rsidRPr="00533D1A" w:rsidRDefault="008833CD" w:rsidP="008833CD">
            <w:pPr>
              <w:tabs>
                <w:tab w:val="left" w:pos="288"/>
                <w:tab w:val="left" w:pos="576"/>
                <w:tab w:val="left" w:pos="864"/>
                <w:tab w:val="left" w:pos="1152"/>
              </w:tabs>
              <w:suppressAutoHyphens/>
              <w:spacing w:before="40" w:after="80"/>
              <w:ind w:right="115"/>
            </w:pPr>
            <w:r w:rsidRPr="008833CD">
              <w:rPr>
                <w:i/>
                <w:iCs/>
                <w:lang w:val="fr-FR"/>
              </w:rPr>
              <w:t>Mesure des résultats</w:t>
            </w:r>
            <w:r w:rsidRPr="008833CD">
              <w:rPr>
                <w:iCs/>
                <w:lang w:val="fr-FR"/>
              </w:rPr>
              <w:t> :</w:t>
            </w:r>
            <w:r>
              <w:rPr>
                <w:i/>
                <w:iCs/>
                <w:lang w:val="fr-FR"/>
              </w:rPr>
              <w:t xml:space="preserve"> </w:t>
            </w:r>
            <w:r>
              <w:rPr>
                <w:lang w:val="fr-FR"/>
              </w:rPr>
              <w:br/>
              <w:t>Référence : 2014-2015 : 50 </w:t>
            </w:r>
            <w:r w:rsidRPr="008833CD">
              <w:rPr>
                <w:lang w:val="fr-FR"/>
              </w:rPr>
              <w:t>%</w:t>
            </w:r>
            <w:r>
              <w:rPr>
                <w:lang w:val="fr-FR"/>
              </w:rPr>
              <w:t xml:space="preserve"> </w:t>
            </w:r>
            <w:r>
              <w:rPr>
                <w:lang w:val="fr-FR"/>
              </w:rPr>
              <w:br/>
              <w:t>Objectif 2016-2017 </w:t>
            </w:r>
            <w:r w:rsidRPr="008833CD">
              <w:rPr>
                <w:lang w:val="fr-FR"/>
              </w:rPr>
              <w:t>: 60</w:t>
            </w:r>
            <w:r>
              <w:rPr>
                <w:lang w:val="fr-FR"/>
              </w:rPr>
              <w:t> </w:t>
            </w:r>
            <w:r w:rsidRPr="008833CD">
              <w:rPr>
                <w:lang w:val="fr-FR"/>
              </w:rPr>
              <w:t>%</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8833CD" w:rsidRPr="008833CD" w:rsidRDefault="008833CD" w:rsidP="00100875">
            <w:pPr>
              <w:tabs>
                <w:tab w:val="left" w:pos="288"/>
                <w:tab w:val="left" w:pos="576"/>
                <w:tab w:val="left" w:pos="864"/>
                <w:tab w:val="left" w:pos="1152"/>
              </w:tabs>
              <w:suppressAutoHyphens/>
              <w:spacing w:before="40" w:after="80"/>
              <w:ind w:right="115"/>
              <w:rPr>
                <w:lang w:val="fr-CH"/>
              </w:rPr>
            </w:pPr>
            <w:r w:rsidRPr="00100875">
              <w:rPr>
                <w:spacing w:val="-8"/>
                <w:w w:val="100"/>
                <w:lang w:val="fr-FR"/>
              </w:rPr>
              <w:t>IS 12 a</w:t>
            </w:r>
            <w:r w:rsidR="00867AEA">
              <w:rPr>
                <w:spacing w:val="-8"/>
                <w:w w:val="100"/>
                <w:lang w:val="fr-FR"/>
              </w:rPr>
              <w:t>)</w:t>
            </w:r>
            <w:r w:rsidRPr="00100875">
              <w:rPr>
                <w:spacing w:val="-8"/>
                <w:w w:val="100"/>
                <w:lang w:val="fr-FR"/>
              </w:rPr>
              <w:t> b)</w:t>
            </w:r>
            <w:r>
              <w:rPr>
                <w:lang w:val="fr-FR"/>
              </w:rPr>
              <w:tab/>
            </w:r>
            <w:r w:rsidRPr="008833CD">
              <w:rPr>
                <w:lang w:val="fr-FR"/>
              </w:rPr>
              <w:t>Nombre de pays ayant répondu au questionnaire sur la mise en œuvre de l’ATP</w:t>
            </w:r>
          </w:p>
          <w:p w:rsidR="00BE2094" w:rsidRPr="00533D1A" w:rsidRDefault="008833CD" w:rsidP="008833CD">
            <w:pPr>
              <w:tabs>
                <w:tab w:val="left" w:pos="288"/>
                <w:tab w:val="left" w:pos="576"/>
                <w:tab w:val="left" w:pos="864"/>
                <w:tab w:val="left" w:pos="1152"/>
              </w:tabs>
              <w:suppressAutoHyphens/>
              <w:spacing w:before="40" w:after="80"/>
              <w:ind w:right="115"/>
            </w:pPr>
            <w:r w:rsidRPr="008833CD">
              <w:rPr>
                <w:i/>
                <w:iCs/>
                <w:lang w:val="fr-FR"/>
              </w:rPr>
              <w:t>Mesure des résultats</w:t>
            </w:r>
            <w:r w:rsidRPr="008833CD">
              <w:rPr>
                <w:iCs/>
                <w:lang w:val="fr-FR"/>
              </w:rPr>
              <w:t> :</w:t>
            </w:r>
            <w:r>
              <w:rPr>
                <w:i/>
                <w:iCs/>
                <w:lang w:val="fr-FR"/>
              </w:rPr>
              <w:t xml:space="preserve"> </w:t>
            </w:r>
            <w:r>
              <w:rPr>
                <w:lang w:val="fr-FR"/>
              </w:rPr>
              <w:br/>
              <w:t>Référence </w:t>
            </w:r>
            <w:r w:rsidRPr="008833CD">
              <w:rPr>
                <w:lang w:val="fr-FR"/>
              </w:rPr>
              <w:t>: 2014-2015</w:t>
            </w:r>
            <w:r>
              <w:rPr>
                <w:lang w:val="fr-FR"/>
              </w:rPr>
              <w:t> </w:t>
            </w:r>
            <w:r w:rsidRPr="008833CD">
              <w:rPr>
                <w:lang w:val="fr-FR"/>
              </w:rPr>
              <w:t>: 21</w:t>
            </w:r>
            <w:r>
              <w:rPr>
                <w:lang w:val="fr-FR"/>
              </w:rPr>
              <w:t xml:space="preserve"> </w:t>
            </w:r>
            <w:r w:rsidRPr="008833CD">
              <w:rPr>
                <w:lang w:val="fr-FR"/>
              </w:rPr>
              <w:br/>
              <w:t>Objectif 2016-2017</w:t>
            </w:r>
            <w:r>
              <w:rPr>
                <w:lang w:val="fr-FR"/>
              </w:rPr>
              <w:t> </w:t>
            </w:r>
            <w:r w:rsidRPr="008833CD">
              <w:rPr>
                <w:lang w:val="fr-FR"/>
              </w:rPr>
              <w:t>: 24</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2421AF" w:rsidP="00DF16CD">
            <w:pPr>
              <w:tabs>
                <w:tab w:val="left" w:pos="288"/>
                <w:tab w:val="left" w:pos="576"/>
                <w:tab w:val="left" w:pos="864"/>
                <w:tab w:val="left" w:pos="1152"/>
              </w:tabs>
              <w:suppressAutoHyphens/>
              <w:spacing w:before="40" w:after="80"/>
              <w:ind w:left="576" w:right="115" w:hanging="576"/>
            </w:pPr>
            <w:r w:rsidRPr="002421AF">
              <w:rPr>
                <w:lang w:val="fr-FR"/>
              </w:rPr>
              <w:t>13.</w:t>
            </w:r>
            <w:r w:rsidRPr="002421AF">
              <w:rPr>
                <w:lang w:val="fr-FR"/>
              </w:rPr>
              <w:tab/>
            </w:r>
            <w:r w:rsidR="007F242A">
              <w:rPr>
                <w:lang w:val="fr-FR"/>
              </w:rPr>
              <w:tab/>
            </w:r>
            <w:r w:rsidRPr="002421AF">
              <w:rPr>
                <w:lang w:val="fr-FR"/>
              </w:rPr>
              <w:t>Statistiques des</w:t>
            </w:r>
            <w:r w:rsidR="00100875">
              <w:rPr>
                <w:lang w:val="fr-FR"/>
              </w:rPr>
              <w:t> </w:t>
            </w:r>
            <w:r w:rsidRPr="002421AF">
              <w:rPr>
                <w:lang w:val="fr-FR"/>
              </w:rPr>
              <w:t>transports</w:t>
            </w:r>
          </w:p>
        </w:tc>
        <w:tc>
          <w:tcPr>
            <w:tcW w:w="4941" w:type="dxa"/>
            <w:shd w:val="clear" w:color="auto" w:fill="auto"/>
          </w:tcPr>
          <w:p w:rsidR="00BE2094" w:rsidRPr="00533D1A" w:rsidRDefault="002421AF" w:rsidP="002421AF">
            <w:pPr>
              <w:tabs>
                <w:tab w:val="left" w:pos="288"/>
                <w:tab w:val="left" w:pos="576"/>
                <w:tab w:val="left" w:pos="864"/>
                <w:tab w:val="left" w:pos="1152"/>
              </w:tabs>
              <w:suppressAutoHyphens/>
              <w:spacing w:before="40" w:after="80"/>
              <w:ind w:right="115"/>
            </w:pPr>
            <w:r w:rsidRPr="002421AF">
              <w:rPr>
                <w:lang w:val="fr-FR"/>
              </w:rPr>
              <w:t>RE</w:t>
            </w:r>
            <w:r>
              <w:rPr>
                <w:lang w:val="fr-FR"/>
              </w:rPr>
              <w:t> </w:t>
            </w:r>
            <w:r w:rsidRPr="002421AF">
              <w:rPr>
                <w:lang w:val="fr-FR"/>
              </w:rPr>
              <w:t>13.</w:t>
            </w:r>
            <w:r>
              <w:rPr>
                <w:lang w:val="fr-FR"/>
              </w:rPr>
              <w:tab/>
            </w:r>
            <w:r w:rsidRPr="002421AF">
              <w:rPr>
                <w:lang w:val="fr-FR"/>
              </w:rPr>
              <w:t>Accroissemen</w:t>
            </w:r>
            <w:r w:rsidR="00165249">
              <w:rPr>
                <w:lang w:val="fr-FR"/>
              </w:rPr>
              <w:t>t du volume et de la portée des </w:t>
            </w:r>
            <w:r w:rsidRPr="002421AF">
              <w:rPr>
                <w:lang w:val="fr-FR"/>
              </w:rPr>
              <w:t>statistiques disponibles sur les transports</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421AF" w:rsidRPr="002421AF" w:rsidRDefault="002421AF" w:rsidP="00100875">
            <w:pPr>
              <w:tabs>
                <w:tab w:val="left" w:pos="288"/>
                <w:tab w:val="left" w:pos="576"/>
                <w:tab w:val="left" w:pos="864"/>
                <w:tab w:val="left" w:pos="1152"/>
              </w:tabs>
              <w:suppressAutoHyphens/>
              <w:spacing w:before="40" w:after="80"/>
              <w:ind w:right="115"/>
              <w:rPr>
                <w:lang w:val="fr-CH"/>
              </w:rPr>
            </w:pPr>
            <w:r>
              <w:rPr>
                <w:lang w:val="fr-FR"/>
              </w:rPr>
              <w:t>IS 13 </w:t>
            </w:r>
            <w:r w:rsidRPr="002421AF">
              <w:rPr>
                <w:lang w:val="fr-FR"/>
              </w:rPr>
              <w:t>a)</w:t>
            </w:r>
            <w:r>
              <w:rPr>
                <w:lang w:val="fr-FR"/>
              </w:rPr>
              <w:tab/>
            </w:r>
            <w:r w:rsidRPr="002421AF">
              <w:rPr>
                <w:lang w:val="fr-FR"/>
              </w:rPr>
              <w:t>Nombre de produits statistiques fiables disponibles sur l’Internet</w:t>
            </w:r>
          </w:p>
          <w:p w:rsidR="00BE2094" w:rsidRPr="00533D1A" w:rsidRDefault="002421AF" w:rsidP="00867AEA">
            <w:pPr>
              <w:tabs>
                <w:tab w:val="left" w:pos="288"/>
                <w:tab w:val="left" w:pos="576"/>
                <w:tab w:val="left" w:pos="864"/>
                <w:tab w:val="left" w:pos="1152"/>
              </w:tabs>
              <w:suppressAutoHyphens/>
              <w:spacing w:before="40" w:after="80"/>
              <w:ind w:right="115"/>
            </w:pPr>
            <w:r w:rsidRPr="002421AF">
              <w:rPr>
                <w:i/>
                <w:iCs/>
                <w:lang w:val="fr-FR"/>
              </w:rPr>
              <w:t>Mesure des résultats</w:t>
            </w:r>
            <w:r w:rsidRPr="002421AF">
              <w:rPr>
                <w:iCs/>
                <w:lang w:val="fr-FR"/>
              </w:rPr>
              <w:t> :</w:t>
            </w:r>
            <w:r>
              <w:rPr>
                <w:i/>
                <w:iCs/>
                <w:lang w:val="fr-FR"/>
              </w:rPr>
              <w:t xml:space="preserve"> </w:t>
            </w:r>
            <w:r w:rsidRPr="002421AF">
              <w:rPr>
                <w:lang w:val="fr-FR"/>
              </w:rPr>
              <w:br/>
              <w:t>Référence 2014</w:t>
            </w:r>
            <w:r>
              <w:rPr>
                <w:lang w:val="fr-FR"/>
              </w:rPr>
              <w:t>-</w:t>
            </w:r>
            <w:r w:rsidRPr="002421AF">
              <w:rPr>
                <w:lang w:val="fr-FR"/>
              </w:rPr>
              <w:t>2015</w:t>
            </w:r>
            <w:r>
              <w:rPr>
                <w:lang w:val="fr-FR"/>
              </w:rPr>
              <w:t> </w:t>
            </w:r>
            <w:r w:rsidRPr="002421AF">
              <w:rPr>
                <w:lang w:val="fr-FR"/>
              </w:rPr>
              <w:t xml:space="preserve">: </w:t>
            </w:r>
            <w:r w:rsidR="00867AEA">
              <w:rPr>
                <w:lang w:val="fr-FR"/>
              </w:rPr>
              <w:t>b</w:t>
            </w:r>
            <w:r w:rsidRPr="002421AF">
              <w:rPr>
                <w:lang w:val="fr-FR"/>
              </w:rPr>
              <w:t>ase de données statistiques complète en ligne</w:t>
            </w:r>
            <w:r>
              <w:rPr>
                <w:lang w:val="fr-FR"/>
              </w:rPr>
              <w:t xml:space="preserve"> </w:t>
            </w:r>
            <w:r w:rsidRPr="002421AF">
              <w:rPr>
                <w:lang w:val="fr-FR"/>
              </w:rPr>
              <w:br/>
              <w:t>Objectif 2016</w:t>
            </w:r>
            <w:r>
              <w:rPr>
                <w:lang w:val="fr-FR"/>
              </w:rPr>
              <w:t>-</w:t>
            </w:r>
            <w:r w:rsidRPr="002421AF">
              <w:rPr>
                <w:lang w:val="fr-FR"/>
              </w:rPr>
              <w:t>2017</w:t>
            </w:r>
            <w:r>
              <w:rPr>
                <w:lang w:val="fr-FR"/>
              </w:rPr>
              <w:t> </w:t>
            </w:r>
            <w:r w:rsidRPr="002421AF">
              <w:rPr>
                <w:lang w:val="fr-FR"/>
              </w:rPr>
              <w:t xml:space="preserve">: </w:t>
            </w:r>
            <w:r w:rsidR="00867AEA">
              <w:rPr>
                <w:lang w:val="fr-FR"/>
              </w:rPr>
              <w:t>m</w:t>
            </w:r>
            <w:r w:rsidRPr="002421AF">
              <w:rPr>
                <w:lang w:val="fr-FR"/>
              </w:rPr>
              <w:t>ise à jour de la base de données statistiques en ligne</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52682B" w:rsidRPr="0052682B" w:rsidRDefault="0052682B" w:rsidP="0052682B">
            <w:pPr>
              <w:tabs>
                <w:tab w:val="left" w:pos="288"/>
                <w:tab w:val="left" w:pos="576"/>
                <w:tab w:val="left" w:pos="864"/>
                <w:tab w:val="left" w:pos="1152"/>
              </w:tabs>
              <w:suppressAutoHyphens/>
              <w:spacing w:before="40" w:after="80"/>
              <w:ind w:right="115"/>
              <w:rPr>
                <w:lang w:val="fr-CH"/>
              </w:rPr>
            </w:pPr>
            <w:r>
              <w:rPr>
                <w:lang w:val="fr-FR"/>
              </w:rPr>
              <w:t>IS </w:t>
            </w:r>
            <w:r w:rsidRPr="0052682B">
              <w:rPr>
                <w:lang w:val="fr-FR"/>
              </w:rPr>
              <w:t>13</w:t>
            </w:r>
            <w:r>
              <w:rPr>
                <w:lang w:val="fr-FR"/>
              </w:rPr>
              <w:t> </w:t>
            </w:r>
            <w:r w:rsidRPr="0052682B">
              <w:rPr>
                <w:lang w:val="fr-FR"/>
              </w:rPr>
              <w:t>b)</w:t>
            </w:r>
            <w:r>
              <w:rPr>
                <w:lang w:val="fr-FR"/>
              </w:rPr>
              <w:tab/>
            </w:r>
            <w:r w:rsidRPr="0052682B">
              <w:rPr>
                <w:lang w:val="fr-FR"/>
              </w:rPr>
              <w:t>Usage des données mesuré en fonction du nombre de téléchargements effectués depuis le site Web</w:t>
            </w:r>
          </w:p>
          <w:p w:rsidR="00BE2094" w:rsidRPr="00533D1A" w:rsidRDefault="0052682B" w:rsidP="0052682B">
            <w:pPr>
              <w:tabs>
                <w:tab w:val="left" w:pos="288"/>
                <w:tab w:val="left" w:pos="576"/>
                <w:tab w:val="left" w:pos="864"/>
                <w:tab w:val="left" w:pos="1152"/>
              </w:tabs>
              <w:suppressAutoHyphens/>
              <w:spacing w:before="40" w:after="80"/>
              <w:ind w:right="115"/>
            </w:pPr>
            <w:r w:rsidRPr="0052682B">
              <w:rPr>
                <w:i/>
                <w:iCs/>
                <w:lang w:val="fr-FR"/>
              </w:rPr>
              <w:t>Mesure des résultats</w:t>
            </w:r>
            <w:r w:rsidRPr="0052682B">
              <w:rPr>
                <w:iCs/>
                <w:lang w:val="fr-FR"/>
              </w:rPr>
              <w:t> :</w:t>
            </w:r>
            <w:r>
              <w:rPr>
                <w:i/>
                <w:iCs/>
                <w:lang w:val="fr-FR"/>
              </w:rPr>
              <w:t xml:space="preserve"> </w:t>
            </w:r>
            <w:r w:rsidRPr="0052682B">
              <w:rPr>
                <w:lang w:val="fr-FR"/>
              </w:rPr>
              <w:br/>
              <w:t>Référence 2014</w:t>
            </w:r>
            <w:r>
              <w:rPr>
                <w:lang w:val="fr-FR"/>
              </w:rPr>
              <w:t>-</w:t>
            </w:r>
            <w:r w:rsidRPr="0052682B">
              <w:rPr>
                <w:lang w:val="fr-FR"/>
              </w:rPr>
              <w:t>2015</w:t>
            </w:r>
            <w:r>
              <w:rPr>
                <w:lang w:val="fr-FR"/>
              </w:rPr>
              <w:t> </w:t>
            </w:r>
            <w:r w:rsidRPr="0052682B">
              <w:rPr>
                <w:lang w:val="fr-FR"/>
              </w:rPr>
              <w:t>: 88 000 téléchargements</w:t>
            </w:r>
            <w:r>
              <w:rPr>
                <w:lang w:val="fr-FR"/>
              </w:rPr>
              <w:t xml:space="preserve"> </w:t>
            </w:r>
            <w:r w:rsidRPr="0052682B">
              <w:rPr>
                <w:lang w:val="fr-FR"/>
              </w:rPr>
              <w:br/>
              <w:t>Objectif 2016</w:t>
            </w:r>
            <w:r>
              <w:rPr>
                <w:lang w:val="fr-FR"/>
              </w:rPr>
              <w:t>-</w:t>
            </w:r>
            <w:r w:rsidRPr="0052682B">
              <w:rPr>
                <w:lang w:val="fr-FR"/>
              </w:rPr>
              <w:t>2017</w:t>
            </w:r>
            <w:r>
              <w:rPr>
                <w:lang w:val="fr-FR"/>
              </w:rPr>
              <w:t> </w:t>
            </w:r>
            <w:r w:rsidRPr="0052682B">
              <w:rPr>
                <w:lang w:val="fr-FR"/>
              </w:rPr>
              <w:t>: 90</w:t>
            </w:r>
            <w:r>
              <w:rPr>
                <w:lang w:val="fr-FR"/>
              </w:rPr>
              <w:t> </w:t>
            </w:r>
            <w:r w:rsidRPr="0052682B">
              <w:rPr>
                <w:lang w:val="fr-FR"/>
              </w:rPr>
              <w:t>000 téléchargements</w:t>
            </w:r>
          </w:p>
        </w:tc>
      </w:tr>
      <w:tr w:rsidR="00BE2094" w:rsidRPr="00533D1A" w:rsidTr="00165249">
        <w:tc>
          <w:tcPr>
            <w:tcW w:w="3042" w:type="dxa"/>
            <w:shd w:val="clear" w:color="auto" w:fill="auto"/>
          </w:tcPr>
          <w:p w:rsidR="00BE2094" w:rsidRPr="00533D1A" w:rsidRDefault="008D482D" w:rsidP="00165249">
            <w:pPr>
              <w:keepNext/>
              <w:keepLines/>
              <w:tabs>
                <w:tab w:val="left" w:pos="288"/>
                <w:tab w:val="left" w:pos="576"/>
                <w:tab w:val="left" w:pos="864"/>
                <w:tab w:val="left" w:pos="1152"/>
              </w:tabs>
              <w:suppressAutoHyphens/>
              <w:spacing w:before="40" w:after="80"/>
              <w:ind w:right="115"/>
            </w:pPr>
            <w:r w:rsidRPr="008D482D">
              <w:rPr>
                <w:b/>
                <w:lang w:val="fr-FR"/>
              </w:rPr>
              <w:lastRenderedPageBreak/>
              <w:t>2.</w:t>
            </w:r>
            <w:r>
              <w:rPr>
                <w:b/>
                <w:lang w:val="fr-FR"/>
              </w:rPr>
              <w:t> RE </w:t>
            </w:r>
            <w:r w:rsidRPr="008D482D">
              <w:rPr>
                <w:b/>
                <w:lang w:val="fr-FR"/>
              </w:rPr>
              <w:t>b)</w:t>
            </w:r>
            <w:r>
              <w:rPr>
                <w:b/>
                <w:lang w:val="fr-FR"/>
              </w:rPr>
              <w:tab/>
            </w:r>
            <w:r w:rsidRPr="008D482D">
              <w:rPr>
                <w:b/>
                <w:lang w:val="fr-FR"/>
              </w:rPr>
              <w:t>Extension de la couverture géographique et application plus efficace des instruments juridiques de l’ONU et des recommandations dans le domaine des transports administrés par la CEE</w:t>
            </w:r>
          </w:p>
        </w:tc>
        <w:tc>
          <w:tcPr>
            <w:tcW w:w="2043" w:type="dxa"/>
            <w:shd w:val="clear" w:color="auto" w:fill="auto"/>
          </w:tcPr>
          <w:p w:rsidR="00BE2094" w:rsidRPr="00533D1A" w:rsidRDefault="00DF16CD" w:rsidP="00DF16CD">
            <w:pPr>
              <w:keepNext/>
              <w:keepLines/>
              <w:tabs>
                <w:tab w:val="left" w:pos="288"/>
                <w:tab w:val="left" w:pos="576"/>
                <w:tab w:val="left" w:pos="864"/>
                <w:tab w:val="left" w:pos="1152"/>
              </w:tabs>
              <w:suppressAutoHyphens/>
              <w:spacing w:before="40" w:after="80"/>
              <w:ind w:left="576" w:right="115" w:hanging="576"/>
            </w:pPr>
            <w:r>
              <w:rPr>
                <w:lang w:val="fr-FR"/>
              </w:rPr>
              <w:t>7</w:t>
            </w:r>
            <w:r w:rsidR="002675C8">
              <w:rPr>
                <w:lang w:val="fr-FR"/>
              </w:rPr>
              <w:t> </w:t>
            </w:r>
            <w:r w:rsidR="002675C8" w:rsidRPr="002675C8">
              <w:rPr>
                <w:lang w:val="fr-FR"/>
              </w:rPr>
              <w:t>b</w:t>
            </w:r>
            <w:r>
              <w:rPr>
                <w:lang w:val="fr-FR"/>
              </w:rPr>
              <w:t>)</w:t>
            </w:r>
            <w:r w:rsidR="002675C8" w:rsidRPr="002675C8">
              <w:rPr>
                <w:lang w:val="fr-FR"/>
              </w:rPr>
              <w:tab/>
              <w:t>Problèmes douaniers intéressant les</w:t>
            </w:r>
            <w:r w:rsidR="007F242A">
              <w:rPr>
                <w:lang w:val="fr-FR"/>
              </w:rPr>
              <w:t> </w:t>
            </w:r>
            <w:r w:rsidR="002675C8" w:rsidRPr="002675C8">
              <w:rPr>
                <w:lang w:val="fr-FR"/>
              </w:rPr>
              <w:t>transports</w:t>
            </w:r>
          </w:p>
        </w:tc>
        <w:tc>
          <w:tcPr>
            <w:tcW w:w="4941" w:type="dxa"/>
            <w:shd w:val="clear" w:color="auto" w:fill="auto"/>
          </w:tcPr>
          <w:p w:rsidR="008D482D" w:rsidRPr="008D482D" w:rsidRDefault="008D482D" w:rsidP="00662A7F">
            <w:pPr>
              <w:keepNext/>
              <w:keepLines/>
              <w:tabs>
                <w:tab w:val="left" w:pos="288"/>
                <w:tab w:val="left" w:pos="576"/>
                <w:tab w:val="left" w:pos="864"/>
                <w:tab w:val="left" w:pos="1152"/>
              </w:tabs>
              <w:suppressAutoHyphens/>
              <w:spacing w:before="40" w:after="80"/>
              <w:ind w:right="115"/>
              <w:rPr>
                <w:lang w:val="fr-CH"/>
              </w:rPr>
            </w:pPr>
            <w:r w:rsidRPr="008D482D">
              <w:rPr>
                <w:lang w:val="fr-FR"/>
              </w:rPr>
              <w:t>RE</w:t>
            </w:r>
            <w:r>
              <w:rPr>
                <w:lang w:val="fr-FR"/>
              </w:rPr>
              <w:t> </w:t>
            </w:r>
            <w:r w:rsidRPr="008D482D">
              <w:rPr>
                <w:lang w:val="fr-FR"/>
              </w:rPr>
              <w:t>7</w:t>
            </w:r>
            <w:r>
              <w:rPr>
                <w:lang w:val="fr-FR"/>
              </w:rPr>
              <w:t> </w:t>
            </w:r>
            <w:r w:rsidRPr="008D482D">
              <w:rPr>
                <w:lang w:val="fr-FR"/>
              </w:rPr>
              <w:t>b</w:t>
            </w:r>
            <w:r w:rsidR="00DF16CD">
              <w:rPr>
                <w:lang w:val="fr-FR"/>
              </w:rPr>
              <w:t>)</w:t>
            </w:r>
            <w:r>
              <w:rPr>
                <w:lang w:val="fr-FR"/>
              </w:rPr>
              <w:tab/>
            </w:r>
            <w:r w:rsidRPr="008D482D">
              <w:rPr>
                <w:lang w:val="fr-FR"/>
              </w:rPr>
              <w:t>Nouvelles adhésions aux instruments juridiques internationaux en matière de facilitation du</w:t>
            </w:r>
            <w:r w:rsidR="00100875">
              <w:rPr>
                <w:lang w:val="fr-FR"/>
              </w:rPr>
              <w:t> </w:t>
            </w:r>
            <w:r w:rsidRPr="008D482D">
              <w:rPr>
                <w:lang w:val="fr-FR"/>
              </w:rPr>
              <w:t xml:space="preserve">passage des frontières et mise en </w:t>
            </w:r>
            <w:r w:rsidR="00100875">
              <w:rPr>
                <w:lang w:val="fr-FR"/>
              </w:rPr>
              <w:t xml:space="preserve">œuvre </w:t>
            </w:r>
            <w:r w:rsidRPr="008D482D">
              <w:rPr>
                <w:lang w:val="fr-FR"/>
              </w:rPr>
              <w:t>plus efficace de ces instruments</w:t>
            </w:r>
          </w:p>
          <w:p w:rsidR="008D482D" w:rsidRPr="008D482D" w:rsidRDefault="008D482D" w:rsidP="00DF16CD">
            <w:pPr>
              <w:keepNext/>
              <w:keepLines/>
              <w:tabs>
                <w:tab w:val="left" w:pos="288"/>
                <w:tab w:val="left" w:pos="576"/>
                <w:tab w:val="left" w:pos="864"/>
                <w:tab w:val="left" w:pos="1152"/>
              </w:tabs>
              <w:suppressAutoHyphens/>
              <w:spacing w:before="40" w:after="80"/>
              <w:ind w:right="115"/>
              <w:rPr>
                <w:lang w:val="fr-CH"/>
              </w:rPr>
            </w:pPr>
            <w:r w:rsidRPr="008D482D">
              <w:rPr>
                <w:lang w:val="fr-FR"/>
              </w:rPr>
              <w:t>IS</w:t>
            </w:r>
            <w:r>
              <w:rPr>
                <w:lang w:val="fr-FR"/>
              </w:rPr>
              <w:t> </w:t>
            </w:r>
            <w:r w:rsidRPr="008D482D">
              <w:rPr>
                <w:lang w:val="fr-FR"/>
              </w:rPr>
              <w:t>7</w:t>
            </w:r>
            <w:r w:rsidR="00DF16CD">
              <w:rPr>
                <w:lang w:val="fr-FR"/>
              </w:rPr>
              <w:t> </w:t>
            </w:r>
            <w:r w:rsidRPr="008D482D">
              <w:rPr>
                <w:lang w:val="fr-FR"/>
              </w:rPr>
              <w:t>b</w:t>
            </w:r>
            <w:r w:rsidR="00DF16CD">
              <w:rPr>
                <w:lang w:val="fr-FR"/>
              </w:rPr>
              <w:t>)</w:t>
            </w:r>
            <w:r>
              <w:rPr>
                <w:lang w:val="fr-FR"/>
              </w:rPr>
              <w:tab/>
            </w:r>
            <w:r w:rsidRPr="008D482D">
              <w:rPr>
                <w:lang w:val="fr-FR"/>
              </w:rPr>
              <w:t>Nombre d’études sur la mise en œuvre des instruments juridiques concernant la facilita</w:t>
            </w:r>
            <w:r>
              <w:rPr>
                <w:lang w:val="fr-FR"/>
              </w:rPr>
              <w:t>tion du passage des frontières</w:t>
            </w:r>
          </w:p>
          <w:p w:rsidR="00BE2094" w:rsidRPr="00533D1A" w:rsidRDefault="008D482D" w:rsidP="00B16B69">
            <w:pPr>
              <w:keepNext/>
              <w:keepLines/>
              <w:tabs>
                <w:tab w:val="left" w:pos="288"/>
                <w:tab w:val="left" w:pos="576"/>
                <w:tab w:val="left" w:pos="864"/>
                <w:tab w:val="left" w:pos="1152"/>
              </w:tabs>
              <w:suppressAutoHyphens/>
              <w:spacing w:before="40" w:after="80"/>
              <w:ind w:right="115"/>
            </w:pPr>
            <w:r w:rsidRPr="008D482D">
              <w:rPr>
                <w:i/>
                <w:iCs/>
                <w:lang w:val="fr-FR"/>
              </w:rPr>
              <w:t>Mesures des résultats</w:t>
            </w:r>
            <w:r w:rsidRPr="008D482D">
              <w:rPr>
                <w:iCs/>
                <w:lang w:val="fr-FR"/>
              </w:rPr>
              <w:t> :</w:t>
            </w:r>
            <w:r>
              <w:rPr>
                <w:i/>
                <w:iCs/>
                <w:lang w:val="fr-FR"/>
              </w:rPr>
              <w:t xml:space="preserve"> </w:t>
            </w:r>
            <w:r w:rsidRPr="008D482D">
              <w:rPr>
                <w:lang w:val="fr-FR"/>
              </w:rPr>
              <w:br/>
              <w:t>Référence 2014</w:t>
            </w:r>
            <w:r>
              <w:rPr>
                <w:lang w:val="fr-FR"/>
              </w:rPr>
              <w:t>-</w:t>
            </w:r>
            <w:r w:rsidRPr="008D482D">
              <w:rPr>
                <w:lang w:val="fr-FR"/>
              </w:rPr>
              <w:t>2015</w:t>
            </w:r>
            <w:r>
              <w:rPr>
                <w:lang w:val="fr-FR"/>
              </w:rPr>
              <w:t> </w:t>
            </w:r>
            <w:r w:rsidRPr="008D482D">
              <w:rPr>
                <w:lang w:val="fr-FR"/>
              </w:rPr>
              <w:t>:</w:t>
            </w:r>
            <w:r w:rsidR="00B16B69">
              <w:rPr>
                <w:lang w:val="fr-FR"/>
              </w:rPr>
              <w:t xml:space="preserve"> </w:t>
            </w:r>
            <w:r w:rsidRPr="008D482D">
              <w:rPr>
                <w:lang w:val="fr-FR"/>
              </w:rPr>
              <w:t xml:space="preserve">2 </w:t>
            </w:r>
            <w:r w:rsidRPr="008D482D">
              <w:rPr>
                <w:lang w:val="fr-FR"/>
              </w:rPr>
              <w:br/>
              <w:t>Objectif 2014-2015</w:t>
            </w:r>
            <w:r>
              <w:rPr>
                <w:lang w:val="fr-FR"/>
              </w:rPr>
              <w:t> </w:t>
            </w:r>
            <w:r w:rsidRPr="008D482D">
              <w:rPr>
                <w:lang w:val="fr-FR"/>
              </w:rPr>
              <w:t>: 2</w:t>
            </w:r>
          </w:p>
        </w:tc>
      </w:tr>
      <w:tr w:rsidR="00B16B69" w:rsidRPr="00533D1A" w:rsidTr="00165249">
        <w:tc>
          <w:tcPr>
            <w:tcW w:w="3042" w:type="dxa"/>
            <w:shd w:val="clear" w:color="auto" w:fill="auto"/>
          </w:tcPr>
          <w:p w:rsidR="00B16B69" w:rsidRPr="008D482D" w:rsidRDefault="00B16B69" w:rsidP="00B16B69">
            <w:pPr>
              <w:keepNext/>
              <w:keepLines/>
              <w:tabs>
                <w:tab w:val="left" w:pos="288"/>
                <w:tab w:val="left" w:pos="576"/>
                <w:tab w:val="left" w:pos="864"/>
                <w:tab w:val="left" w:pos="1152"/>
              </w:tabs>
              <w:suppressAutoHyphens/>
              <w:spacing w:before="40" w:after="80"/>
              <w:ind w:right="115"/>
              <w:rPr>
                <w:lang w:val="fr-CH"/>
              </w:rPr>
            </w:pPr>
            <w:r w:rsidRPr="008D482D">
              <w:rPr>
                <w:lang w:val="fr-FR"/>
              </w:rPr>
              <w:t>IS</w:t>
            </w:r>
            <w:r>
              <w:rPr>
                <w:lang w:val="fr-FR"/>
              </w:rPr>
              <w:t> </w:t>
            </w:r>
            <w:r w:rsidRPr="008D482D">
              <w:rPr>
                <w:lang w:val="fr-FR"/>
              </w:rPr>
              <w:t>b)</w:t>
            </w:r>
            <w:r>
              <w:rPr>
                <w:lang w:val="fr-FR"/>
              </w:rPr>
              <w:t> </w:t>
            </w:r>
            <w:r w:rsidRPr="008D482D">
              <w:rPr>
                <w:lang w:val="fr-FR"/>
              </w:rPr>
              <w:t>i)</w:t>
            </w:r>
            <w:r>
              <w:rPr>
                <w:lang w:val="fr-FR"/>
              </w:rPr>
              <w:tab/>
            </w:r>
            <w:r w:rsidRPr="008D482D">
              <w:rPr>
                <w:lang w:val="fr-FR"/>
              </w:rPr>
              <w:t>Nombre accru de Parties contractantes, y</w:t>
            </w:r>
            <w:r>
              <w:rPr>
                <w:lang w:val="fr-FR"/>
              </w:rPr>
              <w:t> </w:t>
            </w:r>
            <w:r w:rsidRPr="008D482D">
              <w:rPr>
                <w:lang w:val="fr-FR"/>
              </w:rPr>
              <w:t>compris de Parties extérieures à la région, aux instruments juridiques et aux recommandations des Nations Unies dans le domaine des transports administrés par la CEE</w:t>
            </w:r>
          </w:p>
          <w:p w:rsidR="00B16B69" w:rsidRPr="008D482D" w:rsidRDefault="00B16B69" w:rsidP="00B16B69">
            <w:pPr>
              <w:keepNext/>
              <w:keepLines/>
              <w:tabs>
                <w:tab w:val="left" w:pos="288"/>
                <w:tab w:val="left" w:pos="576"/>
                <w:tab w:val="left" w:pos="864"/>
                <w:tab w:val="left" w:pos="1152"/>
              </w:tabs>
              <w:suppressAutoHyphens/>
              <w:spacing w:before="40" w:after="80"/>
              <w:ind w:right="115"/>
              <w:rPr>
                <w:b/>
                <w:lang w:val="fr-FR"/>
              </w:rPr>
            </w:pPr>
            <w:r w:rsidRPr="008D482D">
              <w:rPr>
                <w:i/>
                <w:iCs/>
                <w:lang w:val="fr-FR"/>
              </w:rPr>
              <w:t>Mesure des résultats</w:t>
            </w:r>
            <w:r>
              <w:rPr>
                <w:i/>
                <w:iCs/>
                <w:lang w:val="fr-FR"/>
              </w:rPr>
              <w:t xml:space="preserve"> </w:t>
            </w:r>
            <w:r>
              <w:rPr>
                <w:lang w:val="fr-FR"/>
              </w:rPr>
              <w:br/>
            </w:r>
            <w:r w:rsidRPr="00100875">
              <w:rPr>
                <w:lang w:val="fr-FR"/>
              </w:rPr>
              <w:t>Référence 2015 : 1 </w:t>
            </w:r>
            <w:r>
              <w:rPr>
                <w:lang w:val="fr-FR"/>
              </w:rPr>
              <w:t>700 </w:t>
            </w:r>
            <w:r w:rsidRPr="00100875">
              <w:rPr>
                <w:lang w:val="fr-FR"/>
              </w:rPr>
              <w:t>participations</w:t>
            </w:r>
            <w:r>
              <w:rPr>
                <w:lang w:val="fr-FR"/>
              </w:rPr>
              <w:t xml:space="preserve"> </w:t>
            </w:r>
            <w:r w:rsidRPr="008D482D">
              <w:rPr>
                <w:lang w:val="fr-FR"/>
              </w:rPr>
              <w:br/>
              <w:t>Objectif 2016-2017</w:t>
            </w:r>
            <w:r>
              <w:rPr>
                <w:lang w:val="fr-FR"/>
              </w:rPr>
              <w:t> </w:t>
            </w:r>
            <w:r w:rsidRPr="008D482D">
              <w:rPr>
                <w:lang w:val="fr-FR"/>
              </w:rPr>
              <w:t>: 1</w:t>
            </w:r>
            <w:r>
              <w:rPr>
                <w:lang w:val="fr-FR"/>
              </w:rPr>
              <w:t> </w:t>
            </w:r>
            <w:r w:rsidRPr="008D482D">
              <w:rPr>
                <w:lang w:val="fr-FR"/>
              </w:rPr>
              <w:t>7</w:t>
            </w:r>
            <w:r>
              <w:rPr>
                <w:lang w:val="fr-FR"/>
              </w:rPr>
              <w:t>1</w:t>
            </w:r>
            <w:r w:rsidRPr="008D482D">
              <w:rPr>
                <w:lang w:val="fr-FR"/>
              </w:rPr>
              <w:t>0</w:t>
            </w:r>
            <w:r>
              <w:rPr>
                <w:lang w:val="fr-FR"/>
              </w:rPr>
              <w:t> </w:t>
            </w:r>
            <w:r w:rsidRPr="008D482D">
              <w:rPr>
                <w:lang w:val="fr-FR"/>
              </w:rPr>
              <w:t>participations</w:t>
            </w:r>
          </w:p>
        </w:tc>
        <w:tc>
          <w:tcPr>
            <w:tcW w:w="2043" w:type="dxa"/>
            <w:shd w:val="clear" w:color="auto" w:fill="auto"/>
          </w:tcPr>
          <w:p w:rsidR="00B16B69" w:rsidRDefault="00B16B69" w:rsidP="00DF16CD">
            <w:pPr>
              <w:keepNext/>
              <w:keepLines/>
              <w:tabs>
                <w:tab w:val="left" w:pos="288"/>
                <w:tab w:val="left" w:pos="576"/>
                <w:tab w:val="left" w:pos="864"/>
                <w:tab w:val="left" w:pos="1152"/>
              </w:tabs>
              <w:suppressAutoHyphens/>
              <w:spacing w:before="40" w:after="80"/>
              <w:ind w:left="576" w:right="115" w:hanging="576"/>
              <w:rPr>
                <w:lang w:val="fr-FR"/>
              </w:rPr>
            </w:pPr>
          </w:p>
        </w:tc>
        <w:tc>
          <w:tcPr>
            <w:tcW w:w="4941" w:type="dxa"/>
            <w:shd w:val="clear" w:color="auto" w:fill="auto"/>
          </w:tcPr>
          <w:p w:rsidR="00B16B69" w:rsidRPr="008D482D" w:rsidRDefault="00B16B69" w:rsidP="00662A7F">
            <w:pPr>
              <w:keepNext/>
              <w:keepLines/>
              <w:tabs>
                <w:tab w:val="left" w:pos="288"/>
                <w:tab w:val="left" w:pos="576"/>
                <w:tab w:val="left" w:pos="864"/>
                <w:tab w:val="left" w:pos="1152"/>
              </w:tabs>
              <w:suppressAutoHyphens/>
              <w:spacing w:before="40" w:after="80"/>
              <w:ind w:right="115"/>
              <w:rPr>
                <w:lang w:val="fr-FR"/>
              </w:rPr>
            </w:pPr>
            <w:r w:rsidRPr="008D482D">
              <w:rPr>
                <w:lang w:val="fr-FR"/>
              </w:rPr>
              <w:t>RE</w:t>
            </w:r>
            <w:r>
              <w:rPr>
                <w:lang w:val="fr-FR"/>
              </w:rPr>
              <w:t> </w:t>
            </w:r>
            <w:r w:rsidRPr="008D482D">
              <w:rPr>
                <w:lang w:val="fr-FR"/>
              </w:rPr>
              <w:t>9</w:t>
            </w:r>
            <w:r>
              <w:rPr>
                <w:lang w:val="fr-FR"/>
              </w:rPr>
              <w:t> </w:t>
            </w:r>
            <w:r w:rsidRPr="008D482D">
              <w:rPr>
                <w:lang w:val="fr-FR"/>
              </w:rPr>
              <w:t>b</w:t>
            </w:r>
            <w:r>
              <w:rPr>
                <w:lang w:val="fr-FR"/>
              </w:rPr>
              <w:t>)</w:t>
            </w:r>
            <w:r>
              <w:rPr>
                <w:lang w:val="fr-FR"/>
              </w:rPr>
              <w:tab/>
            </w:r>
            <w:r w:rsidRPr="008D482D">
              <w:rPr>
                <w:lang w:val="fr-FR"/>
              </w:rPr>
              <w:t>Adoption d’un plan d’établissement des structures administratives requises pour la mise en œuvre de l’ADR. Élaboration de recommandations et/ou d’orientations fondées sur ce plan</w:t>
            </w:r>
          </w:p>
        </w:tc>
      </w:tr>
      <w:tr w:rsidR="00BE2094" w:rsidRPr="00533D1A" w:rsidTr="00165249">
        <w:tc>
          <w:tcPr>
            <w:tcW w:w="3042" w:type="dxa"/>
            <w:shd w:val="clear" w:color="auto" w:fill="auto"/>
          </w:tcPr>
          <w:p w:rsidR="002D36DB" w:rsidRPr="002D36DB" w:rsidRDefault="002D36DB" w:rsidP="003E36C1">
            <w:pPr>
              <w:tabs>
                <w:tab w:val="left" w:pos="288"/>
                <w:tab w:val="left" w:pos="576"/>
                <w:tab w:val="left" w:pos="864"/>
                <w:tab w:val="left" w:pos="1152"/>
              </w:tabs>
              <w:suppressAutoHyphens/>
              <w:spacing w:before="40" w:after="80"/>
              <w:ind w:right="115"/>
              <w:rPr>
                <w:lang w:val="fr-CH"/>
              </w:rPr>
            </w:pPr>
            <w:r w:rsidRPr="002D36DB">
              <w:rPr>
                <w:lang w:val="fr-FR"/>
              </w:rPr>
              <w:t>IS</w:t>
            </w:r>
            <w:r>
              <w:rPr>
                <w:lang w:val="fr-FR"/>
              </w:rPr>
              <w:t> </w:t>
            </w:r>
            <w:r w:rsidRPr="002D36DB">
              <w:rPr>
                <w:lang w:val="fr-FR"/>
              </w:rPr>
              <w:t>b)</w:t>
            </w:r>
            <w:r>
              <w:rPr>
                <w:lang w:val="fr-FR"/>
              </w:rPr>
              <w:t> </w:t>
            </w:r>
            <w:r w:rsidRPr="002D36DB">
              <w:rPr>
                <w:lang w:val="fr-FR"/>
              </w:rPr>
              <w:t>ii)</w:t>
            </w:r>
            <w:r>
              <w:rPr>
                <w:lang w:val="fr-FR"/>
              </w:rPr>
              <w:tab/>
            </w:r>
            <w:r w:rsidRPr="002D36DB">
              <w:rPr>
                <w:lang w:val="fr-FR"/>
              </w:rPr>
              <w:t>Nombre accru de mécanismes de suivi de l’application des instruments juridiques et des recommandations des Nations Unies administrés par la CEE</w:t>
            </w:r>
          </w:p>
          <w:p w:rsidR="00BE2094" w:rsidRPr="00533D1A" w:rsidRDefault="002D36DB" w:rsidP="00100875">
            <w:pPr>
              <w:tabs>
                <w:tab w:val="left" w:pos="288"/>
                <w:tab w:val="left" w:pos="576"/>
                <w:tab w:val="left" w:pos="864"/>
                <w:tab w:val="left" w:pos="1152"/>
              </w:tabs>
              <w:suppressAutoHyphens/>
              <w:spacing w:before="40" w:after="80"/>
              <w:ind w:right="115"/>
            </w:pPr>
            <w:r w:rsidRPr="002D36DB">
              <w:rPr>
                <w:i/>
                <w:iCs/>
                <w:lang w:val="fr-FR"/>
              </w:rPr>
              <w:t>Mesure des résultats</w:t>
            </w:r>
            <w:r w:rsidRPr="002D36DB">
              <w:rPr>
                <w:iCs/>
                <w:lang w:val="fr-FR"/>
              </w:rPr>
              <w:t> :</w:t>
            </w:r>
            <w:r w:rsidRPr="002D36DB">
              <w:rPr>
                <w:lang w:val="fr-FR"/>
              </w:rPr>
              <w:t xml:space="preserve"> </w:t>
            </w:r>
            <w:r w:rsidRPr="002D36DB">
              <w:rPr>
                <w:lang w:val="fr-FR"/>
              </w:rPr>
              <w:br/>
              <w:t>Référence 2015</w:t>
            </w:r>
            <w:r>
              <w:rPr>
                <w:lang w:val="fr-FR"/>
              </w:rPr>
              <w:t> </w:t>
            </w:r>
            <w:r w:rsidRPr="002D36DB">
              <w:rPr>
                <w:lang w:val="fr-FR"/>
              </w:rPr>
              <w:t>: 7</w:t>
            </w:r>
            <w:r w:rsidR="00100875">
              <w:rPr>
                <w:lang w:val="fr-FR"/>
              </w:rPr>
              <w:t> </w:t>
            </w:r>
            <w:r w:rsidRPr="002D36DB">
              <w:rPr>
                <w:lang w:val="fr-FR"/>
              </w:rPr>
              <w:t>mécanismes</w:t>
            </w:r>
            <w:r>
              <w:rPr>
                <w:lang w:val="fr-FR"/>
              </w:rPr>
              <w:t xml:space="preserve"> </w:t>
            </w:r>
            <w:r w:rsidRPr="002D36DB">
              <w:rPr>
                <w:lang w:val="fr-FR"/>
              </w:rPr>
              <w:br/>
            </w:r>
            <w:r w:rsidRPr="00100875">
              <w:rPr>
                <w:spacing w:val="-2"/>
                <w:lang w:val="fr-FR"/>
              </w:rPr>
              <w:t>Objectif 2016-2017 : 8</w:t>
            </w:r>
            <w:r w:rsidR="00100875" w:rsidRPr="00100875">
              <w:rPr>
                <w:spacing w:val="-2"/>
                <w:lang w:val="fr-FR"/>
              </w:rPr>
              <w:t> </w:t>
            </w:r>
            <w:r w:rsidRPr="00100875">
              <w:rPr>
                <w:spacing w:val="-2"/>
                <w:lang w:val="fr-FR"/>
              </w:rPr>
              <w:t>mécanismes</w:t>
            </w: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16B69" w:rsidP="00B16B69">
            <w:pPr>
              <w:tabs>
                <w:tab w:val="left" w:pos="288"/>
                <w:tab w:val="left" w:pos="576"/>
                <w:tab w:val="left" w:pos="864"/>
                <w:tab w:val="left" w:pos="1152"/>
              </w:tabs>
              <w:suppressAutoHyphens/>
              <w:spacing w:before="40" w:after="80"/>
              <w:ind w:left="576" w:right="115" w:hanging="576"/>
            </w:pPr>
            <w:r>
              <w:rPr>
                <w:lang w:val="fr-FR"/>
              </w:rPr>
              <w:t>9</w:t>
            </w:r>
            <w:r w:rsidR="00B343A9">
              <w:rPr>
                <w:lang w:val="fr-FR"/>
              </w:rPr>
              <w:t> </w:t>
            </w:r>
            <w:r w:rsidR="00B343A9" w:rsidRPr="00B343A9">
              <w:rPr>
                <w:lang w:val="fr-FR"/>
              </w:rPr>
              <w:t>b</w:t>
            </w:r>
            <w:r>
              <w:rPr>
                <w:lang w:val="fr-FR"/>
              </w:rPr>
              <w:t>)</w:t>
            </w:r>
            <w:r w:rsidR="00B343A9" w:rsidRPr="00B343A9">
              <w:rPr>
                <w:lang w:val="fr-FR"/>
              </w:rPr>
              <w:tab/>
              <w:t>Transport de marchandises dangereuses (CEE)</w:t>
            </w:r>
          </w:p>
        </w:tc>
        <w:tc>
          <w:tcPr>
            <w:tcW w:w="4941"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E2094" w:rsidRPr="00B16B69" w:rsidRDefault="00184E9B" w:rsidP="00B16B69">
            <w:pPr>
              <w:tabs>
                <w:tab w:val="left" w:pos="288"/>
                <w:tab w:val="left" w:pos="576"/>
                <w:tab w:val="left" w:pos="864"/>
                <w:tab w:val="left" w:pos="1152"/>
              </w:tabs>
              <w:suppressAutoHyphens/>
              <w:spacing w:before="40" w:after="80"/>
              <w:ind w:right="43"/>
            </w:pPr>
            <w:r w:rsidRPr="00094E56">
              <w:rPr>
                <w:spacing w:val="0"/>
                <w:w w:val="100"/>
                <w:lang w:val="fr-FR"/>
              </w:rPr>
              <w:t>RE 9 c</w:t>
            </w:r>
            <w:r w:rsidR="00B16B69" w:rsidRPr="00094E56">
              <w:rPr>
                <w:spacing w:val="0"/>
                <w:w w:val="100"/>
                <w:lang w:val="fr-FR"/>
              </w:rPr>
              <w:t>)</w:t>
            </w:r>
            <w:r w:rsidRPr="00B16B69">
              <w:rPr>
                <w:lang w:val="fr-FR"/>
              </w:rPr>
              <w:tab/>
              <w:t xml:space="preserve">Suivi de la mise en œuvre de la Feuille de route pour l’adhésion et la mise en œuvre de l’ADR </w:t>
            </w:r>
            <w:r w:rsidRPr="00B16B69">
              <w:rPr>
                <w:spacing w:val="-2"/>
                <w:lang w:val="fr-FR"/>
              </w:rPr>
              <w:t xml:space="preserve">(ECE/TRANS/238) pour les nouvelles Parties contractantes </w:t>
            </w:r>
            <w:r w:rsidRPr="00B16B69">
              <w:rPr>
                <w:lang w:val="fr-FR"/>
              </w:rPr>
              <w:t>et les Par</w:t>
            </w:r>
            <w:r w:rsidR="00662A7F" w:rsidRPr="00B16B69">
              <w:rPr>
                <w:lang w:val="fr-FR"/>
              </w:rPr>
              <w:t>ties contractantes existantes à</w:t>
            </w:r>
            <w:r w:rsidR="00B16B69" w:rsidRPr="00B16B69">
              <w:rPr>
                <w:lang w:val="fr-FR"/>
              </w:rPr>
              <w:t xml:space="preserve"> </w:t>
            </w:r>
            <w:r w:rsidRPr="00B16B69">
              <w:rPr>
                <w:lang w:val="fr-FR"/>
              </w:rPr>
              <w:t>l’ADR</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CD5015" w:rsidRPr="00CD5015" w:rsidRDefault="00CD5015" w:rsidP="00662A7F">
            <w:pPr>
              <w:tabs>
                <w:tab w:val="left" w:pos="288"/>
                <w:tab w:val="left" w:pos="576"/>
                <w:tab w:val="left" w:pos="864"/>
                <w:tab w:val="left" w:pos="1152"/>
              </w:tabs>
              <w:suppressAutoHyphens/>
              <w:spacing w:before="40" w:after="80"/>
              <w:ind w:right="115"/>
              <w:rPr>
                <w:lang w:val="fr-CH"/>
              </w:rPr>
            </w:pPr>
            <w:r>
              <w:rPr>
                <w:lang w:val="fr-FR"/>
              </w:rPr>
              <w:t>IS </w:t>
            </w:r>
            <w:r w:rsidRPr="00CD5015">
              <w:rPr>
                <w:lang w:val="fr-FR"/>
              </w:rPr>
              <w:t>9</w:t>
            </w:r>
            <w:r>
              <w:rPr>
                <w:lang w:val="fr-FR"/>
              </w:rPr>
              <w:t> </w:t>
            </w:r>
            <w:r w:rsidRPr="00CD5015">
              <w:rPr>
                <w:lang w:val="fr-FR"/>
              </w:rPr>
              <w:t>c</w:t>
            </w:r>
            <w:r w:rsidR="00B16B69">
              <w:rPr>
                <w:lang w:val="fr-FR"/>
              </w:rPr>
              <w:t>)</w:t>
            </w:r>
            <w:r>
              <w:rPr>
                <w:lang w:val="fr-FR"/>
              </w:rPr>
              <w:tab/>
            </w:r>
            <w:r w:rsidRPr="00CD5015">
              <w:rPr>
                <w:lang w:val="fr-FR"/>
              </w:rPr>
              <w:t>Informations des pays sur l’ADR et notifications obligatoires (informations sur les certificats de formation des conducteurs et informations spécifiées à l’annexe</w:t>
            </w:r>
            <w:r w:rsidR="00662A7F">
              <w:rPr>
                <w:lang w:val="fr-FR"/>
              </w:rPr>
              <w:t> </w:t>
            </w:r>
            <w:r w:rsidRPr="00CD5015">
              <w:rPr>
                <w:lang w:val="fr-FR"/>
              </w:rPr>
              <w:t>I du plan) complétées et affichées sur le site internet de la CEE</w:t>
            </w:r>
          </w:p>
          <w:p w:rsidR="00BE2094" w:rsidRPr="00533D1A" w:rsidRDefault="00CD5015" w:rsidP="00B16B69">
            <w:pPr>
              <w:tabs>
                <w:tab w:val="left" w:pos="288"/>
                <w:tab w:val="left" w:pos="576"/>
                <w:tab w:val="left" w:pos="864"/>
                <w:tab w:val="left" w:pos="1152"/>
              </w:tabs>
              <w:suppressAutoHyphens/>
              <w:spacing w:before="40" w:after="80"/>
              <w:ind w:right="115"/>
            </w:pPr>
            <w:r w:rsidRPr="00CD5015">
              <w:rPr>
                <w:i/>
                <w:iCs/>
                <w:lang w:val="fr-FR"/>
              </w:rPr>
              <w:t>Mesure des résultats</w:t>
            </w:r>
            <w:r w:rsidRPr="00CD5015">
              <w:rPr>
                <w:iCs/>
                <w:lang w:val="fr-FR"/>
              </w:rPr>
              <w:t> :</w:t>
            </w:r>
            <w:r>
              <w:rPr>
                <w:i/>
                <w:iCs/>
                <w:lang w:val="fr-FR"/>
              </w:rPr>
              <w:t xml:space="preserve"> </w:t>
            </w:r>
            <w:r w:rsidRPr="00CD5015">
              <w:rPr>
                <w:lang w:val="fr-FR"/>
              </w:rPr>
              <w:br/>
            </w:r>
            <w:r>
              <w:rPr>
                <w:lang w:val="fr-FR"/>
              </w:rPr>
              <w:t>Référence 2014-2015 </w:t>
            </w:r>
            <w:r w:rsidRPr="00CD5015">
              <w:rPr>
                <w:lang w:val="fr-FR"/>
              </w:rPr>
              <w:t>:</w:t>
            </w:r>
            <w:r>
              <w:rPr>
                <w:lang w:val="fr-FR"/>
              </w:rPr>
              <w:t xml:space="preserve"> </w:t>
            </w:r>
            <w:r w:rsidR="00B16B69">
              <w:rPr>
                <w:lang w:val="fr-FR"/>
              </w:rPr>
              <w:t>i</w:t>
            </w:r>
            <w:r w:rsidRPr="00CD5015">
              <w:rPr>
                <w:lang w:val="fr-FR"/>
              </w:rPr>
              <w:t>nformations disponibles pour 75</w:t>
            </w:r>
            <w:r>
              <w:rPr>
                <w:lang w:val="fr-FR"/>
              </w:rPr>
              <w:t> </w:t>
            </w:r>
            <w:r w:rsidRPr="00CD5015">
              <w:rPr>
                <w:lang w:val="fr-FR"/>
              </w:rPr>
              <w:t>% des Parties contractantes à l’ADR</w:t>
            </w:r>
            <w:r>
              <w:rPr>
                <w:lang w:val="fr-FR"/>
              </w:rPr>
              <w:t xml:space="preserve"> </w:t>
            </w:r>
            <w:r>
              <w:rPr>
                <w:lang w:val="fr-FR"/>
              </w:rPr>
              <w:br/>
            </w:r>
            <w:r>
              <w:rPr>
                <w:lang w:val="fr-FR"/>
              </w:rPr>
              <w:lastRenderedPageBreak/>
              <w:t>Objectif </w:t>
            </w:r>
            <w:r w:rsidRPr="00CD5015">
              <w:rPr>
                <w:lang w:val="fr-FR"/>
              </w:rPr>
              <w:t xml:space="preserve">: </w:t>
            </w:r>
            <w:r w:rsidR="00B16B69">
              <w:rPr>
                <w:lang w:val="fr-FR"/>
              </w:rPr>
              <w:t>i</w:t>
            </w:r>
            <w:r w:rsidRPr="00CD5015">
              <w:rPr>
                <w:lang w:val="fr-FR"/>
              </w:rPr>
              <w:t>nformations disponibles et mises à jour pour 75</w:t>
            </w:r>
            <w:r>
              <w:rPr>
                <w:lang w:val="fr-FR"/>
              </w:rPr>
              <w:t> </w:t>
            </w:r>
            <w:r w:rsidRPr="00CD5015">
              <w:rPr>
                <w:lang w:val="fr-FR"/>
              </w:rPr>
              <w:t>% des Parties contractantes à l’ADR</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B16B69" w:rsidP="00B16B69">
            <w:pPr>
              <w:tabs>
                <w:tab w:val="left" w:pos="288"/>
                <w:tab w:val="left" w:pos="576"/>
                <w:tab w:val="left" w:pos="864"/>
                <w:tab w:val="left" w:pos="1152"/>
              </w:tabs>
              <w:suppressAutoHyphens/>
              <w:spacing w:before="40" w:after="80"/>
              <w:ind w:left="576" w:right="115" w:hanging="576"/>
            </w:pPr>
            <w:r>
              <w:rPr>
                <w:lang w:val="fr-FR"/>
              </w:rPr>
              <w:t>10</w:t>
            </w:r>
            <w:r w:rsidR="00E968B1">
              <w:rPr>
                <w:lang w:val="fr-FR"/>
              </w:rPr>
              <w:t> </w:t>
            </w:r>
            <w:r w:rsidR="00E968B1" w:rsidRPr="00E968B1">
              <w:rPr>
                <w:lang w:val="fr-FR"/>
              </w:rPr>
              <w:t>b</w:t>
            </w:r>
            <w:r>
              <w:rPr>
                <w:lang w:val="fr-FR"/>
              </w:rPr>
              <w:t>)</w:t>
            </w:r>
            <w:r w:rsidR="00E968B1" w:rsidRPr="00E968B1">
              <w:rPr>
                <w:lang w:val="fr-FR"/>
              </w:rPr>
              <w:tab/>
              <w:t>Transport de marchandises dangereuses (Conseil économique et</w:t>
            </w:r>
            <w:r w:rsidR="007F242A">
              <w:rPr>
                <w:lang w:val="fr-FR"/>
              </w:rPr>
              <w:t> </w:t>
            </w:r>
            <w:r w:rsidR="00E968B1" w:rsidRPr="00E968B1">
              <w:rPr>
                <w:lang w:val="fr-FR"/>
              </w:rPr>
              <w:t>social)</w:t>
            </w:r>
          </w:p>
        </w:tc>
        <w:tc>
          <w:tcPr>
            <w:tcW w:w="4941" w:type="dxa"/>
            <w:shd w:val="clear" w:color="auto" w:fill="auto"/>
          </w:tcPr>
          <w:p w:rsidR="00184E9B" w:rsidRPr="00533D1A" w:rsidRDefault="00E968B1" w:rsidP="00B16B69">
            <w:pPr>
              <w:tabs>
                <w:tab w:val="left" w:pos="288"/>
                <w:tab w:val="left" w:pos="576"/>
                <w:tab w:val="left" w:pos="864"/>
                <w:tab w:val="left" w:pos="1152"/>
              </w:tabs>
              <w:suppressAutoHyphens/>
              <w:spacing w:before="40" w:after="80"/>
              <w:ind w:right="115"/>
            </w:pPr>
            <w:r w:rsidRPr="00094E56">
              <w:rPr>
                <w:spacing w:val="-6"/>
                <w:w w:val="100"/>
                <w:lang w:val="fr-FR"/>
              </w:rPr>
              <w:t>RE 10 b</w:t>
            </w:r>
            <w:r w:rsidR="00B16B69" w:rsidRPr="00094E56">
              <w:rPr>
                <w:spacing w:val="-6"/>
                <w:w w:val="100"/>
                <w:lang w:val="fr-FR"/>
              </w:rPr>
              <w:t>)</w:t>
            </w:r>
            <w:r>
              <w:rPr>
                <w:lang w:val="fr-FR"/>
              </w:rPr>
              <w:tab/>
            </w:r>
            <w:r w:rsidRPr="00E968B1">
              <w:rPr>
                <w:lang w:val="fr-FR"/>
              </w:rPr>
              <w:t>Pleine application des recommandations au</w:t>
            </w:r>
            <w:r w:rsidR="00662A7F">
              <w:rPr>
                <w:lang w:val="fr-FR"/>
              </w:rPr>
              <w:t> </w:t>
            </w:r>
            <w:r w:rsidRPr="00E968B1">
              <w:rPr>
                <w:lang w:val="fr-FR"/>
              </w:rPr>
              <w:t>moyen d’instruments juridiques nationaux et internationaux</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1B42E7" w:rsidRPr="001B42E7" w:rsidRDefault="001B42E7" w:rsidP="00662A7F">
            <w:pPr>
              <w:tabs>
                <w:tab w:val="left" w:pos="288"/>
                <w:tab w:val="left" w:pos="576"/>
                <w:tab w:val="left" w:pos="864"/>
                <w:tab w:val="left" w:pos="1152"/>
              </w:tabs>
              <w:suppressAutoHyphens/>
              <w:spacing w:before="40" w:after="80"/>
              <w:ind w:right="115"/>
              <w:rPr>
                <w:lang w:val="fr-CH"/>
              </w:rPr>
            </w:pPr>
            <w:r w:rsidRPr="00094E56">
              <w:rPr>
                <w:spacing w:val="-10"/>
                <w:w w:val="100"/>
                <w:lang w:val="fr-FR"/>
              </w:rPr>
              <w:t>IS 10 b</w:t>
            </w:r>
            <w:r w:rsidR="00B16B69" w:rsidRPr="00094E56">
              <w:rPr>
                <w:spacing w:val="-10"/>
                <w:w w:val="100"/>
                <w:lang w:val="fr-FR"/>
              </w:rPr>
              <w:t>)</w:t>
            </w:r>
            <w:r w:rsidRPr="00094E56">
              <w:rPr>
                <w:spacing w:val="-10"/>
                <w:w w:val="100"/>
                <w:lang w:val="fr-FR"/>
              </w:rPr>
              <w:t> a)</w:t>
            </w:r>
            <w:r>
              <w:rPr>
                <w:lang w:val="fr-FR"/>
              </w:rPr>
              <w:tab/>
            </w:r>
            <w:r w:rsidRPr="00165249">
              <w:rPr>
                <w:lang w:val="fr-FR"/>
              </w:rPr>
              <w:t>Nombre d’instruments juridiques internationaux modifiés pour reprendre les Recommandations de l’ONU de 2015 relatives au transport des marchandises dangereuses (Règlement type, dix-neuvième édition révisée)</w:t>
            </w:r>
          </w:p>
          <w:p w:rsidR="00184E9B" w:rsidRPr="00533D1A" w:rsidRDefault="001B42E7" w:rsidP="001B42E7">
            <w:pPr>
              <w:tabs>
                <w:tab w:val="left" w:pos="288"/>
                <w:tab w:val="left" w:pos="576"/>
                <w:tab w:val="left" w:pos="864"/>
                <w:tab w:val="left" w:pos="1152"/>
              </w:tabs>
              <w:suppressAutoHyphens/>
              <w:spacing w:before="40" w:after="80"/>
              <w:ind w:right="115"/>
            </w:pPr>
            <w:r w:rsidRPr="001B42E7">
              <w:rPr>
                <w:i/>
                <w:iCs/>
                <w:lang w:val="fr-FR"/>
              </w:rPr>
              <w:t>Mesure des résultats</w:t>
            </w:r>
            <w:r w:rsidRPr="001B42E7">
              <w:rPr>
                <w:iCs/>
                <w:lang w:val="fr-FR"/>
              </w:rPr>
              <w:t> :</w:t>
            </w:r>
            <w:r>
              <w:rPr>
                <w:i/>
                <w:iCs/>
                <w:lang w:val="fr-FR"/>
              </w:rPr>
              <w:t xml:space="preserve"> </w:t>
            </w:r>
            <w:r w:rsidRPr="001B42E7">
              <w:rPr>
                <w:lang w:val="fr-FR"/>
              </w:rPr>
              <w:br/>
              <w:t>Référence 2015</w:t>
            </w:r>
            <w:r>
              <w:rPr>
                <w:lang w:val="fr-FR"/>
              </w:rPr>
              <w:t> </w:t>
            </w:r>
            <w:r w:rsidRPr="001B42E7">
              <w:rPr>
                <w:lang w:val="fr-FR"/>
              </w:rPr>
              <w:t xml:space="preserve">: 6 </w:t>
            </w:r>
            <w:r w:rsidRPr="001B42E7">
              <w:rPr>
                <w:lang w:val="fr-FR"/>
              </w:rPr>
              <w:br/>
              <w:t>Objectif 2016</w:t>
            </w:r>
            <w:r>
              <w:rPr>
                <w:lang w:val="fr-FR"/>
              </w:rPr>
              <w:t>-</w:t>
            </w:r>
            <w:r w:rsidRPr="001B42E7">
              <w:rPr>
                <w:lang w:val="fr-FR"/>
              </w:rPr>
              <w:t>2017</w:t>
            </w:r>
            <w:r w:rsidR="003D5433">
              <w:rPr>
                <w:lang w:val="fr-FR"/>
              </w:rPr>
              <w:t> </w:t>
            </w:r>
            <w:r w:rsidRPr="001B42E7">
              <w:rPr>
                <w:lang w:val="fr-FR"/>
              </w:rPr>
              <w:t>: 6</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E64714" w:rsidRPr="00E64714" w:rsidRDefault="00E64714" w:rsidP="00662A7F">
            <w:pPr>
              <w:tabs>
                <w:tab w:val="left" w:pos="288"/>
                <w:tab w:val="left" w:pos="576"/>
                <w:tab w:val="left" w:pos="864"/>
                <w:tab w:val="left" w:pos="1152"/>
              </w:tabs>
              <w:suppressAutoHyphens/>
              <w:spacing w:before="40" w:after="80"/>
              <w:ind w:right="115"/>
              <w:rPr>
                <w:lang w:val="fr-CH"/>
              </w:rPr>
            </w:pPr>
            <w:r w:rsidRPr="00094E56">
              <w:rPr>
                <w:spacing w:val="-10"/>
                <w:w w:val="100"/>
                <w:lang w:val="fr-FR"/>
              </w:rPr>
              <w:t>IS 10 b</w:t>
            </w:r>
            <w:r w:rsidR="00B16B69" w:rsidRPr="00094E56">
              <w:rPr>
                <w:spacing w:val="-10"/>
                <w:w w:val="100"/>
                <w:lang w:val="fr-FR"/>
              </w:rPr>
              <w:t>)</w:t>
            </w:r>
            <w:r w:rsidRPr="00094E56">
              <w:rPr>
                <w:spacing w:val="-10"/>
                <w:w w:val="100"/>
                <w:lang w:val="fr-FR"/>
              </w:rPr>
              <w:t> b)</w:t>
            </w:r>
            <w:r>
              <w:rPr>
                <w:lang w:val="fr-FR"/>
              </w:rPr>
              <w:tab/>
            </w:r>
            <w:r w:rsidRPr="00E64714">
              <w:rPr>
                <w:lang w:val="fr-FR"/>
              </w:rPr>
              <w:t>Nombre de gouvernements ayant adopté les</w:t>
            </w:r>
            <w:r w:rsidR="00662A7F">
              <w:rPr>
                <w:lang w:val="fr-FR"/>
              </w:rPr>
              <w:t> </w:t>
            </w:r>
            <w:r w:rsidRPr="00E64714">
              <w:rPr>
                <w:lang w:val="fr-FR"/>
              </w:rPr>
              <w:t>dispositions de la dernière édition révisée des Recommandations de l’ONU relatives au transport des</w:t>
            </w:r>
            <w:r w:rsidR="00094E56">
              <w:rPr>
                <w:lang w:val="fr-FR"/>
              </w:rPr>
              <w:t xml:space="preserve"> </w:t>
            </w:r>
            <w:r w:rsidRPr="00E64714">
              <w:rPr>
                <w:lang w:val="fr-FR"/>
              </w:rPr>
              <w:t>marchandises dangereuses (Règlement type) pour la</w:t>
            </w:r>
            <w:r w:rsidR="00094E56">
              <w:rPr>
                <w:lang w:val="fr-FR"/>
              </w:rPr>
              <w:t xml:space="preserve"> </w:t>
            </w:r>
            <w:r w:rsidRPr="00E64714">
              <w:rPr>
                <w:lang w:val="fr-FR"/>
              </w:rPr>
              <w:t>réglementation du transport intérieur</w:t>
            </w:r>
          </w:p>
          <w:p w:rsidR="00184E9B" w:rsidRPr="00533D1A" w:rsidRDefault="00E64714" w:rsidP="00E64714">
            <w:pPr>
              <w:tabs>
                <w:tab w:val="left" w:pos="288"/>
                <w:tab w:val="left" w:pos="576"/>
                <w:tab w:val="left" w:pos="864"/>
                <w:tab w:val="left" w:pos="1152"/>
              </w:tabs>
              <w:suppressAutoHyphens/>
              <w:spacing w:before="40" w:after="80"/>
              <w:ind w:right="115"/>
            </w:pPr>
            <w:r w:rsidRPr="00E64714">
              <w:rPr>
                <w:i/>
                <w:iCs/>
                <w:lang w:val="fr-FR"/>
              </w:rPr>
              <w:t>Mesure des résultats</w:t>
            </w:r>
            <w:r w:rsidRPr="00E64714">
              <w:rPr>
                <w:iCs/>
                <w:lang w:val="fr-FR"/>
              </w:rPr>
              <w:t> :</w:t>
            </w:r>
            <w:r>
              <w:rPr>
                <w:i/>
                <w:iCs/>
                <w:lang w:val="fr-FR"/>
              </w:rPr>
              <w:t xml:space="preserve"> </w:t>
            </w:r>
            <w:r w:rsidRPr="00E64714">
              <w:rPr>
                <w:lang w:val="fr-FR"/>
              </w:rPr>
              <w:br/>
              <w:t>Référence 2015</w:t>
            </w:r>
            <w:r>
              <w:rPr>
                <w:lang w:val="fr-FR"/>
              </w:rPr>
              <w:t> </w:t>
            </w:r>
            <w:r w:rsidRPr="00E64714">
              <w:rPr>
                <w:lang w:val="fr-FR"/>
              </w:rPr>
              <w:t xml:space="preserve">: 38 </w:t>
            </w:r>
            <w:r w:rsidRPr="00E64714">
              <w:rPr>
                <w:lang w:val="fr-FR"/>
              </w:rPr>
              <w:br/>
              <w:t>Résultat 2016</w:t>
            </w:r>
            <w:r>
              <w:rPr>
                <w:lang w:val="fr-FR"/>
              </w:rPr>
              <w:t>-</w:t>
            </w:r>
            <w:r w:rsidRPr="00E64714">
              <w:rPr>
                <w:lang w:val="fr-FR"/>
              </w:rPr>
              <w:t>2017</w:t>
            </w:r>
            <w:r w:rsidR="003D5433">
              <w:rPr>
                <w:lang w:val="fr-FR"/>
              </w:rPr>
              <w:t> </w:t>
            </w:r>
            <w:r w:rsidRPr="00E64714">
              <w:rPr>
                <w:lang w:val="fr-FR"/>
              </w:rPr>
              <w:t>: 38</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094E56" w:rsidP="00094E56">
            <w:pPr>
              <w:tabs>
                <w:tab w:val="left" w:pos="288"/>
                <w:tab w:val="left" w:pos="576"/>
                <w:tab w:val="left" w:pos="864"/>
                <w:tab w:val="left" w:pos="1152"/>
              </w:tabs>
              <w:suppressAutoHyphens/>
              <w:spacing w:before="40" w:after="80"/>
              <w:ind w:left="576" w:right="115" w:hanging="576"/>
            </w:pPr>
            <w:r>
              <w:rPr>
                <w:lang w:val="fr-FR"/>
              </w:rPr>
              <w:t>11</w:t>
            </w:r>
            <w:r w:rsidR="008F63DC">
              <w:rPr>
                <w:lang w:val="fr-FR"/>
              </w:rPr>
              <w:t> </w:t>
            </w:r>
            <w:r w:rsidR="008F63DC" w:rsidRPr="008F63DC">
              <w:rPr>
                <w:lang w:val="fr-FR"/>
              </w:rPr>
              <w:t>b</w:t>
            </w:r>
            <w:r>
              <w:rPr>
                <w:lang w:val="fr-FR"/>
              </w:rPr>
              <w:t>)</w:t>
            </w:r>
            <w:r w:rsidR="008F63DC" w:rsidRPr="008F63DC">
              <w:rPr>
                <w:lang w:val="fr-FR"/>
              </w:rPr>
              <w:tab/>
              <w:t xml:space="preserve">Système général </w:t>
            </w:r>
            <w:r w:rsidR="008F63DC" w:rsidRPr="00B16B69">
              <w:rPr>
                <w:spacing w:val="0"/>
                <w:lang w:val="fr-FR"/>
              </w:rPr>
              <w:t>harmonisé de</w:t>
            </w:r>
            <w:r>
              <w:rPr>
                <w:spacing w:val="0"/>
                <w:lang w:val="fr-FR"/>
              </w:rPr>
              <w:t xml:space="preserve"> </w:t>
            </w:r>
            <w:r w:rsidR="008F63DC" w:rsidRPr="008F63DC">
              <w:rPr>
                <w:lang w:val="fr-FR"/>
              </w:rPr>
              <w:t>classification et d’étiquetage des produits chimiques (SGH)</w:t>
            </w:r>
          </w:p>
        </w:tc>
        <w:tc>
          <w:tcPr>
            <w:tcW w:w="4941" w:type="dxa"/>
            <w:shd w:val="clear" w:color="auto" w:fill="auto"/>
          </w:tcPr>
          <w:p w:rsidR="00184E9B" w:rsidRPr="00533D1A" w:rsidRDefault="00E70287" w:rsidP="00B16B69">
            <w:pPr>
              <w:tabs>
                <w:tab w:val="left" w:pos="288"/>
                <w:tab w:val="left" w:pos="576"/>
                <w:tab w:val="left" w:pos="864"/>
                <w:tab w:val="left" w:pos="1152"/>
              </w:tabs>
              <w:suppressAutoHyphens/>
              <w:spacing w:before="40" w:after="80"/>
              <w:ind w:right="115"/>
            </w:pPr>
            <w:r w:rsidRPr="00094E56">
              <w:rPr>
                <w:spacing w:val="-6"/>
                <w:w w:val="100"/>
                <w:lang w:val="fr-FR"/>
              </w:rPr>
              <w:t>RE 11 b</w:t>
            </w:r>
            <w:r w:rsidR="00B16B69" w:rsidRPr="00094E56">
              <w:rPr>
                <w:spacing w:val="-6"/>
                <w:w w:val="100"/>
                <w:lang w:val="fr-FR"/>
              </w:rPr>
              <w:t>)</w:t>
            </w:r>
            <w:r>
              <w:rPr>
                <w:lang w:val="fr-FR"/>
              </w:rPr>
              <w:tab/>
            </w:r>
            <w:r w:rsidRPr="00E70287">
              <w:rPr>
                <w:lang w:val="fr-FR"/>
              </w:rPr>
              <w:t>Pleine application du SGH au moyen d’instruments juridiques nationaux et internationaux</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F15F9E" w:rsidRPr="00F15F9E" w:rsidRDefault="00B16B69" w:rsidP="00B16B69">
            <w:pPr>
              <w:tabs>
                <w:tab w:val="left" w:pos="288"/>
                <w:tab w:val="left" w:pos="576"/>
                <w:tab w:val="left" w:pos="864"/>
                <w:tab w:val="left" w:pos="1152"/>
              </w:tabs>
              <w:suppressAutoHyphens/>
              <w:spacing w:before="40" w:after="80"/>
              <w:ind w:right="115"/>
              <w:rPr>
                <w:lang w:val="fr-CH"/>
              </w:rPr>
            </w:pPr>
            <w:r w:rsidRPr="00094E56">
              <w:rPr>
                <w:spacing w:val="-10"/>
                <w:w w:val="100"/>
                <w:lang w:val="fr-FR"/>
              </w:rPr>
              <w:t>IS 11</w:t>
            </w:r>
            <w:r w:rsidR="00F15F9E" w:rsidRPr="00094E56">
              <w:rPr>
                <w:spacing w:val="-10"/>
                <w:w w:val="100"/>
                <w:lang w:val="fr-FR"/>
              </w:rPr>
              <w:t> b</w:t>
            </w:r>
            <w:r w:rsidRPr="00094E56">
              <w:rPr>
                <w:spacing w:val="-10"/>
                <w:w w:val="100"/>
                <w:lang w:val="fr-FR"/>
              </w:rPr>
              <w:t>)</w:t>
            </w:r>
            <w:r w:rsidR="00F15F9E" w:rsidRPr="00094E56">
              <w:rPr>
                <w:spacing w:val="-10"/>
                <w:w w:val="100"/>
                <w:lang w:val="fr-FR"/>
              </w:rPr>
              <w:t> a)</w:t>
            </w:r>
            <w:r w:rsidR="00F15F9E">
              <w:rPr>
                <w:lang w:val="fr-FR"/>
              </w:rPr>
              <w:tab/>
            </w:r>
            <w:r w:rsidR="00F15F9E" w:rsidRPr="00F15F9E">
              <w:rPr>
                <w:lang w:val="fr-FR"/>
              </w:rPr>
              <w:t>Nombre d’instruments juridiques internationaux, de codes, de directives ou de normes ayant été adoptés ou modifiés pour tenir compte des dispositions du SGH</w:t>
            </w:r>
          </w:p>
          <w:p w:rsidR="00184E9B" w:rsidRPr="00533D1A" w:rsidRDefault="00F15F9E" w:rsidP="00F15F9E">
            <w:pPr>
              <w:tabs>
                <w:tab w:val="left" w:pos="288"/>
                <w:tab w:val="left" w:pos="576"/>
                <w:tab w:val="left" w:pos="864"/>
                <w:tab w:val="left" w:pos="1152"/>
              </w:tabs>
              <w:suppressAutoHyphens/>
              <w:spacing w:before="40" w:after="80"/>
              <w:ind w:right="115"/>
            </w:pPr>
            <w:r w:rsidRPr="00F15F9E">
              <w:rPr>
                <w:i/>
                <w:iCs/>
                <w:lang w:val="fr-FR"/>
              </w:rPr>
              <w:t>Mesure des résultats</w:t>
            </w:r>
            <w:r w:rsidRPr="00F15F9E">
              <w:rPr>
                <w:iCs/>
                <w:lang w:val="fr-FR"/>
              </w:rPr>
              <w:t> :</w:t>
            </w:r>
            <w:r>
              <w:rPr>
                <w:i/>
                <w:iCs/>
                <w:lang w:val="fr-FR"/>
              </w:rPr>
              <w:t xml:space="preserve"> </w:t>
            </w:r>
            <w:r w:rsidRPr="00F15F9E">
              <w:rPr>
                <w:lang w:val="fr-FR"/>
              </w:rPr>
              <w:br/>
              <w:t>Référence 2015</w:t>
            </w:r>
            <w:r>
              <w:rPr>
                <w:lang w:val="fr-FR"/>
              </w:rPr>
              <w:t> </w:t>
            </w:r>
            <w:r w:rsidRPr="00F15F9E">
              <w:rPr>
                <w:lang w:val="fr-FR"/>
              </w:rPr>
              <w:t xml:space="preserve">: 16 </w:t>
            </w:r>
            <w:r w:rsidRPr="00F15F9E">
              <w:rPr>
                <w:lang w:val="fr-FR"/>
              </w:rPr>
              <w:br/>
              <w:t>Objectif</w:t>
            </w:r>
            <w:r>
              <w:rPr>
                <w:lang w:val="fr-FR"/>
              </w:rPr>
              <w:t> </w:t>
            </w:r>
            <w:r w:rsidRPr="00F15F9E">
              <w:rPr>
                <w:lang w:val="fr-FR"/>
              </w:rPr>
              <w:t>: 2016</w:t>
            </w:r>
            <w:r>
              <w:rPr>
                <w:lang w:val="fr-FR"/>
              </w:rPr>
              <w:t>-</w:t>
            </w:r>
            <w:r w:rsidRPr="00F15F9E">
              <w:rPr>
                <w:lang w:val="fr-FR"/>
              </w:rPr>
              <w:t>2017</w:t>
            </w:r>
            <w:r>
              <w:rPr>
                <w:lang w:val="fr-FR"/>
              </w:rPr>
              <w:t> </w:t>
            </w:r>
            <w:r w:rsidRPr="00F15F9E">
              <w:rPr>
                <w:lang w:val="fr-FR"/>
              </w:rPr>
              <w:t>: 16</w:t>
            </w:r>
          </w:p>
        </w:tc>
      </w:tr>
      <w:tr w:rsidR="00184E9B" w:rsidRPr="00533D1A" w:rsidTr="00165249">
        <w:tc>
          <w:tcPr>
            <w:tcW w:w="3042"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84E9B" w:rsidRPr="00533D1A" w:rsidRDefault="00184E9B"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2A47B8" w:rsidRPr="002A47B8" w:rsidRDefault="002A47B8" w:rsidP="00662A7F">
            <w:pPr>
              <w:tabs>
                <w:tab w:val="left" w:pos="288"/>
                <w:tab w:val="left" w:pos="576"/>
                <w:tab w:val="left" w:pos="864"/>
                <w:tab w:val="left" w:pos="1152"/>
              </w:tabs>
              <w:suppressAutoHyphens/>
              <w:spacing w:before="40" w:after="80"/>
              <w:ind w:right="115"/>
              <w:rPr>
                <w:lang w:val="fr-CH"/>
              </w:rPr>
            </w:pPr>
            <w:r w:rsidRPr="00094E56">
              <w:rPr>
                <w:spacing w:val="-10"/>
                <w:w w:val="100"/>
                <w:lang w:val="fr-FR"/>
              </w:rPr>
              <w:t>IS 11 b</w:t>
            </w:r>
            <w:r w:rsidR="00B16B69" w:rsidRPr="00094E56">
              <w:rPr>
                <w:spacing w:val="-10"/>
                <w:w w:val="100"/>
                <w:lang w:val="fr-FR"/>
              </w:rPr>
              <w:t>)</w:t>
            </w:r>
            <w:r w:rsidRPr="00094E56">
              <w:rPr>
                <w:spacing w:val="-10"/>
                <w:w w:val="100"/>
                <w:lang w:val="fr-FR"/>
              </w:rPr>
              <w:t> b)</w:t>
            </w:r>
            <w:r w:rsidRPr="00094E56">
              <w:rPr>
                <w:spacing w:val="-10"/>
                <w:lang w:val="fr-FR"/>
              </w:rPr>
              <w:tab/>
            </w:r>
            <w:r w:rsidRPr="002A47B8">
              <w:rPr>
                <w:lang w:val="fr-FR"/>
              </w:rPr>
              <w:t>Nombre de gouvernements ayant intégré les</w:t>
            </w:r>
            <w:r w:rsidR="00662A7F">
              <w:rPr>
                <w:lang w:val="fr-FR"/>
              </w:rPr>
              <w:t> </w:t>
            </w:r>
            <w:r w:rsidRPr="002A47B8">
              <w:rPr>
                <w:lang w:val="fr-FR"/>
              </w:rPr>
              <w:t>dispositions du SGH ou les amendements au SGH dans</w:t>
            </w:r>
            <w:r w:rsidR="00B16B69">
              <w:rPr>
                <w:lang w:val="fr-FR"/>
              </w:rPr>
              <w:t xml:space="preserve"> </w:t>
            </w:r>
            <w:r w:rsidRPr="002A47B8">
              <w:rPr>
                <w:lang w:val="fr-FR"/>
              </w:rPr>
              <w:t>leur réglementation nationale applicable à</w:t>
            </w:r>
            <w:r w:rsidR="00662A7F">
              <w:rPr>
                <w:lang w:val="fr-FR"/>
              </w:rPr>
              <w:t xml:space="preserve"> </w:t>
            </w:r>
            <w:r w:rsidRPr="002A47B8">
              <w:rPr>
                <w:lang w:val="fr-FR"/>
              </w:rPr>
              <w:t>la</w:t>
            </w:r>
            <w:r w:rsidR="00662A7F">
              <w:rPr>
                <w:lang w:val="fr-FR"/>
              </w:rPr>
              <w:t xml:space="preserve"> </w:t>
            </w:r>
            <w:r w:rsidRPr="002A47B8">
              <w:rPr>
                <w:lang w:val="fr-FR"/>
              </w:rPr>
              <w:t>classification et à l’étiquetage des produits chimiques dans les secteurs autres que celui des transports</w:t>
            </w:r>
          </w:p>
          <w:p w:rsidR="00184E9B" w:rsidRPr="00533D1A" w:rsidRDefault="002A47B8" w:rsidP="002A47B8">
            <w:pPr>
              <w:tabs>
                <w:tab w:val="left" w:pos="288"/>
                <w:tab w:val="left" w:pos="576"/>
                <w:tab w:val="left" w:pos="864"/>
                <w:tab w:val="left" w:pos="1152"/>
              </w:tabs>
              <w:suppressAutoHyphens/>
              <w:spacing w:before="40" w:after="80"/>
              <w:ind w:right="115"/>
            </w:pPr>
            <w:r w:rsidRPr="002A47B8">
              <w:rPr>
                <w:i/>
                <w:iCs/>
                <w:lang w:val="fr-FR"/>
              </w:rPr>
              <w:t>Mesure des résultats</w:t>
            </w:r>
            <w:r w:rsidRPr="002A47B8">
              <w:rPr>
                <w:iCs/>
                <w:lang w:val="fr-FR"/>
              </w:rPr>
              <w:t> :</w:t>
            </w:r>
            <w:r>
              <w:rPr>
                <w:i/>
                <w:iCs/>
                <w:lang w:val="fr-FR"/>
              </w:rPr>
              <w:t xml:space="preserve"> </w:t>
            </w:r>
            <w:r w:rsidRPr="002A47B8">
              <w:rPr>
                <w:lang w:val="fr-FR"/>
              </w:rPr>
              <w:br/>
              <w:t>Référence 2015</w:t>
            </w:r>
            <w:r>
              <w:rPr>
                <w:lang w:val="fr-FR"/>
              </w:rPr>
              <w:t> </w:t>
            </w:r>
            <w:r w:rsidRPr="002A47B8">
              <w:rPr>
                <w:lang w:val="fr-FR"/>
              </w:rPr>
              <w:t>: 55</w:t>
            </w:r>
            <w:r>
              <w:rPr>
                <w:lang w:val="fr-FR"/>
              </w:rPr>
              <w:t xml:space="preserve"> </w:t>
            </w:r>
            <w:r w:rsidRPr="002A47B8">
              <w:rPr>
                <w:lang w:val="fr-FR"/>
              </w:rPr>
              <w:br/>
              <w:t>Objectif</w:t>
            </w:r>
            <w:r>
              <w:rPr>
                <w:lang w:val="fr-FR"/>
              </w:rPr>
              <w:t> </w:t>
            </w:r>
            <w:r w:rsidRPr="002A47B8">
              <w:rPr>
                <w:lang w:val="fr-FR"/>
              </w:rPr>
              <w:t>: 2016</w:t>
            </w:r>
            <w:r>
              <w:rPr>
                <w:lang w:val="fr-FR"/>
              </w:rPr>
              <w:t>-</w:t>
            </w:r>
            <w:r w:rsidRPr="002A47B8">
              <w:rPr>
                <w:lang w:val="fr-FR"/>
              </w:rPr>
              <w:t>2017</w:t>
            </w:r>
            <w:r>
              <w:rPr>
                <w:lang w:val="fr-FR"/>
              </w:rPr>
              <w:t> </w:t>
            </w:r>
            <w:r w:rsidRPr="002A47B8">
              <w:rPr>
                <w:lang w:val="fr-FR"/>
              </w:rPr>
              <w:t>: 60</w:t>
            </w:r>
          </w:p>
        </w:tc>
      </w:tr>
      <w:tr w:rsidR="00BE2094" w:rsidRPr="00533D1A" w:rsidTr="00165249">
        <w:tc>
          <w:tcPr>
            <w:tcW w:w="3042" w:type="dxa"/>
            <w:shd w:val="clear" w:color="auto" w:fill="auto"/>
          </w:tcPr>
          <w:p w:rsidR="00BE2094" w:rsidRPr="00533D1A" w:rsidRDefault="00BE2094"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BE2094" w:rsidRPr="00533D1A" w:rsidRDefault="00B16B69" w:rsidP="00B16B69">
            <w:pPr>
              <w:tabs>
                <w:tab w:val="left" w:pos="288"/>
                <w:tab w:val="left" w:pos="576"/>
                <w:tab w:val="left" w:pos="864"/>
                <w:tab w:val="left" w:pos="1152"/>
              </w:tabs>
              <w:suppressAutoHyphens/>
              <w:spacing w:before="40" w:after="80"/>
              <w:ind w:left="576" w:right="115" w:hanging="576"/>
            </w:pPr>
            <w:r>
              <w:rPr>
                <w:lang w:val="fr-FR"/>
              </w:rPr>
              <w:t>12</w:t>
            </w:r>
            <w:r w:rsidR="00151097">
              <w:rPr>
                <w:lang w:val="fr-FR"/>
              </w:rPr>
              <w:t> </w:t>
            </w:r>
            <w:r w:rsidR="00151097" w:rsidRPr="00151097">
              <w:rPr>
                <w:lang w:val="fr-FR"/>
              </w:rPr>
              <w:t>b</w:t>
            </w:r>
            <w:r>
              <w:rPr>
                <w:lang w:val="fr-FR"/>
              </w:rPr>
              <w:t>)</w:t>
            </w:r>
            <w:r w:rsidR="00151097" w:rsidRPr="00151097">
              <w:rPr>
                <w:lang w:val="fr-FR"/>
              </w:rPr>
              <w:tab/>
              <w:t>Transport de</w:t>
            </w:r>
            <w:r w:rsidR="007F242A">
              <w:rPr>
                <w:lang w:val="fr-FR"/>
              </w:rPr>
              <w:t> </w:t>
            </w:r>
            <w:r w:rsidR="00151097" w:rsidRPr="00151097">
              <w:rPr>
                <w:lang w:val="fr-FR"/>
              </w:rPr>
              <w:t>denrées périssables</w:t>
            </w:r>
          </w:p>
        </w:tc>
        <w:tc>
          <w:tcPr>
            <w:tcW w:w="4941" w:type="dxa"/>
            <w:shd w:val="clear" w:color="auto" w:fill="auto"/>
          </w:tcPr>
          <w:p w:rsidR="00BE2094" w:rsidRPr="00533D1A" w:rsidRDefault="003A639E" w:rsidP="00B16B69">
            <w:pPr>
              <w:tabs>
                <w:tab w:val="left" w:pos="288"/>
                <w:tab w:val="left" w:pos="576"/>
                <w:tab w:val="left" w:pos="864"/>
                <w:tab w:val="left" w:pos="1152"/>
              </w:tabs>
              <w:suppressAutoHyphens/>
              <w:spacing w:before="40" w:after="80"/>
              <w:ind w:right="115"/>
            </w:pPr>
            <w:r w:rsidRPr="00662A7F">
              <w:rPr>
                <w:spacing w:val="-6"/>
                <w:w w:val="100"/>
                <w:lang w:val="fr-FR"/>
              </w:rPr>
              <w:t>RE 12 b</w:t>
            </w:r>
            <w:r w:rsidR="00B16B69">
              <w:rPr>
                <w:spacing w:val="-6"/>
                <w:w w:val="100"/>
                <w:lang w:val="fr-FR"/>
              </w:rPr>
              <w:t>)</w:t>
            </w:r>
            <w:r>
              <w:rPr>
                <w:lang w:val="fr-FR"/>
              </w:rPr>
              <w:tab/>
            </w:r>
            <w:r w:rsidRPr="003A639E">
              <w:rPr>
                <w:lang w:val="fr-FR"/>
              </w:rPr>
              <w:t>Renforcement et mise à jour des prescriptions régissant le transport international des denrées périssables</w:t>
            </w:r>
          </w:p>
        </w:tc>
      </w:tr>
      <w:tr w:rsidR="00151097" w:rsidRPr="00533D1A" w:rsidTr="00165249">
        <w:tc>
          <w:tcPr>
            <w:tcW w:w="3042"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747A59" w:rsidRPr="00747A59" w:rsidRDefault="00747A59" w:rsidP="00662A7F">
            <w:pPr>
              <w:tabs>
                <w:tab w:val="left" w:pos="288"/>
                <w:tab w:val="left" w:pos="576"/>
                <w:tab w:val="left" w:pos="864"/>
                <w:tab w:val="left" w:pos="1152"/>
              </w:tabs>
              <w:suppressAutoHyphens/>
              <w:spacing w:before="40" w:after="80"/>
              <w:ind w:right="115"/>
              <w:rPr>
                <w:lang w:val="fr-CH"/>
              </w:rPr>
            </w:pPr>
            <w:r w:rsidRPr="00662A7F">
              <w:rPr>
                <w:spacing w:val="-6"/>
                <w:w w:val="100"/>
                <w:lang w:val="fr-FR"/>
              </w:rPr>
              <w:t>IS 12 b</w:t>
            </w:r>
            <w:r w:rsidR="00B16B69">
              <w:rPr>
                <w:spacing w:val="-6"/>
                <w:w w:val="100"/>
                <w:lang w:val="fr-FR"/>
              </w:rPr>
              <w:t>)</w:t>
            </w:r>
            <w:r w:rsidRPr="00662A7F">
              <w:rPr>
                <w:spacing w:val="-6"/>
                <w:w w:val="100"/>
                <w:lang w:val="fr-FR"/>
              </w:rPr>
              <w:tab/>
            </w:r>
            <w:r w:rsidRPr="00747A59">
              <w:rPr>
                <w:lang w:val="fr-FR"/>
              </w:rPr>
              <w:t>Nombre total de Parties contractantes à l’Accord ATP</w:t>
            </w:r>
          </w:p>
          <w:p w:rsidR="00151097" w:rsidRPr="00533D1A" w:rsidRDefault="00747A59" w:rsidP="00747A59">
            <w:pPr>
              <w:tabs>
                <w:tab w:val="left" w:pos="288"/>
                <w:tab w:val="left" w:pos="576"/>
                <w:tab w:val="left" w:pos="864"/>
                <w:tab w:val="left" w:pos="1152"/>
              </w:tabs>
              <w:suppressAutoHyphens/>
              <w:spacing w:before="40" w:after="80"/>
              <w:ind w:right="115"/>
            </w:pPr>
            <w:r w:rsidRPr="00747A59">
              <w:rPr>
                <w:i/>
                <w:iCs/>
                <w:lang w:val="fr-FR"/>
              </w:rPr>
              <w:t>Mesure des résultats</w:t>
            </w:r>
            <w:r w:rsidRPr="00747A59">
              <w:rPr>
                <w:iCs/>
                <w:lang w:val="fr-FR"/>
              </w:rPr>
              <w:t> :</w:t>
            </w:r>
            <w:r>
              <w:rPr>
                <w:i/>
                <w:iCs/>
                <w:lang w:val="fr-FR"/>
              </w:rPr>
              <w:t xml:space="preserve"> </w:t>
            </w:r>
            <w:r w:rsidRPr="00747A59">
              <w:rPr>
                <w:lang w:val="fr-FR"/>
              </w:rPr>
              <w:br/>
              <w:t>Référence</w:t>
            </w:r>
            <w:r>
              <w:rPr>
                <w:lang w:val="fr-FR"/>
              </w:rPr>
              <w:t> : 2014-</w:t>
            </w:r>
            <w:r w:rsidRPr="00747A59">
              <w:rPr>
                <w:lang w:val="fr-FR"/>
              </w:rPr>
              <w:t>2015</w:t>
            </w:r>
            <w:r>
              <w:rPr>
                <w:lang w:val="fr-FR"/>
              </w:rPr>
              <w:t> </w:t>
            </w:r>
            <w:r w:rsidRPr="00747A59">
              <w:rPr>
                <w:lang w:val="fr-FR"/>
              </w:rPr>
              <w:t>: 49</w:t>
            </w:r>
            <w:r>
              <w:rPr>
                <w:lang w:val="fr-FR"/>
              </w:rPr>
              <w:t xml:space="preserve"> </w:t>
            </w:r>
            <w:r w:rsidRPr="00747A59">
              <w:rPr>
                <w:lang w:val="fr-FR"/>
              </w:rPr>
              <w:br/>
              <w:t>Objectif</w:t>
            </w:r>
            <w:r>
              <w:rPr>
                <w:lang w:val="fr-FR"/>
              </w:rPr>
              <w:t> </w:t>
            </w:r>
            <w:r w:rsidRPr="00747A59">
              <w:rPr>
                <w:lang w:val="fr-FR"/>
              </w:rPr>
              <w:t>: 2016</w:t>
            </w:r>
            <w:r>
              <w:rPr>
                <w:lang w:val="fr-FR"/>
              </w:rPr>
              <w:t>-</w:t>
            </w:r>
            <w:r w:rsidRPr="00747A59">
              <w:rPr>
                <w:lang w:val="fr-FR"/>
              </w:rPr>
              <w:t>2017</w:t>
            </w:r>
            <w:r>
              <w:rPr>
                <w:lang w:val="fr-FR"/>
              </w:rPr>
              <w:t> </w:t>
            </w:r>
            <w:r w:rsidRPr="00747A59">
              <w:rPr>
                <w:lang w:val="fr-FR"/>
              </w:rPr>
              <w:t>: 51</w:t>
            </w:r>
          </w:p>
        </w:tc>
      </w:tr>
      <w:tr w:rsidR="00151097" w:rsidRPr="00533D1A" w:rsidTr="00165249">
        <w:tc>
          <w:tcPr>
            <w:tcW w:w="3042"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2E6130" w:rsidP="00B16B69">
            <w:pPr>
              <w:tabs>
                <w:tab w:val="left" w:pos="288"/>
                <w:tab w:val="left" w:pos="576"/>
                <w:tab w:val="left" w:pos="864"/>
                <w:tab w:val="left" w:pos="1152"/>
              </w:tabs>
              <w:suppressAutoHyphens/>
              <w:spacing w:before="40" w:after="80"/>
              <w:ind w:left="576" w:right="115" w:hanging="576"/>
            </w:pPr>
            <w:r w:rsidRPr="002E6130">
              <w:rPr>
                <w:lang w:val="fr-FR"/>
              </w:rPr>
              <w:t>14</w:t>
            </w:r>
            <w:r>
              <w:rPr>
                <w:lang w:val="fr-FR"/>
              </w:rPr>
              <w:t> </w:t>
            </w:r>
            <w:r w:rsidRPr="002E6130">
              <w:rPr>
                <w:lang w:val="fr-FR"/>
              </w:rPr>
              <w:t>a</w:t>
            </w:r>
            <w:r w:rsidR="00B16B69">
              <w:rPr>
                <w:lang w:val="fr-FR"/>
              </w:rPr>
              <w:t>)</w:t>
            </w:r>
            <w:r w:rsidRPr="002E6130">
              <w:rPr>
                <w:lang w:val="fr-FR"/>
              </w:rPr>
              <w:tab/>
              <w:t>Transport routier</w:t>
            </w:r>
          </w:p>
        </w:tc>
        <w:tc>
          <w:tcPr>
            <w:tcW w:w="4941" w:type="dxa"/>
            <w:shd w:val="clear" w:color="auto" w:fill="auto"/>
          </w:tcPr>
          <w:p w:rsidR="00151097" w:rsidRPr="00533D1A" w:rsidRDefault="00B94668" w:rsidP="00B16B69">
            <w:pPr>
              <w:tabs>
                <w:tab w:val="left" w:pos="288"/>
                <w:tab w:val="left" w:pos="576"/>
                <w:tab w:val="left" w:pos="864"/>
                <w:tab w:val="left" w:pos="1152"/>
              </w:tabs>
              <w:suppressAutoHyphens/>
              <w:spacing w:before="40" w:after="80"/>
            </w:pPr>
            <w:r w:rsidRPr="00662A7F">
              <w:rPr>
                <w:spacing w:val="-6"/>
                <w:w w:val="100"/>
                <w:lang w:val="fr-FR"/>
              </w:rPr>
              <w:t>RE </w:t>
            </w:r>
            <w:r w:rsidR="002E6130" w:rsidRPr="00662A7F">
              <w:rPr>
                <w:spacing w:val="-6"/>
                <w:w w:val="100"/>
                <w:lang w:val="fr-FR"/>
              </w:rPr>
              <w:t>14</w:t>
            </w:r>
            <w:r w:rsidRPr="00662A7F">
              <w:rPr>
                <w:spacing w:val="-6"/>
                <w:w w:val="100"/>
                <w:lang w:val="fr-FR"/>
              </w:rPr>
              <w:t> a</w:t>
            </w:r>
            <w:r w:rsidR="00B16B69">
              <w:rPr>
                <w:spacing w:val="-6"/>
                <w:w w:val="100"/>
                <w:lang w:val="fr-FR"/>
              </w:rPr>
              <w:t>)</w:t>
            </w:r>
            <w:r>
              <w:rPr>
                <w:lang w:val="fr-FR"/>
              </w:rPr>
              <w:tab/>
            </w:r>
            <w:r w:rsidR="002E6130" w:rsidRPr="002E6130">
              <w:rPr>
                <w:lang w:val="fr-FR"/>
              </w:rPr>
              <w:t xml:space="preserve">Renforcement de la mise en œuvre </w:t>
            </w:r>
            <w:r w:rsidR="002E6130" w:rsidRPr="00B504C2">
              <w:rPr>
                <w:lang w:val="fr-FR"/>
              </w:rPr>
              <w:t xml:space="preserve">de l’Accord européen relatif au travail des équipages des véhicules </w:t>
            </w:r>
            <w:r w:rsidR="002E6130" w:rsidRPr="00B16B69">
              <w:rPr>
                <w:spacing w:val="2"/>
                <w:lang w:val="fr-FR"/>
              </w:rPr>
              <w:t xml:space="preserve">effectuant des transports </w:t>
            </w:r>
            <w:r w:rsidR="00B504C2" w:rsidRPr="00B16B69">
              <w:rPr>
                <w:spacing w:val="2"/>
                <w:lang w:val="fr-FR"/>
              </w:rPr>
              <w:t>internationaux par route (AETR)</w:t>
            </w:r>
          </w:p>
        </w:tc>
      </w:tr>
      <w:tr w:rsidR="003B40EA" w:rsidRPr="00533D1A" w:rsidTr="00165249">
        <w:tc>
          <w:tcPr>
            <w:tcW w:w="3042" w:type="dxa"/>
            <w:shd w:val="clear" w:color="auto" w:fill="auto"/>
          </w:tcPr>
          <w:p w:rsidR="003B40EA" w:rsidRPr="00533D1A" w:rsidRDefault="003B40E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3B40EA" w:rsidRPr="002E6130" w:rsidRDefault="003B40EA" w:rsidP="007F242A">
            <w:pPr>
              <w:tabs>
                <w:tab w:val="left" w:pos="288"/>
                <w:tab w:val="left" w:pos="576"/>
                <w:tab w:val="left" w:pos="864"/>
                <w:tab w:val="left" w:pos="1152"/>
              </w:tabs>
              <w:suppressAutoHyphens/>
              <w:spacing w:before="40" w:after="80"/>
              <w:ind w:left="576" w:right="115" w:hanging="576"/>
              <w:rPr>
                <w:lang w:val="fr-FR"/>
              </w:rPr>
            </w:pPr>
          </w:p>
        </w:tc>
        <w:tc>
          <w:tcPr>
            <w:tcW w:w="4941" w:type="dxa"/>
            <w:shd w:val="clear" w:color="auto" w:fill="auto"/>
          </w:tcPr>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6E39DF">
              <w:rPr>
                <w:spacing w:val="-10"/>
                <w:w w:val="100"/>
                <w:lang w:val="fr-FR"/>
              </w:rPr>
              <w:t>IS 14 a</w:t>
            </w:r>
            <w:r w:rsidR="00B16B69" w:rsidRPr="006E39DF">
              <w:rPr>
                <w:spacing w:val="-10"/>
                <w:w w:val="100"/>
                <w:lang w:val="fr-FR"/>
              </w:rPr>
              <w:t>)</w:t>
            </w:r>
            <w:r w:rsidRPr="006E39DF">
              <w:rPr>
                <w:spacing w:val="-10"/>
                <w:w w:val="100"/>
                <w:lang w:val="fr-FR"/>
              </w:rPr>
              <w:t> a)</w:t>
            </w:r>
            <w:r w:rsidRPr="006E39DF">
              <w:rPr>
                <w:spacing w:val="-10"/>
                <w:lang w:val="fr-FR"/>
              </w:rPr>
              <w:tab/>
            </w:r>
            <w:r w:rsidRPr="00B504C2">
              <w:rPr>
                <w:lang w:val="fr-FR"/>
              </w:rPr>
              <w:t>Nombre de domaines posant problème mis en</w:t>
            </w:r>
            <w:r>
              <w:rPr>
                <w:lang w:val="fr-FR"/>
              </w:rPr>
              <w:t> </w:t>
            </w:r>
            <w:r w:rsidRPr="002E6130">
              <w:rPr>
                <w:lang w:val="fr-FR"/>
              </w:rPr>
              <w:t>évidence et propositions visant à y remédier</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Domaines posant problème identifiés</w:t>
            </w:r>
            <w:r>
              <w:rPr>
                <w:lang w:val="fr-FR"/>
              </w:rPr>
              <w:t> </w:t>
            </w:r>
            <w:r w:rsidRPr="002E6130">
              <w:rPr>
                <w:lang w:val="fr-FR"/>
              </w:rPr>
              <w:t>:</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1.</w:t>
            </w:r>
            <w:r>
              <w:rPr>
                <w:lang w:val="fr-FR"/>
              </w:rPr>
              <w:tab/>
            </w:r>
            <w:r w:rsidRPr="002E6130">
              <w:rPr>
                <w:lang w:val="fr-FR"/>
              </w:rPr>
              <w:t>La question de l’instrument juridique prédominant compte tenu de la législation parallèle/concomitante au</w:t>
            </w:r>
            <w:r>
              <w:rPr>
                <w:lang w:val="fr-FR"/>
              </w:rPr>
              <w:t xml:space="preserve"> sein de l’UE;</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2.</w:t>
            </w:r>
            <w:r>
              <w:rPr>
                <w:lang w:val="fr-FR"/>
              </w:rPr>
              <w:tab/>
            </w:r>
            <w:r w:rsidRPr="002E6130">
              <w:rPr>
                <w:lang w:val="fr-FR"/>
              </w:rPr>
              <w:t>La question de la législation applicable sur les parcours combinés traversant le territoire de Parties non contractantes et de Parties contractantes membres ou non de l’UE, compte tenu des réserves formulées par les États membres de l’UE lors de la ratification de</w:t>
            </w:r>
            <w:r w:rsidR="006E39DF">
              <w:rPr>
                <w:lang w:val="fr-FR"/>
              </w:rPr>
              <w:t> </w:t>
            </w:r>
            <w:r w:rsidRPr="002E6130">
              <w:rPr>
                <w:lang w:val="fr-FR"/>
              </w:rPr>
              <w:t>l’Accord, sachant que l’UE n’est p</w:t>
            </w:r>
            <w:r>
              <w:rPr>
                <w:lang w:val="fr-FR"/>
              </w:rPr>
              <w:t>as Partie contractante à l’AETR;</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3.</w:t>
            </w:r>
            <w:r>
              <w:rPr>
                <w:lang w:val="fr-FR"/>
              </w:rPr>
              <w:tab/>
            </w:r>
            <w:r w:rsidRPr="002E6130">
              <w:rPr>
                <w:lang w:val="fr-FR"/>
              </w:rPr>
              <w:t>La question de l’article 22</w:t>
            </w:r>
            <w:r>
              <w:rPr>
                <w:lang w:val="fr-FR"/>
              </w:rPr>
              <w:t> </w:t>
            </w:r>
            <w:r w:rsidRPr="00B16B69">
              <w:rPr>
                <w:i/>
                <w:lang w:val="fr-FR"/>
              </w:rPr>
              <w:t>bis</w:t>
            </w:r>
            <w:r w:rsidRPr="002E6130">
              <w:rPr>
                <w:lang w:val="fr-FR"/>
              </w:rPr>
              <w:t xml:space="preserve"> et du centre décisionnel pour les amendements concernant les paramètres techniques figurant à l’appendice</w:t>
            </w:r>
            <w:r>
              <w:rPr>
                <w:lang w:val="fr-FR"/>
              </w:rPr>
              <w:t> </w:t>
            </w:r>
            <w:r w:rsidRPr="002E6130">
              <w:rPr>
                <w:lang w:val="fr-FR"/>
              </w:rPr>
              <w:t>1</w:t>
            </w:r>
            <w:r>
              <w:rPr>
                <w:lang w:val="fr-FR"/>
              </w:rPr>
              <w:t> b</w:t>
            </w:r>
            <w:r w:rsidR="00B16B69">
              <w:rPr>
                <w:lang w:val="fr-FR"/>
              </w:rPr>
              <w:t>)</w:t>
            </w:r>
            <w:r>
              <w:rPr>
                <w:lang w:val="fr-FR"/>
              </w:rPr>
              <w:t>;</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4.</w:t>
            </w:r>
            <w:r>
              <w:rPr>
                <w:lang w:val="fr-FR"/>
              </w:rPr>
              <w:tab/>
            </w:r>
            <w:r w:rsidRPr="002E6130">
              <w:rPr>
                <w:lang w:val="fr-FR"/>
              </w:rPr>
              <w:t>Les difficultés qu’ont certaines Parties contractantes à l’AETR à mettre en place le tachygraphe numérique et, en particulier, à délivrer les cartes de tachygraphes numériques.</w:t>
            </w:r>
          </w:p>
          <w:p w:rsidR="003B40EA" w:rsidRPr="002E6130" w:rsidRDefault="003B40EA" w:rsidP="003B40EA">
            <w:pPr>
              <w:tabs>
                <w:tab w:val="left" w:pos="288"/>
                <w:tab w:val="left" w:pos="576"/>
                <w:tab w:val="left" w:pos="864"/>
                <w:tab w:val="left" w:pos="1152"/>
              </w:tabs>
              <w:suppressAutoHyphens/>
              <w:spacing w:before="40" w:after="80"/>
              <w:ind w:right="115"/>
              <w:rPr>
                <w:lang w:val="fr-FR"/>
              </w:rPr>
            </w:pPr>
            <w:r w:rsidRPr="002E6130">
              <w:rPr>
                <w:lang w:val="fr-FR"/>
              </w:rPr>
              <w:t>Propositions visant à résoudre ces problèmes et progrès réalisés en 2014</w:t>
            </w:r>
            <w:r>
              <w:rPr>
                <w:lang w:val="fr-FR"/>
              </w:rPr>
              <w:t>-</w:t>
            </w:r>
            <w:r w:rsidRPr="002E6130">
              <w:rPr>
                <w:lang w:val="fr-FR"/>
              </w:rPr>
              <w:t>2015</w:t>
            </w:r>
            <w:r>
              <w:rPr>
                <w:lang w:val="fr-FR"/>
              </w:rPr>
              <w:t> </w:t>
            </w:r>
            <w:r w:rsidRPr="002E6130">
              <w:rPr>
                <w:lang w:val="fr-FR"/>
              </w:rPr>
              <w:t>:</w:t>
            </w:r>
          </w:p>
          <w:p w:rsidR="003B40EA" w:rsidRPr="002E6130" w:rsidRDefault="003B40EA" w:rsidP="003B40EA">
            <w:pPr>
              <w:tabs>
                <w:tab w:val="left" w:pos="288"/>
                <w:tab w:val="left" w:pos="576"/>
                <w:tab w:val="left" w:pos="864"/>
                <w:tab w:val="left" w:pos="1152"/>
              </w:tabs>
              <w:suppressAutoHyphens/>
              <w:spacing w:before="40" w:after="80"/>
              <w:ind w:right="115"/>
              <w:rPr>
                <w:lang w:val="fr-FR"/>
              </w:rPr>
            </w:pPr>
            <w:r w:rsidRPr="002E6130">
              <w:rPr>
                <w:lang w:val="fr-FR"/>
              </w:rPr>
              <w:t>La question de l’instrument juridique prédominant est toujours à l’examen</w:t>
            </w:r>
            <w:r>
              <w:rPr>
                <w:lang w:val="fr-FR"/>
              </w:rPr>
              <w:t>;</w:t>
            </w:r>
          </w:p>
          <w:p w:rsidR="003B40EA" w:rsidRPr="002E6130" w:rsidRDefault="003B40EA" w:rsidP="003B40EA">
            <w:pPr>
              <w:tabs>
                <w:tab w:val="left" w:pos="288"/>
                <w:tab w:val="left" w:pos="576"/>
                <w:tab w:val="left" w:pos="864"/>
                <w:tab w:val="left" w:pos="1152"/>
              </w:tabs>
              <w:suppressAutoHyphens/>
              <w:spacing w:before="40" w:after="80"/>
              <w:ind w:right="115"/>
              <w:rPr>
                <w:lang w:val="fr-FR"/>
              </w:rPr>
            </w:pPr>
            <w:r w:rsidRPr="002E6130">
              <w:rPr>
                <w:lang w:val="fr-FR"/>
              </w:rPr>
              <w:t>La question de la législation applicable sur les parcours combinés est toujours à l’examen.</w:t>
            </w:r>
            <w:r>
              <w:rPr>
                <w:lang w:val="fr-FR"/>
              </w:rPr>
              <w:t xml:space="preserve"> </w:t>
            </w:r>
            <w:r w:rsidRPr="002E6130">
              <w:rPr>
                <w:lang w:val="fr-FR"/>
              </w:rPr>
              <w:t xml:space="preserve">Au moment de </w:t>
            </w:r>
            <w:r>
              <w:rPr>
                <w:lang w:val="fr-FR"/>
              </w:rPr>
              <w:t>l’élaboration</w:t>
            </w:r>
            <w:r w:rsidRPr="002E6130">
              <w:rPr>
                <w:lang w:val="fr-FR"/>
              </w:rPr>
              <w:t xml:space="preserve"> du présent document, seules neuf Parties contractantes avaient répondu à un questionnaire de l’Union internationale </w:t>
            </w:r>
            <w:r w:rsidR="006E39DF">
              <w:rPr>
                <w:lang w:val="fr-FR"/>
              </w:rPr>
              <w:t>des transports routiers (IRU) à </w:t>
            </w:r>
            <w:r w:rsidRPr="002E6130">
              <w:rPr>
                <w:lang w:val="fr-FR"/>
              </w:rPr>
              <w:t>ce sujet. L’IRU a fait un exposé à la sixième session du</w:t>
            </w:r>
            <w:r w:rsidR="006E39DF">
              <w:rPr>
                <w:lang w:val="fr-FR"/>
              </w:rPr>
              <w:t> </w:t>
            </w:r>
            <w:r w:rsidRPr="002E6130">
              <w:rPr>
                <w:lang w:val="fr-FR"/>
              </w:rPr>
              <w:t>Groupe d’experts afin d’aider le Groupe à parvenir à</w:t>
            </w:r>
            <w:r w:rsidR="006E39DF">
              <w:rPr>
                <w:lang w:val="fr-FR"/>
              </w:rPr>
              <w:t> </w:t>
            </w:r>
            <w:r w:rsidRPr="002E6130">
              <w:rPr>
                <w:lang w:val="fr-FR"/>
              </w:rPr>
              <w:t>une conclusion et à un accord concernant l’instrument juridique prédominant dans les différents scénarios en</w:t>
            </w:r>
            <w:r>
              <w:rPr>
                <w:lang w:val="fr-FR"/>
              </w:rPr>
              <w:t xml:space="preserve"> matière de transport;</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lastRenderedPageBreak/>
              <w:t xml:space="preserve">La question </w:t>
            </w:r>
            <w:r>
              <w:rPr>
                <w:lang w:val="fr-FR"/>
              </w:rPr>
              <w:t>de la modification de l’article </w:t>
            </w:r>
            <w:r w:rsidRPr="002E6130">
              <w:rPr>
                <w:lang w:val="fr-FR"/>
              </w:rPr>
              <w:t>22</w:t>
            </w:r>
            <w:r>
              <w:rPr>
                <w:lang w:val="fr-FR"/>
              </w:rPr>
              <w:t> </w:t>
            </w:r>
            <w:r w:rsidRPr="00637CFE">
              <w:rPr>
                <w:i/>
                <w:lang w:val="fr-FR"/>
              </w:rPr>
              <w:t>bis</w:t>
            </w:r>
            <w:r w:rsidRPr="002E6130">
              <w:rPr>
                <w:lang w:val="fr-FR"/>
              </w:rPr>
              <w:t xml:space="preserve"> a été longuement débattue lors des réunions du Groupe d’experts de l’AETR.</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 xml:space="preserve">Au moment de </w:t>
            </w:r>
            <w:r>
              <w:rPr>
                <w:lang w:val="fr-FR"/>
              </w:rPr>
              <w:t>l’élaboration</w:t>
            </w:r>
            <w:r w:rsidRPr="002E6130">
              <w:rPr>
                <w:lang w:val="fr-FR"/>
              </w:rPr>
              <w:t xml:space="preserve"> du présent document, le Groupe n’avait pas encore été en mesure de se mettre d’accord sur la formulation</w:t>
            </w:r>
            <w:r>
              <w:rPr>
                <w:lang w:val="fr-FR"/>
              </w:rPr>
              <w:t xml:space="preserve"> d’un texte révisé de l’article </w:t>
            </w:r>
            <w:r w:rsidRPr="002E6130">
              <w:rPr>
                <w:lang w:val="fr-FR"/>
              </w:rPr>
              <w:t>22</w:t>
            </w:r>
            <w:r>
              <w:rPr>
                <w:lang w:val="fr-FR"/>
              </w:rPr>
              <w:t> </w:t>
            </w:r>
            <w:r w:rsidRPr="00637CFE">
              <w:rPr>
                <w:i/>
                <w:lang w:val="fr-FR"/>
              </w:rPr>
              <w:t>bis</w:t>
            </w:r>
            <w:r w:rsidRPr="002E6130">
              <w:rPr>
                <w:lang w:val="fr-FR"/>
              </w:rPr>
              <w:t>.</w:t>
            </w:r>
          </w:p>
          <w:p w:rsidR="003B40EA" w:rsidRPr="002E6130" w:rsidRDefault="003B40EA" w:rsidP="003B40EA">
            <w:pPr>
              <w:tabs>
                <w:tab w:val="left" w:pos="288"/>
                <w:tab w:val="left" w:pos="576"/>
                <w:tab w:val="left" w:pos="864"/>
                <w:tab w:val="left" w:pos="1152"/>
              </w:tabs>
              <w:suppressAutoHyphens/>
              <w:spacing w:before="40" w:after="80"/>
              <w:ind w:right="115"/>
              <w:rPr>
                <w:lang w:val="fr-FR"/>
              </w:rPr>
            </w:pPr>
            <w:r w:rsidRPr="002E6130">
              <w:rPr>
                <w:lang w:val="fr-FR"/>
              </w:rPr>
              <w:t>En 2014-2015, de nouveaux progrès avaient été réalisés en ce qui concerne la mise en œuvre du tachygraphe numérique dans les Parties contractantes à l’AETR non membres de l’UE. Les</w:t>
            </w:r>
            <w:r>
              <w:rPr>
                <w:lang w:val="fr-FR"/>
              </w:rPr>
              <w:t xml:space="preserve"> </w:t>
            </w:r>
            <w:r w:rsidRPr="002E6130">
              <w:rPr>
                <w:lang w:val="fr-FR"/>
              </w:rPr>
              <w:t>mesures requises pour utiliser ce dispositif étaient appliquées dans presque tous les pays. Un seul pays n’avait encore rien entrepris.</w:t>
            </w:r>
          </w:p>
          <w:p w:rsidR="003B40EA" w:rsidRPr="00662A7F" w:rsidRDefault="003B40EA" w:rsidP="003B40EA">
            <w:pPr>
              <w:tabs>
                <w:tab w:val="left" w:pos="288"/>
                <w:tab w:val="left" w:pos="576"/>
                <w:tab w:val="left" w:pos="864"/>
                <w:tab w:val="left" w:pos="1152"/>
              </w:tabs>
              <w:suppressAutoHyphens/>
              <w:spacing w:before="40" w:after="80"/>
              <w:ind w:right="115"/>
              <w:rPr>
                <w:spacing w:val="-6"/>
                <w:w w:val="100"/>
                <w:lang w:val="fr-FR"/>
              </w:rPr>
            </w:pPr>
            <w:r w:rsidRPr="002E6130">
              <w:rPr>
                <w:i/>
                <w:iCs/>
                <w:lang w:val="fr-FR"/>
              </w:rPr>
              <w:t>Mesure des résultats</w:t>
            </w:r>
            <w:r w:rsidRPr="00B504C2">
              <w:rPr>
                <w:iCs/>
                <w:lang w:val="fr-FR"/>
              </w:rPr>
              <w:t> :</w:t>
            </w:r>
            <w:r>
              <w:rPr>
                <w:i/>
                <w:iCs/>
                <w:lang w:val="fr-FR"/>
              </w:rPr>
              <w:t xml:space="preserve"> </w:t>
            </w:r>
            <w:r w:rsidRPr="002E6130">
              <w:rPr>
                <w:lang w:val="fr-FR"/>
              </w:rPr>
              <w:br/>
              <w:t>Référence 2014</w:t>
            </w:r>
            <w:r>
              <w:rPr>
                <w:lang w:val="fr-FR"/>
              </w:rPr>
              <w:t>-</w:t>
            </w:r>
            <w:r w:rsidRPr="002E6130">
              <w:rPr>
                <w:lang w:val="fr-FR"/>
              </w:rPr>
              <w:t>2015</w:t>
            </w:r>
            <w:r>
              <w:rPr>
                <w:lang w:val="fr-FR"/>
              </w:rPr>
              <w:t> </w:t>
            </w:r>
            <w:r w:rsidRPr="002E6130">
              <w:rPr>
                <w:lang w:val="fr-FR"/>
              </w:rPr>
              <w:t>:</w:t>
            </w:r>
            <w:r>
              <w:rPr>
                <w:lang w:val="fr-FR"/>
              </w:rPr>
              <w:t xml:space="preserve"> </w:t>
            </w:r>
            <w:r w:rsidRPr="002E6130">
              <w:rPr>
                <w:lang w:val="fr-FR"/>
              </w:rPr>
              <w:t>4</w:t>
            </w:r>
            <w:r>
              <w:rPr>
                <w:lang w:val="fr-FR"/>
              </w:rPr>
              <w:t xml:space="preserve"> </w:t>
            </w:r>
            <w:r w:rsidRPr="002E6130">
              <w:rPr>
                <w:lang w:val="fr-FR"/>
              </w:rPr>
              <w:br/>
              <w:t>Objectif 2016-2017</w:t>
            </w:r>
            <w:r>
              <w:rPr>
                <w:lang w:val="fr-FR"/>
              </w:rPr>
              <w:t> </w:t>
            </w:r>
            <w:r w:rsidRPr="002E6130">
              <w:rPr>
                <w:lang w:val="fr-FR"/>
              </w:rPr>
              <w:t>: 3 (Résolution des trois propositions en suspens en réponse aux problèmes</w:t>
            </w:r>
            <w:r>
              <w:rPr>
                <w:lang w:val="fr-FR"/>
              </w:rPr>
              <w:t> </w:t>
            </w:r>
            <w:r w:rsidRPr="002E6130">
              <w:rPr>
                <w:lang w:val="fr-FR"/>
              </w:rPr>
              <w:t>1, 2</w:t>
            </w:r>
            <w:r>
              <w:rPr>
                <w:lang w:val="fr-FR"/>
              </w:rPr>
              <w:t> </w:t>
            </w:r>
            <w:r w:rsidRPr="002E6130">
              <w:rPr>
                <w:lang w:val="fr-FR"/>
              </w:rPr>
              <w:t>et 3 énoncés plus haut)</w:t>
            </w:r>
          </w:p>
        </w:tc>
      </w:tr>
      <w:tr w:rsidR="003B40EA" w:rsidRPr="00533D1A" w:rsidTr="00165249">
        <w:tc>
          <w:tcPr>
            <w:tcW w:w="3042" w:type="dxa"/>
            <w:shd w:val="clear" w:color="auto" w:fill="auto"/>
          </w:tcPr>
          <w:p w:rsidR="003B40EA" w:rsidRPr="00533D1A" w:rsidRDefault="003B40E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3B40EA" w:rsidRPr="00B504C2" w:rsidRDefault="003B40EA" w:rsidP="007F242A">
            <w:pPr>
              <w:tabs>
                <w:tab w:val="left" w:pos="288"/>
                <w:tab w:val="left" w:pos="576"/>
                <w:tab w:val="left" w:pos="864"/>
                <w:tab w:val="left" w:pos="1152"/>
              </w:tabs>
              <w:suppressAutoHyphens/>
              <w:spacing w:before="40" w:after="80"/>
              <w:ind w:left="576" w:right="115" w:hanging="576"/>
              <w:rPr>
                <w:lang w:val="fr-FR"/>
              </w:rPr>
            </w:pPr>
          </w:p>
        </w:tc>
        <w:tc>
          <w:tcPr>
            <w:tcW w:w="4941" w:type="dxa"/>
            <w:shd w:val="clear" w:color="auto" w:fill="auto"/>
          </w:tcPr>
          <w:p w:rsidR="003B40EA" w:rsidRPr="002E6130" w:rsidRDefault="003B40EA" w:rsidP="006E39DF">
            <w:pPr>
              <w:tabs>
                <w:tab w:val="left" w:pos="288"/>
                <w:tab w:val="left" w:pos="576"/>
                <w:tab w:val="left" w:pos="864"/>
                <w:tab w:val="left" w:pos="1152"/>
              </w:tabs>
              <w:suppressAutoHyphens/>
              <w:spacing w:before="40" w:after="80"/>
              <w:ind w:right="115"/>
              <w:rPr>
                <w:lang w:val="fr-CH"/>
              </w:rPr>
            </w:pPr>
            <w:r w:rsidRPr="006E39DF">
              <w:rPr>
                <w:spacing w:val="-10"/>
                <w:w w:val="100"/>
                <w:lang w:val="fr-FR"/>
              </w:rPr>
              <w:t>IS 14 a</w:t>
            </w:r>
            <w:r w:rsidR="00637CFE" w:rsidRPr="006E39DF">
              <w:rPr>
                <w:spacing w:val="-10"/>
                <w:w w:val="100"/>
                <w:lang w:val="fr-FR"/>
              </w:rPr>
              <w:t>)</w:t>
            </w:r>
            <w:r w:rsidRPr="006E39DF">
              <w:rPr>
                <w:spacing w:val="-10"/>
                <w:w w:val="100"/>
                <w:lang w:val="fr-FR"/>
              </w:rPr>
              <w:t> b)</w:t>
            </w:r>
            <w:r>
              <w:rPr>
                <w:lang w:val="fr-FR"/>
              </w:rPr>
              <w:tab/>
            </w:r>
            <w:r w:rsidRPr="002E6130">
              <w:rPr>
                <w:lang w:val="fr-FR"/>
              </w:rPr>
              <w:t>Nombre de séminaires et d’ateliers</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i/>
                <w:iCs/>
                <w:lang w:val="fr-FR"/>
              </w:rPr>
              <w:t>Mesure des résultats</w:t>
            </w:r>
            <w:r w:rsidRPr="00B504C2">
              <w:rPr>
                <w:iCs/>
                <w:lang w:val="fr-FR"/>
              </w:rPr>
              <w:t> :</w:t>
            </w:r>
            <w:r>
              <w:rPr>
                <w:i/>
                <w:iCs/>
                <w:lang w:val="fr-FR"/>
              </w:rPr>
              <w:t xml:space="preserve"> </w:t>
            </w:r>
            <w:r w:rsidRPr="002E6130">
              <w:rPr>
                <w:lang w:val="fr-FR"/>
              </w:rPr>
              <w:br/>
              <w:t>Référence 2014</w:t>
            </w:r>
            <w:r>
              <w:rPr>
                <w:lang w:val="fr-FR"/>
              </w:rPr>
              <w:t>-</w:t>
            </w:r>
            <w:r w:rsidRPr="002E6130">
              <w:rPr>
                <w:lang w:val="fr-FR"/>
              </w:rPr>
              <w:t>2015</w:t>
            </w:r>
            <w:r>
              <w:rPr>
                <w:lang w:val="fr-FR"/>
              </w:rPr>
              <w:t> </w:t>
            </w:r>
            <w:r w:rsidRPr="002E6130">
              <w:rPr>
                <w:lang w:val="fr-FR"/>
              </w:rPr>
              <w:t xml:space="preserve">: </w:t>
            </w:r>
            <w:r w:rsidRPr="002E6130">
              <w:rPr>
                <w:lang w:val="fr-FR"/>
              </w:rPr>
              <w:br/>
              <w:t>Objectif 2014-2015</w:t>
            </w:r>
            <w:r>
              <w:rPr>
                <w:lang w:val="fr-FR"/>
              </w:rPr>
              <w:t> </w:t>
            </w:r>
            <w:r w:rsidRPr="002E6130">
              <w:rPr>
                <w:lang w:val="fr-FR"/>
              </w:rPr>
              <w:t>: 3</w:t>
            </w:r>
            <w:r>
              <w:rPr>
                <w:lang w:val="fr-FR"/>
              </w:rPr>
              <w:t xml:space="preserve"> </w:t>
            </w:r>
            <w:r w:rsidRPr="002E6130">
              <w:rPr>
                <w:lang w:val="fr-FR"/>
              </w:rPr>
              <w:br/>
              <w:t>Résultats obtenus en 2014-2015 :</w:t>
            </w:r>
            <w:r>
              <w:rPr>
                <w:lang w:val="fr-FR"/>
              </w:rPr>
              <w:t xml:space="preserve"> </w:t>
            </w:r>
            <w:r w:rsidRPr="002E6130">
              <w:rPr>
                <w:lang w:val="fr-FR"/>
              </w:rPr>
              <w:t>4</w:t>
            </w:r>
          </w:p>
          <w:p w:rsidR="003B40EA" w:rsidRPr="002E6130" w:rsidRDefault="003B40EA" w:rsidP="003B40EA">
            <w:pPr>
              <w:tabs>
                <w:tab w:val="left" w:pos="288"/>
                <w:tab w:val="left" w:pos="576"/>
                <w:tab w:val="left" w:pos="864"/>
                <w:tab w:val="left" w:pos="1152"/>
              </w:tabs>
              <w:suppressAutoHyphens/>
              <w:spacing w:before="40" w:after="80"/>
              <w:ind w:right="115"/>
              <w:rPr>
                <w:lang w:val="fr-CH"/>
              </w:rPr>
            </w:pPr>
            <w:r w:rsidRPr="002E6130">
              <w:rPr>
                <w:lang w:val="fr-FR"/>
              </w:rPr>
              <w:t xml:space="preserve">Septième à dixième </w:t>
            </w:r>
            <w:r>
              <w:rPr>
                <w:lang w:val="fr-FR"/>
              </w:rPr>
              <w:t>sessions du Groupe d’experts de</w:t>
            </w:r>
            <w:r w:rsidR="00637CFE">
              <w:rPr>
                <w:lang w:val="fr-FR"/>
              </w:rPr>
              <w:t xml:space="preserve"> </w:t>
            </w:r>
            <w:r w:rsidRPr="002E6130">
              <w:rPr>
                <w:lang w:val="fr-FR"/>
              </w:rPr>
              <w:t>l’AETR</w:t>
            </w:r>
          </w:p>
          <w:p w:rsidR="003B40EA" w:rsidRPr="00B504C2" w:rsidRDefault="003B40EA" w:rsidP="003B40EA">
            <w:pPr>
              <w:tabs>
                <w:tab w:val="left" w:pos="288"/>
                <w:tab w:val="left" w:pos="576"/>
                <w:tab w:val="left" w:pos="864"/>
                <w:tab w:val="left" w:pos="1152"/>
              </w:tabs>
              <w:suppressAutoHyphens/>
              <w:spacing w:before="40" w:after="80"/>
              <w:ind w:right="115"/>
              <w:rPr>
                <w:lang w:val="fr-FR"/>
              </w:rPr>
            </w:pPr>
            <w:r w:rsidRPr="002E6130">
              <w:rPr>
                <w:lang w:val="fr-FR"/>
              </w:rPr>
              <w:t>Objectif</w:t>
            </w:r>
            <w:r>
              <w:rPr>
                <w:lang w:val="fr-FR"/>
              </w:rPr>
              <w:t> </w:t>
            </w:r>
            <w:r w:rsidRPr="002E6130">
              <w:rPr>
                <w:lang w:val="fr-FR"/>
              </w:rPr>
              <w:t>: 2014-2015</w:t>
            </w:r>
            <w:r>
              <w:rPr>
                <w:lang w:val="fr-FR"/>
              </w:rPr>
              <w:t> </w:t>
            </w:r>
            <w:r w:rsidRPr="002E6130">
              <w:rPr>
                <w:lang w:val="fr-FR"/>
              </w:rPr>
              <w:t>:</w:t>
            </w:r>
            <w:r>
              <w:rPr>
                <w:lang w:val="fr-FR"/>
              </w:rPr>
              <w:t xml:space="preserve"> </w:t>
            </w:r>
            <w:r w:rsidRPr="002E6130">
              <w:rPr>
                <w:lang w:val="fr-FR"/>
              </w:rPr>
              <w:t>3 (24</w:t>
            </w:r>
            <w:r>
              <w:rPr>
                <w:lang w:val="fr-FR"/>
              </w:rPr>
              <w:t> </w:t>
            </w:r>
            <w:r w:rsidRPr="002E6130">
              <w:rPr>
                <w:lang w:val="fr-FR"/>
              </w:rPr>
              <w:t>février 2014,</w:t>
            </w:r>
            <w:r>
              <w:rPr>
                <w:lang w:val="fr-FR"/>
              </w:rPr>
              <w:t xml:space="preserve"> </w:t>
            </w:r>
            <w:r w:rsidRPr="002E6130">
              <w:rPr>
                <w:lang w:val="fr-FR"/>
              </w:rPr>
              <w:t>23</w:t>
            </w:r>
            <w:r>
              <w:rPr>
                <w:lang w:val="fr-FR"/>
              </w:rPr>
              <w:t> </w:t>
            </w:r>
            <w:r w:rsidRPr="002E6130">
              <w:rPr>
                <w:lang w:val="fr-FR"/>
              </w:rPr>
              <w:t>juin 2014, 30</w:t>
            </w:r>
            <w:r>
              <w:rPr>
                <w:lang w:val="fr-FR"/>
              </w:rPr>
              <w:t> </w:t>
            </w:r>
            <w:r w:rsidRPr="002E6130">
              <w:rPr>
                <w:lang w:val="fr-FR"/>
              </w:rPr>
              <w:t>octobre 2014)</w:t>
            </w:r>
          </w:p>
        </w:tc>
      </w:tr>
      <w:tr w:rsidR="003B40EA" w:rsidRPr="00533D1A" w:rsidTr="00165249">
        <w:tc>
          <w:tcPr>
            <w:tcW w:w="3042" w:type="dxa"/>
            <w:shd w:val="clear" w:color="auto" w:fill="auto"/>
          </w:tcPr>
          <w:p w:rsidR="003B40EA" w:rsidRPr="00533D1A" w:rsidRDefault="003B40EA"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3B40EA" w:rsidRPr="00B504C2" w:rsidRDefault="003B40EA" w:rsidP="007F242A">
            <w:pPr>
              <w:tabs>
                <w:tab w:val="left" w:pos="288"/>
                <w:tab w:val="left" w:pos="576"/>
                <w:tab w:val="left" w:pos="864"/>
                <w:tab w:val="left" w:pos="1152"/>
              </w:tabs>
              <w:suppressAutoHyphens/>
              <w:spacing w:before="40" w:after="80"/>
              <w:ind w:left="576" w:right="115" w:hanging="576"/>
              <w:rPr>
                <w:lang w:val="fr-FR"/>
              </w:rPr>
            </w:pPr>
          </w:p>
        </w:tc>
        <w:tc>
          <w:tcPr>
            <w:tcW w:w="4941" w:type="dxa"/>
            <w:shd w:val="clear" w:color="auto" w:fill="auto"/>
          </w:tcPr>
          <w:p w:rsidR="003B40EA" w:rsidRPr="002E6130" w:rsidRDefault="00637CFE" w:rsidP="003B40EA">
            <w:pPr>
              <w:tabs>
                <w:tab w:val="left" w:pos="288"/>
                <w:tab w:val="left" w:pos="576"/>
                <w:tab w:val="left" w:pos="864"/>
                <w:tab w:val="left" w:pos="1152"/>
              </w:tabs>
              <w:suppressAutoHyphens/>
              <w:spacing w:before="40" w:after="80"/>
              <w:ind w:right="115"/>
              <w:rPr>
                <w:lang w:val="fr-CH"/>
              </w:rPr>
            </w:pPr>
            <w:r w:rsidRPr="006E39DF">
              <w:rPr>
                <w:spacing w:val="-10"/>
                <w:w w:val="100"/>
                <w:lang w:val="fr-FR"/>
              </w:rPr>
              <w:t>IS 14</w:t>
            </w:r>
            <w:r w:rsidR="003B40EA" w:rsidRPr="006E39DF">
              <w:rPr>
                <w:spacing w:val="-10"/>
                <w:w w:val="100"/>
                <w:lang w:val="fr-FR"/>
              </w:rPr>
              <w:t> a</w:t>
            </w:r>
            <w:r w:rsidRPr="006E39DF">
              <w:rPr>
                <w:spacing w:val="-10"/>
                <w:w w:val="100"/>
                <w:lang w:val="fr-FR"/>
              </w:rPr>
              <w:t>)</w:t>
            </w:r>
            <w:r w:rsidR="003B40EA" w:rsidRPr="006E39DF">
              <w:rPr>
                <w:spacing w:val="-10"/>
                <w:w w:val="100"/>
                <w:lang w:val="fr-FR"/>
              </w:rPr>
              <w:t> c)</w:t>
            </w:r>
            <w:r w:rsidR="003B40EA">
              <w:rPr>
                <w:lang w:val="fr-FR"/>
              </w:rPr>
              <w:tab/>
            </w:r>
            <w:r w:rsidR="003B40EA" w:rsidRPr="002E6130">
              <w:rPr>
                <w:lang w:val="fr-FR"/>
              </w:rPr>
              <w:t>Nombre de particip</w:t>
            </w:r>
            <w:r w:rsidR="003B40EA">
              <w:rPr>
                <w:lang w:val="fr-FR"/>
              </w:rPr>
              <w:t>ants aux séminaires et</w:t>
            </w:r>
            <w:r>
              <w:rPr>
                <w:lang w:val="fr-FR"/>
              </w:rPr>
              <w:t> </w:t>
            </w:r>
            <w:r w:rsidR="003B40EA">
              <w:rPr>
                <w:lang w:val="fr-FR"/>
              </w:rPr>
              <w:t>ateliers</w:t>
            </w:r>
          </w:p>
          <w:p w:rsidR="003B40EA" w:rsidRPr="003B40EA" w:rsidRDefault="003B40EA" w:rsidP="003B40EA">
            <w:pPr>
              <w:tabs>
                <w:tab w:val="left" w:pos="288"/>
                <w:tab w:val="left" w:pos="576"/>
                <w:tab w:val="left" w:pos="864"/>
                <w:tab w:val="left" w:pos="1152"/>
              </w:tabs>
              <w:suppressAutoHyphens/>
              <w:spacing w:before="40" w:after="80"/>
              <w:ind w:right="115"/>
              <w:rPr>
                <w:spacing w:val="-6"/>
                <w:w w:val="100"/>
                <w:lang w:val="fr-FR"/>
              </w:rPr>
            </w:pPr>
            <w:r w:rsidRPr="002E6130">
              <w:rPr>
                <w:i/>
                <w:iCs/>
                <w:lang w:val="fr-FR"/>
              </w:rPr>
              <w:t>Mesure des résultats</w:t>
            </w:r>
            <w:r w:rsidRPr="00B504C2">
              <w:rPr>
                <w:iCs/>
                <w:lang w:val="fr-FR"/>
              </w:rPr>
              <w:t> :</w:t>
            </w:r>
            <w:r>
              <w:rPr>
                <w:i/>
                <w:iCs/>
                <w:lang w:val="fr-FR"/>
              </w:rPr>
              <w:t xml:space="preserve"> </w:t>
            </w:r>
            <w:r w:rsidRPr="002E6130">
              <w:rPr>
                <w:lang w:val="fr-FR"/>
              </w:rPr>
              <w:br/>
              <w:t>Objectif 2014-2015</w:t>
            </w:r>
            <w:r>
              <w:rPr>
                <w:lang w:val="fr-FR"/>
              </w:rPr>
              <w:t> </w:t>
            </w:r>
            <w:r w:rsidRPr="002E6130">
              <w:rPr>
                <w:lang w:val="fr-FR"/>
              </w:rPr>
              <w:t>: 65</w:t>
            </w:r>
            <w:r>
              <w:rPr>
                <w:lang w:val="fr-FR"/>
              </w:rPr>
              <w:t xml:space="preserve"> </w:t>
            </w:r>
            <w:r w:rsidRPr="002E6130">
              <w:rPr>
                <w:lang w:val="fr-FR"/>
              </w:rPr>
              <w:br/>
              <w:t>Résultats obtenus en 2014-2015 : 73 (sans la dixième session)</w:t>
            </w:r>
            <w:r>
              <w:rPr>
                <w:lang w:val="fr-FR"/>
              </w:rPr>
              <w:t xml:space="preserve"> </w:t>
            </w:r>
            <w:r w:rsidRPr="002E6130">
              <w:rPr>
                <w:lang w:val="fr-FR"/>
              </w:rPr>
              <w:br/>
              <w:t>Objectif 2016-2017</w:t>
            </w:r>
            <w:r>
              <w:rPr>
                <w:lang w:val="fr-FR"/>
              </w:rPr>
              <w:t> </w:t>
            </w:r>
            <w:r w:rsidRPr="002E6130">
              <w:rPr>
                <w:lang w:val="fr-FR"/>
              </w:rPr>
              <w:t>: 65</w:t>
            </w:r>
          </w:p>
        </w:tc>
      </w:tr>
      <w:tr w:rsidR="00151097" w:rsidRPr="00533D1A" w:rsidTr="00165249">
        <w:tc>
          <w:tcPr>
            <w:tcW w:w="3042" w:type="dxa"/>
            <w:shd w:val="clear" w:color="auto" w:fill="auto"/>
          </w:tcPr>
          <w:p w:rsidR="00151097" w:rsidRPr="00533D1A" w:rsidRDefault="00151097" w:rsidP="006E39DF">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B504C2" w:rsidP="006E39DF">
            <w:pPr>
              <w:tabs>
                <w:tab w:val="left" w:pos="288"/>
                <w:tab w:val="left" w:pos="576"/>
                <w:tab w:val="left" w:pos="864"/>
                <w:tab w:val="left" w:pos="1152"/>
              </w:tabs>
              <w:suppressAutoHyphens/>
              <w:spacing w:before="40" w:after="80"/>
              <w:ind w:left="576" w:right="115" w:hanging="576"/>
            </w:pPr>
            <w:r w:rsidRPr="00B504C2">
              <w:rPr>
                <w:lang w:val="fr-FR"/>
              </w:rPr>
              <w:t>15.</w:t>
            </w:r>
            <w:r w:rsidRPr="00B504C2">
              <w:rPr>
                <w:lang w:val="fr-FR"/>
              </w:rPr>
              <w:tab/>
            </w:r>
            <w:r w:rsidR="007F242A">
              <w:rPr>
                <w:lang w:val="fr-FR"/>
              </w:rPr>
              <w:tab/>
            </w:r>
            <w:r w:rsidRPr="00B504C2">
              <w:rPr>
                <w:lang w:val="fr-FR"/>
              </w:rPr>
              <w:t>Sécurité de la</w:t>
            </w:r>
            <w:r w:rsidR="007F242A">
              <w:rPr>
                <w:lang w:val="fr-FR"/>
              </w:rPr>
              <w:t> </w:t>
            </w:r>
            <w:r w:rsidRPr="00B504C2">
              <w:rPr>
                <w:lang w:val="fr-FR"/>
              </w:rPr>
              <w:t>circulation routière</w:t>
            </w:r>
          </w:p>
        </w:tc>
        <w:tc>
          <w:tcPr>
            <w:tcW w:w="4941" w:type="dxa"/>
            <w:shd w:val="clear" w:color="auto" w:fill="auto"/>
          </w:tcPr>
          <w:p w:rsidR="00151097" w:rsidRPr="00533D1A" w:rsidRDefault="00B504C2" w:rsidP="006E39DF">
            <w:pPr>
              <w:tabs>
                <w:tab w:val="left" w:pos="288"/>
                <w:tab w:val="left" w:pos="576"/>
                <w:tab w:val="left" w:pos="864"/>
                <w:tab w:val="left" w:pos="1152"/>
              </w:tabs>
              <w:suppressAutoHyphens/>
              <w:spacing w:before="40" w:after="80"/>
              <w:ind w:right="115"/>
            </w:pPr>
            <w:r w:rsidRPr="00B504C2">
              <w:rPr>
                <w:lang w:val="fr-FR"/>
              </w:rPr>
              <w:t>RE</w:t>
            </w:r>
            <w:r>
              <w:rPr>
                <w:lang w:val="fr-FR"/>
              </w:rPr>
              <w:t> </w:t>
            </w:r>
            <w:r w:rsidRPr="00B504C2">
              <w:rPr>
                <w:lang w:val="fr-FR"/>
              </w:rPr>
              <w:t>15.</w:t>
            </w:r>
            <w:r>
              <w:rPr>
                <w:lang w:val="fr-FR"/>
              </w:rPr>
              <w:tab/>
            </w:r>
            <w:r w:rsidRPr="00B504C2">
              <w:rPr>
                <w:lang w:val="fr-FR"/>
              </w:rPr>
              <w:t>Application plus efficace des Conventions sur la circulation et la signalisation routières de 1968 et des Accords européens de 1971 les complétant, ainsi que des Résolutions d’ensemble sur la circulation routière et la signalisation routière</w:t>
            </w:r>
          </w:p>
        </w:tc>
      </w:tr>
      <w:tr w:rsidR="00151097" w:rsidRPr="00533D1A" w:rsidTr="00165249">
        <w:tc>
          <w:tcPr>
            <w:tcW w:w="3042" w:type="dxa"/>
            <w:shd w:val="clear" w:color="auto" w:fill="auto"/>
          </w:tcPr>
          <w:p w:rsidR="00151097" w:rsidRPr="00533D1A" w:rsidRDefault="00151097" w:rsidP="006E39DF">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151097" w:rsidP="006E39DF">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IS</w:t>
            </w:r>
            <w:r>
              <w:rPr>
                <w:lang w:val="fr-FR"/>
              </w:rPr>
              <w:t> </w:t>
            </w:r>
            <w:r w:rsidRPr="00B504C2">
              <w:rPr>
                <w:lang w:val="fr-FR"/>
              </w:rPr>
              <w:t>15</w:t>
            </w:r>
            <w:r>
              <w:rPr>
                <w:lang w:val="fr-FR"/>
              </w:rPr>
              <w:t> </w:t>
            </w:r>
            <w:r w:rsidRPr="00B504C2">
              <w:rPr>
                <w:lang w:val="fr-FR"/>
              </w:rPr>
              <w:t>a)</w:t>
            </w:r>
            <w:r>
              <w:rPr>
                <w:lang w:val="fr-FR"/>
              </w:rPr>
              <w:tab/>
            </w:r>
            <w:r w:rsidRPr="00B504C2">
              <w:rPr>
                <w:lang w:val="fr-FR"/>
              </w:rPr>
              <w:t>Nombre de nouvelles Parties contractantes aux Conventions et aux Accords européens</w:t>
            </w:r>
          </w:p>
          <w:p w:rsidR="00151097" w:rsidRPr="00533D1A" w:rsidRDefault="00B504C2" w:rsidP="006E39DF">
            <w:pPr>
              <w:tabs>
                <w:tab w:val="left" w:pos="288"/>
                <w:tab w:val="left" w:pos="576"/>
                <w:tab w:val="left" w:pos="864"/>
                <w:tab w:val="left" w:pos="1152"/>
              </w:tabs>
              <w:suppressAutoHyphens/>
              <w:spacing w:before="40" w:after="80"/>
              <w:ind w:right="115"/>
            </w:pPr>
            <w:r w:rsidRPr="00B504C2">
              <w:rPr>
                <w:i/>
                <w:iCs/>
                <w:lang w:val="fr-FR"/>
              </w:rPr>
              <w:t>Mesure des résultats</w:t>
            </w:r>
            <w:r w:rsidRPr="00B504C2">
              <w:rPr>
                <w:iCs/>
                <w:lang w:val="fr-FR"/>
              </w:rPr>
              <w:t> :</w:t>
            </w:r>
            <w:r>
              <w:rPr>
                <w:i/>
                <w:iCs/>
                <w:lang w:val="fr-FR"/>
              </w:rPr>
              <w:t xml:space="preserve"> </w:t>
            </w:r>
            <w:r w:rsidRPr="00B504C2">
              <w:rPr>
                <w:lang w:val="fr-FR"/>
              </w:rPr>
              <w:br/>
              <w:t xml:space="preserve">Objectif 2014-2015 : 3 </w:t>
            </w:r>
            <w:r w:rsidRPr="00B504C2">
              <w:rPr>
                <w:lang w:val="fr-FR"/>
              </w:rPr>
              <w:br/>
              <w:t>Résultats obtenus en 2014</w:t>
            </w:r>
            <w:r>
              <w:rPr>
                <w:lang w:val="fr-FR"/>
              </w:rPr>
              <w:t>-</w:t>
            </w:r>
            <w:r w:rsidRPr="00B504C2">
              <w:rPr>
                <w:lang w:val="fr-FR"/>
              </w:rPr>
              <w:t>2015</w:t>
            </w:r>
            <w:r>
              <w:rPr>
                <w:lang w:val="fr-FR"/>
              </w:rPr>
              <w:t> </w:t>
            </w:r>
            <w:r w:rsidRPr="00B504C2">
              <w:rPr>
                <w:lang w:val="fr-FR"/>
              </w:rPr>
              <w:t>: 2 (voir ci-après)</w:t>
            </w:r>
            <w:r>
              <w:rPr>
                <w:lang w:val="fr-FR"/>
              </w:rPr>
              <w:t xml:space="preserve"> </w:t>
            </w:r>
            <w:r w:rsidRPr="00B504C2">
              <w:rPr>
                <w:lang w:val="fr-FR"/>
              </w:rPr>
              <w:br/>
              <w:t>Convention de 1968 sur la circulation routière</w:t>
            </w:r>
            <w:r w:rsidR="00F72632">
              <w:rPr>
                <w:lang w:val="fr-FR"/>
              </w:rPr>
              <w:t> </w:t>
            </w:r>
            <w:r w:rsidRPr="00B504C2">
              <w:rPr>
                <w:lang w:val="fr-FR"/>
              </w:rPr>
              <w:t xml:space="preserve">: 1 </w:t>
            </w:r>
            <w:r w:rsidRPr="00B504C2">
              <w:rPr>
                <w:lang w:val="fr-FR"/>
              </w:rPr>
              <w:br/>
              <w:t>(Viet Nam, 20</w:t>
            </w:r>
            <w:r>
              <w:rPr>
                <w:lang w:val="fr-FR"/>
              </w:rPr>
              <w:t> </w:t>
            </w:r>
            <w:r w:rsidRPr="00B504C2">
              <w:rPr>
                <w:lang w:val="fr-FR"/>
              </w:rPr>
              <w:t>août 2014)</w:t>
            </w:r>
            <w:r>
              <w:rPr>
                <w:lang w:val="fr-FR"/>
              </w:rPr>
              <w:t xml:space="preserve"> </w:t>
            </w:r>
            <w:r w:rsidRPr="00B504C2">
              <w:rPr>
                <w:lang w:val="fr-FR"/>
              </w:rPr>
              <w:br/>
            </w:r>
            <w:r w:rsidRPr="00B504C2">
              <w:rPr>
                <w:lang w:val="fr-FR"/>
              </w:rPr>
              <w:lastRenderedPageBreak/>
              <w:t>Convention de 1968 sur la signalisation routière</w:t>
            </w:r>
            <w:r>
              <w:rPr>
                <w:lang w:val="fr-FR"/>
              </w:rPr>
              <w:t> </w:t>
            </w:r>
            <w:r w:rsidRPr="00B504C2">
              <w:rPr>
                <w:lang w:val="fr-FR"/>
              </w:rPr>
              <w:t xml:space="preserve">: 1 </w:t>
            </w:r>
            <w:r w:rsidRPr="00B504C2">
              <w:rPr>
                <w:lang w:val="fr-FR"/>
              </w:rPr>
              <w:br/>
              <w:t>(Viet Nam, 20</w:t>
            </w:r>
            <w:r>
              <w:rPr>
                <w:lang w:val="fr-FR"/>
              </w:rPr>
              <w:t> </w:t>
            </w:r>
            <w:r w:rsidRPr="00B504C2">
              <w:rPr>
                <w:lang w:val="fr-FR"/>
              </w:rPr>
              <w:t>août 2014)</w:t>
            </w:r>
            <w:r w:rsidR="001D1927">
              <w:rPr>
                <w:lang w:val="fr-FR"/>
              </w:rPr>
              <w:t xml:space="preserve"> </w:t>
            </w:r>
            <w:r w:rsidR="001D1927">
              <w:rPr>
                <w:lang w:val="fr-FR"/>
              </w:rPr>
              <w:br/>
            </w:r>
            <w:r w:rsidRPr="00B504C2">
              <w:rPr>
                <w:lang w:val="fr-FR"/>
              </w:rPr>
              <w:t>Objectif 2016</w:t>
            </w:r>
            <w:r>
              <w:rPr>
                <w:lang w:val="fr-FR"/>
              </w:rPr>
              <w:t>-</w:t>
            </w:r>
            <w:r w:rsidRPr="00B504C2">
              <w:rPr>
                <w:lang w:val="fr-FR"/>
              </w:rPr>
              <w:t>2017</w:t>
            </w:r>
            <w:r>
              <w:rPr>
                <w:lang w:val="fr-FR"/>
              </w:rPr>
              <w:t> </w:t>
            </w:r>
            <w:r w:rsidRPr="00B504C2">
              <w:rPr>
                <w:lang w:val="fr-FR"/>
              </w:rPr>
              <w:t>: 2</w:t>
            </w:r>
          </w:p>
        </w:tc>
      </w:tr>
      <w:tr w:rsidR="00151097" w:rsidRPr="00533D1A" w:rsidTr="00165249">
        <w:tc>
          <w:tcPr>
            <w:tcW w:w="3042" w:type="dxa"/>
            <w:shd w:val="clear" w:color="auto" w:fill="auto"/>
          </w:tcPr>
          <w:p w:rsidR="00151097" w:rsidRPr="00533D1A" w:rsidRDefault="00151097" w:rsidP="006E39DF">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151097" w:rsidP="006E39DF">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IS</w:t>
            </w:r>
            <w:r>
              <w:rPr>
                <w:lang w:val="fr-FR"/>
              </w:rPr>
              <w:t> </w:t>
            </w:r>
            <w:r w:rsidRPr="00B504C2">
              <w:rPr>
                <w:lang w:val="fr-FR"/>
              </w:rPr>
              <w:t>15</w:t>
            </w:r>
            <w:r>
              <w:rPr>
                <w:lang w:val="fr-FR"/>
              </w:rPr>
              <w:t> </w:t>
            </w:r>
            <w:r w:rsidRPr="00B504C2">
              <w:rPr>
                <w:lang w:val="fr-FR"/>
              </w:rPr>
              <w:t>b)</w:t>
            </w:r>
            <w:r>
              <w:rPr>
                <w:lang w:val="fr-FR"/>
              </w:rPr>
              <w:tab/>
            </w:r>
            <w:r w:rsidRPr="00B504C2">
              <w:rPr>
                <w:lang w:val="fr-FR"/>
              </w:rPr>
              <w:t>Nombre de séminaires, ateliers, conférences, campagnes et manifestations organisés sur le thème de la sécurité routière</w:t>
            </w:r>
          </w:p>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i/>
                <w:iCs/>
                <w:lang w:val="fr-FR"/>
              </w:rPr>
              <w:t>Mesure des résultats</w:t>
            </w:r>
            <w:r w:rsidR="003D5433">
              <w:rPr>
                <w:iCs/>
                <w:lang w:val="fr-FR"/>
              </w:rPr>
              <w:t> </w:t>
            </w:r>
            <w:r w:rsidRPr="00B504C2">
              <w:rPr>
                <w:iCs/>
                <w:lang w:val="fr-FR"/>
              </w:rPr>
              <w:t>:</w:t>
            </w:r>
            <w:r>
              <w:rPr>
                <w:lang w:val="fr-FR"/>
              </w:rPr>
              <w:t xml:space="preserve"> </w:t>
            </w:r>
            <w:r w:rsidRPr="00B504C2">
              <w:rPr>
                <w:lang w:val="fr-FR"/>
              </w:rPr>
              <w:br/>
              <w:t>Objectif 2014-2015</w:t>
            </w:r>
            <w:r>
              <w:rPr>
                <w:lang w:val="fr-FR"/>
              </w:rPr>
              <w:t> </w:t>
            </w:r>
            <w:r w:rsidRPr="00B504C2">
              <w:rPr>
                <w:lang w:val="fr-FR"/>
              </w:rPr>
              <w:t>: 2</w:t>
            </w:r>
            <w:r>
              <w:rPr>
                <w:lang w:val="fr-FR"/>
              </w:rPr>
              <w:t xml:space="preserve"> </w:t>
            </w:r>
            <w:r w:rsidRPr="00B504C2">
              <w:rPr>
                <w:lang w:val="fr-FR"/>
              </w:rPr>
              <w:br/>
              <w:t>Résultats obtenus en 2014</w:t>
            </w:r>
            <w:r>
              <w:rPr>
                <w:lang w:val="fr-FR"/>
              </w:rPr>
              <w:t>-</w:t>
            </w:r>
            <w:r w:rsidRPr="00B504C2">
              <w:rPr>
                <w:lang w:val="fr-FR"/>
              </w:rPr>
              <w:t>2015</w:t>
            </w:r>
            <w:r>
              <w:rPr>
                <w:lang w:val="fr-FR"/>
              </w:rPr>
              <w:t> </w:t>
            </w:r>
            <w:r w:rsidRPr="00B504C2">
              <w:rPr>
                <w:lang w:val="fr-FR"/>
              </w:rPr>
              <w:t>: 7 (voir ci-après)</w:t>
            </w:r>
          </w:p>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1.</w:t>
            </w:r>
            <w:r>
              <w:rPr>
                <w:lang w:val="fr-FR"/>
              </w:rPr>
              <w:tab/>
            </w:r>
            <w:r w:rsidRPr="00B504C2">
              <w:rPr>
                <w:lang w:val="fr-FR"/>
              </w:rPr>
              <w:t>Lancement du film produit par la CEE, l’Union internationale des chemins de fer et l</w:t>
            </w:r>
            <w:r w:rsidR="00B06A98">
              <w:rPr>
                <w:lang w:val="fr-FR"/>
              </w:rPr>
              <w:t xml:space="preserve">’Office fédéral suisse </w:t>
            </w:r>
            <w:r w:rsidRPr="00B504C2">
              <w:rPr>
                <w:lang w:val="fr-FR"/>
              </w:rPr>
              <w:t>des transports</w:t>
            </w:r>
            <w:r w:rsidR="00B06A98">
              <w:rPr>
                <w:lang w:val="fr-FR"/>
              </w:rPr>
              <w:t xml:space="preserve">, </w:t>
            </w:r>
            <w:r w:rsidRPr="00B504C2">
              <w:rPr>
                <w:lang w:val="fr-FR"/>
              </w:rPr>
              <w:t xml:space="preserve">intitulé </w:t>
            </w:r>
            <w:r>
              <w:rPr>
                <w:lang w:val="fr-FR"/>
              </w:rPr>
              <w:t>« Saving lives at level crossings</w:t>
            </w:r>
            <w:r w:rsidRPr="00B504C2">
              <w:rPr>
                <w:lang w:val="fr-FR"/>
              </w:rPr>
              <w:t> » (</w:t>
            </w:r>
            <w:r>
              <w:rPr>
                <w:lang w:val="fr-FR"/>
              </w:rPr>
              <w:t>« </w:t>
            </w:r>
            <w:r w:rsidRPr="00B504C2">
              <w:rPr>
                <w:lang w:val="fr-FR"/>
              </w:rPr>
              <w:t>Des vie</w:t>
            </w:r>
            <w:r>
              <w:rPr>
                <w:lang w:val="fr-FR"/>
              </w:rPr>
              <w:t>s sauvées aux passages à niveau</w:t>
            </w:r>
            <w:r w:rsidRPr="00B504C2">
              <w:rPr>
                <w:lang w:val="fr-FR"/>
              </w:rPr>
              <w:t> ») à l’occasion de la Journée internationale de</w:t>
            </w:r>
            <w:r w:rsidR="00F72632">
              <w:rPr>
                <w:lang w:val="fr-FR"/>
              </w:rPr>
              <w:t> </w:t>
            </w:r>
            <w:r w:rsidRPr="00B504C2">
              <w:rPr>
                <w:lang w:val="fr-FR"/>
              </w:rPr>
              <w:t>sensibilisation aux dangers des passages à niveau en</w:t>
            </w:r>
            <w:r w:rsidR="00F72632">
              <w:rPr>
                <w:lang w:val="fr-FR"/>
              </w:rPr>
              <w:t> 2014 (ILCAD 2014)</w:t>
            </w:r>
            <w:r w:rsidR="00637CFE">
              <w:rPr>
                <w:lang w:val="fr-FR"/>
              </w:rPr>
              <w:t xml:space="preserve"> (3 juin 2014)</w:t>
            </w:r>
          </w:p>
          <w:p w:rsidR="00B504C2" w:rsidRPr="001D1927" w:rsidRDefault="00B504C2" w:rsidP="006E39DF">
            <w:pPr>
              <w:tabs>
                <w:tab w:val="left" w:pos="288"/>
                <w:tab w:val="left" w:pos="576"/>
                <w:tab w:val="left" w:pos="864"/>
                <w:tab w:val="left" w:pos="1152"/>
              </w:tabs>
              <w:suppressAutoHyphens/>
              <w:spacing w:before="40" w:after="80"/>
              <w:ind w:right="115"/>
              <w:rPr>
                <w:spacing w:val="0"/>
                <w:lang w:val="fr-CH"/>
              </w:rPr>
            </w:pPr>
            <w:r w:rsidRPr="001D1927">
              <w:rPr>
                <w:spacing w:val="0"/>
                <w:lang w:val="fr-FR"/>
              </w:rPr>
              <w:t>2.</w:t>
            </w:r>
            <w:r w:rsidRPr="001D1927">
              <w:rPr>
                <w:spacing w:val="0"/>
                <w:lang w:val="fr-FR"/>
              </w:rPr>
              <w:tab/>
            </w:r>
            <w:r w:rsidRPr="004C04FD">
              <w:rPr>
                <w:spacing w:val="2"/>
                <w:lang w:val="fr-FR"/>
              </w:rPr>
              <w:t>Jour</w:t>
            </w:r>
            <w:r w:rsidR="00D76D65" w:rsidRPr="004C04FD">
              <w:rPr>
                <w:spacing w:val="2"/>
                <w:lang w:val="fr-FR"/>
              </w:rPr>
              <w:t>née des instruments des Nations Unies relatifs à</w:t>
            </w:r>
            <w:r w:rsidR="00F72632" w:rsidRPr="004C04FD">
              <w:rPr>
                <w:spacing w:val="2"/>
                <w:lang w:val="fr-FR"/>
              </w:rPr>
              <w:t xml:space="preserve"> </w:t>
            </w:r>
            <w:r w:rsidRPr="004C04FD">
              <w:rPr>
                <w:spacing w:val="-2"/>
                <w:lang w:val="fr-FR"/>
              </w:rPr>
              <w:t>la sécurité routière à New York (États-Unis), le 5 </w:t>
            </w:r>
            <w:r w:rsidR="00F72632" w:rsidRPr="004C04FD">
              <w:rPr>
                <w:spacing w:val="-2"/>
                <w:lang w:val="fr-FR"/>
              </w:rPr>
              <w:t>juin 2014</w:t>
            </w:r>
          </w:p>
          <w:p w:rsidR="00B504C2" w:rsidRPr="00494B4F" w:rsidRDefault="00B504C2" w:rsidP="006E39DF">
            <w:pPr>
              <w:tabs>
                <w:tab w:val="left" w:pos="288"/>
                <w:tab w:val="left" w:pos="576"/>
                <w:tab w:val="left" w:pos="864"/>
                <w:tab w:val="left" w:pos="1152"/>
              </w:tabs>
              <w:suppressAutoHyphens/>
              <w:spacing w:before="40" w:after="80"/>
              <w:ind w:right="43"/>
              <w:rPr>
                <w:spacing w:val="-2"/>
                <w:lang w:val="fr-FR"/>
              </w:rPr>
            </w:pPr>
            <w:r w:rsidRPr="00494B4F">
              <w:rPr>
                <w:spacing w:val="-2"/>
                <w:lang w:val="fr-FR"/>
              </w:rPr>
              <w:t>3.</w:t>
            </w:r>
            <w:r w:rsidRPr="00494B4F">
              <w:rPr>
                <w:spacing w:val="-2"/>
                <w:lang w:val="fr-FR"/>
              </w:rPr>
              <w:tab/>
            </w:r>
            <w:r w:rsidRPr="00494B4F">
              <w:rPr>
                <w:spacing w:val="-4"/>
                <w:lang w:val="fr-FR"/>
              </w:rPr>
              <w:t>Atelier régional de renforcement des capacités en</w:t>
            </w:r>
            <w:r w:rsidR="00F72632" w:rsidRPr="00494B4F">
              <w:rPr>
                <w:spacing w:val="-4"/>
                <w:lang w:val="fr-FR"/>
              </w:rPr>
              <w:t xml:space="preserve"> </w:t>
            </w:r>
            <w:r w:rsidRPr="00494B4F">
              <w:rPr>
                <w:spacing w:val="-4"/>
                <w:lang w:val="fr-FR"/>
              </w:rPr>
              <w:t>matière</w:t>
            </w:r>
            <w:r w:rsidRPr="00494B4F">
              <w:rPr>
                <w:spacing w:val="-2"/>
                <w:lang w:val="fr-FR"/>
              </w:rPr>
              <w:t xml:space="preserve"> de</w:t>
            </w:r>
            <w:r w:rsidR="00494B4F">
              <w:rPr>
                <w:spacing w:val="-2"/>
                <w:lang w:val="fr-FR"/>
              </w:rPr>
              <w:t xml:space="preserve"> </w:t>
            </w:r>
            <w:r w:rsidRPr="00494B4F">
              <w:rPr>
                <w:spacing w:val="-2"/>
                <w:lang w:val="fr-FR"/>
              </w:rPr>
              <w:t>sécurité routière à Belgrade (Serbie) en octobre 2014</w:t>
            </w:r>
          </w:p>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4.</w:t>
            </w:r>
            <w:r>
              <w:rPr>
                <w:lang w:val="fr-FR"/>
              </w:rPr>
              <w:tab/>
            </w:r>
            <w:r w:rsidRPr="00B504C2">
              <w:rPr>
                <w:lang w:val="fr-FR"/>
              </w:rPr>
              <w:t>Atelier sur la sécurité routière organisé par la CEE, la Commission éco</w:t>
            </w:r>
            <w:r w:rsidR="00F948E5">
              <w:rPr>
                <w:lang w:val="fr-FR"/>
              </w:rPr>
              <w:t xml:space="preserve">nomique pour l’Afrique (CEA) et </w:t>
            </w:r>
            <w:r w:rsidRPr="00B504C2">
              <w:rPr>
                <w:lang w:val="fr-FR"/>
              </w:rPr>
              <w:t xml:space="preserve">International Alliance for Responsible Drinking (IARD) à l’intention des pays </w:t>
            </w:r>
            <w:r w:rsidR="00F14167" w:rsidRPr="00B504C2">
              <w:rPr>
                <w:lang w:val="fr-FR"/>
              </w:rPr>
              <w:t>anglophone</w:t>
            </w:r>
            <w:r w:rsidR="00F72632">
              <w:rPr>
                <w:lang w:val="fr-FR"/>
              </w:rPr>
              <w:t>s</w:t>
            </w:r>
            <w:r w:rsidR="00F14167" w:rsidRPr="00B504C2">
              <w:rPr>
                <w:lang w:val="fr-FR"/>
              </w:rPr>
              <w:t xml:space="preserve"> </w:t>
            </w:r>
            <w:r w:rsidRPr="00B504C2">
              <w:rPr>
                <w:lang w:val="fr-FR"/>
              </w:rPr>
              <w:t>d’Afrique à</w:t>
            </w:r>
            <w:r w:rsidR="004C04FD">
              <w:rPr>
                <w:lang w:val="fr-FR"/>
              </w:rPr>
              <w:t> </w:t>
            </w:r>
            <w:r w:rsidRPr="00B504C2">
              <w:rPr>
                <w:lang w:val="fr-FR"/>
              </w:rPr>
              <w:t>Addi</w:t>
            </w:r>
            <w:r>
              <w:rPr>
                <w:lang w:val="fr-FR"/>
              </w:rPr>
              <w:t>s-Abeba (Éthiopie) les 12 et 13 </w:t>
            </w:r>
            <w:r w:rsidRPr="00B504C2">
              <w:rPr>
                <w:lang w:val="fr-FR"/>
              </w:rPr>
              <w:t xml:space="preserve">novembre 2014 </w:t>
            </w:r>
          </w:p>
          <w:p w:rsidR="00151097" w:rsidRDefault="00B504C2" w:rsidP="006E39DF">
            <w:pPr>
              <w:tabs>
                <w:tab w:val="left" w:pos="288"/>
                <w:tab w:val="left" w:pos="576"/>
                <w:tab w:val="left" w:pos="864"/>
                <w:tab w:val="left" w:pos="1152"/>
              </w:tabs>
              <w:suppressAutoHyphens/>
              <w:spacing w:before="40" w:after="80"/>
              <w:ind w:right="115"/>
              <w:rPr>
                <w:lang w:val="fr-FR"/>
              </w:rPr>
            </w:pPr>
            <w:r w:rsidRPr="00B504C2">
              <w:rPr>
                <w:lang w:val="fr-FR"/>
              </w:rPr>
              <w:t>5.</w:t>
            </w:r>
            <w:r>
              <w:rPr>
                <w:lang w:val="fr-FR"/>
              </w:rPr>
              <w:tab/>
            </w:r>
            <w:r w:rsidRPr="00B504C2">
              <w:rPr>
                <w:lang w:val="fr-FR"/>
              </w:rPr>
              <w:t>Table ronde spéciale d’une journée organisée par le WP.1 à Genève (Suisse) sur l’application d’instruments juridiques relatifs à la sécurité routière pour établir des politiques en matière de sécurité des véhicules à moteur à deux roues dans les pays à faible reven</w:t>
            </w:r>
            <w:r>
              <w:rPr>
                <w:lang w:val="fr-FR"/>
              </w:rPr>
              <w:t>u et à revenu intermédiaire (23 </w:t>
            </w:r>
            <w:r w:rsidRPr="00B504C2">
              <w:rPr>
                <w:lang w:val="fr-FR"/>
              </w:rPr>
              <w:t>mars 2015)</w:t>
            </w:r>
          </w:p>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6.</w:t>
            </w:r>
            <w:r w:rsidRPr="00494B4F">
              <w:rPr>
                <w:spacing w:val="2"/>
                <w:lang w:val="fr-FR"/>
              </w:rPr>
              <w:tab/>
              <w:t>Lancement le 23 mars 2015 à Genève (Suisse) du livre électronique conjoint de la CEE, de la CEA et de l’IARD intitulé « Prévention de l’alcool au volant en Afrique »</w:t>
            </w:r>
            <w:r w:rsidR="006345D0" w:rsidRPr="00494B4F">
              <w:rPr>
                <w:spacing w:val="2"/>
                <w:lang w:val="fr-FR"/>
              </w:rPr>
              <w:t>,</w:t>
            </w:r>
            <w:r w:rsidRPr="00494B4F">
              <w:rPr>
                <w:spacing w:val="2"/>
                <w:lang w:val="fr-FR"/>
              </w:rPr>
              <w:t xml:space="preserve"> contenant de nouveaux résultats d’études sur les questions relatives à la sécurité routière sur le</w:t>
            </w:r>
            <w:r w:rsidR="006345D0" w:rsidRPr="00494B4F">
              <w:rPr>
                <w:spacing w:val="2"/>
                <w:lang w:val="fr-FR"/>
              </w:rPr>
              <w:t xml:space="preserve"> continent</w:t>
            </w:r>
            <w:r w:rsidRPr="00494B4F">
              <w:rPr>
                <w:spacing w:val="2"/>
                <w:lang w:val="fr-FR"/>
              </w:rPr>
              <w:t xml:space="preserve"> africain, des informations actualisées sur la mise en œuvre du Plan d’action africain pour la sécurité routière et des recommandations et bonnes pratiques internationales en vue de renforcer la sécurité routière</w:t>
            </w:r>
          </w:p>
          <w:p w:rsidR="00B504C2" w:rsidRPr="00533D1A" w:rsidRDefault="00B504C2" w:rsidP="006E39DF">
            <w:pPr>
              <w:tabs>
                <w:tab w:val="left" w:pos="288"/>
                <w:tab w:val="left" w:pos="576"/>
                <w:tab w:val="left" w:pos="864"/>
                <w:tab w:val="left" w:pos="1152"/>
              </w:tabs>
              <w:suppressAutoHyphens/>
              <w:spacing w:before="40" w:after="80"/>
              <w:ind w:right="115"/>
            </w:pPr>
            <w:r w:rsidRPr="00B504C2">
              <w:rPr>
                <w:lang w:val="fr-FR"/>
              </w:rPr>
              <w:t>7.</w:t>
            </w:r>
            <w:r>
              <w:rPr>
                <w:lang w:val="fr-FR"/>
              </w:rPr>
              <w:tab/>
            </w:r>
            <w:r w:rsidRPr="00B504C2">
              <w:rPr>
                <w:lang w:val="fr-FR"/>
              </w:rPr>
              <w:t xml:space="preserve">Atelier CEE-CEA-IARD sur la sécurité routière à l’intention des pays </w:t>
            </w:r>
            <w:r w:rsidR="006345D0">
              <w:rPr>
                <w:lang w:val="fr-FR"/>
              </w:rPr>
              <w:t xml:space="preserve">francophones </w:t>
            </w:r>
            <w:r w:rsidRPr="00B504C2">
              <w:rPr>
                <w:lang w:val="fr-FR"/>
              </w:rPr>
              <w:t>d’Afrique à Addis-Abeba (Éthiopie) les 7 et 8</w:t>
            </w:r>
            <w:r>
              <w:rPr>
                <w:lang w:val="fr-FR"/>
              </w:rPr>
              <w:t> </w:t>
            </w:r>
            <w:r w:rsidRPr="00B504C2">
              <w:rPr>
                <w:lang w:val="fr-FR"/>
              </w:rPr>
              <w:t>juillet 2015</w:t>
            </w:r>
            <w:r w:rsidR="004C04FD">
              <w:rPr>
                <w:lang w:val="fr-FR"/>
              </w:rPr>
              <w:t xml:space="preserve"> </w:t>
            </w:r>
            <w:r w:rsidR="004C04FD">
              <w:rPr>
                <w:lang w:val="fr-FR"/>
              </w:rPr>
              <w:br/>
            </w:r>
            <w:r w:rsidRPr="00B504C2">
              <w:rPr>
                <w:lang w:val="fr-FR"/>
              </w:rPr>
              <w:t>Objectif pour 2016</w:t>
            </w:r>
            <w:r>
              <w:rPr>
                <w:lang w:val="fr-FR"/>
              </w:rPr>
              <w:t>-</w:t>
            </w:r>
            <w:r w:rsidRPr="00B504C2">
              <w:rPr>
                <w:lang w:val="fr-FR"/>
              </w:rPr>
              <w:t>2017</w:t>
            </w:r>
            <w:r>
              <w:rPr>
                <w:lang w:val="fr-FR"/>
              </w:rPr>
              <w:t> </w:t>
            </w:r>
            <w:r w:rsidRPr="00B504C2">
              <w:rPr>
                <w:lang w:val="fr-FR"/>
              </w:rPr>
              <w:t>: 2</w:t>
            </w:r>
          </w:p>
        </w:tc>
      </w:tr>
      <w:tr w:rsidR="00151097" w:rsidRPr="00533D1A" w:rsidTr="00165249">
        <w:tc>
          <w:tcPr>
            <w:tcW w:w="3042"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6E39DF">
              <w:rPr>
                <w:spacing w:val="0"/>
                <w:lang w:val="fr-FR"/>
              </w:rPr>
              <w:t>IS </w:t>
            </w:r>
            <w:r w:rsidR="004C04FD" w:rsidRPr="006E39DF">
              <w:rPr>
                <w:spacing w:val="0"/>
                <w:lang w:val="fr-FR"/>
              </w:rPr>
              <w:t>15 </w:t>
            </w:r>
            <w:r w:rsidRPr="006E39DF">
              <w:rPr>
                <w:spacing w:val="0"/>
                <w:lang w:val="fr-FR"/>
              </w:rPr>
              <w:t>c)</w:t>
            </w:r>
            <w:r>
              <w:rPr>
                <w:lang w:val="fr-FR"/>
              </w:rPr>
              <w:tab/>
            </w:r>
            <w:r w:rsidRPr="00B504C2">
              <w:rPr>
                <w:lang w:val="fr-FR"/>
              </w:rPr>
              <w:t>Nombre total de participants par séminaire, atelier, conférence et ma</w:t>
            </w:r>
            <w:r w:rsidR="006E39DF">
              <w:rPr>
                <w:lang w:val="fr-FR"/>
              </w:rPr>
              <w:t>nifestation, y </w:t>
            </w:r>
            <w:r w:rsidR="00F72632">
              <w:rPr>
                <w:lang w:val="fr-FR"/>
              </w:rPr>
              <w:t>compris ceux des</w:t>
            </w:r>
            <w:r w:rsidR="006E39DF">
              <w:rPr>
                <w:lang w:val="fr-FR"/>
              </w:rPr>
              <w:t> </w:t>
            </w:r>
            <w:r w:rsidRPr="00B504C2">
              <w:rPr>
                <w:lang w:val="fr-FR"/>
              </w:rPr>
              <w:t>Parties contractantes</w:t>
            </w:r>
          </w:p>
          <w:p w:rsidR="00151097" w:rsidRPr="00533D1A" w:rsidRDefault="00B504C2" w:rsidP="00F72632">
            <w:pPr>
              <w:tabs>
                <w:tab w:val="left" w:pos="288"/>
                <w:tab w:val="left" w:pos="576"/>
                <w:tab w:val="left" w:pos="864"/>
                <w:tab w:val="left" w:pos="1152"/>
              </w:tabs>
              <w:suppressAutoHyphens/>
              <w:spacing w:before="40" w:after="80"/>
              <w:ind w:right="115"/>
            </w:pPr>
            <w:r w:rsidRPr="00B504C2">
              <w:rPr>
                <w:i/>
                <w:iCs/>
                <w:lang w:val="fr-FR"/>
              </w:rPr>
              <w:lastRenderedPageBreak/>
              <w:t>Mesure des résultats</w:t>
            </w:r>
            <w:r w:rsidRPr="00B504C2">
              <w:rPr>
                <w:iCs/>
                <w:lang w:val="fr-FR"/>
              </w:rPr>
              <w:t> :</w:t>
            </w:r>
            <w:r>
              <w:rPr>
                <w:i/>
                <w:iCs/>
                <w:lang w:val="fr-FR"/>
              </w:rPr>
              <w:t xml:space="preserve"> </w:t>
            </w:r>
            <w:r w:rsidRPr="00B504C2">
              <w:rPr>
                <w:lang w:val="fr-FR"/>
              </w:rPr>
              <w:br/>
              <w:t>Objectif 2014</w:t>
            </w:r>
            <w:r>
              <w:rPr>
                <w:lang w:val="fr-FR"/>
              </w:rPr>
              <w:t>-</w:t>
            </w:r>
            <w:r w:rsidRPr="00B504C2">
              <w:rPr>
                <w:lang w:val="fr-FR"/>
              </w:rPr>
              <w:t>2015</w:t>
            </w:r>
            <w:r>
              <w:rPr>
                <w:lang w:val="fr-FR"/>
              </w:rPr>
              <w:t> </w:t>
            </w:r>
            <w:r w:rsidRPr="00B504C2">
              <w:rPr>
                <w:lang w:val="fr-FR"/>
              </w:rPr>
              <w:t>: 60</w:t>
            </w:r>
            <w:r>
              <w:rPr>
                <w:lang w:val="fr-FR"/>
              </w:rPr>
              <w:t xml:space="preserve"> </w:t>
            </w:r>
            <w:r w:rsidRPr="00B504C2">
              <w:rPr>
                <w:lang w:val="fr-FR"/>
              </w:rPr>
              <w:br/>
              <w:t>Résultats obtenus en 2014</w:t>
            </w:r>
            <w:r>
              <w:rPr>
                <w:lang w:val="fr-FR"/>
              </w:rPr>
              <w:t>-</w:t>
            </w:r>
            <w:r w:rsidRPr="00B504C2">
              <w:rPr>
                <w:lang w:val="fr-FR"/>
              </w:rPr>
              <w:t>2015</w:t>
            </w:r>
            <w:r>
              <w:rPr>
                <w:lang w:val="fr-FR"/>
              </w:rPr>
              <w:t> : 300</w:t>
            </w:r>
            <w:r w:rsidR="00F72632">
              <w:rPr>
                <w:lang w:val="fr-FR"/>
              </w:rPr>
              <w:t xml:space="preserve"> </w:t>
            </w:r>
            <w:r w:rsidR="00F72632">
              <w:rPr>
                <w:lang w:val="fr-FR"/>
              </w:rPr>
              <w:br/>
            </w:r>
            <w:r w:rsidRPr="00B504C2">
              <w:rPr>
                <w:lang w:val="fr-FR"/>
              </w:rPr>
              <w:t>Objectif 2016</w:t>
            </w:r>
            <w:r>
              <w:rPr>
                <w:lang w:val="fr-FR"/>
              </w:rPr>
              <w:t>-</w:t>
            </w:r>
            <w:r w:rsidRPr="00B504C2">
              <w:rPr>
                <w:lang w:val="fr-FR"/>
              </w:rPr>
              <w:t>2017</w:t>
            </w:r>
            <w:r>
              <w:rPr>
                <w:lang w:val="fr-FR"/>
              </w:rPr>
              <w:t> </w:t>
            </w:r>
            <w:r w:rsidRPr="00B504C2">
              <w:rPr>
                <w:lang w:val="fr-FR"/>
              </w:rPr>
              <w:t>: 60</w:t>
            </w:r>
          </w:p>
        </w:tc>
      </w:tr>
      <w:tr w:rsidR="00151097" w:rsidRPr="00533D1A" w:rsidTr="00165249">
        <w:tc>
          <w:tcPr>
            <w:tcW w:w="3042"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2043" w:type="dxa"/>
            <w:shd w:val="clear" w:color="auto" w:fill="auto"/>
          </w:tcPr>
          <w:p w:rsidR="00151097" w:rsidRPr="00533D1A" w:rsidRDefault="00151097"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B504C2" w:rsidRDefault="00B504C2" w:rsidP="006E39DF">
            <w:pPr>
              <w:tabs>
                <w:tab w:val="left" w:pos="288"/>
                <w:tab w:val="left" w:pos="576"/>
                <w:tab w:val="left" w:pos="864"/>
                <w:tab w:val="left" w:pos="1152"/>
              </w:tabs>
              <w:suppressAutoHyphens/>
              <w:spacing w:before="40" w:after="80"/>
              <w:ind w:right="115"/>
              <w:rPr>
                <w:lang w:val="fr-CH"/>
              </w:rPr>
            </w:pPr>
            <w:r w:rsidRPr="00B504C2">
              <w:rPr>
                <w:lang w:val="fr-FR"/>
              </w:rPr>
              <w:t>IS</w:t>
            </w:r>
            <w:r>
              <w:rPr>
                <w:lang w:val="fr-FR"/>
              </w:rPr>
              <w:t> </w:t>
            </w:r>
            <w:r w:rsidRPr="00B504C2">
              <w:rPr>
                <w:lang w:val="fr-FR"/>
              </w:rPr>
              <w:t>15</w:t>
            </w:r>
            <w:r>
              <w:rPr>
                <w:lang w:val="fr-FR"/>
              </w:rPr>
              <w:t> </w:t>
            </w:r>
            <w:r w:rsidRPr="00B504C2">
              <w:rPr>
                <w:lang w:val="fr-FR"/>
              </w:rPr>
              <w:t>d)</w:t>
            </w:r>
            <w:r>
              <w:rPr>
                <w:lang w:val="fr-FR"/>
              </w:rPr>
              <w:tab/>
            </w:r>
            <w:r w:rsidRPr="00B504C2">
              <w:rPr>
                <w:lang w:val="fr-FR"/>
              </w:rPr>
              <w:t>Réactions des participants aux séminaires, ateliers, conférences et autres manifestations</w:t>
            </w:r>
          </w:p>
          <w:p w:rsidR="00B504C2" w:rsidRPr="00B504C2" w:rsidRDefault="00B504C2" w:rsidP="00B504C2">
            <w:pPr>
              <w:tabs>
                <w:tab w:val="left" w:pos="288"/>
                <w:tab w:val="left" w:pos="576"/>
                <w:tab w:val="left" w:pos="864"/>
                <w:tab w:val="left" w:pos="1152"/>
              </w:tabs>
              <w:suppressAutoHyphens/>
              <w:spacing w:before="40" w:after="80"/>
              <w:ind w:right="115"/>
              <w:rPr>
                <w:lang w:val="fr-CH"/>
              </w:rPr>
            </w:pPr>
            <w:r w:rsidRPr="00B504C2">
              <w:rPr>
                <w:i/>
                <w:iCs/>
                <w:lang w:val="fr-FR"/>
              </w:rPr>
              <w:t>Mesure des résultats</w:t>
            </w:r>
            <w:r w:rsidRPr="00B504C2">
              <w:rPr>
                <w:iCs/>
                <w:lang w:val="fr-FR"/>
              </w:rPr>
              <w:t> :</w:t>
            </w:r>
            <w:r>
              <w:rPr>
                <w:i/>
                <w:iCs/>
                <w:lang w:val="fr-FR"/>
              </w:rPr>
              <w:t xml:space="preserve"> </w:t>
            </w:r>
            <w:r w:rsidRPr="00B504C2">
              <w:rPr>
                <w:lang w:val="fr-FR"/>
              </w:rPr>
              <w:br/>
              <w:t>Objectif 2014-2015</w:t>
            </w:r>
            <w:r>
              <w:rPr>
                <w:lang w:val="fr-FR"/>
              </w:rPr>
              <w:t> </w:t>
            </w:r>
            <w:r w:rsidRPr="00B504C2">
              <w:rPr>
                <w:lang w:val="fr-FR"/>
              </w:rPr>
              <w:t xml:space="preserve">: </w:t>
            </w:r>
            <w:r w:rsidR="004C04FD">
              <w:rPr>
                <w:lang w:val="fr-FR"/>
              </w:rPr>
              <w:t>r</w:t>
            </w:r>
            <w:r w:rsidRPr="00B504C2">
              <w:rPr>
                <w:lang w:val="fr-FR"/>
              </w:rPr>
              <w:t>éactions positives (d’après la</w:t>
            </w:r>
            <w:r w:rsidR="005A6497">
              <w:rPr>
                <w:lang w:val="fr-FR"/>
              </w:rPr>
              <w:t> </w:t>
            </w:r>
            <w:r w:rsidRPr="00B504C2">
              <w:rPr>
                <w:lang w:val="fr-FR"/>
              </w:rPr>
              <w:t>majorité des réponses fournies) de la part des participants aux sémin</w:t>
            </w:r>
            <w:r w:rsidR="004C04FD">
              <w:rPr>
                <w:lang w:val="fr-FR"/>
              </w:rPr>
              <w:t>aires, ateliers, conférences et</w:t>
            </w:r>
            <w:r w:rsidR="005A6497">
              <w:rPr>
                <w:lang w:val="fr-FR"/>
              </w:rPr>
              <w:t> </w:t>
            </w:r>
            <w:r w:rsidRPr="00B504C2">
              <w:rPr>
                <w:lang w:val="fr-FR"/>
              </w:rPr>
              <w:t xml:space="preserve">autres manifestations, </w:t>
            </w:r>
            <w:r w:rsidR="00F72632">
              <w:rPr>
                <w:lang w:val="fr-FR"/>
              </w:rPr>
              <w:t>au sujet de l’organisation, des</w:t>
            </w:r>
            <w:r w:rsidR="005A6497">
              <w:rPr>
                <w:lang w:val="fr-FR"/>
              </w:rPr>
              <w:t> </w:t>
            </w:r>
            <w:r w:rsidRPr="00B504C2">
              <w:rPr>
                <w:lang w:val="fr-FR"/>
              </w:rPr>
              <w:t>possibilités de contact et de la qualité des renseignements techniques commun</w:t>
            </w:r>
            <w:r>
              <w:rPr>
                <w:lang w:val="fr-FR"/>
              </w:rPr>
              <w:t>iqués et des exposés présenté</w:t>
            </w:r>
            <w:r w:rsidR="004C04FD">
              <w:rPr>
                <w:lang w:val="fr-FR"/>
              </w:rPr>
              <w:t>e</w:t>
            </w:r>
            <w:r>
              <w:rPr>
                <w:lang w:val="fr-FR"/>
              </w:rPr>
              <w:t>s</w:t>
            </w:r>
          </w:p>
          <w:p w:rsidR="00B504C2" w:rsidRPr="00B504C2" w:rsidRDefault="00B504C2" w:rsidP="00D74005">
            <w:pPr>
              <w:tabs>
                <w:tab w:val="left" w:pos="288"/>
                <w:tab w:val="left" w:pos="576"/>
                <w:tab w:val="left" w:pos="864"/>
                <w:tab w:val="left" w:pos="1152"/>
              </w:tabs>
              <w:suppressAutoHyphens/>
              <w:spacing w:before="40" w:after="80"/>
              <w:ind w:right="43"/>
              <w:rPr>
                <w:lang w:val="fr-CH"/>
              </w:rPr>
            </w:pPr>
            <w:r w:rsidRPr="00B504C2">
              <w:rPr>
                <w:lang w:val="fr-FR"/>
              </w:rPr>
              <w:t>Résultats obtenus en 2014-2015</w:t>
            </w:r>
            <w:r>
              <w:rPr>
                <w:lang w:val="fr-FR"/>
              </w:rPr>
              <w:t> </w:t>
            </w:r>
            <w:r w:rsidRPr="00B504C2">
              <w:rPr>
                <w:lang w:val="fr-FR"/>
              </w:rPr>
              <w:t xml:space="preserve">: réactions positives mesurées par une enquête formelle et par les réactions informelles aux six manifestations présentées ci-dessus. De plus, le film </w:t>
            </w:r>
            <w:r>
              <w:rPr>
                <w:lang w:val="fr-FR"/>
              </w:rPr>
              <w:t>« Saving lives at level crossings</w:t>
            </w:r>
            <w:r w:rsidRPr="00B504C2">
              <w:rPr>
                <w:lang w:val="fr-FR"/>
              </w:rPr>
              <w:t> » a été visionné près de 15</w:t>
            </w:r>
            <w:r>
              <w:rPr>
                <w:lang w:val="fr-FR"/>
              </w:rPr>
              <w:t> </w:t>
            </w:r>
            <w:r w:rsidRPr="00B504C2">
              <w:rPr>
                <w:lang w:val="fr-FR"/>
              </w:rPr>
              <w:t xml:space="preserve">000 fois au cours des </w:t>
            </w:r>
            <w:r>
              <w:rPr>
                <w:lang w:val="fr-FR"/>
              </w:rPr>
              <w:t>treize</w:t>
            </w:r>
            <w:r w:rsidR="00F72632">
              <w:rPr>
                <w:lang w:val="fr-FR"/>
              </w:rPr>
              <w:t xml:space="preserve"> mois suivant son lancement</w:t>
            </w:r>
          </w:p>
          <w:p w:rsidR="00151097" w:rsidRPr="00D74005" w:rsidRDefault="00B504C2" w:rsidP="00D74005">
            <w:pPr>
              <w:tabs>
                <w:tab w:val="left" w:pos="288"/>
                <w:tab w:val="left" w:pos="576"/>
                <w:tab w:val="left" w:pos="864"/>
                <w:tab w:val="left" w:pos="1152"/>
              </w:tabs>
              <w:suppressAutoHyphens/>
              <w:spacing w:before="40" w:after="80"/>
              <w:rPr>
                <w:spacing w:val="2"/>
              </w:rPr>
            </w:pPr>
            <w:r w:rsidRPr="00D74005">
              <w:rPr>
                <w:spacing w:val="2"/>
                <w:lang w:val="fr-FR"/>
              </w:rPr>
              <w:t>Objectif pour 2016-2017 : réactions positives (d’après la majorité des réponses fournies) de la part des participants aux séminaires, ateliers, conférences et</w:t>
            </w:r>
            <w:r w:rsidR="00D74005" w:rsidRPr="00D74005">
              <w:rPr>
                <w:spacing w:val="2"/>
                <w:lang w:val="fr-FR"/>
              </w:rPr>
              <w:t xml:space="preserve"> </w:t>
            </w:r>
            <w:r w:rsidRPr="00D74005">
              <w:rPr>
                <w:spacing w:val="2"/>
                <w:lang w:val="fr-FR"/>
              </w:rPr>
              <w:t xml:space="preserve">autres manifestations, </w:t>
            </w:r>
            <w:r w:rsidR="00F72632" w:rsidRPr="00D74005">
              <w:rPr>
                <w:spacing w:val="2"/>
                <w:lang w:val="fr-FR"/>
              </w:rPr>
              <w:t>au sujet de l’organisation, des</w:t>
            </w:r>
            <w:r w:rsidR="00D74005" w:rsidRPr="00D74005">
              <w:rPr>
                <w:spacing w:val="2"/>
                <w:lang w:val="fr-FR"/>
              </w:rPr>
              <w:t xml:space="preserve"> </w:t>
            </w:r>
            <w:r w:rsidRPr="00D74005">
              <w:rPr>
                <w:spacing w:val="2"/>
                <w:lang w:val="fr-FR"/>
              </w:rPr>
              <w:t>possibilités de contact et de la qualité des renseignements techniques communiqués et des exposés présenté</w:t>
            </w:r>
            <w:r w:rsidR="004C04FD" w:rsidRPr="00D74005">
              <w:rPr>
                <w:spacing w:val="2"/>
                <w:lang w:val="fr-FR"/>
              </w:rPr>
              <w:t>e</w:t>
            </w:r>
            <w:r w:rsidRPr="00D74005">
              <w:rPr>
                <w:spacing w:val="2"/>
                <w:lang w:val="fr-FR"/>
              </w:rPr>
              <w:t>s</w:t>
            </w:r>
          </w:p>
        </w:tc>
      </w:tr>
      <w:tr w:rsidR="00B504C2" w:rsidRPr="00533D1A" w:rsidTr="00165249">
        <w:tc>
          <w:tcPr>
            <w:tcW w:w="3042" w:type="dxa"/>
            <w:shd w:val="clear" w:color="auto" w:fill="auto"/>
          </w:tcPr>
          <w:p w:rsidR="00B504C2" w:rsidRPr="001D1927" w:rsidRDefault="00B504C2" w:rsidP="006E39DF">
            <w:pPr>
              <w:tabs>
                <w:tab w:val="left" w:pos="288"/>
                <w:tab w:val="left" w:pos="576"/>
                <w:tab w:val="left" w:pos="864"/>
                <w:tab w:val="left" w:pos="1152"/>
              </w:tabs>
              <w:suppressAutoHyphens/>
              <w:spacing w:before="40" w:after="80"/>
              <w:ind w:right="115"/>
              <w:rPr>
                <w:spacing w:val="0"/>
              </w:rPr>
            </w:pPr>
            <w:r w:rsidRPr="001D1927">
              <w:rPr>
                <w:b/>
                <w:spacing w:val="0"/>
                <w:lang w:val="fr-FR"/>
              </w:rPr>
              <w:t>3. RE c)</w:t>
            </w:r>
            <w:r w:rsidRPr="001D1927">
              <w:rPr>
                <w:b/>
                <w:spacing w:val="0"/>
                <w:lang w:val="fr-FR"/>
              </w:rPr>
              <w:tab/>
              <w:t>Renforcement de la capacité des États membres de la</w:t>
            </w:r>
            <w:r w:rsidR="006E39DF">
              <w:rPr>
                <w:b/>
                <w:spacing w:val="0"/>
                <w:lang w:val="fr-FR"/>
              </w:rPr>
              <w:t> </w:t>
            </w:r>
            <w:r w:rsidRPr="001D1927">
              <w:rPr>
                <w:b/>
                <w:spacing w:val="0"/>
                <w:lang w:val="fr-FR"/>
              </w:rPr>
              <w:t>CEE, en particulier des pays en développement sans littoral, en ce</w:t>
            </w:r>
            <w:r w:rsidR="006E39DF">
              <w:rPr>
                <w:b/>
                <w:spacing w:val="0"/>
                <w:lang w:val="fr-FR"/>
              </w:rPr>
              <w:t xml:space="preserve"> </w:t>
            </w:r>
            <w:r w:rsidRPr="001D1927">
              <w:rPr>
                <w:b/>
                <w:spacing w:val="0"/>
                <w:lang w:val="fr-FR"/>
              </w:rPr>
              <w:t>qui concerne le développement des infrastructures destinées au</w:t>
            </w:r>
            <w:r w:rsidR="00F948E5">
              <w:rPr>
                <w:b/>
                <w:spacing w:val="0"/>
                <w:lang w:val="fr-FR"/>
              </w:rPr>
              <w:t xml:space="preserve"> </w:t>
            </w:r>
            <w:r w:rsidRPr="001D1927">
              <w:rPr>
                <w:b/>
                <w:spacing w:val="0"/>
                <w:lang w:val="fr-FR"/>
              </w:rPr>
              <w:t xml:space="preserve">transport paneuropéen et transcontinental et la mise </w:t>
            </w:r>
            <w:r w:rsidR="00F72632" w:rsidRPr="001D1927">
              <w:rPr>
                <w:b/>
                <w:spacing w:val="0"/>
                <w:lang w:val="fr-FR"/>
              </w:rPr>
              <w:t>en place de mesures destinées à</w:t>
            </w:r>
            <w:r w:rsidR="001D1927">
              <w:rPr>
                <w:b/>
                <w:spacing w:val="0"/>
                <w:lang w:val="fr-FR"/>
              </w:rPr>
              <w:t xml:space="preserve"> </w:t>
            </w:r>
            <w:r w:rsidRPr="001D1927">
              <w:rPr>
                <w:b/>
                <w:spacing w:val="0"/>
                <w:lang w:val="fr-FR"/>
              </w:rPr>
              <w:t>faciliter les transports</w:t>
            </w:r>
          </w:p>
        </w:tc>
        <w:tc>
          <w:tcPr>
            <w:tcW w:w="2043"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r>
      <w:tr w:rsidR="00B504C2" w:rsidRPr="00533D1A" w:rsidTr="00165249">
        <w:tc>
          <w:tcPr>
            <w:tcW w:w="3042" w:type="dxa"/>
            <w:shd w:val="clear" w:color="auto" w:fill="auto"/>
          </w:tcPr>
          <w:p w:rsidR="00B504C2" w:rsidRPr="00B16DF0" w:rsidRDefault="00B504C2" w:rsidP="006E39DF">
            <w:pPr>
              <w:tabs>
                <w:tab w:val="left" w:pos="288"/>
                <w:tab w:val="left" w:pos="576"/>
                <w:tab w:val="left" w:pos="864"/>
                <w:tab w:val="left" w:pos="1152"/>
              </w:tabs>
              <w:suppressAutoHyphens/>
              <w:spacing w:before="40" w:after="80"/>
              <w:ind w:right="115"/>
              <w:rPr>
                <w:spacing w:val="2"/>
                <w:lang w:val="fr-CH"/>
              </w:rPr>
            </w:pPr>
            <w:r w:rsidRPr="00B16DF0">
              <w:rPr>
                <w:spacing w:val="2"/>
                <w:lang w:val="fr-FR"/>
              </w:rPr>
              <w:t>IS c) i)</w:t>
            </w:r>
            <w:r w:rsidRPr="00B16DF0">
              <w:rPr>
                <w:spacing w:val="2"/>
                <w:lang w:val="fr-FR"/>
              </w:rPr>
              <w:tab/>
              <w:t>Augmentation du nombre de Parties contractantes aux quatre instruments principaux relatifs aux infrastructures de transport</w:t>
            </w:r>
          </w:p>
          <w:p w:rsidR="00B504C2" w:rsidRPr="006E39DF" w:rsidRDefault="00B504C2" w:rsidP="006E39DF">
            <w:pPr>
              <w:tabs>
                <w:tab w:val="left" w:pos="288"/>
                <w:tab w:val="left" w:pos="576"/>
                <w:tab w:val="left" w:pos="864"/>
                <w:tab w:val="left" w:pos="1152"/>
              </w:tabs>
              <w:suppressAutoHyphens/>
              <w:spacing w:before="40" w:after="80"/>
              <w:ind w:right="115"/>
            </w:pPr>
            <w:r w:rsidRPr="006E39DF">
              <w:rPr>
                <w:i/>
                <w:iCs/>
                <w:lang w:val="fr-FR"/>
              </w:rPr>
              <w:t xml:space="preserve">Mesure des résultats </w:t>
            </w:r>
            <w:r w:rsidRPr="006E39DF">
              <w:rPr>
                <w:lang w:val="fr-FR"/>
              </w:rPr>
              <w:br/>
              <w:t xml:space="preserve">Référence 2015 : </w:t>
            </w:r>
            <w:r w:rsidR="006E39DF">
              <w:rPr>
                <w:lang w:val="fr-FR"/>
              </w:rPr>
              <w:br/>
            </w:r>
            <w:r w:rsidRPr="006E39DF">
              <w:rPr>
                <w:lang w:val="fr-FR"/>
              </w:rPr>
              <w:t>115</w:t>
            </w:r>
            <w:r w:rsidR="00F72632" w:rsidRPr="006E39DF">
              <w:rPr>
                <w:lang w:val="fr-FR"/>
              </w:rPr>
              <w:t> </w:t>
            </w:r>
            <w:r w:rsidRPr="006E39DF">
              <w:rPr>
                <w:lang w:val="fr-FR"/>
              </w:rPr>
              <w:t xml:space="preserve">États parties </w:t>
            </w:r>
            <w:r w:rsidRPr="006E39DF">
              <w:rPr>
                <w:lang w:val="fr-FR"/>
              </w:rPr>
              <w:br/>
              <w:t xml:space="preserve">Objectif 2016-2017 : </w:t>
            </w:r>
            <w:r w:rsidR="006E39DF">
              <w:rPr>
                <w:lang w:val="fr-FR"/>
              </w:rPr>
              <w:br/>
            </w:r>
            <w:r w:rsidRPr="006E39DF">
              <w:rPr>
                <w:lang w:val="fr-FR"/>
              </w:rPr>
              <w:t>116</w:t>
            </w:r>
            <w:r w:rsidR="00F72632" w:rsidRPr="006E39DF">
              <w:rPr>
                <w:lang w:val="fr-FR"/>
              </w:rPr>
              <w:t> </w:t>
            </w:r>
            <w:r w:rsidRPr="006E39DF">
              <w:rPr>
                <w:lang w:val="fr-FR"/>
              </w:rPr>
              <w:t>États parties</w:t>
            </w:r>
          </w:p>
        </w:tc>
        <w:tc>
          <w:tcPr>
            <w:tcW w:w="2043"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r>
      <w:tr w:rsidR="00B504C2" w:rsidRPr="00533D1A" w:rsidTr="00165249">
        <w:tc>
          <w:tcPr>
            <w:tcW w:w="3042" w:type="dxa"/>
            <w:shd w:val="clear" w:color="auto" w:fill="auto"/>
          </w:tcPr>
          <w:p w:rsidR="00B504C2" w:rsidRPr="00B504C2" w:rsidRDefault="00B504C2" w:rsidP="006E39DF">
            <w:pPr>
              <w:keepNext/>
              <w:keepLines/>
              <w:tabs>
                <w:tab w:val="left" w:pos="288"/>
                <w:tab w:val="left" w:pos="576"/>
                <w:tab w:val="left" w:pos="864"/>
                <w:tab w:val="left" w:pos="1152"/>
              </w:tabs>
              <w:suppressAutoHyphens/>
              <w:spacing w:before="40" w:after="80"/>
              <w:ind w:right="115"/>
              <w:rPr>
                <w:lang w:val="fr-CH"/>
              </w:rPr>
            </w:pPr>
            <w:r w:rsidRPr="00B504C2">
              <w:rPr>
                <w:lang w:val="fr-FR"/>
              </w:rPr>
              <w:lastRenderedPageBreak/>
              <w:t>IS</w:t>
            </w:r>
            <w:r>
              <w:rPr>
                <w:lang w:val="fr-FR"/>
              </w:rPr>
              <w:t> </w:t>
            </w:r>
            <w:r w:rsidRPr="00B504C2">
              <w:rPr>
                <w:lang w:val="fr-FR"/>
              </w:rPr>
              <w:t>c)</w:t>
            </w:r>
            <w:r>
              <w:rPr>
                <w:lang w:val="fr-FR"/>
              </w:rPr>
              <w:t> </w:t>
            </w:r>
            <w:r w:rsidRPr="00B504C2">
              <w:rPr>
                <w:lang w:val="fr-FR"/>
              </w:rPr>
              <w:t>ii)</w:t>
            </w:r>
            <w:r>
              <w:rPr>
                <w:lang w:val="fr-FR"/>
              </w:rPr>
              <w:tab/>
            </w:r>
            <w:r w:rsidRPr="00B504C2">
              <w:rPr>
                <w:lang w:val="fr-FR"/>
              </w:rPr>
              <w:t>Augmentation du nombre d’États Membres de l’ONU participant à des projets s</w:t>
            </w:r>
            <w:r w:rsidR="00F72632">
              <w:rPr>
                <w:lang w:val="fr-FR"/>
              </w:rPr>
              <w:t>ous-régionaux de la CEE dans le</w:t>
            </w:r>
            <w:r w:rsidR="006E39DF">
              <w:rPr>
                <w:lang w:val="fr-FR"/>
              </w:rPr>
              <w:t> </w:t>
            </w:r>
            <w:r w:rsidRPr="00B504C2">
              <w:rPr>
                <w:lang w:val="fr-FR"/>
              </w:rPr>
              <w:t>domaine de</w:t>
            </w:r>
            <w:r w:rsidR="00F72632">
              <w:rPr>
                <w:lang w:val="fr-FR"/>
              </w:rPr>
              <w:t>s infrastructures de </w:t>
            </w:r>
            <w:r w:rsidRPr="00B504C2">
              <w:rPr>
                <w:lang w:val="fr-FR"/>
              </w:rPr>
              <w:t>transport</w:t>
            </w:r>
          </w:p>
          <w:p w:rsidR="00B504C2" w:rsidRPr="00533D1A" w:rsidRDefault="00B504C2" w:rsidP="006E39DF">
            <w:pPr>
              <w:keepNext/>
              <w:keepLines/>
              <w:tabs>
                <w:tab w:val="left" w:pos="288"/>
                <w:tab w:val="left" w:pos="576"/>
                <w:tab w:val="left" w:pos="864"/>
                <w:tab w:val="left" w:pos="1152"/>
              </w:tabs>
              <w:suppressAutoHyphens/>
              <w:spacing w:before="40" w:after="80"/>
              <w:ind w:right="115"/>
            </w:pPr>
            <w:r w:rsidRPr="00B504C2">
              <w:rPr>
                <w:i/>
                <w:iCs/>
                <w:lang w:val="fr-FR"/>
              </w:rPr>
              <w:t>Mesure des résultats</w:t>
            </w:r>
            <w:r>
              <w:rPr>
                <w:i/>
                <w:iCs/>
                <w:lang w:val="fr-FR"/>
              </w:rPr>
              <w:t xml:space="preserve"> </w:t>
            </w:r>
            <w:r w:rsidRPr="00B504C2">
              <w:rPr>
                <w:lang w:val="fr-FR"/>
              </w:rPr>
              <w:br/>
              <w:t>Référence 2015</w:t>
            </w:r>
            <w:r>
              <w:rPr>
                <w:lang w:val="fr-FR"/>
              </w:rPr>
              <w:t> </w:t>
            </w:r>
            <w:r w:rsidRPr="00B504C2">
              <w:rPr>
                <w:lang w:val="fr-FR"/>
              </w:rPr>
              <w:t>: 53 pays</w:t>
            </w:r>
            <w:r>
              <w:rPr>
                <w:lang w:val="fr-FR"/>
              </w:rPr>
              <w:t xml:space="preserve"> </w:t>
            </w:r>
            <w:r w:rsidRPr="00B504C2">
              <w:rPr>
                <w:lang w:val="fr-FR"/>
              </w:rPr>
              <w:br/>
              <w:t>Objectif 2016</w:t>
            </w:r>
            <w:r>
              <w:rPr>
                <w:lang w:val="fr-FR"/>
              </w:rPr>
              <w:t>-</w:t>
            </w:r>
            <w:r w:rsidRPr="00B504C2">
              <w:rPr>
                <w:lang w:val="fr-FR"/>
              </w:rPr>
              <w:t>2017</w:t>
            </w:r>
            <w:r>
              <w:rPr>
                <w:lang w:val="fr-FR"/>
              </w:rPr>
              <w:t> </w:t>
            </w:r>
            <w:r w:rsidRPr="00B504C2">
              <w:rPr>
                <w:lang w:val="fr-FR"/>
              </w:rPr>
              <w:t>: 55</w:t>
            </w:r>
            <w:r w:rsidR="00F72632">
              <w:rPr>
                <w:lang w:val="fr-FR"/>
              </w:rPr>
              <w:t> </w:t>
            </w:r>
            <w:r w:rsidRPr="00B504C2">
              <w:rPr>
                <w:lang w:val="fr-FR"/>
              </w:rPr>
              <w:t>pays</w:t>
            </w:r>
          </w:p>
        </w:tc>
        <w:tc>
          <w:tcPr>
            <w:tcW w:w="2043" w:type="dxa"/>
            <w:shd w:val="clear" w:color="auto" w:fill="auto"/>
          </w:tcPr>
          <w:p w:rsidR="00B504C2" w:rsidRPr="00B504C2" w:rsidRDefault="008130E6" w:rsidP="006E39DF">
            <w:pPr>
              <w:keepNext/>
              <w:keepLines/>
              <w:tabs>
                <w:tab w:val="left" w:pos="288"/>
                <w:tab w:val="left" w:pos="576"/>
                <w:tab w:val="left" w:pos="864"/>
                <w:tab w:val="left" w:pos="1152"/>
              </w:tabs>
              <w:suppressAutoHyphens/>
              <w:spacing w:before="40" w:after="80"/>
              <w:ind w:left="576" w:right="115" w:hanging="576"/>
              <w:rPr>
                <w:lang w:val="fr-CH"/>
              </w:rPr>
            </w:pPr>
            <w:r>
              <w:rPr>
                <w:lang w:val="fr-FR"/>
              </w:rPr>
              <w:t>2</w:t>
            </w:r>
            <w:r w:rsidR="00B504C2">
              <w:rPr>
                <w:lang w:val="fr-FR"/>
              </w:rPr>
              <w:t> </w:t>
            </w:r>
            <w:r w:rsidR="00B504C2" w:rsidRPr="00B504C2">
              <w:rPr>
                <w:lang w:val="fr-FR"/>
              </w:rPr>
              <w:t>b</w:t>
            </w:r>
            <w:r>
              <w:rPr>
                <w:lang w:val="fr-FR"/>
              </w:rPr>
              <w:t>)</w:t>
            </w:r>
            <w:r w:rsidR="00B504C2">
              <w:rPr>
                <w:lang w:val="fr-FR"/>
              </w:rPr>
              <w:tab/>
            </w:r>
            <w:r w:rsidR="00B504C2" w:rsidRPr="00B504C2">
              <w:rPr>
                <w:lang w:val="fr-FR"/>
              </w:rPr>
              <w:t xml:space="preserve">Tendances et économie des transports </w:t>
            </w:r>
            <w:r w:rsidR="00F72632">
              <w:rPr>
                <w:lang w:val="fr-FR"/>
              </w:rPr>
              <w:t>–</w:t>
            </w:r>
            <w:r w:rsidR="00B504C2" w:rsidRPr="00B504C2">
              <w:rPr>
                <w:lang w:val="fr-FR"/>
              </w:rPr>
              <w:t xml:space="preserve"> Liaisons de</w:t>
            </w:r>
            <w:r w:rsidR="007F242A">
              <w:t xml:space="preserve"> </w:t>
            </w:r>
            <w:r w:rsidR="00B504C2" w:rsidRPr="00B504C2">
              <w:rPr>
                <w:lang w:val="fr-FR"/>
              </w:rPr>
              <w:t>transport Europe</w:t>
            </w:r>
            <w:r w:rsidR="00B504C2">
              <w:rPr>
                <w:lang w:val="fr-FR"/>
              </w:rPr>
              <w:t>-</w:t>
            </w:r>
            <w:r w:rsidR="00B504C2" w:rsidRPr="00B504C2">
              <w:rPr>
                <w:lang w:val="fr-FR"/>
              </w:rPr>
              <w:t>Asie</w:t>
            </w:r>
          </w:p>
          <w:p w:rsidR="00B504C2" w:rsidRPr="00533D1A" w:rsidRDefault="00B504C2" w:rsidP="006E39DF">
            <w:pPr>
              <w:keepNext/>
              <w:keepLines/>
              <w:tabs>
                <w:tab w:val="left" w:pos="288"/>
                <w:tab w:val="left" w:pos="576"/>
                <w:tab w:val="left" w:pos="864"/>
                <w:tab w:val="left" w:pos="1152"/>
              </w:tabs>
              <w:suppressAutoHyphens/>
              <w:spacing w:before="40" w:after="80"/>
              <w:ind w:right="115"/>
            </w:pPr>
          </w:p>
        </w:tc>
        <w:tc>
          <w:tcPr>
            <w:tcW w:w="4941" w:type="dxa"/>
            <w:shd w:val="clear" w:color="auto" w:fill="auto"/>
          </w:tcPr>
          <w:p w:rsidR="00B504C2" w:rsidRPr="00B504C2" w:rsidRDefault="00B504C2" w:rsidP="006E39DF">
            <w:pPr>
              <w:keepNext/>
              <w:keepLines/>
              <w:tabs>
                <w:tab w:val="left" w:pos="288"/>
                <w:tab w:val="left" w:pos="576"/>
                <w:tab w:val="left" w:pos="864"/>
                <w:tab w:val="left" w:pos="1152"/>
              </w:tabs>
              <w:suppressAutoHyphens/>
              <w:spacing w:before="40" w:after="80"/>
              <w:ind w:right="115"/>
              <w:rPr>
                <w:lang w:val="fr-CH"/>
              </w:rPr>
            </w:pPr>
            <w:r w:rsidRPr="00B504C2">
              <w:rPr>
                <w:lang w:val="fr-FR"/>
              </w:rPr>
              <w:t>RE</w:t>
            </w:r>
            <w:r>
              <w:rPr>
                <w:lang w:val="fr-FR"/>
              </w:rPr>
              <w:t> </w:t>
            </w:r>
            <w:r w:rsidR="008130E6">
              <w:rPr>
                <w:lang w:val="fr-FR"/>
              </w:rPr>
              <w:t>2</w:t>
            </w:r>
            <w:r>
              <w:rPr>
                <w:lang w:val="fr-FR"/>
              </w:rPr>
              <w:t> b</w:t>
            </w:r>
            <w:r w:rsidR="008130E6">
              <w:rPr>
                <w:lang w:val="fr-FR"/>
              </w:rPr>
              <w:t>)</w:t>
            </w:r>
            <w:r>
              <w:rPr>
                <w:lang w:val="fr-FR"/>
              </w:rPr>
              <w:tab/>
            </w:r>
            <w:r w:rsidRPr="00B504C2">
              <w:rPr>
                <w:lang w:val="fr-FR"/>
              </w:rPr>
              <w:t>Renforcement de la coopération dans le cadre du développement des liaisons de transport entre l’Europe et l’</w:t>
            </w:r>
            <w:r>
              <w:rPr>
                <w:lang w:val="fr-FR"/>
              </w:rPr>
              <w:t>Asie</w:t>
            </w:r>
          </w:p>
          <w:p w:rsidR="00B504C2" w:rsidRPr="00533D1A" w:rsidRDefault="008130E6" w:rsidP="006E39DF">
            <w:pPr>
              <w:keepNext/>
              <w:keepLines/>
              <w:tabs>
                <w:tab w:val="left" w:pos="288"/>
                <w:tab w:val="left" w:pos="576"/>
                <w:tab w:val="left" w:pos="864"/>
                <w:tab w:val="left" w:pos="1152"/>
              </w:tabs>
              <w:suppressAutoHyphens/>
              <w:spacing w:before="40" w:after="80"/>
              <w:ind w:right="115"/>
            </w:pPr>
            <w:r w:rsidRPr="006E39DF">
              <w:rPr>
                <w:spacing w:val="-8"/>
                <w:w w:val="100"/>
                <w:lang w:val="fr-FR"/>
              </w:rPr>
              <w:t>IS 2</w:t>
            </w:r>
            <w:r w:rsidR="00B504C2" w:rsidRPr="006E39DF">
              <w:rPr>
                <w:spacing w:val="-8"/>
                <w:w w:val="100"/>
                <w:lang w:val="fr-FR"/>
              </w:rPr>
              <w:t> b</w:t>
            </w:r>
            <w:r w:rsidRPr="006E39DF">
              <w:rPr>
                <w:spacing w:val="-8"/>
                <w:w w:val="100"/>
                <w:lang w:val="fr-FR"/>
              </w:rPr>
              <w:t>)</w:t>
            </w:r>
            <w:r w:rsidR="00B504C2" w:rsidRPr="006E39DF">
              <w:rPr>
                <w:spacing w:val="-8"/>
                <w:w w:val="100"/>
                <w:lang w:val="fr-FR"/>
              </w:rPr>
              <w:t> a)</w:t>
            </w:r>
            <w:r w:rsidR="00B504C2" w:rsidRPr="00F72632">
              <w:rPr>
                <w:spacing w:val="0"/>
                <w:lang w:val="fr-FR"/>
              </w:rPr>
              <w:tab/>
            </w:r>
            <w:r w:rsidR="00B504C2" w:rsidRPr="00B504C2">
              <w:rPr>
                <w:lang w:val="fr-FR"/>
              </w:rPr>
              <w:t>Progrès accomplis dans l’établissement d’un mécanisme de coopération aux fins du développement des liaisons de transport entre l’Europe et l’Asie</w:t>
            </w:r>
          </w:p>
        </w:tc>
      </w:tr>
      <w:tr w:rsidR="00B504C2" w:rsidRPr="00533D1A" w:rsidTr="00165249">
        <w:tc>
          <w:tcPr>
            <w:tcW w:w="3042" w:type="dxa"/>
            <w:shd w:val="clear" w:color="auto" w:fill="auto"/>
          </w:tcPr>
          <w:p w:rsidR="00B504C2" w:rsidRPr="00533D1A" w:rsidRDefault="00B504C2" w:rsidP="006E39DF">
            <w:pPr>
              <w:keepNext/>
              <w:keepLines/>
              <w:tabs>
                <w:tab w:val="left" w:pos="288"/>
                <w:tab w:val="left" w:pos="576"/>
                <w:tab w:val="left" w:pos="864"/>
                <w:tab w:val="left" w:pos="1152"/>
              </w:tabs>
              <w:suppressAutoHyphens/>
              <w:spacing w:before="40" w:after="80"/>
              <w:ind w:right="115"/>
            </w:pPr>
          </w:p>
        </w:tc>
        <w:tc>
          <w:tcPr>
            <w:tcW w:w="2043" w:type="dxa"/>
            <w:shd w:val="clear" w:color="auto" w:fill="auto"/>
          </w:tcPr>
          <w:p w:rsidR="007F242A" w:rsidRDefault="008130E6" w:rsidP="006E39DF">
            <w:pPr>
              <w:keepNext/>
              <w:keepLines/>
              <w:tabs>
                <w:tab w:val="left" w:pos="288"/>
                <w:tab w:val="left" w:pos="576"/>
                <w:tab w:val="left" w:pos="864"/>
                <w:tab w:val="left" w:pos="1152"/>
              </w:tabs>
              <w:suppressAutoHyphens/>
              <w:spacing w:before="40" w:after="80"/>
              <w:ind w:left="576" w:right="115" w:hanging="576"/>
              <w:rPr>
                <w:lang w:val="fr-FR"/>
              </w:rPr>
            </w:pPr>
            <w:r>
              <w:rPr>
                <w:lang w:val="fr-FR"/>
              </w:rPr>
              <w:t>4</w:t>
            </w:r>
            <w:r w:rsidR="00B504C2">
              <w:rPr>
                <w:lang w:val="fr-FR"/>
              </w:rPr>
              <w:t> </w:t>
            </w:r>
            <w:r w:rsidR="00B504C2" w:rsidRPr="00B504C2">
              <w:rPr>
                <w:lang w:val="fr-FR"/>
              </w:rPr>
              <w:t>b</w:t>
            </w:r>
            <w:r>
              <w:rPr>
                <w:lang w:val="fr-FR"/>
              </w:rPr>
              <w:t>)</w:t>
            </w:r>
            <w:r w:rsidR="00B504C2" w:rsidRPr="00B504C2">
              <w:rPr>
                <w:lang w:val="fr-FR"/>
              </w:rPr>
              <w:tab/>
              <w:t>Transport ferroviaire et</w:t>
            </w:r>
          </w:p>
          <w:p w:rsidR="00B504C2" w:rsidRPr="00533D1A" w:rsidRDefault="008130E6" w:rsidP="006E39DF">
            <w:pPr>
              <w:keepNext/>
              <w:keepLines/>
              <w:tabs>
                <w:tab w:val="left" w:pos="288"/>
                <w:tab w:val="left" w:pos="576"/>
                <w:tab w:val="left" w:pos="864"/>
                <w:tab w:val="left" w:pos="1152"/>
              </w:tabs>
              <w:suppressAutoHyphens/>
              <w:spacing w:before="40" w:after="80"/>
              <w:ind w:left="576" w:right="115" w:hanging="576"/>
            </w:pPr>
            <w:r>
              <w:rPr>
                <w:lang w:val="fr-FR"/>
              </w:rPr>
              <w:t>14</w:t>
            </w:r>
            <w:r w:rsidR="007D2821">
              <w:rPr>
                <w:lang w:val="fr-FR"/>
              </w:rPr>
              <w:t> </w:t>
            </w:r>
            <w:r w:rsidR="00B504C2" w:rsidRPr="00B504C2">
              <w:rPr>
                <w:lang w:val="fr-FR"/>
              </w:rPr>
              <w:t>b</w:t>
            </w:r>
            <w:r>
              <w:rPr>
                <w:lang w:val="fr-FR"/>
              </w:rPr>
              <w:t>)</w:t>
            </w:r>
            <w:r w:rsidR="007D2821">
              <w:rPr>
                <w:lang w:val="fr-FR"/>
              </w:rPr>
              <w:tab/>
            </w:r>
            <w:r w:rsidR="00B504C2" w:rsidRPr="00B504C2">
              <w:rPr>
                <w:lang w:val="fr-FR"/>
              </w:rPr>
              <w:t>Transport routier (projets TEM et TER)</w:t>
            </w:r>
          </w:p>
        </w:tc>
        <w:tc>
          <w:tcPr>
            <w:tcW w:w="4941" w:type="dxa"/>
            <w:shd w:val="clear" w:color="auto" w:fill="auto"/>
          </w:tcPr>
          <w:p w:rsidR="007D2821" w:rsidRPr="007D2821" w:rsidRDefault="008130E6" w:rsidP="006E39DF">
            <w:pPr>
              <w:keepNext/>
              <w:keepLines/>
              <w:tabs>
                <w:tab w:val="left" w:pos="288"/>
                <w:tab w:val="left" w:pos="576"/>
                <w:tab w:val="left" w:pos="864"/>
                <w:tab w:val="left" w:pos="1152"/>
              </w:tabs>
              <w:suppressAutoHyphens/>
              <w:spacing w:before="40" w:after="80"/>
              <w:ind w:right="115"/>
              <w:rPr>
                <w:lang w:val="fr-CH"/>
              </w:rPr>
            </w:pPr>
            <w:r w:rsidRPr="006E39DF">
              <w:rPr>
                <w:spacing w:val="-10"/>
                <w:w w:val="100"/>
                <w:lang w:val="fr-FR"/>
              </w:rPr>
              <w:t>RE 4</w:t>
            </w:r>
            <w:r w:rsidR="007D2821" w:rsidRPr="006E39DF">
              <w:rPr>
                <w:spacing w:val="-10"/>
                <w:w w:val="100"/>
                <w:lang w:val="fr-FR"/>
              </w:rPr>
              <w:t> b/14 b)</w:t>
            </w:r>
            <w:r w:rsidR="007D2821">
              <w:rPr>
                <w:lang w:val="fr-FR"/>
              </w:rPr>
              <w:tab/>
            </w:r>
            <w:r w:rsidR="007D2821" w:rsidRPr="007D2821">
              <w:rPr>
                <w:lang w:val="fr-FR"/>
              </w:rPr>
              <w:t xml:space="preserve">Accroissement des capacités des pays </w:t>
            </w:r>
            <w:r w:rsidR="007D2821" w:rsidRPr="003F2EDB">
              <w:rPr>
                <w:spacing w:val="2"/>
                <w:lang w:val="fr-FR"/>
              </w:rPr>
              <w:t>membres de la CEE participant aux projets TEM et TER</w:t>
            </w:r>
          </w:p>
          <w:p w:rsidR="007D2821" w:rsidRPr="007D2821" w:rsidRDefault="007D2821" w:rsidP="006E39DF">
            <w:pPr>
              <w:keepNext/>
              <w:keepLines/>
              <w:tabs>
                <w:tab w:val="left" w:pos="288"/>
                <w:tab w:val="left" w:pos="576"/>
                <w:tab w:val="left" w:pos="864"/>
                <w:tab w:val="left" w:pos="1152"/>
              </w:tabs>
              <w:suppressAutoHyphens/>
              <w:spacing w:before="40" w:after="80"/>
              <w:ind w:right="115"/>
              <w:rPr>
                <w:lang w:val="fr-CH"/>
              </w:rPr>
            </w:pPr>
            <w:r w:rsidRPr="006E39DF">
              <w:rPr>
                <w:spacing w:val="-6"/>
                <w:w w:val="100"/>
                <w:lang w:val="fr-FR"/>
              </w:rPr>
              <w:t>IS 3/6 a)</w:t>
            </w:r>
            <w:r>
              <w:rPr>
                <w:lang w:val="fr-FR"/>
              </w:rPr>
              <w:tab/>
            </w:r>
            <w:r w:rsidRPr="007D2821">
              <w:rPr>
                <w:lang w:val="fr-FR"/>
              </w:rPr>
              <w:t>Nombre de pays membres de la CEE participant aux projets TEM et TER</w:t>
            </w:r>
          </w:p>
          <w:p w:rsidR="00B504C2" w:rsidRPr="00533D1A" w:rsidRDefault="007D2821" w:rsidP="006E39DF">
            <w:pPr>
              <w:keepNext/>
              <w:keepLines/>
              <w:tabs>
                <w:tab w:val="left" w:pos="288"/>
                <w:tab w:val="left" w:pos="576"/>
                <w:tab w:val="left" w:pos="864"/>
                <w:tab w:val="left" w:pos="1152"/>
              </w:tabs>
              <w:suppressAutoHyphens/>
              <w:spacing w:before="40" w:after="80"/>
              <w:ind w:right="115"/>
            </w:pPr>
            <w:r w:rsidRPr="007D2821">
              <w:rPr>
                <w:i/>
                <w:iCs/>
                <w:lang w:val="fr-FR"/>
              </w:rPr>
              <w:t>Mesure des résultats</w:t>
            </w:r>
            <w:r w:rsidR="003D5433">
              <w:rPr>
                <w:iCs/>
                <w:lang w:val="fr-FR"/>
              </w:rPr>
              <w:t> </w:t>
            </w:r>
            <w:r w:rsidRPr="007D2821">
              <w:rPr>
                <w:iCs/>
                <w:lang w:val="fr-FR"/>
              </w:rPr>
              <w:t>:</w:t>
            </w:r>
            <w:r>
              <w:rPr>
                <w:i/>
                <w:iCs/>
                <w:lang w:val="fr-FR"/>
              </w:rPr>
              <w:t xml:space="preserve"> </w:t>
            </w:r>
            <w:r w:rsidRPr="007D2821">
              <w:rPr>
                <w:lang w:val="fr-FR"/>
              </w:rPr>
              <w:br/>
            </w:r>
            <w:r w:rsidRPr="00B16DF0">
              <w:rPr>
                <w:spacing w:val="2"/>
                <w:lang w:val="fr-FR"/>
              </w:rPr>
              <w:t>Référence 2014-2015 : 12 pays (TEM) + 14 pays (TER)</w:t>
            </w:r>
            <w:r>
              <w:rPr>
                <w:lang w:val="fr-FR"/>
              </w:rPr>
              <w:t xml:space="preserve"> </w:t>
            </w:r>
            <w:r w:rsidRPr="007D2821">
              <w:rPr>
                <w:lang w:val="fr-FR"/>
              </w:rPr>
              <w:br/>
              <w:t>Objectif 2016</w:t>
            </w:r>
            <w:r>
              <w:rPr>
                <w:lang w:val="fr-FR"/>
              </w:rPr>
              <w:t>-</w:t>
            </w:r>
            <w:r w:rsidRPr="007D2821">
              <w:rPr>
                <w:lang w:val="fr-FR"/>
              </w:rPr>
              <w:t>2017</w:t>
            </w:r>
            <w:r>
              <w:rPr>
                <w:lang w:val="fr-FR"/>
              </w:rPr>
              <w:t> </w:t>
            </w:r>
            <w:r w:rsidRPr="007D2821">
              <w:rPr>
                <w:lang w:val="fr-FR"/>
              </w:rPr>
              <w:t>: 12 pays (TEM) + 15 pays (TER)</w:t>
            </w:r>
          </w:p>
        </w:tc>
      </w:tr>
      <w:tr w:rsidR="00B504C2" w:rsidRPr="00533D1A" w:rsidTr="00165249">
        <w:tc>
          <w:tcPr>
            <w:tcW w:w="3042" w:type="dxa"/>
            <w:shd w:val="clear" w:color="auto" w:fill="auto"/>
          </w:tcPr>
          <w:p w:rsidR="00B504C2" w:rsidRPr="00533D1A" w:rsidRDefault="003322F2" w:rsidP="006E39DF">
            <w:pPr>
              <w:tabs>
                <w:tab w:val="left" w:pos="288"/>
                <w:tab w:val="left" w:pos="576"/>
                <w:tab w:val="left" w:pos="864"/>
                <w:tab w:val="left" w:pos="1152"/>
              </w:tabs>
              <w:suppressAutoHyphens/>
              <w:spacing w:before="40" w:after="80"/>
              <w:ind w:right="115"/>
            </w:pPr>
            <w:r w:rsidRPr="003322F2">
              <w:rPr>
                <w:b/>
                <w:lang w:val="fr-FR"/>
              </w:rPr>
              <w:t>4.</w:t>
            </w:r>
            <w:r>
              <w:rPr>
                <w:b/>
                <w:lang w:val="fr-FR"/>
              </w:rPr>
              <w:t> RE </w:t>
            </w:r>
            <w:r w:rsidRPr="003322F2">
              <w:rPr>
                <w:b/>
                <w:lang w:val="fr-FR"/>
              </w:rPr>
              <w:t>d)</w:t>
            </w:r>
            <w:r>
              <w:rPr>
                <w:b/>
                <w:lang w:val="fr-FR"/>
              </w:rPr>
              <w:tab/>
            </w:r>
            <w:r w:rsidRPr="003322F2">
              <w:rPr>
                <w:lang w:val="fr-FR"/>
              </w:rPr>
              <w:t xml:space="preserve">Renforcement de la capacité à mettre en </w:t>
            </w:r>
            <w:r w:rsidR="003F2EDB">
              <w:rPr>
                <w:lang w:val="fr-FR"/>
              </w:rPr>
              <w:t xml:space="preserve">œuvre </w:t>
            </w:r>
            <w:r w:rsidRPr="003322F2">
              <w:rPr>
                <w:lang w:val="fr-FR"/>
              </w:rPr>
              <w:t>les instruments juridiques, normes et</w:t>
            </w:r>
            <w:r w:rsidR="003F2EDB">
              <w:rPr>
                <w:lang w:val="fr-FR"/>
              </w:rPr>
              <w:t> </w:t>
            </w:r>
            <w:r w:rsidRPr="003322F2">
              <w:rPr>
                <w:lang w:val="fr-FR"/>
              </w:rPr>
              <w:t>autres textes pertinents de la CEE, en particulier dans les pays d’Europe orientale et d’Europe du Sud-Est et des pays du Caucase et d’Asie centrale</w:t>
            </w:r>
          </w:p>
        </w:tc>
        <w:tc>
          <w:tcPr>
            <w:tcW w:w="2043" w:type="dxa"/>
            <w:shd w:val="clear" w:color="auto" w:fill="auto"/>
          </w:tcPr>
          <w:p w:rsidR="00B504C2" w:rsidRPr="00533D1A" w:rsidRDefault="007F242A" w:rsidP="007F242A">
            <w:pPr>
              <w:tabs>
                <w:tab w:val="left" w:pos="288"/>
                <w:tab w:val="left" w:pos="576"/>
                <w:tab w:val="left" w:pos="864"/>
                <w:tab w:val="left" w:pos="1152"/>
              </w:tabs>
              <w:suppressAutoHyphens/>
              <w:spacing w:before="40" w:after="80"/>
              <w:ind w:left="576" w:right="115" w:hanging="576"/>
            </w:pPr>
            <w:r>
              <w:rPr>
                <w:lang w:val="fr-FR"/>
              </w:rPr>
              <w:tab/>
            </w:r>
            <w:r>
              <w:rPr>
                <w:lang w:val="fr-FR"/>
              </w:rPr>
              <w:tab/>
            </w:r>
            <w:r w:rsidR="003322F2" w:rsidRPr="003322F2">
              <w:rPr>
                <w:lang w:val="fr-FR"/>
              </w:rPr>
              <w:t>Tous les groupes</w:t>
            </w:r>
          </w:p>
        </w:tc>
        <w:tc>
          <w:tcPr>
            <w:tcW w:w="4941" w:type="dxa"/>
            <w:shd w:val="clear" w:color="auto" w:fill="auto"/>
          </w:tcPr>
          <w:p w:rsidR="003322F2" w:rsidRPr="003322F2" w:rsidRDefault="003322F2" w:rsidP="003F2EDB">
            <w:pPr>
              <w:tabs>
                <w:tab w:val="left" w:pos="288"/>
                <w:tab w:val="left" w:pos="576"/>
                <w:tab w:val="left" w:pos="864"/>
                <w:tab w:val="left" w:pos="1152"/>
              </w:tabs>
              <w:suppressAutoHyphens/>
              <w:spacing w:before="40" w:after="80"/>
              <w:ind w:right="115"/>
              <w:rPr>
                <w:lang w:val="fr-CH"/>
              </w:rPr>
            </w:pPr>
            <w:r w:rsidRPr="003322F2">
              <w:rPr>
                <w:lang w:val="fr-FR"/>
              </w:rPr>
              <w:t>RE</w:t>
            </w:r>
            <w:r>
              <w:rPr>
                <w:lang w:val="fr-FR"/>
              </w:rPr>
              <w:t> </w:t>
            </w:r>
            <w:r w:rsidRPr="003322F2">
              <w:rPr>
                <w:lang w:val="fr-FR"/>
              </w:rPr>
              <w:t>d)</w:t>
            </w:r>
            <w:r>
              <w:rPr>
                <w:lang w:val="fr-FR"/>
              </w:rPr>
              <w:tab/>
            </w:r>
            <w:r w:rsidR="003F2EDB">
              <w:rPr>
                <w:lang w:val="fr-FR"/>
              </w:rPr>
              <w:tab/>
            </w:r>
            <w:r w:rsidRPr="003322F2">
              <w:rPr>
                <w:lang w:val="fr-FR"/>
              </w:rPr>
              <w:t>Accroissement des effets des activités de renforcement des capacités en matière de transport menées par la CEE</w:t>
            </w:r>
          </w:p>
          <w:p w:rsidR="003322F2" w:rsidRPr="003322F2" w:rsidRDefault="003322F2" w:rsidP="003F2EDB">
            <w:pPr>
              <w:tabs>
                <w:tab w:val="left" w:pos="288"/>
                <w:tab w:val="left" w:pos="576"/>
                <w:tab w:val="left" w:pos="864"/>
                <w:tab w:val="left" w:pos="1152"/>
              </w:tabs>
              <w:suppressAutoHyphens/>
              <w:spacing w:before="40" w:after="80"/>
              <w:ind w:right="115"/>
              <w:rPr>
                <w:lang w:val="fr-CH"/>
              </w:rPr>
            </w:pPr>
            <w:r w:rsidRPr="003322F2">
              <w:rPr>
                <w:lang w:val="fr-FR"/>
              </w:rPr>
              <w:t>IS</w:t>
            </w:r>
            <w:r>
              <w:rPr>
                <w:lang w:val="fr-FR"/>
              </w:rPr>
              <w:t> </w:t>
            </w:r>
            <w:r w:rsidRPr="003322F2">
              <w:rPr>
                <w:lang w:val="fr-FR"/>
              </w:rPr>
              <w:t>d)</w:t>
            </w:r>
            <w:r>
              <w:rPr>
                <w:lang w:val="fr-FR"/>
              </w:rPr>
              <w:tab/>
            </w:r>
            <w:r w:rsidR="003F2EDB">
              <w:rPr>
                <w:lang w:val="fr-FR"/>
              </w:rPr>
              <w:tab/>
            </w:r>
            <w:r w:rsidRPr="003322F2">
              <w:rPr>
                <w:lang w:val="fr-FR"/>
              </w:rPr>
              <w:t xml:space="preserve">Taux de satisfaction (activités </w:t>
            </w:r>
            <w:r>
              <w:rPr>
                <w:lang w:val="fr-FR"/>
              </w:rPr>
              <w:t>« </w:t>
            </w:r>
            <w:r w:rsidRPr="003322F2">
              <w:rPr>
                <w:lang w:val="fr-FR"/>
              </w:rPr>
              <w:t xml:space="preserve">utiles » ou </w:t>
            </w:r>
            <w:r>
              <w:rPr>
                <w:lang w:val="fr-FR"/>
              </w:rPr>
              <w:t>« </w:t>
            </w:r>
            <w:r w:rsidRPr="003322F2">
              <w:rPr>
                <w:lang w:val="fr-FR"/>
              </w:rPr>
              <w:t>très utiles ») pour l’ensemble des participants aux activités de renforcement des capacités</w:t>
            </w:r>
          </w:p>
          <w:p w:rsidR="00B504C2" w:rsidRPr="00533D1A" w:rsidRDefault="003322F2" w:rsidP="003F2EDB">
            <w:pPr>
              <w:tabs>
                <w:tab w:val="left" w:pos="288"/>
                <w:tab w:val="left" w:pos="576"/>
                <w:tab w:val="left" w:pos="864"/>
                <w:tab w:val="left" w:pos="1152"/>
              </w:tabs>
              <w:suppressAutoHyphens/>
              <w:spacing w:before="40" w:after="80"/>
              <w:ind w:right="115"/>
            </w:pPr>
            <w:r w:rsidRPr="003322F2">
              <w:rPr>
                <w:i/>
                <w:iCs/>
                <w:lang w:val="fr-FR"/>
              </w:rPr>
              <w:t>Mesure des résultats</w:t>
            </w:r>
            <w:r w:rsidRPr="003322F2">
              <w:rPr>
                <w:iCs/>
                <w:lang w:val="fr-FR"/>
              </w:rPr>
              <w:t> :</w:t>
            </w:r>
            <w:r>
              <w:rPr>
                <w:i/>
                <w:iCs/>
                <w:lang w:val="fr-FR"/>
              </w:rPr>
              <w:t xml:space="preserve"> </w:t>
            </w:r>
            <w:r w:rsidRPr="003322F2">
              <w:rPr>
                <w:lang w:val="fr-FR"/>
              </w:rPr>
              <w:br/>
              <w:t>Référence 2014-2015</w:t>
            </w:r>
            <w:r>
              <w:rPr>
                <w:lang w:val="fr-FR"/>
              </w:rPr>
              <w:t> </w:t>
            </w:r>
            <w:r w:rsidRPr="003322F2">
              <w:rPr>
                <w:lang w:val="fr-FR"/>
              </w:rPr>
              <w:t>: 80</w:t>
            </w:r>
            <w:r>
              <w:rPr>
                <w:lang w:val="fr-FR"/>
              </w:rPr>
              <w:t> </w:t>
            </w:r>
            <w:r w:rsidRPr="003322F2">
              <w:rPr>
                <w:lang w:val="fr-FR"/>
              </w:rPr>
              <w:t>%</w:t>
            </w:r>
            <w:r>
              <w:rPr>
                <w:lang w:val="fr-FR"/>
              </w:rPr>
              <w:t xml:space="preserve"> </w:t>
            </w:r>
            <w:r w:rsidRPr="003322F2">
              <w:rPr>
                <w:lang w:val="fr-FR"/>
              </w:rPr>
              <w:br/>
              <w:t>Objectif 2016</w:t>
            </w:r>
            <w:r>
              <w:rPr>
                <w:lang w:val="fr-FR"/>
              </w:rPr>
              <w:t>-</w:t>
            </w:r>
            <w:r w:rsidRPr="003322F2">
              <w:rPr>
                <w:lang w:val="fr-FR"/>
              </w:rPr>
              <w:t>2017</w:t>
            </w:r>
            <w:r>
              <w:rPr>
                <w:lang w:val="fr-FR"/>
              </w:rPr>
              <w:t> </w:t>
            </w:r>
            <w:r w:rsidRPr="003322F2">
              <w:rPr>
                <w:lang w:val="fr-FR"/>
              </w:rPr>
              <w:t xml:space="preserve">: </w:t>
            </w:r>
            <w:r w:rsidR="003F2EDB">
              <w:rPr>
                <w:lang w:val="fr-FR"/>
              </w:rPr>
              <w:t>s</w:t>
            </w:r>
            <w:r w:rsidRPr="003322F2">
              <w:rPr>
                <w:lang w:val="fr-FR"/>
              </w:rPr>
              <w:t>ans objet</w:t>
            </w:r>
          </w:p>
        </w:tc>
      </w:tr>
      <w:tr w:rsidR="00B504C2" w:rsidRPr="00533D1A" w:rsidTr="00165249">
        <w:tc>
          <w:tcPr>
            <w:tcW w:w="3042" w:type="dxa"/>
            <w:shd w:val="clear" w:color="auto" w:fill="auto"/>
          </w:tcPr>
          <w:p w:rsidR="00ED4870" w:rsidRPr="00ED4870" w:rsidRDefault="00ED4870" w:rsidP="003F2EDB">
            <w:pPr>
              <w:tabs>
                <w:tab w:val="left" w:pos="288"/>
                <w:tab w:val="left" w:pos="576"/>
                <w:tab w:val="left" w:pos="864"/>
                <w:tab w:val="left" w:pos="1152"/>
              </w:tabs>
              <w:suppressAutoHyphens/>
              <w:spacing w:before="40" w:after="80"/>
              <w:ind w:right="115"/>
              <w:rPr>
                <w:lang w:val="fr-CH"/>
              </w:rPr>
            </w:pPr>
            <w:r>
              <w:rPr>
                <w:lang w:val="fr-FR"/>
              </w:rPr>
              <w:t>IS </w:t>
            </w:r>
            <w:r w:rsidRPr="00ED4870">
              <w:rPr>
                <w:lang w:val="fr-FR"/>
              </w:rPr>
              <w:t>d)</w:t>
            </w:r>
            <w:r>
              <w:rPr>
                <w:lang w:val="fr-FR"/>
              </w:rPr>
              <w:t> </w:t>
            </w:r>
            <w:r w:rsidRPr="00ED4870">
              <w:rPr>
                <w:lang w:val="fr-FR"/>
              </w:rPr>
              <w:t>i)</w:t>
            </w:r>
            <w:r>
              <w:rPr>
                <w:lang w:val="fr-FR"/>
              </w:rPr>
              <w:tab/>
            </w:r>
            <w:r w:rsidRPr="00ED4870">
              <w:rPr>
                <w:lang w:val="fr-FR"/>
              </w:rPr>
              <w:t>Nombre d’activités de</w:t>
            </w:r>
            <w:r w:rsidR="005A6497">
              <w:rPr>
                <w:lang w:val="fr-FR"/>
              </w:rPr>
              <w:t> renforcement des capacités en </w:t>
            </w:r>
            <w:r w:rsidRPr="00ED4870">
              <w:rPr>
                <w:lang w:val="fr-FR"/>
              </w:rPr>
              <w:t>matière de transport</w:t>
            </w:r>
          </w:p>
          <w:p w:rsidR="00B504C2" w:rsidRPr="00533D1A" w:rsidRDefault="00ED4870" w:rsidP="003F2EDB">
            <w:pPr>
              <w:tabs>
                <w:tab w:val="left" w:pos="1118"/>
              </w:tabs>
              <w:suppressAutoHyphens/>
              <w:spacing w:before="40" w:after="80"/>
              <w:ind w:right="115"/>
            </w:pPr>
            <w:r w:rsidRPr="00ED4870">
              <w:rPr>
                <w:i/>
                <w:iCs/>
                <w:lang w:val="fr-FR"/>
              </w:rPr>
              <w:t>Mesure des résultats</w:t>
            </w:r>
            <w:r>
              <w:rPr>
                <w:i/>
                <w:iCs/>
                <w:lang w:val="fr-FR"/>
              </w:rPr>
              <w:t xml:space="preserve"> </w:t>
            </w:r>
            <w:r w:rsidRPr="00ED4870">
              <w:rPr>
                <w:lang w:val="fr-FR"/>
              </w:rPr>
              <w:br/>
              <w:t>Référence 2015</w:t>
            </w:r>
            <w:r>
              <w:rPr>
                <w:lang w:val="fr-FR"/>
              </w:rPr>
              <w:t> </w:t>
            </w:r>
            <w:r w:rsidRPr="00ED4870">
              <w:rPr>
                <w:lang w:val="fr-FR"/>
              </w:rPr>
              <w:t xml:space="preserve">: </w:t>
            </w:r>
            <w:r w:rsidR="002342C4">
              <w:rPr>
                <w:lang w:val="fr-FR"/>
              </w:rPr>
              <w:t xml:space="preserve">– </w:t>
            </w:r>
            <w:r w:rsidRPr="00ED4870">
              <w:rPr>
                <w:lang w:val="fr-FR"/>
              </w:rPr>
              <w:br/>
              <w:t>Objectif 2016</w:t>
            </w:r>
            <w:r>
              <w:rPr>
                <w:lang w:val="fr-FR"/>
              </w:rPr>
              <w:t>-</w:t>
            </w:r>
            <w:r w:rsidRPr="00ED4870">
              <w:rPr>
                <w:lang w:val="fr-FR"/>
              </w:rPr>
              <w:t>2017</w:t>
            </w:r>
            <w:r>
              <w:rPr>
                <w:lang w:val="fr-FR"/>
              </w:rPr>
              <w:t> </w:t>
            </w:r>
            <w:r w:rsidRPr="00ED4870">
              <w:rPr>
                <w:lang w:val="fr-FR"/>
              </w:rPr>
              <w:t>: 29</w:t>
            </w:r>
            <w:r w:rsidR="003F2EDB">
              <w:rPr>
                <w:lang w:val="fr-FR"/>
              </w:rPr>
              <w:t> </w:t>
            </w:r>
            <w:r w:rsidRPr="00ED4870">
              <w:rPr>
                <w:lang w:val="fr-FR"/>
              </w:rPr>
              <w:t>activités</w:t>
            </w:r>
          </w:p>
        </w:tc>
        <w:tc>
          <w:tcPr>
            <w:tcW w:w="2043"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c>
          <w:tcPr>
            <w:tcW w:w="4941" w:type="dxa"/>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r>
      <w:tr w:rsidR="00B504C2" w:rsidRPr="00533D1A" w:rsidTr="00165249">
        <w:tc>
          <w:tcPr>
            <w:tcW w:w="3042" w:type="dxa"/>
            <w:tcBorders>
              <w:bottom w:val="single" w:sz="12" w:space="0" w:color="auto"/>
            </w:tcBorders>
            <w:shd w:val="clear" w:color="auto" w:fill="auto"/>
          </w:tcPr>
          <w:p w:rsidR="00ED4870" w:rsidRPr="00620700" w:rsidRDefault="00ED4870" w:rsidP="008E01BE">
            <w:pPr>
              <w:tabs>
                <w:tab w:val="left" w:pos="288"/>
                <w:tab w:val="left" w:pos="576"/>
                <w:tab w:val="left" w:pos="864"/>
                <w:tab w:val="left" w:pos="1152"/>
              </w:tabs>
              <w:suppressAutoHyphens/>
              <w:spacing w:before="40" w:after="80"/>
              <w:ind w:right="43"/>
              <w:rPr>
                <w:spacing w:val="0"/>
                <w:lang w:val="fr-CH"/>
              </w:rPr>
            </w:pPr>
            <w:r w:rsidRPr="00620700">
              <w:rPr>
                <w:spacing w:val="0"/>
                <w:lang w:val="fr-FR"/>
              </w:rPr>
              <w:t>IS d)</w:t>
            </w:r>
            <w:r w:rsidR="008130E6">
              <w:rPr>
                <w:spacing w:val="0"/>
                <w:lang w:val="fr-FR"/>
              </w:rPr>
              <w:t> </w:t>
            </w:r>
            <w:r w:rsidRPr="00620700">
              <w:rPr>
                <w:spacing w:val="0"/>
                <w:lang w:val="fr-FR"/>
              </w:rPr>
              <w:t>ii)</w:t>
            </w:r>
            <w:r w:rsidR="003F2EDB" w:rsidRPr="00620700">
              <w:rPr>
                <w:spacing w:val="0"/>
                <w:lang w:val="fr-FR"/>
              </w:rPr>
              <w:tab/>
            </w:r>
            <w:r w:rsidRPr="00620700">
              <w:rPr>
                <w:spacing w:val="0"/>
                <w:lang w:val="fr-FR"/>
              </w:rPr>
              <w:t>Nombre accru d’États membres de la CEE ayant défini des objectifs en matière d’amélioration de la sécurité routière</w:t>
            </w:r>
          </w:p>
          <w:p w:rsidR="00B504C2" w:rsidRPr="00533D1A" w:rsidRDefault="00ED4870" w:rsidP="00ED4870">
            <w:pPr>
              <w:tabs>
                <w:tab w:val="left" w:pos="288"/>
                <w:tab w:val="left" w:pos="576"/>
                <w:tab w:val="left" w:pos="864"/>
                <w:tab w:val="left" w:pos="1152"/>
              </w:tabs>
              <w:suppressAutoHyphens/>
              <w:spacing w:before="40" w:after="80"/>
              <w:ind w:right="115"/>
            </w:pPr>
            <w:r w:rsidRPr="00ED4870">
              <w:rPr>
                <w:i/>
                <w:iCs/>
                <w:lang w:val="fr-FR"/>
              </w:rPr>
              <w:t>Mesure des résultats</w:t>
            </w:r>
            <w:r>
              <w:rPr>
                <w:i/>
                <w:iCs/>
                <w:lang w:val="fr-FR"/>
              </w:rPr>
              <w:t xml:space="preserve"> </w:t>
            </w:r>
            <w:r w:rsidRPr="00ED4870">
              <w:rPr>
                <w:lang w:val="fr-FR"/>
              </w:rPr>
              <w:br/>
              <w:t>Référence 2015</w:t>
            </w:r>
            <w:r>
              <w:rPr>
                <w:lang w:val="fr-FR"/>
              </w:rPr>
              <w:t> </w:t>
            </w:r>
            <w:r w:rsidRPr="00ED4870">
              <w:rPr>
                <w:lang w:val="fr-FR"/>
              </w:rPr>
              <w:t>: 37 pays</w:t>
            </w:r>
            <w:r>
              <w:rPr>
                <w:lang w:val="fr-FR"/>
              </w:rPr>
              <w:t xml:space="preserve"> </w:t>
            </w:r>
            <w:r w:rsidRPr="00ED4870">
              <w:rPr>
                <w:lang w:val="fr-FR"/>
              </w:rPr>
              <w:br/>
              <w:t>Objectif 2016</w:t>
            </w:r>
            <w:r>
              <w:rPr>
                <w:lang w:val="fr-FR"/>
              </w:rPr>
              <w:t>-2017 </w:t>
            </w:r>
            <w:r w:rsidRPr="00ED4870">
              <w:rPr>
                <w:lang w:val="fr-FR"/>
              </w:rPr>
              <w:t>: 40 pays</w:t>
            </w:r>
          </w:p>
        </w:tc>
        <w:tc>
          <w:tcPr>
            <w:tcW w:w="2043" w:type="dxa"/>
            <w:tcBorders>
              <w:bottom w:val="single" w:sz="12" w:space="0" w:color="auto"/>
            </w:tcBorders>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c>
          <w:tcPr>
            <w:tcW w:w="4941" w:type="dxa"/>
            <w:tcBorders>
              <w:bottom w:val="single" w:sz="12" w:space="0" w:color="auto"/>
            </w:tcBorders>
            <w:shd w:val="clear" w:color="auto" w:fill="auto"/>
          </w:tcPr>
          <w:p w:rsidR="00B504C2" w:rsidRPr="00533D1A" w:rsidRDefault="00B504C2" w:rsidP="00213832">
            <w:pPr>
              <w:tabs>
                <w:tab w:val="left" w:pos="288"/>
                <w:tab w:val="left" w:pos="576"/>
                <w:tab w:val="left" w:pos="864"/>
                <w:tab w:val="left" w:pos="1152"/>
              </w:tabs>
              <w:suppressAutoHyphens/>
              <w:spacing w:before="40" w:after="80"/>
              <w:ind w:right="115"/>
            </w:pPr>
          </w:p>
        </w:tc>
      </w:tr>
    </w:tbl>
    <w:p w:rsidR="00533D1A" w:rsidRPr="006E39DF" w:rsidRDefault="006E39DF" w:rsidP="006E39DF">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33D1A" w:rsidRPr="006E39DF" w:rsidSect="00457DD2">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9T11:29:00Z" w:initials="Start">
    <w:p w:rsidR="007A4FC5" w:rsidRDefault="007A4F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NO&gt;&gt;N1528557F&lt;&lt;ODS JOB NO&gt;&gt;</w:t>
      </w:r>
    </w:p>
    <w:p w:rsidR="007A4FC5" w:rsidRDefault="007A4FC5">
      <w:pPr>
        <w:pStyle w:val="CommentText"/>
      </w:pPr>
      <w:r>
        <w:t>&lt;&lt;ODS DOC SYMBOL1&gt;&gt;ECE/TRANS/2016/29&lt;&lt;ODS DOC SYMBOL1&gt;&gt;</w:t>
      </w:r>
    </w:p>
    <w:p w:rsidR="007A4FC5" w:rsidRDefault="007A4F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C5" w:rsidRDefault="007A4FC5" w:rsidP="00F3330B">
      <w:pPr>
        <w:spacing w:line="240" w:lineRule="auto"/>
      </w:pPr>
      <w:r>
        <w:separator/>
      </w:r>
    </w:p>
  </w:endnote>
  <w:endnote w:type="continuationSeparator" w:id="0">
    <w:p w:rsidR="007A4FC5" w:rsidRDefault="007A4FC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A4FC5" w:rsidTr="00457DD2">
      <w:trPr>
        <w:jc w:val="center"/>
      </w:trPr>
      <w:tc>
        <w:tcPr>
          <w:tcW w:w="5126" w:type="dxa"/>
          <w:shd w:val="clear" w:color="auto" w:fill="auto"/>
        </w:tcPr>
        <w:p w:rsidR="007A4FC5" w:rsidRPr="00457DD2" w:rsidRDefault="007A4FC5" w:rsidP="00457D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3BF">
            <w:rPr>
              <w:b w:val="0"/>
              <w:w w:val="103"/>
              <w:sz w:val="14"/>
            </w:rPr>
            <w:t>GE.15-22030</w:t>
          </w:r>
          <w:r>
            <w:rPr>
              <w:b w:val="0"/>
              <w:w w:val="103"/>
              <w:sz w:val="14"/>
            </w:rPr>
            <w:fldChar w:fldCharType="end"/>
          </w:r>
        </w:p>
      </w:tc>
      <w:tc>
        <w:tcPr>
          <w:tcW w:w="5127" w:type="dxa"/>
          <w:shd w:val="clear" w:color="auto" w:fill="auto"/>
        </w:tcPr>
        <w:p w:rsidR="007A4FC5" w:rsidRPr="00457DD2" w:rsidRDefault="007A4FC5" w:rsidP="00457DD2">
          <w:pPr>
            <w:pStyle w:val="Footer"/>
            <w:rPr>
              <w:w w:val="103"/>
            </w:rPr>
          </w:pPr>
          <w:r>
            <w:rPr>
              <w:w w:val="103"/>
            </w:rPr>
            <w:fldChar w:fldCharType="begin"/>
          </w:r>
          <w:r>
            <w:rPr>
              <w:w w:val="103"/>
            </w:rPr>
            <w:instrText xml:space="preserve"> PAGE  \* Arabic  \* MERGEFORMAT </w:instrText>
          </w:r>
          <w:r>
            <w:rPr>
              <w:w w:val="103"/>
            </w:rPr>
            <w:fldChar w:fldCharType="separate"/>
          </w:r>
          <w:r w:rsidR="00AC5C4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5C40">
            <w:rPr>
              <w:noProof/>
              <w:w w:val="103"/>
            </w:rPr>
            <w:t>16</w:t>
          </w:r>
          <w:r>
            <w:rPr>
              <w:w w:val="103"/>
            </w:rPr>
            <w:fldChar w:fldCharType="end"/>
          </w:r>
        </w:p>
      </w:tc>
    </w:tr>
  </w:tbl>
  <w:p w:rsidR="007A4FC5" w:rsidRPr="00457DD2" w:rsidRDefault="007A4FC5" w:rsidP="00457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A4FC5" w:rsidTr="00457DD2">
      <w:trPr>
        <w:jc w:val="center"/>
      </w:trPr>
      <w:tc>
        <w:tcPr>
          <w:tcW w:w="5126" w:type="dxa"/>
          <w:shd w:val="clear" w:color="auto" w:fill="auto"/>
        </w:tcPr>
        <w:p w:rsidR="007A4FC5" w:rsidRPr="00457DD2" w:rsidRDefault="007A4FC5" w:rsidP="00457D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C5C4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5C40">
            <w:rPr>
              <w:noProof/>
              <w:w w:val="103"/>
            </w:rPr>
            <w:t>15</w:t>
          </w:r>
          <w:r>
            <w:rPr>
              <w:w w:val="103"/>
            </w:rPr>
            <w:fldChar w:fldCharType="end"/>
          </w:r>
        </w:p>
      </w:tc>
      <w:tc>
        <w:tcPr>
          <w:tcW w:w="5127" w:type="dxa"/>
          <w:shd w:val="clear" w:color="auto" w:fill="auto"/>
        </w:tcPr>
        <w:p w:rsidR="007A4FC5" w:rsidRPr="00457DD2" w:rsidRDefault="007A4FC5" w:rsidP="00457D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3BF">
            <w:rPr>
              <w:b w:val="0"/>
              <w:w w:val="103"/>
              <w:sz w:val="14"/>
            </w:rPr>
            <w:t>GE.15-22030</w:t>
          </w:r>
          <w:r>
            <w:rPr>
              <w:b w:val="0"/>
              <w:w w:val="103"/>
              <w:sz w:val="14"/>
            </w:rPr>
            <w:fldChar w:fldCharType="end"/>
          </w:r>
        </w:p>
      </w:tc>
    </w:tr>
  </w:tbl>
  <w:p w:rsidR="007A4FC5" w:rsidRPr="00457DD2" w:rsidRDefault="007A4FC5" w:rsidP="00457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C5" w:rsidRDefault="007A4FC5">
    <w:pPr>
      <w:pStyle w:val="Footer"/>
    </w:pPr>
    <w:r>
      <w:rPr>
        <w:noProof/>
      </w:rPr>
      <w:drawing>
        <wp:anchor distT="0" distB="0" distL="114300" distR="114300" simplePos="0" relativeHeight="251658240" behindDoc="0" locked="0" layoutInCell="1" allowOverlap="1" wp14:anchorId="31D24A81" wp14:editId="6B810B0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A4FC5" w:rsidTr="00457DD2">
      <w:tc>
        <w:tcPr>
          <w:tcW w:w="3859" w:type="dxa"/>
        </w:tcPr>
        <w:p w:rsidR="007A4FC5" w:rsidRDefault="007A4FC5" w:rsidP="00457DD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C13BF">
            <w:rPr>
              <w:b w:val="0"/>
              <w:sz w:val="20"/>
            </w:rPr>
            <w:t>GE.15-22030 (F)</w:t>
          </w:r>
          <w:r>
            <w:rPr>
              <w:b w:val="0"/>
              <w:sz w:val="20"/>
            </w:rPr>
            <w:fldChar w:fldCharType="end"/>
          </w:r>
          <w:r>
            <w:rPr>
              <w:b w:val="0"/>
              <w:sz w:val="20"/>
            </w:rPr>
            <w:t xml:space="preserve">    290116    010216</w:t>
          </w:r>
        </w:p>
        <w:p w:rsidR="007A4FC5" w:rsidRPr="00457DD2" w:rsidRDefault="007A4FC5" w:rsidP="00457D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C13BF">
            <w:rPr>
              <w:rFonts w:ascii="Barcode 3 of 9 by request" w:hAnsi="Barcode 3 of 9 by request"/>
              <w:b w:val="0"/>
              <w:spacing w:val="0"/>
              <w:w w:val="100"/>
              <w:sz w:val="24"/>
            </w:rPr>
            <w:t>*1522030*</w:t>
          </w:r>
          <w:r>
            <w:rPr>
              <w:rFonts w:ascii="Barcode 3 of 9 by request" w:hAnsi="Barcode 3 of 9 by request"/>
              <w:b w:val="0"/>
              <w:spacing w:val="0"/>
              <w:w w:val="100"/>
              <w:sz w:val="24"/>
            </w:rPr>
            <w:fldChar w:fldCharType="end"/>
          </w:r>
        </w:p>
      </w:tc>
      <w:tc>
        <w:tcPr>
          <w:tcW w:w="5127" w:type="dxa"/>
        </w:tcPr>
        <w:p w:rsidR="007A4FC5" w:rsidRDefault="007A4FC5" w:rsidP="00457DD2">
          <w:pPr>
            <w:pStyle w:val="Footer"/>
            <w:spacing w:line="240" w:lineRule="atLeast"/>
            <w:jc w:val="right"/>
            <w:rPr>
              <w:b w:val="0"/>
              <w:sz w:val="20"/>
            </w:rPr>
          </w:pPr>
          <w:r>
            <w:rPr>
              <w:b w:val="0"/>
              <w:noProof/>
              <w:sz w:val="20"/>
            </w:rPr>
            <w:drawing>
              <wp:inline distT="0" distB="0" distL="0" distR="0" wp14:anchorId="509024E4" wp14:editId="44E41E8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A4FC5" w:rsidRPr="00457DD2" w:rsidRDefault="007A4FC5" w:rsidP="00457DD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C5" w:rsidRPr="00867AEA" w:rsidRDefault="00867AEA" w:rsidP="00867AEA">
      <w:pPr>
        <w:pStyle w:val="Footer"/>
        <w:spacing w:after="80"/>
        <w:ind w:left="792"/>
        <w:rPr>
          <w:sz w:val="16"/>
        </w:rPr>
      </w:pPr>
      <w:r w:rsidRPr="00867AEA">
        <w:rPr>
          <w:sz w:val="16"/>
        </w:rPr>
        <w:t>__________________</w:t>
      </w:r>
    </w:p>
  </w:footnote>
  <w:footnote w:type="continuationSeparator" w:id="0">
    <w:p w:rsidR="007A4FC5" w:rsidRPr="00867AEA" w:rsidRDefault="00867AEA" w:rsidP="00867AEA">
      <w:pPr>
        <w:pStyle w:val="Footer"/>
        <w:spacing w:after="80"/>
        <w:ind w:left="792"/>
        <w:rPr>
          <w:sz w:val="16"/>
        </w:rPr>
      </w:pPr>
      <w:r w:rsidRPr="00867AEA">
        <w:rPr>
          <w:sz w:val="16"/>
        </w:rPr>
        <w:t>__________________</w:t>
      </w:r>
    </w:p>
  </w:footnote>
  <w:footnote w:id="1">
    <w:p w:rsidR="00867AEA" w:rsidRPr="00867AEA" w:rsidRDefault="00867AEA" w:rsidP="00867AEA">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5647A3">
        <w:rPr>
          <w:lang w:val="fr-FR"/>
        </w:rPr>
        <w:t>Accord européen relatif au transport international des marchandises dangereuses par route</w:t>
      </w:r>
      <w:r>
        <w:rPr>
          <w:lang w:val="fr-FR"/>
        </w:rPr>
        <w:t>.</w:t>
      </w:r>
    </w:p>
  </w:footnote>
  <w:footnote w:id="2">
    <w:p w:rsidR="00867AEA" w:rsidRPr="00867AEA" w:rsidRDefault="00867AEA" w:rsidP="00867AEA">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lang w:val="fr-FR"/>
        </w:rPr>
        <w:t>Règlement concernant le transport international ferroviaire des marchandises dangereuses.</w:t>
      </w:r>
    </w:p>
  </w:footnote>
  <w:footnote w:id="3">
    <w:p w:rsidR="00867AEA" w:rsidRPr="00867AEA" w:rsidRDefault="00867AEA" w:rsidP="00867AEA">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lang w:val="fr-FR"/>
        </w:rPr>
        <w:t>Accord européen relatif au transport international des marchandises dangereuses par voies de navigation intérieures.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A4FC5" w:rsidTr="00457DD2">
      <w:trPr>
        <w:trHeight w:hRule="exact" w:val="864"/>
        <w:jc w:val="center"/>
      </w:trPr>
      <w:tc>
        <w:tcPr>
          <w:tcW w:w="4882" w:type="dxa"/>
          <w:shd w:val="clear" w:color="auto" w:fill="auto"/>
          <w:vAlign w:val="bottom"/>
        </w:tcPr>
        <w:p w:rsidR="007A4FC5" w:rsidRPr="00457DD2" w:rsidRDefault="007A4FC5" w:rsidP="00457D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3BF">
            <w:rPr>
              <w:b/>
              <w:color w:val="000000"/>
            </w:rPr>
            <w:t>ECE/TRANS/2016/29</w:t>
          </w:r>
          <w:r>
            <w:rPr>
              <w:b/>
              <w:color w:val="000000"/>
            </w:rPr>
            <w:fldChar w:fldCharType="end"/>
          </w:r>
        </w:p>
      </w:tc>
      <w:tc>
        <w:tcPr>
          <w:tcW w:w="5127" w:type="dxa"/>
          <w:shd w:val="clear" w:color="auto" w:fill="auto"/>
          <w:vAlign w:val="bottom"/>
        </w:tcPr>
        <w:p w:rsidR="007A4FC5" w:rsidRDefault="007A4FC5" w:rsidP="00457DD2">
          <w:pPr>
            <w:pStyle w:val="Header"/>
          </w:pPr>
        </w:p>
      </w:tc>
    </w:tr>
  </w:tbl>
  <w:p w:rsidR="007A4FC5" w:rsidRPr="00457DD2" w:rsidRDefault="007A4FC5" w:rsidP="00457DD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A4FC5" w:rsidTr="00457DD2">
      <w:trPr>
        <w:trHeight w:hRule="exact" w:val="864"/>
        <w:jc w:val="center"/>
      </w:trPr>
      <w:tc>
        <w:tcPr>
          <w:tcW w:w="4882" w:type="dxa"/>
          <w:shd w:val="clear" w:color="auto" w:fill="auto"/>
          <w:vAlign w:val="bottom"/>
        </w:tcPr>
        <w:p w:rsidR="007A4FC5" w:rsidRDefault="007A4FC5" w:rsidP="00457DD2">
          <w:pPr>
            <w:pStyle w:val="Header"/>
          </w:pPr>
        </w:p>
      </w:tc>
      <w:tc>
        <w:tcPr>
          <w:tcW w:w="5127" w:type="dxa"/>
          <w:shd w:val="clear" w:color="auto" w:fill="auto"/>
          <w:vAlign w:val="bottom"/>
        </w:tcPr>
        <w:p w:rsidR="007A4FC5" w:rsidRPr="00457DD2" w:rsidRDefault="007A4FC5" w:rsidP="00457D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3BF">
            <w:rPr>
              <w:b/>
              <w:color w:val="000000"/>
            </w:rPr>
            <w:t>ECE/TRANS/2016/29</w:t>
          </w:r>
          <w:r>
            <w:rPr>
              <w:b/>
              <w:color w:val="000000"/>
            </w:rPr>
            <w:fldChar w:fldCharType="end"/>
          </w:r>
        </w:p>
      </w:tc>
    </w:tr>
  </w:tbl>
  <w:p w:rsidR="007A4FC5" w:rsidRPr="00457DD2" w:rsidRDefault="007A4FC5" w:rsidP="00457DD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A4FC5" w:rsidTr="00457DD2">
      <w:trPr>
        <w:trHeight w:hRule="exact" w:val="864"/>
      </w:trPr>
      <w:tc>
        <w:tcPr>
          <w:tcW w:w="1267" w:type="dxa"/>
          <w:tcBorders>
            <w:bottom w:val="single" w:sz="4" w:space="0" w:color="auto"/>
          </w:tcBorders>
          <w:shd w:val="clear" w:color="auto" w:fill="auto"/>
          <w:vAlign w:val="bottom"/>
        </w:tcPr>
        <w:p w:rsidR="007A4FC5" w:rsidRDefault="007A4FC5" w:rsidP="00457DD2">
          <w:pPr>
            <w:pStyle w:val="Header"/>
            <w:spacing w:after="120"/>
          </w:pPr>
        </w:p>
      </w:tc>
      <w:tc>
        <w:tcPr>
          <w:tcW w:w="2059" w:type="dxa"/>
          <w:tcBorders>
            <w:bottom w:val="single" w:sz="4" w:space="0" w:color="auto"/>
          </w:tcBorders>
          <w:shd w:val="clear" w:color="auto" w:fill="auto"/>
          <w:vAlign w:val="bottom"/>
        </w:tcPr>
        <w:p w:rsidR="007A4FC5" w:rsidRPr="00457DD2" w:rsidRDefault="007A4FC5" w:rsidP="00457D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A4FC5" w:rsidRDefault="007A4FC5" w:rsidP="00457DD2">
          <w:pPr>
            <w:pStyle w:val="Header"/>
            <w:spacing w:after="120"/>
          </w:pPr>
        </w:p>
      </w:tc>
      <w:tc>
        <w:tcPr>
          <w:tcW w:w="6653" w:type="dxa"/>
          <w:gridSpan w:val="4"/>
          <w:tcBorders>
            <w:bottom w:val="single" w:sz="4" w:space="0" w:color="auto"/>
          </w:tcBorders>
          <w:shd w:val="clear" w:color="auto" w:fill="auto"/>
          <w:vAlign w:val="bottom"/>
        </w:tcPr>
        <w:p w:rsidR="007A4FC5" w:rsidRPr="00457DD2" w:rsidRDefault="007A4FC5" w:rsidP="00457DD2">
          <w:pPr>
            <w:spacing w:after="80" w:line="240" w:lineRule="auto"/>
            <w:jc w:val="right"/>
            <w:rPr>
              <w:position w:val="-4"/>
            </w:rPr>
          </w:pPr>
          <w:r>
            <w:rPr>
              <w:position w:val="-4"/>
              <w:sz w:val="40"/>
            </w:rPr>
            <w:t>ECE</w:t>
          </w:r>
          <w:r>
            <w:rPr>
              <w:position w:val="-4"/>
            </w:rPr>
            <w:t>/TRANS/2016/29</w:t>
          </w:r>
        </w:p>
      </w:tc>
    </w:tr>
    <w:tr w:rsidR="007A4FC5" w:rsidRPr="00457DD2" w:rsidTr="00457DD2">
      <w:trPr>
        <w:gridAfter w:val="1"/>
        <w:wAfter w:w="18" w:type="dxa"/>
        <w:trHeight w:hRule="exact" w:val="2880"/>
      </w:trPr>
      <w:tc>
        <w:tcPr>
          <w:tcW w:w="1267" w:type="dxa"/>
          <w:tcBorders>
            <w:top w:val="single" w:sz="4" w:space="0" w:color="auto"/>
            <w:bottom w:val="single" w:sz="12" w:space="0" w:color="auto"/>
          </w:tcBorders>
          <w:shd w:val="clear" w:color="auto" w:fill="auto"/>
        </w:tcPr>
        <w:p w:rsidR="007A4FC5" w:rsidRPr="00457DD2" w:rsidRDefault="007A4FC5" w:rsidP="00CC63F4">
          <w:pPr>
            <w:pStyle w:val="Header"/>
            <w:spacing w:before="120" w:line="240" w:lineRule="auto"/>
            <w:ind w:left="-72"/>
            <w:jc w:val="center"/>
          </w:pPr>
          <w:r>
            <w:rPr>
              <w:noProof/>
            </w:rPr>
            <w:drawing>
              <wp:inline distT="0" distB="0" distL="0" distR="0" wp14:anchorId="20492800" wp14:editId="319059A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A4FC5" w:rsidRPr="00457DD2" w:rsidRDefault="007A4FC5" w:rsidP="00457DD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A4FC5" w:rsidRPr="00457DD2" w:rsidRDefault="007A4FC5" w:rsidP="00457DD2">
          <w:pPr>
            <w:pStyle w:val="Header"/>
            <w:spacing w:before="109"/>
          </w:pPr>
        </w:p>
      </w:tc>
      <w:tc>
        <w:tcPr>
          <w:tcW w:w="3280" w:type="dxa"/>
          <w:tcBorders>
            <w:top w:val="single" w:sz="4" w:space="0" w:color="auto"/>
            <w:bottom w:val="single" w:sz="12" w:space="0" w:color="auto"/>
          </w:tcBorders>
          <w:shd w:val="clear" w:color="auto" w:fill="auto"/>
        </w:tcPr>
        <w:p w:rsidR="007A4FC5" w:rsidRDefault="007A4FC5" w:rsidP="00457DD2">
          <w:pPr>
            <w:pStyle w:val="Distribution"/>
            <w:rPr>
              <w:color w:val="000000"/>
            </w:rPr>
          </w:pPr>
          <w:r>
            <w:rPr>
              <w:color w:val="000000"/>
            </w:rPr>
            <w:t>Distr. générale</w:t>
          </w:r>
        </w:p>
        <w:p w:rsidR="007A4FC5" w:rsidRDefault="007A4FC5" w:rsidP="00457DD2">
          <w:pPr>
            <w:pStyle w:val="Publication"/>
            <w:rPr>
              <w:color w:val="000000"/>
            </w:rPr>
          </w:pPr>
          <w:r>
            <w:rPr>
              <w:color w:val="000000"/>
            </w:rPr>
            <w:t>15 décembre 2015</w:t>
          </w:r>
        </w:p>
        <w:p w:rsidR="007A4FC5" w:rsidRDefault="007A4FC5" w:rsidP="00457DD2">
          <w:pPr>
            <w:rPr>
              <w:lang w:val="en-US"/>
            </w:rPr>
          </w:pPr>
          <w:r>
            <w:rPr>
              <w:lang w:val="en-US"/>
            </w:rPr>
            <w:t>Français</w:t>
          </w:r>
        </w:p>
        <w:p w:rsidR="007A4FC5" w:rsidRPr="00457DD2" w:rsidRDefault="007A4FC5" w:rsidP="00457DD2">
          <w:pPr>
            <w:pStyle w:val="Original"/>
            <w:rPr>
              <w:color w:val="000000"/>
            </w:rPr>
          </w:pPr>
          <w:r>
            <w:rPr>
              <w:color w:val="000000"/>
            </w:rPr>
            <w:t>Original : anglais</w:t>
          </w:r>
        </w:p>
      </w:tc>
    </w:tr>
  </w:tbl>
  <w:p w:rsidR="007A4FC5" w:rsidRPr="00457DD2" w:rsidRDefault="007A4FC5" w:rsidP="00457DD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30*"/>
    <w:docVar w:name="CreationDt" w:val="1/29/2016 11:29 AM"/>
    <w:docVar w:name="DocCategory" w:val="Doc"/>
    <w:docVar w:name="DocType" w:val="Final"/>
    <w:docVar w:name="DutyStation" w:val="Geneva"/>
    <w:docVar w:name="FooterJN" w:val="GE.15-22030"/>
    <w:docVar w:name="jobn" w:val="GE.15-22030 (F)"/>
    <w:docVar w:name="jobnDT" w:val="GE.15-22030 (F)   290116"/>
    <w:docVar w:name="jobnDTDT" w:val="GE.15-22030 (F)   290116   290116"/>
    <w:docVar w:name="JobNo" w:val="GE.1522030F"/>
    <w:docVar w:name="JobNo2" w:val="GE.1528557F"/>
    <w:docVar w:name="LocalDrive" w:val="0"/>
    <w:docVar w:name="OandT" w:val="M. Deschamps"/>
    <w:docVar w:name="PaperSize" w:val="A4"/>
    <w:docVar w:name="sss1" w:val="ECE/TRANS/2016/29"/>
    <w:docVar w:name="sss2" w:val="-"/>
    <w:docVar w:name="Symbol1" w:val="ECE/TRANS/2016/29"/>
    <w:docVar w:name="Symbol2" w:val="-"/>
  </w:docVars>
  <w:rsids>
    <w:rsidRoot w:val="00957F14"/>
    <w:rsid w:val="000015B8"/>
    <w:rsid w:val="000046A5"/>
    <w:rsid w:val="000055FB"/>
    <w:rsid w:val="00010C97"/>
    <w:rsid w:val="00016483"/>
    <w:rsid w:val="0001772E"/>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282"/>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4E56"/>
    <w:rsid w:val="000967BD"/>
    <w:rsid w:val="00096B3C"/>
    <w:rsid w:val="000A18B6"/>
    <w:rsid w:val="000A24DE"/>
    <w:rsid w:val="000A2612"/>
    <w:rsid w:val="000A2DFB"/>
    <w:rsid w:val="000A3AB1"/>
    <w:rsid w:val="000A4A47"/>
    <w:rsid w:val="000A74D1"/>
    <w:rsid w:val="000B0E9A"/>
    <w:rsid w:val="000B1A18"/>
    <w:rsid w:val="000B2BEB"/>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4DA1"/>
    <w:rsid w:val="000F53E9"/>
    <w:rsid w:val="000F6A05"/>
    <w:rsid w:val="000F6E7D"/>
    <w:rsid w:val="00100875"/>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1EA3"/>
    <w:rsid w:val="00132A45"/>
    <w:rsid w:val="001359FA"/>
    <w:rsid w:val="0013714F"/>
    <w:rsid w:val="00140666"/>
    <w:rsid w:val="0014233F"/>
    <w:rsid w:val="00143703"/>
    <w:rsid w:val="00144DE1"/>
    <w:rsid w:val="00145A1F"/>
    <w:rsid w:val="001466A3"/>
    <w:rsid w:val="00147051"/>
    <w:rsid w:val="001471CF"/>
    <w:rsid w:val="00151097"/>
    <w:rsid w:val="00151710"/>
    <w:rsid w:val="0015181B"/>
    <w:rsid w:val="00151AC8"/>
    <w:rsid w:val="00155B70"/>
    <w:rsid w:val="00160E65"/>
    <w:rsid w:val="00161368"/>
    <w:rsid w:val="0016199B"/>
    <w:rsid w:val="00162C83"/>
    <w:rsid w:val="001639FC"/>
    <w:rsid w:val="00163D26"/>
    <w:rsid w:val="00164BB5"/>
    <w:rsid w:val="00165249"/>
    <w:rsid w:val="00166384"/>
    <w:rsid w:val="001709F1"/>
    <w:rsid w:val="00177D83"/>
    <w:rsid w:val="00180387"/>
    <w:rsid w:val="001818CC"/>
    <w:rsid w:val="00183EBF"/>
    <w:rsid w:val="00184E9B"/>
    <w:rsid w:val="001857B9"/>
    <w:rsid w:val="00186793"/>
    <w:rsid w:val="0019082C"/>
    <w:rsid w:val="00192D05"/>
    <w:rsid w:val="00193A8C"/>
    <w:rsid w:val="001A2E2D"/>
    <w:rsid w:val="001A4BAA"/>
    <w:rsid w:val="001A4F4E"/>
    <w:rsid w:val="001A5D31"/>
    <w:rsid w:val="001A76F3"/>
    <w:rsid w:val="001B42E7"/>
    <w:rsid w:val="001B5583"/>
    <w:rsid w:val="001B5A24"/>
    <w:rsid w:val="001C0599"/>
    <w:rsid w:val="001C3C57"/>
    <w:rsid w:val="001C4664"/>
    <w:rsid w:val="001C4EBE"/>
    <w:rsid w:val="001C5B90"/>
    <w:rsid w:val="001D0E60"/>
    <w:rsid w:val="001D1927"/>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3832"/>
    <w:rsid w:val="002178A7"/>
    <w:rsid w:val="002209B7"/>
    <w:rsid w:val="002220FF"/>
    <w:rsid w:val="00233FB1"/>
    <w:rsid w:val="002342C4"/>
    <w:rsid w:val="00237D01"/>
    <w:rsid w:val="00240F64"/>
    <w:rsid w:val="002410E3"/>
    <w:rsid w:val="002417E0"/>
    <w:rsid w:val="00241F29"/>
    <w:rsid w:val="002421AF"/>
    <w:rsid w:val="00243D1C"/>
    <w:rsid w:val="00245B48"/>
    <w:rsid w:val="00246425"/>
    <w:rsid w:val="002515C7"/>
    <w:rsid w:val="002523F6"/>
    <w:rsid w:val="00252402"/>
    <w:rsid w:val="00254656"/>
    <w:rsid w:val="0025545A"/>
    <w:rsid w:val="00261129"/>
    <w:rsid w:val="00261E82"/>
    <w:rsid w:val="0026332C"/>
    <w:rsid w:val="0026552F"/>
    <w:rsid w:val="0026565F"/>
    <w:rsid w:val="00266AFD"/>
    <w:rsid w:val="002675C8"/>
    <w:rsid w:val="00270780"/>
    <w:rsid w:val="002730C7"/>
    <w:rsid w:val="0027435B"/>
    <w:rsid w:val="00276D64"/>
    <w:rsid w:val="00276E85"/>
    <w:rsid w:val="00280143"/>
    <w:rsid w:val="00280E2F"/>
    <w:rsid w:val="002810F0"/>
    <w:rsid w:val="00281BC7"/>
    <w:rsid w:val="00285DC4"/>
    <w:rsid w:val="00286531"/>
    <w:rsid w:val="002867C7"/>
    <w:rsid w:val="0029018C"/>
    <w:rsid w:val="0029066B"/>
    <w:rsid w:val="002956EB"/>
    <w:rsid w:val="002A07EF"/>
    <w:rsid w:val="002A2122"/>
    <w:rsid w:val="002A27E5"/>
    <w:rsid w:val="002A47B8"/>
    <w:rsid w:val="002A530D"/>
    <w:rsid w:val="002A69DB"/>
    <w:rsid w:val="002B037D"/>
    <w:rsid w:val="002B1D15"/>
    <w:rsid w:val="002B4A7F"/>
    <w:rsid w:val="002B5449"/>
    <w:rsid w:val="002B5928"/>
    <w:rsid w:val="002C13BF"/>
    <w:rsid w:val="002C3640"/>
    <w:rsid w:val="002C3FD3"/>
    <w:rsid w:val="002C419A"/>
    <w:rsid w:val="002C472D"/>
    <w:rsid w:val="002C5840"/>
    <w:rsid w:val="002C77CF"/>
    <w:rsid w:val="002D36DB"/>
    <w:rsid w:val="002D45C0"/>
    <w:rsid w:val="002D4BC2"/>
    <w:rsid w:val="002D5981"/>
    <w:rsid w:val="002D7EC0"/>
    <w:rsid w:val="002D7EFC"/>
    <w:rsid w:val="002E11E9"/>
    <w:rsid w:val="002E1745"/>
    <w:rsid w:val="002E20E0"/>
    <w:rsid w:val="002E2420"/>
    <w:rsid w:val="002E2E27"/>
    <w:rsid w:val="002E3850"/>
    <w:rsid w:val="002E3856"/>
    <w:rsid w:val="002E420C"/>
    <w:rsid w:val="002E56C8"/>
    <w:rsid w:val="002E6130"/>
    <w:rsid w:val="002E76EC"/>
    <w:rsid w:val="002E79AF"/>
    <w:rsid w:val="002F048A"/>
    <w:rsid w:val="002F0E01"/>
    <w:rsid w:val="002F18EE"/>
    <w:rsid w:val="002F1E33"/>
    <w:rsid w:val="002F5482"/>
    <w:rsid w:val="002F5972"/>
    <w:rsid w:val="002F7B2C"/>
    <w:rsid w:val="00303A3C"/>
    <w:rsid w:val="00303D82"/>
    <w:rsid w:val="00303E4E"/>
    <w:rsid w:val="003047D2"/>
    <w:rsid w:val="00306DE1"/>
    <w:rsid w:val="0030788D"/>
    <w:rsid w:val="00316628"/>
    <w:rsid w:val="00316B58"/>
    <w:rsid w:val="003235C7"/>
    <w:rsid w:val="00326270"/>
    <w:rsid w:val="0032685C"/>
    <w:rsid w:val="0032728E"/>
    <w:rsid w:val="00327E8E"/>
    <w:rsid w:val="003322F2"/>
    <w:rsid w:val="00332A87"/>
    <w:rsid w:val="00333703"/>
    <w:rsid w:val="003342DF"/>
    <w:rsid w:val="00334FEB"/>
    <w:rsid w:val="0033647A"/>
    <w:rsid w:val="00337015"/>
    <w:rsid w:val="003406CA"/>
    <w:rsid w:val="00340736"/>
    <w:rsid w:val="00343F8A"/>
    <w:rsid w:val="003441A5"/>
    <w:rsid w:val="00344969"/>
    <w:rsid w:val="003455BC"/>
    <w:rsid w:val="00347E5F"/>
    <w:rsid w:val="003506F1"/>
    <w:rsid w:val="003555DE"/>
    <w:rsid w:val="00355810"/>
    <w:rsid w:val="003559A7"/>
    <w:rsid w:val="0035691F"/>
    <w:rsid w:val="00356B67"/>
    <w:rsid w:val="003616BD"/>
    <w:rsid w:val="00362737"/>
    <w:rsid w:val="00362F57"/>
    <w:rsid w:val="003640A0"/>
    <w:rsid w:val="003647D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639E"/>
    <w:rsid w:val="003B40EA"/>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46C2"/>
    <w:rsid w:val="003D5433"/>
    <w:rsid w:val="003D601E"/>
    <w:rsid w:val="003D635C"/>
    <w:rsid w:val="003D7BC4"/>
    <w:rsid w:val="003E1642"/>
    <w:rsid w:val="003E36C1"/>
    <w:rsid w:val="003E3E2D"/>
    <w:rsid w:val="003E3E48"/>
    <w:rsid w:val="003E47D8"/>
    <w:rsid w:val="003E4E03"/>
    <w:rsid w:val="003F108A"/>
    <w:rsid w:val="003F11A9"/>
    <w:rsid w:val="003F1243"/>
    <w:rsid w:val="003F27A0"/>
    <w:rsid w:val="003F2EDB"/>
    <w:rsid w:val="003F34C6"/>
    <w:rsid w:val="003F57D1"/>
    <w:rsid w:val="00401219"/>
    <w:rsid w:val="004039C7"/>
    <w:rsid w:val="004065B7"/>
    <w:rsid w:val="004066EB"/>
    <w:rsid w:val="00406E1E"/>
    <w:rsid w:val="004149D0"/>
    <w:rsid w:val="00414C9D"/>
    <w:rsid w:val="00415A2B"/>
    <w:rsid w:val="00416293"/>
    <w:rsid w:val="004204AE"/>
    <w:rsid w:val="004216F7"/>
    <w:rsid w:val="0042753D"/>
    <w:rsid w:val="004309B5"/>
    <w:rsid w:val="0043103D"/>
    <w:rsid w:val="00432662"/>
    <w:rsid w:val="00433AB0"/>
    <w:rsid w:val="004342B2"/>
    <w:rsid w:val="00441593"/>
    <w:rsid w:val="00443396"/>
    <w:rsid w:val="00443A00"/>
    <w:rsid w:val="00444609"/>
    <w:rsid w:val="004448E6"/>
    <w:rsid w:val="00447605"/>
    <w:rsid w:val="00450D24"/>
    <w:rsid w:val="00452DA5"/>
    <w:rsid w:val="00453DAB"/>
    <w:rsid w:val="0045423E"/>
    <w:rsid w:val="004548AC"/>
    <w:rsid w:val="00455176"/>
    <w:rsid w:val="00455E42"/>
    <w:rsid w:val="00457D04"/>
    <w:rsid w:val="00457DD2"/>
    <w:rsid w:val="00460112"/>
    <w:rsid w:val="00461788"/>
    <w:rsid w:val="004627F7"/>
    <w:rsid w:val="00462FE3"/>
    <w:rsid w:val="004638A8"/>
    <w:rsid w:val="00464787"/>
    <w:rsid w:val="004669E9"/>
    <w:rsid w:val="00472794"/>
    <w:rsid w:val="00475F9F"/>
    <w:rsid w:val="00476698"/>
    <w:rsid w:val="00477592"/>
    <w:rsid w:val="004814BB"/>
    <w:rsid w:val="00481634"/>
    <w:rsid w:val="00482A0A"/>
    <w:rsid w:val="00487428"/>
    <w:rsid w:val="00491CD5"/>
    <w:rsid w:val="00492510"/>
    <w:rsid w:val="00492DC3"/>
    <w:rsid w:val="00494B4F"/>
    <w:rsid w:val="004973EC"/>
    <w:rsid w:val="004A0AA6"/>
    <w:rsid w:val="004A1763"/>
    <w:rsid w:val="004A186E"/>
    <w:rsid w:val="004A2319"/>
    <w:rsid w:val="004A2455"/>
    <w:rsid w:val="004A698E"/>
    <w:rsid w:val="004A7606"/>
    <w:rsid w:val="004B1DBB"/>
    <w:rsid w:val="004B56C6"/>
    <w:rsid w:val="004B7E99"/>
    <w:rsid w:val="004C04FD"/>
    <w:rsid w:val="004C1A6A"/>
    <w:rsid w:val="004C304C"/>
    <w:rsid w:val="004C38FF"/>
    <w:rsid w:val="004C5C41"/>
    <w:rsid w:val="004D13C8"/>
    <w:rsid w:val="004D2B77"/>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4759"/>
    <w:rsid w:val="0051666F"/>
    <w:rsid w:val="0051772A"/>
    <w:rsid w:val="00517E8B"/>
    <w:rsid w:val="00520271"/>
    <w:rsid w:val="00520B7B"/>
    <w:rsid w:val="00521F7B"/>
    <w:rsid w:val="00522110"/>
    <w:rsid w:val="00522657"/>
    <w:rsid w:val="00523069"/>
    <w:rsid w:val="00523378"/>
    <w:rsid w:val="0052413A"/>
    <w:rsid w:val="00525A3D"/>
    <w:rsid w:val="0052682B"/>
    <w:rsid w:val="00527615"/>
    <w:rsid w:val="00527DD0"/>
    <w:rsid w:val="00533905"/>
    <w:rsid w:val="00533D1A"/>
    <w:rsid w:val="005372C0"/>
    <w:rsid w:val="00541630"/>
    <w:rsid w:val="0054168D"/>
    <w:rsid w:val="00542357"/>
    <w:rsid w:val="00551176"/>
    <w:rsid w:val="00551EAE"/>
    <w:rsid w:val="00552150"/>
    <w:rsid w:val="005522D6"/>
    <w:rsid w:val="005536AE"/>
    <w:rsid w:val="00554B37"/>
    <w:rsid w:val="0055536F"/>
    <w:rsid w:val="005647A3"/>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497"/>
    <w:rsid w:val="005A6A6E"/>
    <w:rsid w:val="005A6D92"/>
    <w:rsid w:val="005A6DD6"/>
    <w:rsid w:val="005A7976"/>
    <w:rsid w:val="005B0275"/>
    <w:rsid w:val="005B0AB6"/>
    <w:rsid w:val="005B280C"/>
    <w:rsid w:val="005B33A4"/>
    <w:rsid w:val="005B3C4C"/>
    <w:rsid w:val="005B4868"/>
    <w:rsid w:val="005B5D99"/>
    <w:rsid w:val="005B74B8"/>
    <w:rsid w:val="005C1353"/>
    <w:rsid w:val="005C1587"/>
    <w:rsid w:val="005C3A63"/>
    <w:rsid w:val="005C65C2"/>
    <w:rsid w:val="005C765D"/>
    <w:rsid w:val="005C7B4D"/>
    <w:rsid w:val="005D4BAD"/>
    <w:rsid w:val="005D7CA9"/>
    <w:rsid w:val="005E0F5F"/>
    <w:rsid w:val="005F12E0"/>
    <w:rsid w:val="005F2726"/>
    <w:rsid w:val="005F2A30"/>
    <w:rsid w:val="005F2FA6"/>
    <w:rsid w:val="005F34E5"/>
    <w:rsid w:val="005F35C5"/>
    <w:rsid w:val="005F43E1"/>
    <w:rsid w:val="005F47D4"/>
    <w:rsid w:val="005F6A9F"/>
    <w:rsid w:val="005F6E3F"/>
    <w:rsid w:val="005F70C9"/>
    <w:rsid w:val="0060033F"/>
    <w:rsid w:val="00603211"/>
    <w:rsid w:val="0060375B"/>
    <w:rsid w:val="00606A0C"/>
    <w:rsid w:val="00607448"/>
    <w:rsid w:val="0060792E"/>
    <w:rsid w:val="00611860"/>
    <w:rsid w:val="00611DA0"/>
    <w:rsid w:val="00612407"/>
    <w:rsid w:val="006125AC"/>
    <w:rsid w:val="00616984"/>
    <w:rsid w:val="00616E84"/>
    <w:rsid w:val="00617EBE"/>
    <w:rsid w:val="00620700"/>
    <w:rsid w:val="0062117B"/>
    <w:rsid w:val="00622055"/>
    <w:rsid w:val="006244D1"/>
    <w:rsid w:val="00632332"/>
    <w:rsid w:val="00633E85"/>
    <w:rsid w:val="006345D0"/>
    <w:rsid w:val="006361EE"/>
    <w:rsid w:val="0063657E"/>
    <w:rsid w:val="006369EC"/>
    <w:rsid w:val="00636EB6"/>
    <w:rsid w:val="00637CFE"/>
    <w:rsid w:val="006407EF"/>
    <w:rsid w:val="0064115E"/>
    <w:rsid w:val="006423E0"/>
    <w:rsid w:val="00646F60"/>
    <w:rsid w:val="0064762B"/>
    <w:rsid w:val="00650623"/>
    <w:rsid w:val="0065129E"/>
    <w:rsid w:val="006512C8"/>
    <w:rsid w:val="00653CD3"/>
    <w:rsid w:val="006551C1"/>
    <w:rsid w:val="00656E62"/>
    <w:rsid w:val="006573FC"/>
    <w:rsid w:val="00660D00"/>
    <w:rsid w:val="00662686"/>
    <w:rsid w:val="00662A7F"/>
    <w:rsid w:val="00665605"/>
    <w:rsid w:val="00665692"/>
    <w:rsid w:val="006660B5"/>
    <w:rsid w:val="00671687"/>
    <w:rsid w:val="00673F2C"/>
    <w:rsid w:val="00675A53"/>
    <w:rsid w:val="006770E8"/>
    <w:rsid w:val="006803F5"/>
    <w:rsid w:val="006817AB"/>
    <w:rsid w:val="00683C7E"/>
    <w:rsid w:val="006853D8"/>
    <w:rsid w:val="00685D94"/>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9D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0BCD"/>
    <w:rsid w:val="00721866"/>
    <w:rsid w:val="007233F8"/>
    <w:rsid w:val="0072436A"/>
    <w:rsid w:val="007342F5"/>
    <w:rsid w:val="00735F3A"/>
    <w:rsid w:val="00735FB1"/>
    <w:rsid w:val="007367E1"/>
    <w:rsid w:val="007379A0"/>
    <w:rsid w:val="00743131"/>
    <w:rsid w:val="0074339E"/>
    <w:rsid w:val="00744BE5"/>
    <w:rsid w:val="00744D58"/>
    <w:rsid w:val="00745376"/>
    <w:rsid w:val="0074587F"/>
    <w:rsid w:val="007476BA"/>
    <w:rsid w:val="00747A59"/>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6796"/>
    <w:rsid w:val="00767FBE"/>
    <w:rsid w:val="00770DEF"/>
    <w:rsid w:val="00770E4E"/>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4FC5"/>
    <w:rsid w:val="007A78C2"/>
    <w:rsid w:val="007B05E9"/>
    <w:rsid w:val="007B148E"/>
    <w:rsid w:val="007B1E17"/>
    <w:rsid w:val="007B4C73"/>
    <w:rsid w:val="007C0C1F"/>
    <w:rsid w:val="007C1F58"/>
    <w:rsid w:val="007C206E"/>
    <w:rsid w:val="007C2936"/>
    <w:rsid w:val="007C4A36"/>
    <w:rsid w:val="007C5EBF"/>
    <w:rsid w:val="007C662A"/>
    <w:rsid w:val="007C7D7F"/>
    <w:rsid w:val="007D2821"/>
    <w:rsid w:val="007D33BA"/>
    <w:rsid w:val="007D385A"/>
    <w:rsid w:val="007D6FCB"/>
    <w:rsid w:val="007D7FD4"/>
    <w:rsid w:val="007E2FEB"/>
    <w:rsid w:val="007E3CF9"/>
    <w:rsid w:val="007E74E9"/>
    <w:rsid w:val="007F0ED6"/>
    <w:rsid w:val="007F1AB9"/>
    <w:rsid w:val="007F242A"/>
    <w:rsid w:val="007F3DCC"/>
    <w:rsid w:val="007F49BD"/>
    <w:rsid w:val="007F6F95"/>
    <w:rsid w:val="007F77CB"/>
    <w:rsid w:val="00800903"/>
    <w:rsid w:val="008040BA"/>
    <w:rsid w:val="00804131"/>
    <w:rsid w:val="00804565"/>
    <w:rsid w:val="00806A3B"/>
    <w:rsid w:val="00807CA4"/>
    <w:rsid w:val="008100FD"/>
    <w:rsid w:val="008114C3"/>
    <w:rsid w:val="008130E6"/>
    <w:rsid w:val="00814C2A"/>
    <w:rsid w:val="00816ECE"/>
    <w:rsid w:val="008173CF"/>
    <w:rsid w:val="00817884"/>
    <w:rsid w:val="0082537E"/>
    <w:rsid w:val="00825C31"/>
    <w:rsid w:val="00826D16"/>
    <w:rsid w:val="0082722D"/>
    <w:rsid w:val="00831BD0"/>
    <w:rsid w:val="00833A79"/>
    <w:rsid w:val="00833BFF"/>
    <w:rsid w:val="008343CC"/>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AEA"/>
    <w:rsid w:val="00867D33"/>
    <w:rsid w:val="00867F04"/>
    <w:rsid w:val="008703DB"/>
    <w:rsid w:val="008710A1"/>
    <w:rsid w:val="0087489F"/>
    <w:rsid w:val="00875E49"/>
    <w:rsid w:val="0088158E"/>
    <w:rsid w:val="0088258D"/>
    <w:rsid w:val="008829F3"/>
    <w:rsid w:val="00882D4B"/>
    <w:rsid w:val="008833CD"/>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82D"/>
    <w:rsid w:val="008D4C00"/>
    <w:rsid w:val="008D52CD"/>
    <w:rsid w:val="008D5C5F"/>
    <w:rsid w:val="008D613D"/>
    <w:rsid w:val="008D756B"/>
    <w:rsid w:val="008E01BE"/>
    <w:rsid w:val="008E07B5"/>
    <w:rsid w:val="008E1E88"/>
    <w:rsid w:val="008E4FFA"/>
    <w:rsid w:val="008E5CC1"/>
    <w:rsid w:val="008E6532"/>
    <w:rsid w:val="008E7FF5"/>
    <w:rsid w:val="008F125F"/>
    <w:rsid w:val="008F2C00"/>
    <w:rsid w:val="008F3DAE"/>
    <w:rsid w:val="008F63DC"/>
    <w:rsid w:val="008F6630"/>
    <w:rsid w:val="008F7622"/>
    <w:rsid w:val="0090311E"/>
    <w:rsid w:val="0090438E"/>
    <w:rsid w:val="00906110"/>
    <w:rsid w:val="00906AD0"/>
    <w:rsid w:val="0090704E"/>
    <w:rsid w:val="0091010C"/>
    <w:rsid w:val="00910891"/>
    <w:rsid w:val="0091108F"/>
    <w:rsid w:val="009133F5"/>
    <w:rsid w:val="00914786"/>
    <w:rsid w:val="00915680"/>
    <w:rsid w:val="00915FB9"/>
    <w:rsid w:val="0091610E"/>
    <w:rsid w:val="00916373"/>
    <w:rsid w:val="00916548"/>
    <w:rsid w:val="00916A77"/>
    <w:rsid w:val="0092172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57F14"/>
    <w:rsid w:val="00962CAC"/>
    <w:rsid w:val="00963928"/>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32EF"/>
    <w:rsid w:val="009C5249"/>
    <w:rsid w:val="009C70D0"/>
    <w:rsid w:val="009C7DC6"/>
    <w:rsid w:val="009C7F1B"/>
    <w:rsid w:val="009D5A2E"/>
    <w:rsid w:val="009D702B"/>
    <w:rsid w:val="009E0573"/>
    <w:rsid w:val="009E06DE"/>
    <w:rsid w:val="009E09FA"/>
    <w:rsid w:val="009E2063"/>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34B7"/>
    <w:rsid w:val="00AA5F19"/>
    <w:rsid w:val="00AA750A"/>
    <w:rsid w:val="00AB001C"/>
    <w:rsid w:val="00AB37EB"/>
    <w:rsid w:val="00AB39C5"/>
    <w:rsid w:val="00AB4438"/>
    <w:rsid w:val="00AB4466"/>
    <w:rsid w:val="00AB50E6"/>
    <w:rsid w:val="00AB6814"/>
    <w:rsid w:val="00AB6863"/>
    <w:rsid w:val="00AB6BE3"/>
    <w:rsid w:val="00AB71F3"/>
    <w:rsid w:val="00AC0555"/>
    <w:rsid w:val="00AC5C40"/>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A98"/>
    <w:rsid w:val="00B06C4C"/>
    <w:rsid w:val="00B078C6"/>
    <w:rsid w:val="00B10BF5"/>
    <w:rsid w:val="00B145B5"/>
    <w:rsid w:val="00B152AC"/>
    <w:rsid w:val="00B16B69"/>
    <w:rsid w:val="00B16C8B"/>
    <w:rsid w:val="00B16DF0"/>
    <w:rsid w:val="00B20969"/>
    <w:rsid w:val="00B22BE8"/>
    <w:rsid w:val="00B2331A"/>
    <w:rsid w:val="00B2356B"/>
    <w:rsid w:val="00B249F3"/>
    <w:rsid w:val="00B25B74"/>
    <w:rsid w:val="00B26B93"/>
    <w:rsid w:val="00B26C0B"/>
    <w:rsid w:val="00B27126"/>
    <w:rsid w:val="00B27CAC"/>
    <w:rsid w:val="00B32CDE"/>
    <w:rsid w:val="00B343A9"/>
    <w:rsid w:val="00B34479"/>
    <w:rsid w:val="00B34D72"/>
    <w:rsid w:val="00B362BE"/>
    <w:rsid w:val="00B363A2"/>
    <w:rsid w:val="00B37213"/>
    <w:rsid w:val="00B41711"/>
    <w:rsid w:val="00B44EB6"/>
    <w:rsid w:val="00B503F3"/>
    <w:rsid w:val="00B504C2"/>
    <w:rsid w:val="00B504C9"/>
    <w:rsid w:val="00B52A47"/>
    <w:rsid w:val="00B53FB4"/>
    <w:rsid w:val="00B541C6"/>
    <w:rsid w:val="00B556DD"/>
    <w:rsid w:val="00B5798F"/>
    <w:rsid w:val="00B57EB0"/>
    <w:rsid w:val="00B61107"/>
    <w:rsid w:val="00B61CB4"/>
    <w:rsid w:val="00B63E68"/>
    <w:rsid w:val="00B65DB9"/>
    <w:rsid w:val="00B66644"/>
    <w:rsid w:val="00B67333"/>
    <w:rsid w:val="00B676D0"/>
    <w:rsid w:val="00B67756"/>
    <w:rsid w:val="00B70DA9"/>
    <w:rsid w:val="00B712B0"/>
    <w:rsid w:val="00B71478"/>
    <w:rsid w:val="00B71802"/>
    <w:rsid w:val="00B7200B"/>
    <w:rsid w:val="00B76414"/>
    <w:rsid w:val="00B774D5"/>
    <w:rsid w:val="00B77EB8"/>
    <w:rsid w:val="00B81A2A"/>
    <w:rsid w:val="00B82E95"/>
    <w:rsid w:val="00B84109"/>
    <w:rsid w:val="00B85BDA"/>
    <w:rsid w:val="00B870D6"/>
    <w:rsid w:val="00B874A9"/>
    <w:rsid w:val="00B87775"/>
    <w:rsid w:val="00B913B0"/>
    <w:rsid w:val="00B932C8"/>
    <w:rsid w:val="00B93B31"/>
    <w:rsid w:val="00B9457F"/>
    <w:rsid w:val="00B94668"/>
    <w:rsid w:val="00B965BF"/>
    <w:rsid w:val="00BA06B1"/>
    <w:rsid w:val="00BA3125"/>
    <w:rsid w:val="00BA3654"/>
    <w:rsid w:val="00BA600B"/>
    <w:rsid w:val="00BB0F95"/>
    <w:rsid w:val="00BC05C8"/>
    <w:rsid w:val="00BC0F9A"/>
    <w:rsid w:val="00BC3D5F"/>
    <w:rsid w:val="00BC43E2"/>
    <w:rsid w:val="00BD0917"/>
    <w:rsid w:val="00BD128E"/>
    <w:rsid w:val="00BD1607"/>
    <w:rsid w:val="00BD45A0"/>
    <w:rsid w:val="00BD45BA"/>
    <w:rsid w:val="00BE1D55"/>
    <w:rsid w:val="00BE2094"/>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D99"/>
    <w:rsid w:val="00C23EFE"/>
    <w:rsid w:val="00C26CD3"/>
    <w:rsid w:val="00C3047B"/>
    <w:rsid w:val="00C30749"/>
    <w:rsid w:val="00C3163F"/>
    <w:rsid w:val="00C317B0"/>
    <w:rsid w:val="00C35E4D"/>
    <w:rsid w:val="00C36E16"/>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6366"/>
    <w:rsid w:val="00C978FA"/>
    <w:rsid w:val="00CA13F9"/>
    <w:rsid w:val="00CA2B14"/>
    <w:rsid w:val="00CA2D2A"/>
    <w:rsid w:val="00CA40E0"/>
    <w:rsid w:val="00CA4C49"/>
    <w:rsid w:val="00CA4D13"/>
    <w:rsid w:val="00CA67AB"/>
    <w:rsid w:val="00CA789C"/>
    <w:rsid w:val="00CB016F"/>
    <w:rsid w:val="00CB0CBE"/>
    <w:rsid w:val="00CB1C6D"/>
    <w:rsid w:val="00CB2393"/>
    <w:rsid w:val="00CB5956"/>
    <w:rsid w:val="00CB60A9"/>
    <w:rsid w:val="00CC3EAA"/>
    <w:rsid w:val="00CC63F4"/>
    <w:rsid w:val="00CD4A8B"/>
    <w:rsid w:val="00CD5015"/>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BD4"/>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74005"/>
    <w:rsid w:val="00D76D65"/>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381A"/>
    <w:rsid w:val="00DD7C73"/>
    <w:rsid w:val="00DE01B6"/>
    <w:rsid w:val="00DE1304"/>
    <w:rsid w:val="00DE1724"/>
    <w:rsid w:val="00DE1DD3"/>
    <w:rsid w:val="00DE1FBD"/>
    <w:rsid w:val="00DE4677"/>
    <w:rsid w:val="00DE64ED"/>
    <w:rsid w:val="00DF064D"/>
    <w:rsid w:val="00DF0CBF"/>
    <w:rsid w:val="00DF16CD"/>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248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4714"/>
    <w:rsid w:val="00E66700"/>
    <w:rsid w:val="00E66AD7"/>
    <w:rsid w:val="00E67B0A"/>
    <w:rsid w:val="00E70287"/>
    <w:rsid w:val="00E71BAD"/>
    <w:rsid w:val="00E733FF"/>
    <w:rsid w:val="00E74106"/>
    <w:rsid w:val="00E74864"/>
    <w:rsid w:val="00E754E8"/>
    <w:rsid w:val="00E75EF4"/>
    <w:rsid w:val="00E82FD8"/>
    <w:rsid w:val="00E834E7"/>
    <w:rsid w:val="00E83ABA"/>
    <w:rsid w:val="00E83E70"/>
    <w:rsid w:val="00E86286"/>
    <w:rsid w:val="00E878FF"/>
    <w:rsid w:val="00E911ED"/>
    <w:rsid w:val="00E91E16"/>
    <w:rsid w:val="00E952EF"/>
    <w:rsid w:val="00E96437"/>
    <w:rsid w:val="00E968A0"/>
    <w:rsid w:val="00E968B1"/>
    <w:rsid w:val="00E97145"/>
    <w:rsid w:val="00EA4196"/>
    <w:rsid w:val="00EB0BAE"/>
    <w:rsid w:val="00EB0F20"/>
    <w:rsid w:val="00EB1632"/>
    <w:rsid w:val="00EB377B"/>
    <w:rsid w:val="00EB4086"/>
    <w:rsid w:val="00EB4EB6"/>
    <w:rsid w:val="00EB535D"/>
    <w:rsid w:val="00EB5CD2"/>
    <w:rsid w:val="00EC34E0"/>
    <w:rsid w:val="00EC446F"/>
    <w:rsid w:val="00EC5385"/>
    <w:rsid w:val="00EC5430"/>
    <w:rsid w:val="00EC60B6"/>
    <w:rsid w:val="00EC6373"/>
    <w:rsid w:val="00EC7853"/>
    <w:rsid w:val="00ED047D"/>
    <w:rsid w:val="00ED0A59"/>
    <w:rsid w:val="00ED297E"/>
    <w:rsid w:val="00ED4626"/>
    <w:rsid w:val="00ED4870"/>
    <w:rsid w:val="00ED5B3C"/>
    <w:rsid w:val="00ED732D"/>
    <w:rsid w:val="00ED7BC4"/>
    <w:rsid w:val="00ED7D72"/>
    <w:rsid w:val="00EE104D"/>
    <w:rsid w:val="00EE1CC9"/>
    <w:rsid w:val="00EE5F6D"/>
    <w:rsid w:val="00EF0701"/>
    <w:rsid w:val="00EF11F2"/>
    <w:rsid w:val="00EF236F"/>
    <w:rsid w:val="00EF3067"/>
    <w:rsid w:val="00F03AFB"/>
    <w:rsid w:val="00F03CB2"/>
    <w:rsid w:val="00F04AFB"/>
    <w:rsid w:val="00F13DC7"/>
    <w:rsid w:val="00F14167"/>
    <w:rsid w:val="00F14729"/>
    <w:rsid w:val="00F14ED7"/>
    <w:rsid w:val="00F150D6"/>
    <w:rsid w:val="00F15D69"/>
    <w:rsid w:val="00F15F9E"/>
    <w:rsid w:val="00F17670"/>
    <w:rsid w:val="00F17A90"/>
    <w:rsid w:val="00F2031D"/>
    <w:rsid w:val="00F21197"/>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2632"/>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48E5"/>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3607"/>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57DD2"/>
    <w:rPr>
      <w:sz w:val="16"/>
      <w:szCs w:val="16"/>
    </w:rPr>
  </w:style>
  <w:style w:type="paragraph" w:styleId="CommentText">
    <w:name w:val="annotation text"/>
    <w:basedOn w:val="Normal"/>
    <w:link w:val="CommentTextChar"/>
    <w:uiPriority w:val="99"/>
    <w:semiHidden/>
    <w:unhideWhenUsed/>
    <w:rsid w:val="00457DD2"/>
    <w:pPr>
      <w:spacing w:line="240" w:lineRule="auto"/>
    </w:pPr>
    <w:rPr>
      <w:szCs w:val="20"/>
    </w:rPr>
  </w:style>
  <w:style w:type="character" w:customStyle="1" w:styleId="CommentTextChar">
    <w:name w:val="Comment Text Char"/>
    <w:basedOn w:val="DefaultParagraphFont"/>
    <w:link w:val="CommentText"/>
    <w:uiPriority w:val="99"/>
    <w:semiHidden/>
    <w:rsid w:val="00457D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57DD2"/>
    <w:rPr>
      <w:b/>
      <w:bCs/>
    </w:rPr>
  </w:style>
  <w:style w:type="character" w:customStyle="1" w:styleId="CommentSubjectChar">
    <w:name w:val="Comment Subject Char"/>
    <w:basedOn w:val="CommentTextChar"/>
    <w:link w:val="CommentSubject"/>
    <w:uiPriority w:val="99"/>
    <w:semiHidden/>
    <w:rsid w:val="00457DD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57DD2"/>
    <w:rPr>
      <w:sz w:val="16"/>
      <w:szCs w:val="16"/>
    </w:rPr>
  </w:style>
  <w:style w:type="paragraph" w:styleId="CommentText">
    <w:name w:val="annotation text"/>
    <w:basedOn w:val="Normal"/>
    <w:link w:val="CommentTextChar"/>
    <w:uiPriority w:val="99"/>
    <w:semiHidden/>
    <w:unhideWhenUsed/>
    <w:rsid w:val="00457DD2"/>
    <w:pPr>
      <w:spacing w:line="240" w:lineRule="auto"/>
    </w:pPr>
    <w:rPr>
      <w:szCs w:val="20"/>
    </w:rPr>
  </w:style>
  <w:style w:type="character" w:customStyle="1" w:styleId="CommentTextChar">
    <w:name w:val="Comment Text Char"/>
    <w:basedOn w:val="DefaultParagraphFont"/>
    <w:link w:val="CommentText"/>
    <w:uiPriority w:val="99"/>
    <w:semiHidden/>
    <w:rsid w:val="00457D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57DD2"/>
    <w:rPr>
      <w:b/>
      <w:bCs/>
    </w:rPr>
  </w:style>
  <w:style w:type="character" w:customStyle="1" w:styleId="CommentSubjectChar">
    <w:name w:val="Comment Subject Char"/>
    <w:basedOn w:val="CommentTextChar"/>
    <w:link w:val="CommentSubject"/>
    <w:uiPriority w:val="99"/>
    <w:semiHidden/>
    <w:rsid w:val="00457DD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7535">
      <w:bodyDiv w:val="1"/>
      <w:marLeft w:val="0"/>
      <w:marRight w:val="0"/>
      <w:marTop w:val="0"/>
      <w:marBottom w:val="0"/>
      <w:divBdr>
        <w:top w:val="none" w:sz="0" w:space="0" w:color="auto"/>
        <w:left w:val="none" w:sz="0" w:space="0" w:color="auto"/>
        <w:bottom w:val="none" w:sz="0" w:space="0" w:color="auto"/>
        <w:right w:val="none" w:sz="0" w:space="0" w:color="auto"/>
      </w:divBdr>
    </w:div>
    <w:div w:id="104466003">
      <w:bodyDiv w:val="1"/>
      <w:marLeft w:val="0"/>
      <w:marRight w:val="0"/>
      <w:marTop w:val="0"/>
      <w:marBottom w:val="0"/>
      <w:divBdr>
        <w:top w:val="none" w:sz="0" w:space="0" w:color="auto"/>
        <w:left w:val="none" w:sz="0" w:space="0" w:color="auto"/>
        <w:bottom w:val="none" w:sz="0" w:space="0" w:color="auto"/>
        <w:right w:val="none" w:sz="0" w:space="0" w:color="auto"/>
      </w:divBdr>
    </w:div>
    <w:div w:id="264651362">
      <w:bodyDiv w:val="1"/>
      <w:marLeft w:val="0"/>
      <w:marRight w:val="0"/>
      <w:marTop w:val="0"/>
      <w:marBottom w:val="0"/>
      <w:divBdr>
        <w:top w:val="none" w:sz="0" w:space="0" w:color="auto"/>
        <w:left w:val="none" w:sz="0" w:space="0" w:color="auto"/>
        <w:bottom w:val="none" w:sz="0" w:space="0" w:color="auto"/>
        <w:right w:val="none" w:sz="0" w:space="0" w:color="auto"/>
      </w:divBdr>
    </w:div>
    <w:div w:id="461922985">
      <w:bodyDiv w:val="1"/>
      <w:marLeft w:val="0"/>
      <w:marRight w:val="0"/>
      <w:marTop w:val="0"/>
      <w:marBottom w:val="0"/>
      <w:divBdr>
        <w:top w:val="none" w:sz="0" w:space="0" w:color="auto"/>
        <w:left w:val="none" w:sz="0" w:space="0" w:color="auto"/>
        <w:bottom w:val="none" w:sz="0" w:space="0" w:color="auto"/>
        <w:right w:val="none" w:sz="0" w:space="0" w:color="auto"/>
      </w:divBdr>
    </w:div>
    <w:div w:id="609288392">
      <w:bodyDiv w:val="1"/>
      <w:marLeft w:val="0"/>
      <w:marRight w:val="0"/>
      <w:marTop w:val="0"/>
      <w:marBottom w:val="0"/>
      <w:divBdr>
        <w:top w:val="none" w:sz="0" w:space="0" w:color="auto"/>
        <w:left w:val="none" w:sz="0" w:space="0" w:color="auto"/>
        <w:bottom w:val="none" w:sz="0" w:space="0" w:color="auto"/>
        <w:right w:val="none" w:sz="0" w:space="0" w:color="auto"/>
      </w:divBdr>
    </w:div>
    <w:div w:id="754201994">
      <w:bodyDiv w:val="1"/>
      <w:marLeft w:val="0"/>
      <w:marRight w:val="0"/>
      <w:marTop w:val="0"/>
      <w:marBottom w:val="0"/>
      <w:divBdr>
        <w:top w:val="none" w:sz="0" w:space="0" w:color="auto"/>
        <w:left w:val="none" w:sz="0" w:space="0" w:color="auto"/>
        <w:bottom w:val="none" w:sz="0" w:space="0" w:color="auto"/>
        <w:right w:val="none" w:sz="0" w:space="0" w:color="auto"/>
      </w:divBdr>
    </w:div>
    <w:div w:id="766576966">
      <w:bodyDiv w:val="1"/>
      <w:marLeft w:val="0"/>
      <w:marRight w:val="0"/>
      <w:marTop w:val="0"/>
      <w:marBottom w:val="0"/>
      <w:divBdr>
        <w:top w:val="none" w:sz="0" w:space="0" w:color="auto"/>
        <w:left w:val="none" w:sz="0" w:space="0" w:color="auto"/>
        <w:bottom w:val="none" w:sz="0" w:space="0" w:color="auto"/>
        <w:right w:val="none" w:sz="0" w:space="0" w:color="auto"/>
      </w:divBdr>
    </w:div>
    <w:div w:id="805124029">
      <w:bodyDiv w:val="1"/>
      <w:marLeft w:val="0"/>
      <w:marRight w:val="0"/>
      <w:marTop w:val="0"/>
      <w:marBottom w:val="0"/>
      <w:divBdr>
        <w:top w:val="none" w:sz="0" w:space="0" w:color="auto"/>
        <w:left w:val="none" w:sz="0" w:space="0" w:color="auto"/>
        <w:bottom w:val="none" w:sz="0" w:space="0" w:color="auto"/>
        <w:right w:val="none" w:sz="0" w:space="0" w:color="auto"/>
      </w:divBdr>
    </w:div>
    <w:div w:id="831412800">
      <w:bodyDiv w:val="1"/>
      <w:marLeft w:val="0"/>
      <w:marRight w:val="0"/>
      <w:marTop w:val="0"/>
      <w:marBottom w:val="0"/>
      <w:divBdr>
        <w:top w:val="none" w:sz="0" w:space="0" w:color="auto"/>
        <w:left w:val="none" w:sz="0" w:space="0" w:color="auto"/>
        <w:bottom w:val="none" w:sz="0" w:space="0" w:color="auto"/>
        <w:right w:val="none" w:sz="0" w:space="0" w:color="auto"/>
      </w:divBdr>
    </w:div>
    <w:div w:id="852693653">
      <w:bodyDiv w:val="1"/>
      <w:marLeft w:val="0"/>
      <w:marRight w:val="0"/>
      <w:marTop w:val="0"/>
      <w:marBottom w:val="0"/>
      <w:divBdr>
        <w:top w:val="none" w:sz="0" w:space="0" w:color="auto"/>
        <w:left w:val="none" w:sz="0" w:space="0" w:color="auto"/>
        <w:bottom w:val="none" w:sz="0" w:space="0" w:color="auto"/>
        <w:right w:val="none" w:sz="0" w:space="0" w:color="auto"/>
      </w:divBdr>
    </w:div>
    <w:div w:id="876621284">
      <w:bodyDiv w:val="1"/>
      <w:marLeft w:val="0"/>
      <w:marRight w:val="0"/>
      <w:marTop w:val="0"/>
      <w:marBottom w:val="0"/>
      <w:divBdr>
        <w:top w:val="none" w:sz="0" w:space="0" w:color="auto"/>
        <w:left w:val="none" w:sz="0" w:space="0" w:color="auto"/>
        <w:bottom w:val="none" w:sz="0" w:space="0" w:color="auto"/>
        <w:right w:val="none" w:sz="0" w:space="0" w:color="auto"/>
      </w:divBdr>
    </w:div>
    <w:div w:id="972056526">
      <w:bodyDiv w:val="1"/>
      <w:marLeft w:val="0"/>
      <w:marRight w:val="0"/>
      <w:marTop w:val="0"/>
      <w:marBottom w:val="0"/>
      <w:divBdr>
        <w:top w:val="none" w:sz="0" w:space="0" w:color="auto"/>
        <w:left w:val="none" w:sz="0" w:space="0" w:color="auto"/>
        <w:bottom w:val="none" w:sz="0" w:space="0" w:color="auto"/>
        <w:right w:val="none" w:sz="0" w:space="0" w:color="auto"/>
      </w:divBdr>
    </w:div>
    <w:div w:id="972908240">
      <w:bodyDiv w:val="1"/>
      <w:marLeft w:val="0"/>
      <w:marRight w:val="0"/>
      <w:marTop w:val="0"/>
      <w:marBottom w:val="0"/>
      <w:divBdr>
        <w:top w:val="none" w:sz="0" w:space="0" w:color="auto"/>
        <w:left w:val="none" w:sz="0" w:space="0" w:color="auto"/>
        <w:bottom w:val="none" w:sz="0" w:space="0" w:color="auto"/>
        <w:right w:val="none" w:sz="0" w:space="0" w:color="auto"/>
      </w:divBdr>
    </w:div>
    <w:div w:id="974525564">
      <w:bodyDiv w:val="1"/>
      <w:marLeft w:val="0"/>
      <w:marRight w:val="0"/>
      <w:marTop w:val="0"/>
      <w:marBottom w:val="0"/>
      <w:divBdr>
        <w:top w:val="none" w:sz="0" w:space="0" w:color="auto"/>
        <w:left w:val="none" w:sz="0" w:space="0" w:color="auto"/>
        <w:bottom w:val="none" w:sz="0" w:space="0" w:color="auto"/>
        <w:right w:val="none" w:sz="0" w:space="0" w:color="auto"/>
      </w:divBdr>
    </w:div>
    <w:div w:id="1023558451">
      <w:bodyDiv w:val="1"/>
      <w:marLeft w:val="0"/>
      <w:marRight w:val="0"/>
      <w:marTop w:val="0"/>
      <w:marBottom w:val="0"/>
      <w:divBdr>
        <w:top w:val="none" w:sz="0" w:space="0" w:color="auto"/>
        <w:left w:val="none" w:sz="0" w:space="0" w:color="auto"/>
        <w:bottom w:val="none" w:sz="0" w:space="0" w:color="auto"/>
        <w:right w:val="none" w:sz="0" w:space="0" w:color="auto"/>
      </w:divBdr>
    </w:div>
    <w:div w:id="1053844259">
      <w:bodyDiv w:val="1"/>
      <w:marLeft w:val="0"/>
      <w:marRight w:val="0"/>
      <w:marTop w:val="0"/>
      <w:marBottom w:val="0"/>
      <w:divBdr>
        <w:top w:val="none" w:sz="0" w:space="0" w:color="auto"/>
        <w:left w:val="none" w:sz="0" w:space="0" w:color="auto"/>
        <w:bottom w:val="none" w:sz="0" w:space="0" w:color="auto"/>
        <w:right w:val="none" w:sz="0" w:space="0" w:color="auto"/>
      </w:divBdr>
    </w:div>
    <w:div w:id="1158574354">
      <w:bodyDiv w:val="1"/>
      <w:marLeft w:val="0"/>
      <w:marRight w:val="0"/>
      <w:marTop w:val="0"/>
      <w:marBottom w:val="0"/>
      <w:divBdr>
        <w:top w:val="none" w:sz="0" w:space="0" w:color="auto"/>
        <w:left w:val="none" w:sz="0" w:space="0" w:color="auto"/>
        <w:bottom w:val="none" w:sz="0" w:space="0" w:color="auto"/>
        <w:right w:val="none" w:sz="0" w:space="0" w:color="auto"/>
      </w:divBdr>
    </w:div>
    <w:div w:id="1173489723">
      <w:bodyDiv w:val="1"/>
      <w:marLeft w:val="0"/>
      <w:marRight w:val="0"/>
      <w:marTop w:val="0"/>
      <w:marBottom w:val="0"/>
      <w:divBdr>
        <w:top w:val="none" w:sz="0" w:space="0" w:color="auto"/>
        <w:left w:val="none" w:sz="0" w:space="0" w:color="auto"/>
        <w:bottom w:val="none" w:sz="0" w:space="0" w:color="auto"/>
        <w:right w:val="none" w:sz="0" w:space="0" w:color="auto"/>
      </w:divBdr>
    </w:div>
    <w:div w:id="1233732311">
      <w:bodyDiv w:val="1"/>
      <w:marLeft w:val="0"/>
      <w:marRight w:val="0"/>
      <w:marTop w:val="0"/>
      <w:marBottom w:val="0"/>
      <w:divBdr>
        <w:top w:val="none" w:sz="0" w:space="0" w:color="auto"/>
        <w:left w:val="none" w:sz="0" w:space="0" w:color="auto"/>
        <w:bottom w:val="none" w:sz="0" w:space="0" w:color="auto"/>
        <w:right w:val="none" w:sz="0" w:space="0" w:color="auto"/>
      </w:divBdr>
    </w:div>
    <w:div w:id="1246845541">
      <w:bodyDiv w:val="1"/>
      <w:marLeft w:val="0"/>
      <w:marRight w:val="0"/>
      <w:marTop w:val="0"/>
      <w:marBottom w:val="0"/>
      <w:divBdr>
        <w:top w:val="none" w:sz="0" w:space="0" w:color="auto"/>
        <w:left w:val="none" w:sz="0" w:space="0" w:color="auto"/>
        <w:bottom w:val="none" w:sz="0" w:space="0" w:color="auto"/>
        <w:right w:val="none" w:sz="0" w:space="0" w:color="auto"/>
      </w:divBdr>
    </w:div>
    <w:div w:id="1277368920">
      <w:bodyDiv w:val="1"/>
      <w:marLeft w:val="0"/>
      <w:marRight w:val="0"/>
      <w:marTop w:val="0"/>
      <w:marBottom w:val="0"/>
      <w:divBdr>
        <w:top w:val="none" w:sz="0" w:space="0" w:color="auto"/>
        <w:left w:val="none" w:sz="0" w:space="0" w:color="auto"/>
        <w:bottom w:val="none" w:sz="0" w:space="0" w:color="auto"/>
        <w:right w:val="none" w:sz="0" w:space="0" w:color="auto"/>
      </w:divBdr>
    </w:div>
    <w:div w:id="1373339517">
      <w:bodyDiv w:val="1"/>
      <w:marLeft w:val="0"/>
      <w:marRight w:val="0"/>
      <w:marTop w:val="0"/>
      <w:marBottom w:val="0"/>
      <w:divBdr>
        <w:top w:val="none" w:sz="0" w:space="0" w:color="auto"/>
        <w:left w:val="none" w:sz="0" w:space="0" w:color="auto"/>
        <w:bottom w:val="none" w:sz="0" w:space="0" w:color="auto"/>
        <w:right w:val="none" w:sz="0" w:space="0" w:color="auto"/>
      </w:divBdr>
    </w:div>
    <w:div w:id="1413893798">
      <w:bodyDiv w:val="1"/>
      <w:marLeft w:val="0"/>
      <w:marRight w:val="0"/>
      <w:marTop w:val="0"/>
      <w:marBottom w:val="0"/>
      <w:divBdr>
        <w:top w:val="none" w:sz="0" w:space="0" w:color="auto"/>
        <w:left w:val="none" w:sz="0" w:space="0" w:color="auto"/>
        <w:bottom w:val="none" w:sz="0" w:space="0" w:color="auto"/>
        <w:right w:val="none" w:sz="0" w:space="0" w:color="auto"/>
      </w:divBdr>
    </w:div>
    <w:div w:id="1497067970">
      <w:bodyDiv w:val="1"/>
      <w:marLeft w:val="0"/>
      <w:marRight w:val="0"/>
      <w:marTop w:val="0"/>
      <w:marBottom w:val="0"/>
      <w:divBdr>
        <w:top w:val="none" w:sz="0" w:space="0" w:color="auto"/>
        <w:left w:val="none" w:sz="0" w:space="0" w:color="auto"/>
        <w:bottom w:val="none" w:sz="0" w:space="0" w:color="auto"/>
        <w:right w:val="none" w:sz="0" w:space="0" w:color="auto"/>
      </w:divBdr>
    </w:div>
    <w:div w:id="1503930653">
      <w:bodyDiv w:val="1"/>
      <w:marLeft w:val="0"/>
      <w:marRight w:val="0"/>
      <w:marTop w:val="0"/>
      <w:marBottom w:val="0"/>
      <w:divBdr>
        <w:top w:val="none" w:sz="0" w:space="0" w:color="auto"/>
        <w:left w:val="none" w:sz="0" w:space="0" w:color="auto"/>
        <w:bottom w:val="none" w:sz="0" w:space="0" w:color="auto"/>
        <w:right w:val="none" w:sz="0" w:space="0" w:color="auto"/>
      </w:divBdr>
    </w:div>
    <w:div w:id="1573656983">
      <w:bodyDiv w:val="1"/>
      <w:marLeft w:val="0"/>
      <w:marRight w:val="0"/>
      <w:marTop w:val="0"/>
      <w:marBottom w:val="0"/>
      <w:divBdr>
        <w:top w:val="none" w:sz="0" w:space="0" w:color="auto"/>
        <w:left w:val="none" w:sz="0" w:space="0" w:color="auto"/>
        <w:bottom w:val="none" w:sz="0" w:space="0" w:color="auto"/>
        <w:right w:val="none" w:sz="0" w:space="0" w:color="auto"/>
      </w:divBdr>
    </w:div>
    <w:div w:id="1574781812">
      <w:bodyDiv w:val="1"/>
      <w:marLeft w:val="0"/>
      <w:marRight w:val="0"/>
      <w:marTop w:val="0"/>
      <w:marBottom w:val="0"/>
      <w:divBdr>
        <w:top w:val="none" w:sz="0" w:space="0" w:color="auto"/>
        <w:left w:val="none" w:sz="0" w:space="0" w:color="auto"/>
        <w:bottom w:val="none" w:sz="0" w:space="0" w:color="auto"/>
        <w:right w:val="none" w:sz="0" w:space="0" w:color="auto"/>
      </w:divBdr>
    </w:div>
    <w:div w:id="1616016875">
      <w:bodyDiv w:val="1"/>
      <w:marLeft w:val="0"/>
      <w:marRight w:val="0"/>
      <w:marTop w:val="0"/>
      <w:marBottom w:val="0"/>
      <w:divBdr>
        <w:top w:val="none" w:sz="0" w:space="0" w:color="auto"/>
        <w:left w:val="none" w:sz="0" w:space="0" w:color="auto"/>
        <w:bottom w:val="none" w:sz="0" w:space="0" w:color="auto"/>
        <w:right w:val="none" w:sz="0" w:space="0" w:color="auto"/>
      </w:divBdr>
    </w:div>
    <w:div w:id="1645232996">
      <w:bodyDiv w:val="1"/>
      <w:marLeft w:val="0"/>
      <w:marRight w:val="0"/>
      <w:marTop w:val="0"/>
      <w:marBottom w:val="0"/>
      <w:divBdr>
        <w:top w:val="none" w:sz="0" w:space="0" w:color="auto"/>
        <w:left w:val="none" w:sz="0" w:space="0" w:color="auto"/>
        <w:bottom w:val="none" w:sz="0" w:space="0" w:color="auto"/>
        <w:right w:val="none" w:sz="0" w:space="0" w:color="auto"/>
      </w:divBdr>
    </w:div>
    <w:div w:id="1735738072">
      <w:bodyDiv w:val="1"/>
      <w:marLeft w:val="0"/>
      <w:marRight w:val="0"/>
      <w:marTop w:val="0"/>
      <w:marBottom w:val="0"/>
      <w:divBdr>
        <w:top w:val="none" w:sz="0" w:space="0" w:color="auto"/>
        <w:left w:val="none" w:sz="0" w:space="0" w:color="auto"/>
        <w:bottom w:val="none" w:sz="0" w:space="0" w:color="auto"/>
        <w:right w:val="none" w:sz="0" w:space="0" w:color="auto"/>
      </w:divBdr>
    </w:div>
    <w:div w:id="1736273198">
      <w:bodyDiv w:val="1"/>
      <w:marLeft w:val="0"/>
      <w:marRight w:val="0"/>
      <w:marTop w:val="0"/>
      <w:marBottom w:val="0"/>
      <w:divBdr>
        <w:top w:val="none" w:sz="0" w:space="0" w:color="auto"/>
        <w:left w:val="none" w:sz="0" w:space="0" w:color="auto"/>
        <w:bottom w:val="none" w:sz="0" w:space="0" w:color="auto"/>
        <w:right w:val="none" w:sz="0" w:space="0" w:color="auto"/>
      </w:divBdr>
    </w:div>
    <w:div w:id="1775899570">
      <w:bodyDiv w:val="1"/>
      <w:marLeft w:val="0"/>
      <w:marRight w:val="0"/>
      <w:marTop w:val="0"/>
      <w:marBottom w:val="0"/>
      <w:divBdr>
        <w:top w:val="none" w:sz="0" w:space="0" w:color="auto"/>
        <w:left w:val="none" w:sz="0" w:space="0" w:color="auto"/>
        <w:bottom w:val="none" w:sz="0" w:space="0" w:color="auto"/>
        <w:right w:val="none" w:sz="0" w:space="0" w:color="auto"/>
      </w:divBdr>
    </w:div>
    <w:div w:id="1851213803">
      <w:bodyDiv w:val="1"/>
      <w:marLeft w:val="0"/>
      <w:marRight w:val="0"/>
      <w:marTop w:val="0"/>
      <w:marBottom w:val="0"/>
      <w:divBdr>
        <w:top w:val="none" w:sz="0" w:space="0" w:color="auto"/>
        <w:left w:val="none" w:sz="0" w:space="0" w:color="auto"/>
        <w:bottom w:val="none" w:sz="0" w:space="0" w:color="auto"/>
        <w:right w:val="none" w:sz="0" w:space="0" w:color="auto"/>
      </w:divBdr>
    </w:div>
    <w:div w:id="1934509685">
      <w:bodyDiv w:val="1"/>
      <w:marLeft w:val="0"/>
      <w:marRight w:val="0"/>
      <w:marTop w:val="0"/>
      <w:marBottom w:val="0"/>
      <w:divBdr>
        <w:top w:val="none" w:sz="0" w:space="0" w:color="auto"/>
        <w:left w:val="none" w:sz="0" w:space="0" w:color="auto"/>
        <w:bottom w:val="none" w:sz="0" w:space="0" w:color="auto"/>
        <w:right w:val="none" w:sz="0" w:space="0" w:color="auto"/>
      </w:divBdr>
    </w:div>
    <w:div w:id="1965112529">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2003659221">
      <w:bodyDiv w:val="1"/>
      <w:marLeft w:val="0"/>
      <w:marRight w:val="0"/>
      <w:marTop w:val="0"/>
      <w:marBottom w:val="0"/>
      <w:divBdr>
        <w:top w:val="none" w:sz="0" w:space="0" w:color="auto"/>
        <w:left w:val="none" w:sz="0" w:space="0" w:color="auto"/>
        <w:bottom w:val="none" w:sz="0" w:space="0" w:color="auto"/>
        <w:right w:val="none" w:sz="0" w:space="0" w:color="auto"/>
      </w:divBdr>
    </w:div>
    <w:div w:id="2042002991">
      <w:bodyDiv w:val="1"/>
      <w:marLeft w:val="0"/>
      <w:marRight w:val="0"/>
      <w:marTop w:val="0"/>
      <w:marBottom w:val="0"/>
      <w:divBdr>
        <w:top w:val="none" w:sz="0" w:space="0" w:color="auto"/>
        <w:left w:val="none" w:sz="0" w:space="0" w:color="auto"/>
        <w:bottom w:val="none" w:sz="0" w:space="0" w:color="auto"/>
        <w:right w:val="none" w:sz="0" w:space="0" w:color="auto"/>
      </w:divBdr>
    </w:div>
    <w:div w:id="2077431230">
      <w:bodyDiv w:val="1"/>
      <w:marLeft w:val="0"/>
      <w:marRight w:val="0"/>
      <w:marTop w:val="0"/>
      <w:marBottom w:val="0"/>
      <w:divBdr>
        <w:top w:val="none" w:sz="0" w:space="0" w:color="auto"/>
        <w:left w:val="none" w:sz="0" w:space="0" w:color="auto"/>
        <w:bottom w:val="none" w:sz="0" w:space="0" w:color="auto"/>
        <w:right w:val="none" w:sz="0" w:space="0" w:color="auto"/>
      </w:divBdr>
    </w:div>
    <w:div w:id="20864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51CA-91A7-4E1D-8A4A-2225280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3833</Words>
  <Characters>27023</Characters>
  <Application>Microsoft Office Word</Application>
  <DocSecurity>4</DocSecurity>
  <Lines>600</Lines>
  <Paragraphs>134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Anastasia Barinova</cp:lastModifiedBy>
  <cp:revision>2</cp:revision>
  <cp:lastPrinted>2016-02-01T10:28:00Z</cp:lastPrinted>
  <dcterms:created xsi:type="dcterms:W3CDTF">2016-02-02T08:42:00Z</dcterms:created>
  <dcterms:modified xsi:type="dcterms:W3CDTF">2016-02-02T08:42:00Z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1522030F</vt:lpwstr>
  </property>
  <property fmtid="{D5CDD505-2E9C-101B-9397-08002B2CF9AE}" pid="3" name="ODSRefJobNo">
    <vt:lpwstr>1528557F</vt:lpwstr>
  </property>
  <property fmtid="{D5CDD505-2E9C-101B-9397-08002B2CF9AE}" pid="4" name="Symbol1">
    <vt:lpwstr>ECE/TRANS/2016/29</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290116</vt:lpwstr>
  </property>
</Properties>
</file>