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38" w:rsidRPr="00F05FF9" w:rsidRDefault="00C87138" w:rsidP="00C87138">
      <w:pPr>
        <w:spacing w:line="240" w:lineRule="auto"/>
        <w:rPr>
          <w:sz w:val="2"/>
          <w:lang w:val="fr-CH"/>
        </w:rPr>
        <w:sectPr w:rsidR="00C87138" w:rsidRPr="00F05FF9" w:rsidSect="00C8713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F05FF9">
        <w:rPr>
          <w:rStyle w:val="CommentReference"/>
          <w:lang w:val="fr-CH"/>
        </w:rPr>
        <w:commentReference w:id="0"/>
      </w:r>
      <w:bookmarkStart w:id="1" w:name="_GoBack"/>
      <w:bookmarkEnd w:id="1"/>
    </w:p>
    <w:p w:rsidR="00C87138" w:rsidRPr="00F05FF9" w:rsidRDefault="00C87138" w:rsidP="00C87138">
      <w:pPr>
        <w:pStyle w:val="H1"/>
        <w:spacing w:after="120"/>
        <w:rPr>
          <w:sz w:val="28"/>
          <w:lang w:val="fr-CH"/>
        </w:rPr>
      </w:pPr>
      <w:r w:rsidRPr="00F05FF9">
        <w:rPr>
          <w:sz w:val="28"/>
          <w:lang w:val="fr-CH"/>
        </w:rPr>
        <w:lastRenderedPageBreak/>
        <w:t>Commission économique pour l</w:t>
      </w:r>
      <w:r w:rsidR="00B164F7" w:rsidRPr="00F05FF9">
        <w:rPr>
          <w:sz w:val="28"/>
          <w:lang w:val="fr-CH"/>
        </w:rPr>
        <w:t>’</w:t>
      </w:r>
      <w:r w:rsidRPr="00F05FF9">
        <w:rPr>
          <w:sz w:val="28"/>
          <w:lang w:val="fr-CH"/>
        </w:rPr>
        <w:t>Europe</w:t>
      </w:r>
    </w:p>
    <w:p w:rsidR="00C87138" w:rsidRPr="00F05FF9" w:rsidRDefault="00C87138" w:rsidP="00C87138">
      <w:pPr>
        <w:pStyle w:val="H1"/>
        <w:spacing w:after="120" w:line="300" w:lineRule="exact"/>
        <w:rPr>
          <w:b w:val="0"/>
          <w:sz w:val="28"/>
          <w:lang w:val="fr-CH"/>
        </w:rPr>
      </w:pPr>
      <w:r w:rsidRPr="00F05FF9">
        <w:rPr>
          <w:b w:val="0"/>
          <w:sz w:val="28"/>
          <w:lang w:val="fr-CH"/>
        </w:rPr>
        <w:t>Comité des transports intérieurs</w:t>
      </w:r>
    </w:p>
    <w:p w:rsidR="00753F14" w:rsidRPr="00F05FF9" w:rsidRDefault="00753F14" w:rsidP="00753F1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F05FF9">
        <w:rPr>
          <w:lang w:val="fr-CH"/>
        </w:rPr>
        <w:t>Soixante-dix-huitième session</w:t>
      </w:r>
    </w:p>
    <w:p w:rsidR="00753F14" w:rsidRPr="00F05FF9" w:rsidRDefault="00753F14" w:rsidP="00753F1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Genève, 23-26 février 2016</w:t>
      </w:r>
    </w:p>
    <w:p w:rsidR="00753F14" w:rsidRPr="00F05FF9" w:rsidRDefault="00753F14" w:rsidP="00753F1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Point 13 de l</w:t>
      </w:r>
      <w:r w:rsidR="00B164F7" w:rsidRPr="00F05FF9">
        <w:rPr>
          <w:lang w:val="fr-CH"/>
        </w:rPr>
        <w:t>’</w:t>
      </w:r>
      <w:r w:rsidRPr="00F05FF9">
        <w:rPr>
          <w:lang w:val="fr-CH"/>
        </w:rPr>
        <w:t xml:space="preserve">ordre du jour provisoire </w:t>
      </w:r>
    </w:p>
    <w:p w:rsidR="00753F14" w:rsidRPr="00F05FF9" w:rsidRDefault="00753F14" w:rsidP="00753F1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 xml:space="preserve">Programme de travail et évaluation biennale pour 2016-2017 </w:t>
      </w:r>
      <w:r w:rsidRPr="00F05FF9">
        <w:rPr>
          <w:lang w:val="fr-CH"/>
        </w:rPr>
        <w:br/>
        <w:t>et cadre stratégique pour 2018-2019</w:t>
      </w:r>
    </w:p>
    <w:p w:rsidR="00753F14" w:rsidRPr="00F05FF9" w:rsidRDefault="00753F14" w:rsidP="00753F14">
      <w:pPr>
        <w:spacing w:line="120" w:lineRule="exact"/>
        <w:rPr>
          <w:sz w:val="10"/>
          <w:lang w:val="fr-CH"/>
        </w:rPr>
      </w:pPr>
    </w:p>
    <w:p w:rsidR="00753F14" w:rsidRPr="00F05FF9" w:rsidRDefault="00753F14" w:rsidP="00753F14">
      <w:pPr>
        <w:spacing w:line="120" w:lineRule="exact"/>
        <w:rPr>
          <w:sz w:val="10"/>
          <w:lang w:val="fr-CH"/>
        </w:rPr>
      </w:pPr>
    </w:p>
    <w:p w:rsidR="00753F14" w:rsidRPr="00F05FF9" w:rsidRDefault="00753F14" w:rsidP="00753F14">
      <w:pPr>
        <w:spacing w:line="120" w:lineRule="exact"/>
        <w:rPr>
          <w:sz w:val="10"/>
          <w:lang w:val="fr-CH"/>
        </w:rPr>
      </w:pPr>
    </w:p>
    <w:p w:rsidR="00753F14" w:rsidRPr="00F05FF9" w:rsidRDefault="00753F14" w:rsidP="00753F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r>
      <w:r w:rsidRPr="00F05FF9">
        <w:rPr>
          <w:lang w:val="fr-CH"/>
        </w:rPr>
        <w:tab/>
        <w:t>Projet de programme de</w:t>
      </w:r>
      <w:r w:rsidR="00F80D89" w:rsidRPr="00F05FF9">
        <w:rPr>
          <w:lang w:val="fr-CH"/>
        </w:rPr>
        <w:t xml:space="preserve"> travail correspondant </w:t>
      </w:r>
      <w:r w:rsidR="00F80D89" w:rsidRPr="00F05FF9">
        <w:rPr>
          <w:lang w:val="fr-CH"/>
        </w:rPr>
        <w:br/>
        <w:t>au sous-</w:t>
      </w:r>
      <w:r w:rsidRPr="00F05FF9">
        <w:rPr>
          <w:lang w:val="fr-CH"/>
        </w:rPr>
        <w:t>programme « Transports » pour 2016-2017</w:t>
      </w:r>
    </w:p>
    <w:p w:rsidR="00753F14" w:rsidRPr="00F05FF9" w:rsidRDefault="00753F14" w:rsidP="00753F14">
      <w:pPr>
        <w:pStyle w:val="SingleTxt"/>
        <w:spacing w:after="0" w:line="120" w:lineRule="exact"/>
        <w:rPr>
          <w:sz w:val="10"/>
          <w:lang w:val="fr-CH"/>
        </w:rPr>
      </w:pPr>
    </w:p>
    <w:p w:rsidR="00753F14" w:rsidRPr="00F05FF9" w:rsidRDefault="00753F14" w:rsidP="00753F14">
      <w:pPr>
        <w:pStyle w:val="SingleTxt"/>
        <w:spacing w:after="0" w:line="120" w:lineRule="exact"/>
        <w:rPr>
          <w:sz w:val="10"/>
          <w:lang w:val="fr-CH"/>
        </w:rPr>
      </w:pPr>
    </w:p>
    <w:p w:rsidR="00753F14" w:rsidRPr="00F05FF9" w:rsidRDefault="00753F14" w:rsidP="00753F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r>
      <w:r w:rsidRPr="00F05FF9">
        <w:rPr>
          <w:lang w:val="fr-CH"/>
        </w:rPr>
        <w:tab/>
        <w:t>Note du secrétariat</w:t>
      </w:r>
    </w:p>
    <w:p w:rsidR="00753F14" w:rsidRPr="00F05FF9" w:rsidRDefault="00753F14" w:rsidP="00753F14">
      <w:pPr>
        <w:pStyle w:val="SingleTxt"/>
        <w:spacing w:after="0" w:line="120" w:lineRule="exact"/>
        <w:rPr>
          <w:sz w:val="10"/>
          <w:lang w:val="fr-CH"/>
        </w:rPr>
      </w:pPr>
    </w:p>
    <w:p w:rsidR="00753F14" w:rsidRPr="00F05FF9" w:rsidRDefault="00753F14" w:rsidP="00753F14">
      <w:pPr>
        <w:pStyle w:val="SingleTxt"/>
        <w:spacing w:after="0" w:line="120" w:lineRule="exact"/>
        <w:rPr>
          <w:sz w:val="10"/>
          <w:lang w:val="fr-CH"/>
        </w:rPr>
      </w:pPr>
    </w:p>
    <w:p w:rsidR="00753F14" w:rsidRPr="00F05FF9" w:rsidRDefault="00753F14" w:rsidP="00753F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r>
      <w:r w:rsidRPr="00F05FF9">
        <w:rPr>
          <w:lang w:val="fr-CH"/>
        </w:rPr>
        <w:tab/>
        <w:t>Introduction</w:t>
      </w:r>
    </w:p>
    <w:p w:rsidR="00753F14" w:rsidRPr="00F05FF9" w:rsidRDefault="00753F14" w:rsidP="00753F14">
      <w:pPr>
        <w:pStyle w:val="SingleTxt"/>
        <w:spacing w:after="0" w:line="120" w:lineRule="exact"/>
        <w:rPr>
          <w:sz w:val="10"/>
          <w:lang w:val="fr-CH"/>
        </w:rPr>
      </w:pPr>
    </w:p>
    <w:p w:rsidR="00753F14" w:rsidRPr="00F05FF9" w:rsidRDefault="00753F14" w:rsidP="00753F14">
      <w:pPr>
        <w:pStyle w:val="SingleTxt"/>
        <w:spacing w:after="0" w:line="120" w:lineRule="exact"/>
        <w:rPr>
          <w:sz w:val="10"/>
          <w:lang w:val="fr-CH"/>
        </w:rPr>
      </w:pP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On trouvera ci-après une présentation du projet de programme de travail correspondant au sous-programme «</w:t>
      </w:r>
      <w:r w:rsidR="00BF6259" w:rsidRPr="00F05FF9">
        <w:rPr>
          <w:lang w:val="fr-CH"/>
        </w:rPr>
        <w:t> </w:t>
      </w:r>
      <w:r w:rsidRPr="00F05FF9">
        <w:rPr>
          <w:lang w:val="fr-CH"/>
        </w:rPr>
        <w:t>Transports</w:t>
      </w:r>
      <w:r w:rsidR="00BF6259" w:rsidRPr="00F05FF9">
        <w:rPr>
          <w:lang w:val="fr-CH"/>
        </w:rPr>
        <w:t> </w:t>
      </w:r>
      <w:r w:rsidRPr="00F05FF9">
        <w:rPr>
          <w:lang w:val="fr-CH"/>
        </w:rPr>
        <w:t>» (ci-après, le sous-programme) pour l</w:t>
      </w:r>
      <w:r w:rsidR="00B164F7" w:rsidRPr="00F05FF9">
        <w:rPr>
          <w:lang w:val="fr-CH"/>
        </w:rPr>
        <w:t>’</w:t>
      </w:r>
      <w:r w:rsidRPr="00F05FF9">
        <w:rPr>
          <w:lang w:val="fr-CH"/>
        </w:rPr>
        <w:t>exercice biennal 2016-2017, que le Comité des transports intérieurs (ci-après le Comité) est invité à adopter puis à recommander au Comité exécutif pour approbation.</w:t>
      </w:r>
      <w:r w:rsidR="0052723B" w:rsidRPr="00F05FF9">
        <w:rPr>
          <w:lang w:val="fr-CH"/>
        </w:rPr>
        <w:t xml:space="preserve"> </w:t>
      </w:r>
      <w:r w:rsidRPr="00F05FF9">
        <w:rPr>
          <w:lang w:val="fr-CH"/>
        </w:rPr>
        <w:t>Tout produit ajouté, arrêté ou reporté par la suite sera pris en compte dans le cadre du Système intégré de suivi (SIS) que le secrétariat utilise à des fins de planification, de suivi et de communication de rapports sur la mise en œuvre du programme. Les résultats de la mise en œuvre du programme de travail seront communiqués au Comité dans le rapport sur l</w:t>
      </w:r>
      <w:r w:rsidR="00B164F7" w:rsidRPr="00F05FF9">
        <w:rPr>
          <w:lang w:val="fr-CH"/>
        </w:rPr>
        <w:t>’</w:t>
      </w:r>
      <w:r w:rsidRPr="00F05FF9">
        <w:rPr>
          <w:lang w:val="fr-CH"/>
        </w:rPr>
        <w:t>exécution des programmes pour l</w:t>
      </w:r>
      <w:r w:rsidR="00B164F7" w:rsidRPr="00F05FF9">
        <w:rPr>
          <w:lang w:val="fr-CH"/>
        </w:rPr>
        <w:t>’</w:t>
      </w:r>
      <w:r w:rsidRPr="00F05FF9">
        <w:rPr>
          <w:lang w:val="fr-CH"/>
        </w:rPr>
        <w:t>exercice biennal 2016-2017.</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 xml:space="preserve">Le projet de programme de travail </w:t>
      </w:r>
      <w:r w:rsidR="00B164F7" w:rsidRPr="00F05FF9">
        <w:rPr>
          <w:lang w:val="fr-CH"/>
        </w:rPr>
        <w:t xml:space="preserve">est géré selon la </w:t>
      </w:r>
      <w:r w:rsidRPr="00F05FF9">
        <w:rPr>
          <w:lang w:val="fr-CH"/>
        </w:rPr>
        <w:t xml:space="preserve">méthode de gestion axée sur les résultats, méthode globale de gestion qui établit un lien logique entre les résultats hiérarchisés (produits </w:t>
      </w:r>
      <w:r w:rsidR="00F80D89" w:rsidRPr="00F05FF9">
        <w:rPr>
          <w:lang w:val="fr-CH"/>
        </w:rPr>
        <w:t>–</w:t>
      </w:r>
      <w:r w:rsidRPr="00F05FF9">
        <w:rPr>
          <w:lang w:val="fr-CH"/>
        </w:rPr>
        <w:t xml:space="preserve"> résultat</w:t>
      </w:r>
      <w:r w:rsidR="00BF6259" w:rsidRPr="00F05FF9">
        <w:rPr>
          <w:lang w:val="fr-CH"/>
        </w:rPr>
        <w:t>s – effets), autrement dit la « </w:t>
      </w:r>
      <w:r w:rsidRPr="00F05FF9">
        <w:rPr>
          <w:lang w:val="fr-CH"/>
        </w:rPr>
        <w:t>chaîne des résultats</w:t>
      </w:r>
      <w:r w:rsidR="00BF6259" w:rsidRPr="00F05FF9">
        <w:rPr>
          <w:lang w:val="fr-CH"/>
        </w:rPr>
        <w:t> </w:t>
      </w:r>
      <w:r w:rsidRPr="00F05FF9">
        <w:rPr>
          <w:lang w:val="fr-CH"/>
        </w:rPr>
        <w:t>», les ressources (humaines et financières), autrement dit les «</w:t>
      </w:r>
      <w:r w:rsidR="00BF6259" w:rsidRPr="00F05FF9">
        <w:rPr>
          <w:lang w:val="fr-CH"/>
        </w:rPr>
        <w:t> </w:t>
      </w:r>
      <w:r w:rsidRPr="00F05FF9">
        <w:rPr>
          <w:lang w:val="fr-CH"/>
        </w:rPr>
        <w:t>apports</w:t>
      </w:r>
      <w:r w:rsidR="00BF6259" w:rsidRPr="00F05FF9">
        <w:rPr>
          <w:lang w:val="fr-CH"/>
        </w:rPr>
        <w:t> </w:t>
      </w:r>
      <w:r w:rsidRPr="00F05FF9">
        <w:rPr>
          <w:lang w:val="fr-CH"/>
        </w:rPr>
        <w:t>», et les facteurs extérieurs (stratégiques, administratifs, opérationnels, financiers) qui peuvent empêcher d</w:t>
      </w:r>
      <w:r w:rsidR="00B164F7" w:rsidRPr="00F05FF9">
        <w:rPr>
          <w:lang w:val="fr-CH"/>
        </w:rPr>
        <w:t>’</w:t>
      </w:r>
      <w:r w:rsidRPr="00F05FF9">
        <w:rPr>
          <w:lang w:val="fr-CH"/>
        </w:rPr>
        <w:t>atteindre l</w:t>
      </w:r>
      <w:r w:rsidR="00B164F7" w:rsidRPr="00F05FF9">
        <w:rPr>
          <w:lang w:val="fr-CH"/>
        </w:rPr>
        <w:t>’</w:t>
      </w:r>
      <w:r w:rsidRPr="00F05FF9">
        <w:rPr>
          <w:lang w:val="fr-CH"/>
        </w:rPr>
        <w:t>objectif.</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Les produits/activités énoncés dans le projet de programme de travail correspondent à ceux figurant dans le projet de budget-programme de la CEE pour 2016-2017. Ils sont regroupés dans les grandes catégories suivantes</w:t>
      </w:r>
      <w:r w:rsidR="00BF6259" w:rsidRPr="00F05FF9">
        <w:rPr>
          <w:lang w:val="fr-CH"/>
        </w:rPr>
        <w:t> </w:t>
      </w:r>
      <w:r w:rsidRPr="00F05FF9">
        <w:rPr>
          <w:lang w:val="fr-CH"/>
        </w:rPr>
        <w:t>: a) réunions et documents correspondants; b) autres activités</w:t>
      </w:r>
      <w:r w:rsidR="00B164F7" w:rsidRPr="00F05FF9">
        <w:rPr>
          <w:lang w:val="fr-CH"/>
        </w:rPr>
        <w:t xml:space="preserve"> de fond</w:t>
      </w:r>
      <w:r w:rsidRPr="00F05FF9">
        <w:rPr>
          <w:lang w:val="fr-CH"/>
        </w:rPr>
        <w:t xml:space="preserve">; et c) coopération technique, notamment services consultatifs, cours de formation, séminaires, ateliers et projets opérationnels. On trouvera </w:t>
      </w:r>
      <w:r w:rsidR="00B164F7" w:rsidRPr="00F05FF9">
        <w:rPr>
          <w:lang w:val="fr-CH"/>
        </w:rPr>
        <w:t xml:space="preserve">dans le document ECE/TRANS/2016/28/Add.1 </w:t>
      </w:r>
      <w:r w:rsidRPr="00F05FF9">
        <w:rPr>
          <w:lang w:val="fr-CH"/>
        </w:rPr>
        <w:t>une description plus détaillée des activités thématiques et des réalisations escomptées dans le cadre du programme de travail correspondant au sous-programme</w:t>
      </w:r>
      <w:r w:rsidR="00B164F7" w:rsidRPr="00F05FF9">
        <w:rPr>
          <w:lang w:val="fr-CH"/>
        </w:rPr>
        <w:t>.</w:t>
      </w:r>
      <w:r w:rsidRPr="00F05FF9">
        <w:rPr>
          <w:lang w:val="fr-CH"/>
        </w:rPr>
        <w:t xml:space="preserve"> </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lastRenderedPageBreak/>
        <w:t>Les résultats/réalisations escomptées, accompagnés des indicateurs de succès et de la mesure des résultats correspondants, sont présentés à l</w:t>
      </w:r>
      <w:r w:rsidR="00B164F7" w:rsidRPr="00F05FF9">
        <w:rPr>
          <w:lang w:val="fr-CH"/>
        </w:rPr>
        <w:t>’</w:t>
      </w:r>
      <w:r w:rsidRPr="00F05FF9">
        <w:rPr>
          <w:lang w:val="fr-CH"/>
        </w:rPr>
        <w:t>annexe I d</w:t>
      </w:r>
      <w:r w:rsidR="00B164F7" w:rsidRPr="00F05FF9">
        <w:rPr>
          <w:lang w:val="fr-CH"/>
        </w:rPr>
        <w:t>’</w:t>
      </w:r>
      <w:r w:rsidRPr="00F05FF9">
        <w:rPr>
          <w:lang w:val="fr-CH"/>
        </w:rPr>
        <w:t>une manière logique.</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Le détail des publications proposées figure dans l</w:t>
      </w:r>
      <w:r w:rsidR="00B164F7" w:rsidRPr="00F05FF9">
        <w:rPr>
          <w:lang w:val="fr-CH"/>
        </w:rPr>
        <w:t>’</w:t>
      </w:r>
      <w:r w:rsidRPr="00F05FF9">
        <w:rPr>
          <w:lang w:val="fr-CH"/>
        </w:rPr>
        <w:t>annexe II. Les textes généraux portant autorisation et les textes relatifs au sous-pro</w:t>
      </w:r>
      <w:r w:rsidR="0069227C" w:rsidRPr="00F05FF9">
        <w:rPr>
          <w:lang w:val="fr-CH"/>
        </w:rPr>
        <w:t>gramme sont indiqués à l</w:t>
      </w:r>
      <w:r w:rsidR="00B164F7" w:rsidRPr="00F05FF9">
        <w:rPr>
          <w:lang w:val="fr-CH"/>
        </w:rPr>
        <w:t>’</w:t>
      </w:r>
      <w:r w:rsidR="0069227C" w:rsidRPr="00F05FF9">
        <w:rPr>
          <w:lang w:val="fr-CH"/>
        </w:rPr>
        <w:t>annexe </w:t>
      </w:r>
      <w:r w:rsidRPr="00F05FF9">
        <w:rPr>
          <w:lang w:val="fr-CH"/>
        </w:rPr>
        <w:t>III.</w:t>
      </w:r>
    </w:p>
    <w:p w:rsidR="0069227C" w:rsidRPr="00F05FF9" w:rsidRDefault="0069227C" w:rsidP="0069227C">
      <w:pPr>
        <w:pStyle w:val="SingleTxt"/>
        <w:spacing w:after="0" w:line="120" w:lineRule="exact"/>
        <w:rPr>
          <w:sz w:val="10"/>
          <w:lang w:val="fr-CH"/>
        </w:rPr>
      </w:pPr>
    </w:p>
    <w:p w:rsidR="0069227C" w:rsidRPr="00F05FF9" w:rsidRDefault="0069227C" w:rsidP="0069227C">
      <w:pPr>
        <w:pStyle w:val="SingleTxt"/>
        <w:spacing w:after="0" w:line="120" w:lineRule="exact"/>
        <w:rPr>
          <w:sz w:val="10"/>
          <w:lang w:val="fr-CH"/>
        </w:rPr>
      </w:pPr>
    </w:p>
    <w:p w:rsidR="00753F14" w:rsidRPr="00F05FF9" w:rsidRDefault="00753F14" w:rsidP="006922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w:t>
      </w:r>
      <w:r w:rsidRPr="00F05FF9">
        <w:rPr>
          <w:lang w:val="fr-CH"/>
        </w:rPr>
        <w:tab/>
        <w:t>Objectif, stratégie et facteurs extérieurs</w:t>
      </w:r>
    </w:p>
    <w:p w:rsidR="0069227C" w:rsidRPr="00F05FF9" w:rsidRDefault="0069227C" w:rsidP="00F80D89">
      <w:pPr>
        <w:pStyle w:val="SingleTxt"/>
        <w:keepNext/>
        <w:spacing w:after="0" w:line="120" w:lineRule="exact"/>
        <w:rPr>
          <w:sz w:val="10"/>
          <w:lang w:val="fr-CH"/>
        </w:rPr>
      </w:pPr>
    </w:p>
    <w:p w:rsidR="0069227C" w:rsidRPr="00F05FF9" w:rsidRDefault="0069227C" w:rsidP="00F80D89">
      <w:pPr>
        <w:pStyle w:val="SingleTxt"/>
        <w:keepNext/>
        <w:spacing w:after="0" w:line="120" w:lineRule="exact"/>
        <w:rPr>
          <w:sz w:val="10"/>
          <w:lang w:val="fr-CH"/>
        </w:rPr>
      </w:pPr>
    </w:p>
    <w:p w:rsidR="00F80D89" w:rsidRPr="00F05FF9" w:rsidRDefault="00753F14" w:rsidP="00753F14">
      <w:pPr>
        <w:pStyle w:val="SingleTxt"/>
        <w:numPr>
          <w:ilvl w:val="0"/>
          <w:numId w:val="6"/>
        </w:numPr>
        <w:tabs>
          <w:tab w:val="clear" w:pos="475"/>
          <w:tab w:val="num" w:pos="1742"/>
        </w:tabs>
        <w:ind w:left="1267"/>
        <w:rPr>
          <w:lang w:val="fr-CH"/>
        </w:rPr>
      </w:pPr>
      <w:r w:rsidRPr="00F05FF9">
        <w:rPr>
          <w:lang w:val="fr-CH"/>
        </w:rPr>
        <w:t>Le sous-programme a pour objectif de promouvoir les transports durables, qui sont sûrs, propres et compétitifs, en développant la mobilité des marchandises et des voyageurs par le</w:t>
      </w:r>
      <w:r w:rsidR="00B164F7" w:rsidRPr="00F05FF9">
        <w:rPr>
          <w:lang w:val="fr-CH"/>
        </w:rPr>
        <w:t>s</w:t>
      </w:r>
      <w:r w:rsidRPr="00F05FF9">
        <w:rPr>
          <w:lang w:val="fr-CH"/>
        </w:rPr>
        <w:t xml:space="preserve"> transport</w:t>
      </w:r>
      <w:r w:rsidR="00B164F7" w:rsidRPr="00F05FF9">
        <w:rPr>
          <w:lang w:val="fr-CH"/>
        </w:rPr>
        <w:t>s</w:t>
      </w:r>
      <w:r w:rsidRPr="00F05FF9">
        <w:rPr>
          <w:lang w:val="fr-CH"/>
        </w:rPr>
        <w:t xml:space="preserve"> intérieur</w:t>
      </w:r>
      <w:r w:rsidR="00B164F7" w:rsidRPr="00F05FF9">
        <w:rPr>
          <w:lang w:val="fr-CH"/>
        </w:rPr>
        <w:t>s</w:t>
      </w:r>
      <w:r w:rsidRPr="00F05FF9">
        <w:rPr>
          <w:lang w:val="fr-CH"/>
        </w:rPr>
        <w:t xml:space="preserve"> et en améliorant la sûreté de la circulation, l</w:t>
      </w:r>
      <w:r w:rsidR="00B164F7" w:rsidRPr="00F05FF9">
        <w:rPr>
          <w:lang w:val="fr-CH"/>
        </w:rPr>
        <w:t>a performance</w:t>
      </w:r>
      <w:r w:rsidRPr="00F05FF9">
        <w:rPr>
          <w:lang w:val="fr-CH"/>
        </w:rPr>
        <w:t xml:space="preserve"> environnementale et énergétique, la sécurité des transports intérieur</w:t>
      </w:r>
      <w:r w:rsidR="00B164F7" w:rsidRPr="00F05FF9">
        <w:rPr>
          <w:lang w:val="fr-CH"/>
        </w:rPr>
        <w:t>s</w:t>
      </w:r>
      <w:r w:rsidRPr="00F05FF9">
        <w:rPr>
          <w:lang w:val="fr-CH"/>
        </w:rPr>
        <w:t xml:space="preserve"> et l</w:t>
      </w:r>
      <w:r w:rsidR="00B164F7" w:rsidRPr="00F05FF9">
        <w:rPr>
          <w:lang w:val="fr-CH"/>
        </w:rPr>
        <w:t>’</w:t>
      </w:r>
      <w:r w:rsidRPr="00F05FF9">
        <w:rPr>
          <w:lang w:val="fr-CH"/>
        </w:rPr>
        <w:t xml:space="preserve">efficience des services </w:t>
      </w:r>
      <w:r w:rsidR="00F80D89" w:rsidRPr="00F05FF9">
        <w:rPr>
          <w:lang w:val="fr-CH"/>
        </w:rPr>
        <w:t>dans le secteur des transports.</w:t>
      </w:r>
    </w:p>
    <w:p w:rsidR="00753F14" w:rsidRPr="00F05FF9" w:rsidRDefault="00753F14" w:rsidP="00753F14">
      <w:pPr>
        <w:pStyle w:val="SingleTxt"/>
        <w:numPr>
          <w:ilvl w:val="0"/>
          <w:numId w:val="6"/>
        </w:numPr>
        <w:tabs>
          <w:tab w:val="clear" w:pos="475"/>
          <w:tab w:val="num" w:pos="1742"/>
        </w:tabs>
        <w:ind w:left="1267"/>
        <w:rPr>
          <w:lang w:val="fr-CH"/>
        </w:rPr>
      </w:pPr>
      <w:r w:rsidRPr="00F05FF9">
        <w:rPr>
          <w:lang w:val="fr-CH"/>
        </w:rPr>
        <w:t>Le sous-programme relève de la Division des transports durables (ci-après la Division), qui est chargée de le mettre e</w:t>
      </w:r>
      <w:r w:rsidR="00B164F7" w:rsidRPr="00F05FF9">
        <w:rPr>
          <w:lang w:val="fr-CH"/>
        </w:rPr>
        <w:t>n œuvre</w:t>
      </w:r>
      <w:r w:rsidRPr="00F05FF9">
        <w:rPr>
          <w:lang w:val="fr-CH"/>
        </w:rPr>
        <w:t xml:space="preserve"> dans les quatre domaines d</w:t>
      </w:r>
      <w:r w:rsidR="00B164F7" w:rsidRPr="00F05FF9">
        <w:rPr>
          <w:lang w:val="fr-CH"/>
        </w:rPr>
        <w:t>’</w:t>
      </w:r>
      <w:r w:rsidRPr="00F05FF9">
        <w:rPr>
          <w:lang w:val="fr-CH"/>
        </w:rPr>
        <w:t>activité suivants</w:t>
      </w:r>
      <w:r w:rsidR="00BF6259" w:rsidRPr="00F05FF9">
        <w:rPr>
          <w:lang w:val="fr-CH"/>
        </w:rPr>
        <w:t> </w:t>
      </w:r>
      <w:r w:rsidRPr="00F05FF9">
        <w:rPr>
          <w:lang w:val="fr-CH"/>
        </w:rPr>
        <w:t>:</w:t>
      </w:r>
    </w:p>
    <w:p w:rsidR="00753F14" w:rsidRPr="00F05FF9" w:rsidRDefault="00753F14" w:rsidP="00753F14">
      <w:pPr>
        <w:pStyle w:val="SingleTxt"/>
        <w:rPr>
          <w:lang w:val="fr-CH"/>
        </w:rPr>
      </w:pPr>
      <w:r w:rsidRPr="00F05FF9">
        <w:rPr>
          <w:lang w:val="fr-CH"/>
        </w:rPr>
        <w:tab/>
        <w:t>a)</w:t>
      </w:r>
      <w:r w:rsidRPr="00F05FF9">
        <w:rPr>
          <w:lang w:val="fr-CH"/>
        </w:rPr>
        <w:tab/>
        <w:t>La poursuite du renforcement du cadre juridique et réglementaire relatif aux transports intérieurs aux échelons international, national et local grâce à l</w:t>
      </w:r>
      <w:r w:rsidR="00B164F7" w:rsidRPr="00F05FF9">
        <w:rPr>
          <w:lang w:val="fr-CH"/>
        </w:rPr>
        <w:t>’</w:t>
      </w:r>
      <w:r w:rsidRPr="00F05FF9">
        <w:rPr>
          <w:lang w:val="fr-CH"/>
        </w:rPr>
        <w:t>adoption de nouveaux instruments et à l</w:t>
      </w:r>
      <w:r w:rsidR="00B164F7" w:rsidRPr="00F05FF9">
        <w:rPr>
          <w:lang w:val="fr-CH"/>
        </w:rPr>
        <w:t>’</w:t>
      </w:r>
      <w:r w:rsidR="00F80D89" w:rsidRPr="00F05FF9">
        <w:rPr>
          <w:lang w:val="fr-CH"/>
        </w:rPr>
        <w:t>actualisation des 58 </w:t>
      </w:r>
      <w:r w:rsidRPr="00F05FF9">
        <w:rPr>
          <w:lang w:val="fr-CH"/>
        </w:rPr>
        <w:t>instruments juridiques couvrant tous les modes de transport</w:t>
      </w:r>
      <w:r w:rsidR="0025201F">
        <w:rPr>
          <w:lang w:val="fr-CH"/>
        </w:rPr>
        <w:t>s</w:t>
      </w:r>
      <w:r w:rsidRPr="00F05FF9">
        <w:rPr>
          <w:lang w:val="fr-CH"/>
        </w:rPr>
        <w:t xml:space="preserve"> intérieurs, les règlements concernant les véhicules et le transport des marchandises dangereuses. Le personnel de la Division collabore activement avec les gouvernements des États membres et avec d</w:t>
      </w:r>
      <w:r w:rsidR="00B164F7" w:rsidRPr="00F05FF9">
        <w:rPr>
          <w:lang w:val="fr-CH"/>
        </w:rPr>
        <w:t>’</w:t>
      </w:r>
      <w:r w:rsidRPr="00F05FF9">
        <w:rPr>
          <w:lang w:val="fr-CH"/>
        </w:rPr>
        <w:t>autres acteurs, et s</w:t>
      </w:r>
      <w:r w:rsidR="00B164F7" w:rsidRPr="00F05FF9">
        <w:rPr>
          <w:lang w:val="fr-CH"/>
        </w:rPr>
        <w:t>’</w:t>
      </w:r>
      <w:r w:rsidRPr="00F05FF9">
        <w:rPr>
          <w:lang w:val="fr-CH"/>
        </w:rPr>
        <w:t>efforce d</w:t>
      </w:r>
      <w:r w:rsidR="00B164F7" w:rsidRPr="00F05FF9">
        <w:rPr>
          <w:lang w:val="fr-CH"/>
        </w:rPr>
        <w:t>’</w:t>
      </w:r>
      <w:r w:rsidRPr="00F05FF9">
        <w:rPr>
          <w:lang w:val="fr-CH"/>
        </w:rPr>
        <w:t>obtenir un consensus aux réunions pertinentes des comités de gestion et d</w:t>
      </w:r>
      <w:r w:rsidR="00B164F7" w:rsidRPr="00F05FF9">
        <w:rPr>
          <w:lang w:val="fr-CH"/>
        </w:rPr>
        <w:t>’</w:t>
      </w:r>
      <w:r w:rsidRPr="00F05FF9">
        <w:rPr>
          <w:lang w:val="fr-CH"/>
        </w:rPr>
        <w:t>administration de</w:t>
      </w:r>
      <w:r w:rsidR="00B164F7" w:rsidRPr="00F05FF9">
        <w:rPr>
          <w:lang w:val="fr-CH"/>
        </w:rPr>
        <w:t>s</w:t>
      </w:r>
      <w:r w:rsidRPr="00F05FF9">
        <w:rPr>
          <w:lang w:val="fr-CH"/>
        </w:rPr>
        <w:t xml:space="preserve"> conventions et accords ainsi qu</w:t>
      </w:r>
      <w:r w:rsidR="00B164F7" w:rsidRPr="00F05FF9">
        <w:rPr>
          <w:lang w:val="fr-CH"/>
        </w:rPr>
        <w:t>’</w:t>
      </w:r>
      <w:r w:rsidRPr="00F05FF9">
        <w:rPr>
          <w:lang w:val="fr-CH"/>
        </w:rPr>
        <w:t>aux autres réunions intergouvernementales concernant les transports, en particulier celles du Comité d</w:t>
      </w:r>
      <w:r w:rsidR="00B164F7" w:rsidRPr="00F05FF9">
        <w:rPr>
          <w:lang w:val="fr-CH"/>
        </w:rPr>
        <w:t>’</w:t>
      </w:r>
      <w:r w:rsidRPr="00F05FF9">
        <w:rPr>
          <w:lang w:val="fr-CH"/>
        </w:rPr>
        <w:t>experts du transport des marchandises dangereuses et du Système général harmonisé de classification et d</w:t>
      </w:r>
      <w:r w:rsidR="00B164F7" w:rsidRPr="00F05FF9">
        <w:rPr>
          <w:lang w:val="fr-CH"/>
        </w:rPr>
        <w:t>’</w:t>
      </w:r>
      <w:r w:rsidRPr="00F05FF9">
        <w:rPr>
          <w:lang w:val="fr-CH"/>
        </w:rPr>
        <w:t>étiquetage des produits chimiques, qui relève du Conseil économique et social, du Comité des transports intérieurs de la CEE, des 17 groupes de travail et d</w:t>
      </w:r>
      <w:r w:rsidR="00B164F7" w:rsidRPr="00F05FF9">
        <w:rPr>
          <w:lang w:val="fr-CH"/>
        </w:rPr>
        <w:t>’</w:t>
      </w:r>
      <w:r w:rsidRPr="00F05FF9">
        <w:rPr>
          <w:lang w:val="fr-CH"/>
        </w:rPr>
        <w:t xml:space="preserve">autres organes subsidiaires; </w:t>
      </w:r>
    </w:p>
    <w:p w:rsidR="00753F14" w:rsidRPr="00F05FF9" w:rsidRDefault="00753F14" w:rsidP="00753F14">
      <w:pPr>
        <w:pStyle w:val="SingleTxt"/>
        <w:rPr>
          <w:lang w:val="fr-CH"/>
        </w:rPr>
      </w:pPr>
      <w:r w:rsidRPr="00F05FF9">
        <w:rPr>
          <w:lang w:val="fr-CH"/>
        </w:rPr>
        <w:tab/>
        <w:t>b)</w:t>
      </w:r>
      <w:r w:rsidRPr="00F05FF9">
        <w:rPr>
          <w:lang w:val="fr-CH"/>
        </w:rPr>
        <w:tab/>
      </w:r>
      <w:r w:rsidR="00B164F7" w:rsidRPr="00F05FF9">
        <w:rPr>
          <w:lang w:val="fr-CH"/>
        </w:rPr>
        <w:t>Une l</w:t>
      </w:r>
      <w:r w:rsidRPr="00F05FF9">
        <w:rPr>
          <w:lang w:val="fr-CH"/>
        </w:rPr>
        <w:t xml:space="preserve">arge utilisation du cadre juridique et réglementaire existant et </w:t>
      </w:r>
      <w:r w:rsidR="00B164F7" w:rsidRPr="00F05FF9">
        <w:rPr>
          <w:lang w:val="fr-CH"/>
        </w:rPr>
        <w:t xml:space="preserve">le </w:t>
      </w:r>
      <w:r w:rsidRPr="00F05FF9">
        <w:rPr>
          <w:lang w:val="fr-CH"/>
        </w:rPr>
        <w:t>renforcement des capacités d</w:t>
      </w:r>
      <w:r w:rsidR="00B164F7" w:rsidRPr="00F05FF9">
        <w:rPr>
          <w:lang w:val="fr-CH"/>
        </w:rPr>
        <w:t>’application</w:t>
      </w:r>
      <w:r w:rsidRPr="00F05FF9">
        <w:rPr>
          <w:lang w:val="fr-CH"/>
        </w:rPr>
        <w:t xml:space="preserve"> de ce cadre, par une action énergique visant à promouvoir de nouvelles adhésions aux instruments juridiques des Nations Unies administrés par la CEE et la mise en œuvre renforcée des mécanismes de</w:t>
      </w:r>
      <w:r w:rsidR="00B164F7" w:rsidRPr="00F05FF9">
        <w:rPr>
          <w:lang w:val="fr-CH"/>
        </w:rPr>
        <w:t xml:space="preserve"> suivi</w:t>
      </w:r>
      <w:r w:rsidRPr="00F05FF9">
        <w:rPr>
          <w:lang w:val="fr-CH"/>
        </w:rPr>
        <w:t>. Dans l</w:t>
      </w:r>
      <w:r w:rsidR="00B164F7" w:rsidRPr="00F05FF9">
        <w:rPr>
          <w:lang w:val="fr-CH"/>
        </w:rPr>
        <w:t>’</w:t>
      </w:r>
      <w:r w:rsidRPr="00F05FF9">
        <w:rPr>
          <w:lang w:val="fr-CH"/>
        </w:rPr>
        <w:t>esprit de la Décennie d</w:t>
      </w:r>
      <w:r w:rsidR="00B164F7" w:rsidRPr="00F05FF9">
        <w:rPr>
          <w:lang w:val="fr-CH"/>
        </w:rPr>
        <w:t>’</w:t>
      </w:r>
      <w:r w:rsidRPr="00F05FF9">
        <w:rPr>
          <w:lang w:val="fr-CH"/>
        </w:rPr>
        <w:t>action des Nations Unies pour la sécurité routière, l</w:t>
      </w:r>
      <w:r w:rsidR="00B164F7" w:rsidRPr="00F05FF9">
        <w:rPr>
          <w:lang w:val="fr-CH"/>
        </w:rPr>
        <w:t>’</w:t>
      </w:r>
      <w:r w:rsidRPr="00F05FF9">
        <w:rPr>
          <w:lang w:val="fr-CH"/>
        </w:rPr>
        <w:t>accent sera mis sur les instruments juridiques des Nations Unies relatifs à la sécurité routière. L</w:t>
      </w:r>
      <w:r w:rsidR="00B164F7" w:rsidRPr="00F05FF9">
        <w:rPr>
          <w:lang w:val="fr-CH"/>
        </w:rPr>
        <w:t>’</w:t>
      </w:r>
      <w:r w:rsidRPr="00F05FF9">
        <w:rPr>
          <w:lang w:val="fr-CH"/>
        </w:rPr>
        <w:t>intégration de certains instruments juridiques des Nations Unies dans l</w:t>
      </w:r>
      <w:r w:rsidR="00B164F7" w:rsidRPr="00F05FF9">
        <w:rPr>
          <w:lang w:val="fr-CH"/>
        </w:rPr>
        <w:t>’acquis communautaire</w:t>
      </w:r>
      <w:r w:rsidRPr="00F05FF9">
        <w:rPr>
          <w:lang w:val="fr-CH"/>
        </w:rPr>
        <w:t xml:space="preserve"> de l</w:t>
      </w:r>
      <w:r w:rsidR="00B164F7" w:rsidRPr="00F05FF9">
        <w:rPr>
          <w:lang w:val="fr-CH"/>
        </w:rPr>
        <w:t>’</w:t>
      </w:r>
      <w:r w:rsidRPr="00F05FF9">
        <w:rPr>
          <w:lang w:val="fr-CH"/>
        </w:rPr>
        <w:t xml:space="preserve">Union européenne continuera </w:t>
      </w:r>
      <w:r w:rsidR="00B164F7" w:rsidRPr="00F05FF9">
        <w:rPr>
          <w:lang w:val="fr-CH"/>
        </w:rPr>
        <w:t xml:space="preserve">quant à elle </w:t>
      </w:r>
      <w:r w:rsidRPr="00F05FF9">
        <w:rPr>
          <w:lang w:val="fr-CH"/>
        </w:rPr>
        <w:t xml:space="preserve">de jouer un rôle important; </w:t>
      </w:r>
    </w:p>
    <w:p w:rsidR="00753F14" w:rsidRPr="00F05FF9" w:rsidRDefault="00753F14" w:rsidP="00753F14">
      <w:pPr>
        <w:pStyle w:val="SingleTxt"/>
        <w:rPr>
          <w:lang w:val="fr-CH"/>
        </w:rPr>
      </w:pPr>
      <w:r w:rsidRPr="00F05FF9">
        <w:rPr>
          <w:lang w:val="fr-CH"/>
        </w:rPr>
        <w:tab/>
        <w:t>c)</w:t>
      </w:r>
      <w:r w:rsidRPr="00F05FF9">
        <w:rPr>
          <w:lang w:val="fr-CH"/>
        </w:rPr>
        <w:tab/>
      </w:r>
      <w:r w:rsidR="00B164F7" w:rsidRPr="00F05FF9">
        <w:rPr>
          <w:lang w:val="fr-CH"/>
        </w:rPr>
        <w:t>Le r</w:t>
      </w:r>
      <w:r w:rsidRPr="00F05FF9">
        <w:rPr>
          <w:lang w:val="fr-CH"/>
        </w:rPr>
        <w:t>enforcement des capacités nationales en vue de la mise en place d</w:t>
      </w:r>
      <w:r w:rsidR="00B164F7" w:rsidRPr="00F05FF9">
        <w:rPr>
          <w:lang w:val="fr-CH"/>
        </w:rPr>
        <w:t>’</w:t>
      </w:r>
      <w:r w:rsidRPr="00F05FF9">
        <w:rPr>
          <w:lang w:val="fr-CH"/>
        </w:rPr>
        <w:t>infrastructures de transport paneuropéennes et transcontinentales, y compris la facilitation des transports et du passage des frontières. L</w:t>
      </w:r>
      <w:r w:rsidR="00B164F7" w:rsidRPr="00F05FF9">
        <w:rPr>
          <w:lang w:val="fr-CH"/>
        </w:rPr>
        <w:t>’</w:t>
      </w:r>
      <w:r w:rsidRPr="00F05FF9">
        <w:rPr>
          <w:lang w:val="fr-CH"/>
        </w:rPr>
        <w:t>accent sera mis sur les activités de coopération régionale et sous-régionale. Les projets d</w:t>
      </w:r>
      <w:r w:rsidR="00B164F7" w:rsidRPr="00F05FF9">
        <w:rPr>
          <w:lang w:val="fr-CH"/>
        </w:rPr>
        <w:t>’</w:t>
      </w:r>
      <w:r w:rsidRPr="00F05FF9">
        <w:rPr>
          <w:lang w:val="fr-CH"/>
        </w:rPr>
        <w:t xml:space="preserve">autoroute transeuropéenne et de chemin de fer transeuropéen seront exécutés sur la base de leurs plans directeurs et de projets ponctuels </w:t>
      </w:r>
      <w:r w:rsidR="00B164F7" w:rsidRPr="00F05FF9">
        <w:rPr>
          <w:lang w:val="fr-CH"/>
        </w:rPr>
        <w:t xml:space="preserve">à forte </w:t>
      </w:r>
      <w:r w:rsidRPr="00F05FF9">
        <w:rPr>
          <w:lang w:val="fr-CH"/>
        </w:rPr>
        <w:t>valeur</w:t>
      </w:r>
      <w:r w:rsidR="00B164F7" w:rsidRPr="00F05FF9">
        <w:rPr>
          <w:lang w:val="fr-CH"/>
        </w:rPr>
        <w:t xml:space="preserve"> ajoutée</w:t>
      </w:r>
      <w:r w:rsidRPr="00F05FF9">
        <w:rPr>
          <w:lang w:val="fr-CH"/>
        </w:rPr>
        <w:t>. Le développement des liaisons de transport Europe-Asie et l</w:t>
      </w:r>
      <w:r w:rsidR="00B164F7" w:rsidRPr="00F05FF9">
        <w:rPr>
          <w:lang w:val="fr-CH"/>
        </w:rPr>
        <w:t>’uniformi</w:t>
      </w:r>
      <w:r w:rsidRPr="00F05FF9">
        <w:rPr>
          <w:lang w:val="fr-CH"/>
        </w:rPr>
        <w:t xml:space="preserve">sation </w:t>
      </w:r>
      <w:r w:rsidR="00B164F7" w:rsidRPr="00F05FF9">
        <w:rPr>
          <w:lang w:val="fr-CH"/>
        </w:rPr>
        <w:t xml:space="preserve">du droit </w:t>
      </w:r>
      <w:r w:rsidRPr="00F05FF9">
        <w:rPr>
          <w:lang w:val="fr-CH"/>
        </w:rPr>
        <w:t xml:space="preserve">ferroviaire seront promus en coopération avec les États </w:t>
      </w:r>
      <w:r w:rsidR="0025201F">
        <w:rPr>
          <w:lang w:val="fr-CH"/>
        </w:rPr>
        <w:t>m</w:t>
      </w:r>
      <w:r w:rsidRPr="00F05FF9">
        <w:rPr>
          <w:lang w:val="fr-CH"/>
        </w:rPr>
        <w:t>embres participants, la CESAP, d</w:t>
      </w:r>
      <w:r w:rsidR="00B164F7" w:rsidRPr="00F05FF9">
        <w:rPr>
          <w:lang w:val="fr-CH"/>
        </w:rPr>
        <w:t>’</w:t>
      </w:r>
      <w:r w:rsidRPr="00F05FF9">
        <w:rPr>
          <w:lang w:val="fr-CH"/>
        </w:rPr>
        <w:t>autres organisations internationales et différentes parties prenantes du secteur privé. De même, le renforcement des liaisons de transport entre l</w:t>
      </w:r>
      <w:r w:rsidR="00B164F7" w:rsidRPr="00F05FF9">
        <w:rPr>
          <w:lang w:val="fr-CH"/>
        </w:rPr>
        <w:t>’</w:t>
      </w:r>
      <w:r w:rsidRPr="00F05FF9">
        <w:rPr>
          <w:lang w:val="fr-CH"/>
        </w:rPr>
        <w:t>Europe et l</w:t>
      </w:r>
      <w:r w:rsidR="00B164F7" w:rsidRPr="00F05FF9">
        <w:rPr>
          <w:lang w:val="fr-CH"/>
        </w:rPr>
        <w:t>’</w:t>
      </w:r>
      <w:r w:rsidRPr="00F05FF9">
        <w:rPr>
          <w:lang w:val="fr-CH"/>
        </w:rPr>
        <w:t>Afrique, et entre l</w:t>
      </w:r>
      <w:r w:rsidR="00B164F7" w:rsidRPr="00F05FF9">
        <w:rPr>
          <w:lang w:val="fr-CH"/>
        </w:rPr>
        <w:t>’</w:t>
      </w:r>
      <w:r w:rsidRPr="00F05FF9">
        <w:rPr>
          <w:lang w:val="fr-CH"/>
        </w:rPr>
        <w:t xml:space="preserve">Europe et le Moyen-Orient, notamment </w:t>
      </w:r>
      <w:r w:rsidR="00B164F7" w:rsidRPr="00F05FF9">
        <w:rPr>
          <w:lang w:val="fr-CH"/>
        </w:rPr>
        <w:t xml:space="preserve">dans </w:t>
      </w:r>
      <w:r w:rsidRPr="00F05FF9">
        <w:rPr>
          <w:lang w:val="fr-CH"/>
        </w:rPr>
        <w:t xml:space="preserve">la région méditerranéenne, sera favorisé en coopération avec les parties prenantes intéressées. La facilitation des transports </w:t>
      </w:r>
      <w:r w:rsidRPr="00F05FF9">
        <w:rPr>
          <w:lang w:val="fr-CH"/>
        </w:rPr>
        <w:lastRenderedPageBreak/>
        <w:t>visera essentiellement à favoriser le transit et le franchissement des frontières, notamment par des mesures de l</w:t>
      </w:r>
      <w:r w:rsidR="00B164F7" w:rsidRPr="00F05FF9">
        <w:rPr>
          <w:lang w:val="fr-CH"/>
        </w:rPr>
        <w:t>’</w:t>
      </w:r>
      <w:r w:rsidRPr="00F05FF9">
        <w:rPr>
          <w:lang w:val="fr-CH"/>
        </w:rPr>
        <w:t>efficacité du franchissement des frontières et la promotion des communications électroniques. Les besoins particuliers des pays en transition sans littoral feront l</w:t>
      </w:r>
      <w:r w:rsidR="00B164F7" w:rsidRPr="00F05FF9">
        <w:rPr>
          <w:lang w:val="fr-CH"/>
        </w:rPr>
        <w:t>’</w:t>
      </w:r>
      <w:r w:rsidRPr="00F05FF9">
        <w:rPr>
          <w:lang w:val="fr-CH"/>
        </w:rPr>
        <w:t>objet d</w:t>
      </w:r>
      <w:r w:rsidR="00B164F7" w:rsidRPr="00F05FF9">
        <w:rPr>
          <w:lang w:val="fr-CH"/>
        </w:rPr>
        <w:t>’</w:t>
      </w:r>
      <w:r w:rsidRPr="00F05FF9">
        <w:rPr>
          <w:lang w:val="fr-CH"/>
        </w:rPr>
        <w:t>une assistance technique et de travaux d</w:t>
      </w:r>
      <w:r w:rsidR="00B164F7" w:rsidRPr="00F05FF9">
        <w:rPr>
          <w:lang w:val="fr-CH"/>
        </w:rPr>
        <w:t>’</w:t>
      </w:r>
      <w:r w:rsidRPr="00F05FF9">
        <w:rPr>
          <w:lang w:val="fr-CH"/>
        </w:rPr>
        <w:t>analyse, conformément aux résolutions de l</w:t>
      </w:r>
      <w:r w:rsidR="00B164F7" w:rsidRPr="00F05FF9">
        <w:rPr>
          <w:lang w:val="fr-CH"/>
        </w:rPr>
        <w:t>’</w:t>
      </w:r>
      <w:r w:rsidRPr="00F05FF9">
        <w:rPr>
          <w:lang w:val="fr-CH"/>
        </w:rPr>
        <w:t>Assemblée générale sur le Programme d</w:t>
      </w:r>
      <w:r w:rsidR="00B164F7" w:rsidRPr="00F05FF9">
        <w:rPr>
          <w:lang w:val="fr-CH"/>
        </w:rPr>
        <w:t>’</w:t>
      </w:r>
      <w:r w:rsidRPr="00F05FF9">
        <w:rPr>
          <w:lang w:val="fr-CH"/>
        </w:rPr>
        <w:t>action d</w:t>
      </w:r>
      <w:r w:rsidR="00B164F7" w:rsidRPr="00F05FF9">
        <w:rPr>
          <w:lang w:val="fr-CH"/>
        </w:rPr>
        <w:t>’</w:t>
      </w:r>
      <w:r w:rsidRPr="00F05FF9">
        <w:rPr>
          <w:lang w:val="fr-CH"/>
        </w:rPr>
        <w:t xml:space="preserve">Almaty; </w:t>
      </w:r>
    </w:p>
    <w:p w:rsidR="00753F14" w:rsidRPr="00F05FF9" w:rsidRDefault="00753F14" w:rsidP="00753F14">
      <w:pPr>
        <w:pStyle w:val="SingleTxt"/>
        <w:rPr>
          <w:lang w:val="fr-CH"/>
        </w:rPr>
      </w:pPr>
      <w:r w:rsidRPr="00F05FF9">
        <w:rPr>
          <w:lang w:val="fr-CH"/>
        </w:rPr>
        <w:tab/>
        <w:t>d)</w:t>
      </w:r>
      <w:r w:rsidRPr="00F05FF9">
        <w:rPr>
          <w:lang w:val="fr-CH"/>
        </w:rPr>
        <w:tab/>
      </w:r>
      <w:r w:rsidR="00B164F7" w:rsidRPr="00F05FF9">
        <w:rPr>
          <w:lang w:val="fr-CH"/>
        </w:rPr>
        <w:t>Le r</w:t>
      </w:r>
      <w:r w:rsidRPr="00F05FF9">
        <w:rPr>
          <w:lang w:val="fr-CH"/>
        </w:rPr>
        <w:t>enforcement des capacités</w:t>
      </w:r>
      <w:r w:rsidR="00BF6259" w:rsidRPr="00F05FF9">
        <w:rPr>
          <w:lang w:val="fr-CH"/>
        </w:rPr>
        <w:t> </w:t>
      </w:r>
      <w:r w:rsidRPr="00F05FF9">
        <w:rPr>
          <w:lang w:val="fr-CH"/>
        </w:rPr>
        <w:t>: une attention particulière sera accordée au renforcement des capacités des pays, à l</w:t>
      </w:r>
      <w:r w:rsidR="00B164F7" w:rsidRPr="00F05FF9">
        <w:rPr>
          <w:lang w:val="fr-CH"/>
        </w:rPr>
        <w:t>’</w:t>
      </w:r>
      <w:r w:rsidRPr="00F05FF9">
        <w:rPr>
          <w:lang w:val="fr-CH"/>
        </w:rPr>
        <w:t>évaluation de l</w:t>
      </w:r>
      <w:r w:rsidR="00CF1203" w:rsidRPr="00F05FF9">
        <w:rPr>
          <w:lang w:val="fr-CH"/>
        </w:rPr>
        <w:t>a performance</w:t>
      </w:r>
      <w:r w:rsidRPr="00F05FF9">
        <w:rPr>
          <w:lang w:val="fr-CH"/>
        </w:rPr>
        <w:t xml:space="preserve"> environnementale de leu</w:t>
      </w:r>
      <w:r w:rsidR="00CF1203" w:rsidRPr="00F05FF9">
        <w:rPr>
          <w:lang w:val="fr-CH"/>
        </w:rPr>
        <w:t>r secteur</w:t>
      </w:r>
      <w:r w:rsidRPr="00F05FF9">
        <w:rPr>
          <w:lang w:val="fr-CH"/>
        </w:rPr>
        <w:t xml:space="preserve"> des transports à l</w:t>
      </w:r>
      <w:r w:rsidR="00B164F7" w:rsidRPr="00F05FF9">
        <w:rPr>
          <w:lang w:val="fr-CH"/>
        </w:rPr>
        <w:t>’</w:t>
      </w:r>
      <w:r w:rsidRPr="00F05FF9">
        <w:rPr>
          <w:lang w:val="fr-CH"/>
        </w:rPr>
        <w:t>aide de l</w:t>
      </w:r>
      <w:r w:rsidR="00B164F7" w:rsidRPr="00F05FF9">
        <w:rPr>
          <w:lang w:val="fr-CH"/>
        </w:rPr>
        <w:t>’</w:t>
      </w:r>
      <w:r w:rsidRPr="00F05FF9">
        <w:rPr>
          <w:lang w:val="fr-CH"/>
        </w:rPr>
        <w:t>outil de modélisation des futurs systèmes de transport intérieur (ForFITS), ainsi qu</w:t>
      </w:r>
      <w:r w:rsidR="00B164F7" w:rsidRPr="00F05FF9">
        <w:rPr>
          <w:lang w:val="fr-CH"/>
        </w:rPr>
        <w:t>’</w:t>
      </w:r>
      <w:r w:rsidRPr="00F05FF9">
        <w:rPr>
          <w:lang w:val="fr-CH"/>
        </w:rPr>
        <w:t xml:space="preserve">à la manière dont les secteurs du transport et de la logistique contribuent à la compétitivité nationale. </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Pour atteindre les objectifs définis dans les quatre domaines susmentionnés, les activités ci-après seront menées au titre du sous-programme</w:t>
      </w:r>
      <w:r w:rsidR="00BF6259" w:rsidRPr="00F05FF9">
        <w:rPr>
          <w:lang w:val="fr-CH"/>
        </w:rPr>
        <w:t> </w:t>
      </w:r>
      <w:r w:rsidRPr="00F05FF9">
        <w:rPr>
          <w:lang w:val="fr-CH"/>
        </w:rPr>
        <w:t xml:space="preserve">: </w:t>
      </w:r>
    </w:p>
    <w:p w:rsidR="00753F14" w:rsidRPr="00F05FF9" w:rsidRDefault="00753F14" w:rsidP="00753F14">
      <w:pPr>
        <w:pStyle w:val="SingleTxt"/>
        <w:rPr>
          <w:lang w:val="fr-CH"/>
        </w:rPr>
      </w:pPr>
      <w:r w:rsidRPr="00F05FF9">
        <w:rPr>
          <w:lang w:val="fr-CH"/>
        </w:rPr>
        <w:tab/>
      </w:r>
      <w:r w:rsidR="007C7900" w:rsidRPr="00F05FF9">
        <w:rPr>
          <w:lang w:val="fr-CH"/>
        </w:rPr>
        <w:t>a)</w:t>
      </w:r>
      <w:r w:rsidR="007C7900" w:rsidRPr="00F05FF9">
        <w:rPr>
          <w:lang w:val="fr-CH"/>
        </w:rPr>
        <w:tab/>
      </w:r>
      <w:r w:rsidRPr="00F05FF9">
        <w:rPr>
          <w:lang w:val="fr-CH"/>
        </w:rPr>
        <w:t xml:space="preserve">Assurer la fonction de dépositaire des instruments juridiques relatifs aux transports; </w:t>
      </w:r>
    </w:p>
    <w:p w:rsidR="00753F14" w:rsidRPr="00F05FF9" w:rsidRDefault="007C7900" w:rsidP="00753F14">
      <w:pPr>
        <w:pStyle w:val="SingleTxt"/>
        <w:rPr>
          <w:lang w:val="fr-CH"/>
        </w:rPr>
      </w:pPr>
      <w:r w:rsidRPr="00F05FF9">
        <w:rPr>
          <w:lang w:val="fr-CH"/>
        </w:rPr>
        <w:tab/>
        <w:t>b)</w:t>
      </w:r>
      <w:r w:rsidRPr="00F05FF9">
        <w:rPr>
          <w:lang w:val="fr-CH"/>
        </w:rPr>
        <w:tab/>
      </w:r>
      <w:r w:rsidR="00753F14" w:rsidRPr="00F05FF9">
        <w:rPr>
          <w:lang w:val="fr-CH"/>
        </w:rPr>
        <w:t>Effectuer des travaux analytiques;</w:t>
      </w:r>
    </w:p>
    <w:p w:rsidR="00753F14" w:rsidRPr="00F05FF9" w:rsidRDefault="007C7900" w:rsidP="00753F14">
      <w:pPr>
        <w:pStyle w:val="SingleTxt"/>
        <w:rPr>
          <w:lang w:val="fr-CH"/>
        </w:rPr>
      </w:pPr>
      <w:r w:rsidRPr="00F05FF9">
        <w:rPr>
          <w:lang w:val="fr-CH"/>
        </w:rPr>
        <w:tab/>
        <w:t>c)</w:t>
      </w:r>
      <w:r w:rsidRPr="00F05FF9">
        <w:rPr>
          <w:lang w:val="fr-CH"/>
        </w:rPr>
        <w:tab/>
      </w:r>
      <w:r w:rsidR="00753F14" w:rsidRPr="00F05FF9">
        <w:rPr>
          <w:lang w:val="fr-CH"/>
        </w:rPr>
        <w:t>Donner effectivement suite aux décisions relatives aux transports de la Conférence des Nations Unies sur le développement durable et contribuer au programme de développement pour l</w:t>
      </w:r>
      <w:r w:rsidR="00B164F7" w:rsidRPr="00F05FF9">
        <w:rPr>
          <w:lang w:val="fr-CH"/>
        </w:rPr>
        <w:t>’</w:t>
      </w:r>
      <w:r w:rsidR="00753F14" w:rsidRPr="00F05FF9">
        <w:rPr>
          <w:lang w:val="fr-CH"/>
        </w:rPr>
        <w:t>après-2015;</w:t>
      </w:r>
    </w:p>
    <w:p w:rsidR="00753F14" w:rsidRPr="00F05FF9" w:rsidRDefault="007C7900" w:rsidP="00753F14">
      <w:pPr>
        <w:pStyle w:val="SingleTxt"/>
        <w:rPr>
          <w:lang w:val="fr-CH"/>
        </w:rPr>
      </w:pPr>
      <w:r w:rsidRPr="00F05FF9">
        <w:rPr>
          <w:lang w:val="fr-CH"/>
        </w:rPr>
        <w:tab/>
        <w:t>d)</w:t>
      </w:r>
      <w:r w:rsidRPr="00F05FF9">
        <w:rPr>
          <w:lang w:val="fr-CH"/>
        </w:rPr>
        <w:tab/>
      </w:r>
      <w:r w:rsidR="00753F14" w:rsidRPr="00F05FF9">
        <w:rPr>
          <w:lang w:val="fr-CH"/>
        </w:rPr>
        <w:t>Renforcer la coopération et les partenariats avec les organisations économiques régionales ainsi que d</w:t>
      </w:r>
      <w:r w:rsidR="00B164F7" w:rsidRPr="00F05FF9">
        <w:rPr>
          <w:lang w:val="fr-CH"/>
        </w:rPr>
        <w:t>’</w:t>
      </w:r>
      <w:r w:rsidR="00753F14" w:rsidRPr="00F05FF9">
        <w:rPr>
          <w:lang w:val="fr-CH"/>
        </w:rPr>
        <w:t>autres organisations internationales compétentes en matière de transports;</w:t>
      </w:r>
    </w:p>
    <w:p w:rsidR="00753F14" w:rsidRPr="00F05FF9" w:rsidRDefault="007C7900" w:rsidP="00753F14">
      <w:pPr>
        <w:pStyle w:val="SingleTxt"/>
        <w:rPr>
          <w:lang w:val="fr-CH"/>
        </w:rPr>
      </w:pPr>
      <w:r w:rsidRPr="00F05FF9">
        <w:rPr>
          <w:lang w:val="fr-CH"/>
        </w:rPr>
        <w:tab/>
        <w:t>e)</w:t>
      </w:r>
      <w:r w:rsidRPr="00F05FF9">
        <w:rPr>
          <w:lang w:val="fr-CH"/>
        </w:rPr>
        <w:tab/>
      </w:r>
      <w:r w:rsidR="00753F14" w:rsidRPr="00F05FF9">
        <w:rPr>
          <w:lang w:val="fr-CH"/>
        </w:rPr>
        <w:t>Travailler sur des projets multisectoriels, en particulier en vue de promouvoir le développement durable des transports, en mettant notamment l</w:t>
      </w:r>
      <w:r w:rsidR="00B164F7" w:rsidRPr="00F05FF9">
        <w:rPr>
          <w:lang w:val="fr-CH"/>
        </w:rPr>
        <w:t>’</w:t>
      </w:r>
      <w:r w:rsidR="00753F14" w:rsidRPr="00F05FF9">
        <w:rPr>
          <w:lang w:val="fr-CH"/>
        </w:rPr>
        <w:t>accent sur l</w:t>
      </w:r>
      <w:r w:rsidR="00B164F7" w:rsidRPr="00F05FF9">
        <w:rPr>
          <w:lang w:val="fr-CH"/>
        </w:rPr>
        <w:t>’</w:t>
      </w:r>
      <w:r w:rsidR="00753F14" w:rsidRPr="00F05FF9">
        <w:rPr>
          <w:lang w:val="fr-CH"/>
        </w:rPr>
        <w:t>administration conjointe du Programme paneuropéen pour les transports, la santé et l</w:t>
      </w:r>
      <w:r w:rsidR="00B164F7" w:rsidRPr="00F05FF9">
        <w:rPr>
          <w:lang w:val="fr-CH"/>
        </w:rPr>
        <w:t>’</w:t>
      </w:r>
      <w:r w:rsidR="00753F14" w:rsidRPr="00F05FF9">
        <w:rPr>
          <w:lang w:val="fr-CH"/>
        </w:rPr>
        <w:t>environnement.</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La Division continuera d</w:t>
      </w:r>
      <w:r w:rsidR="00B164F7" w:rsidRPr="00F05FF9">
        <w:rPr>
          <w:lang w:val="fr-CH"/>
        </w:rPr>
        <w:t>’</w:t>
      </w:r>
      <w:r w:rsidRPr="00F05FF9">
        <w:rPr>
          <w:lang w:val="fr-CH"/>
        </w:rPr>
        <w:t>assurer le secrétariat du Comité des transports intérieurs et du Comité d</w:t>
      </w:r>
      <w:r w:rsidR="00B164F7" w:rsidRPr="00F05FF9">
        <w:rPr>
          <w:lang w:val="fr-CH"/>
        </w:rPr>
        <w:t>’</w:t>
      </w:r>
      <w:r w:rsidRPr="00F05FF9">
        <w:rPr>
          <w:lang w:val="fr-CH"/>
        </w:rPr>
        <w:t>experts du transport des marchandises dangereuses et du Système général harmonisé de classification et d</w:t>
      </w:r>
      <w:r w:rsidR="00B164F7" w:rsidRPr="00F05FF9">
        <w:rPr>
          <w:lang w:val="fr-CH"/>
        </w:rPr>
        <w:t>’</w:t>
      </w:r>
      <w:r w:rsidRPr="00F05FF9">
        <w:rPr>
          <w:lang w:val="fr-CH"/>
        </w:rPr>
        <w:t xml:space="preserve">étiquetage des produits chimiques, qui relève du Conseil économique et social. </w:t>
      </w:r>
    </w:p>
    <w:p w:rsidR="00753F14" w:rsidRPr="00F05FF9" w:rsidRDefault="00753F14" w:rsidP="00F80D89">
      <w:pPr>
        <w:pStyle w:val="SingleTxt"/>
        <w:numPr>
          <w:ilvl w:val="0"/>
          <w:numId w:val="6"/>
        </w:numPr>
        <w:tabs>
          <w:tab w:val="clear" w:pos="475"/>
          <w:tab w:val="num" w:pos="1742"/>
        </w:tabs>
        <w:ind w:left="1267"/>
        <w:rPr>
          <w:lang w:val="fr-CH"/>
        </w:rPr>
      </w:pPr>
      <w:r w:rsidRPr="00F05FF9">
        <w:rPr>
          <w:lang w:val="fr-CH"/>
        </w:rPr>
        <w:t>Le sous-programme devrait permettre d</w:t>
      </w:r>
      <w:r w:rsidR="00B164F7" w:rsidRPr="00F05FF9">
        <w:rPr>
          <w:lang w:val="fr-CH"/>
        </w:rPr>
        <w:t>’</w:t>
      </w:r>
      <w:r w:rsidRPr="00F05FF9">
        <w:rPr>
          <w:lang w:val="fr-CH"/>
        </w:rPr>
        <w:t>atteindre les objectifs visés et de parvenir aux réalisations escomptées si les conditions suivantes sont réunies</w:t>
      </w:r>
      <w:r w:rsidR="00BF6259" w:rsidRPr="00F05FF9">
        <w:rPr>
          <w:lang w:val="fr-CH"/>
        </w:rPr>
        <w:t> </w:t>
      </w:r>
      <w:r w:rsidRPr="00F05FF9">
        <w:rPr>
          <w:lang w:val="fr-CH"/>
        </w:rPr>
        <w:t>: a) les diverses parties intéressées parviennent à un consensus sur la mise à jour des instruments juridiques en vigueur et sur l</w:t>
      </w:r>
      <w:r w:rsidR="00B164F7" w:rsidRPr="00F05FF9">
        <w:rPr>
          <w:lang w:val="fr-CH"/>
        </w:rPr>
        <w:t>’</w:t>
      </w:r>
      <w:r w:rsidRPr="00F05FF9">
        <w:rPr>
          <w:lang w:val="fr-CH"/>
        </w:rPr>
        <w:t>élaboration de nouveaux instruments; b) le climat est propice à la ratification des instruments juridiques de l</w:t>
      </w:r>
      <w:r w:rsidR="00B164F7" w:rsidRPr="00F05FF9">
        <w:rPr>
          <w:lang w:val="fr-CH"/>
        </w:rPr>
        <w:t>’</w:t>
      </w:r>
      <w:r w:rsidRPr="00F05FF9">
        <w:rPr>
          <w:lang w:val="fr-CH"/>
        </w:rPr>
        <w:t>ONU relatifs au secteur des transports ou à l</w:t>
      </w:r>
      <w:r w:rsidR="00B164F7" w:rsidRPr="00F05FF9">
        <w:rPr>
          <w:lang w:val="fr-CH"/>
        </w:rPr>
        <w:t>’</w:t>
      </w:r>
      <w:r w:rsidRPr="00F05FF9">
        <w:rPr>
          <w:lang w:val="fr-CH"/>
        </w:rPr>
        <w:t>adhésion à ceux-ci; c) les gouvernements et les parlements décident d</w:t>
      </w:r>
      <w:r w:rsidR="00B164F7" w:rsidRPr="00F05FF9">
        <w:rPr>
          <w:lang w:val="fr-CH"/>
        </w:rPr>
        <w:t>’</w:t>
      </w:r>
      <w:r w:rsidRPr="00F05FF9">
        <w:rPr>
          <w:lang w:val="fr-CH"/>
        </w:rPr>
        <w:t>adopter, d</w:t>
      </w:r>
      <w:r w:rsidR="00B164F7" w:rsidRPr="00F05FF9">
        <w:rPr>
          <w:lang w:val="fr-CH"/>
        </w:rPr>
        <w:t>’</w:t>
      </w:r>
      <w:r w:rsidRPr="00F05FF9">
        <w:rPr>
          <w:lang w:val="fr-CH"/>
        </w:rPr>
        <w:t>appliquer et de faire respecter les instruments internationaux connexes; d) le climat politique reste stable et les pays membres et les organisations régionales coopèrent pour appuyer le développement des infrastructures et réseaux de transport et faciliter le passage des frontières; e) les États membres ont, aux niveaux national et infranational, la volonté politique de promouvoir une mobilité viable, de fixer des objectifs d</w:t>
      </w:r>
      <w:r w:rsidR="00B164F7" w:rsidRPr="00F05FF9">
        <w:rPr>
          <w:lang w:val="fr-CH"/>
        </w:rPr>
        <w:t>’</w:t>
      </w:r>
      <w:r w:rsidRPr="00F05FF9">
        <w:rPr>
          <w:lang w:val="fr-CH"/>
        </w:rPr>
        <w:t>amélioration de la sécurité routière, de réglementer les transports et de définir des objectifs pertinents en faveur du développement (économique, social et environnemental) durable; f) les fonds nécessaires sont dégagés au niveau national pour appliquer les instruments juridiques, les mesures d</w:t>
      </w:r>
      <w:r w:rsidR="00B164F7" w:rsidRPr="00F05FF9">
        <w:rPr>
          <w:lang w:val="fr-CH"/>
        </w:rPr>
        <w:t>’</w:t>
      </w:r>
      <w:r w:rsidRPr="00F05FF9">
        <w:rPr>
          <w:lang w:val="fr-CH"/>
        </w:rPr>
        <w:t>amélioration de la sécurité routière et les projets et programmes de développement durable du secteur des transports; et g) les contributions volontaires sont suffisantes pour favoriser le renforcement des capacités et les travaux d</w:t>
      </w:r>
      <w:r w:rsidR="00B164F7" w:rsidRPr="00F05FF9">
        <w:rPr>
          <w:lang w:val="fr-CH"/>
        </w:rPr>
        <w:t>’</w:t>
      </w:r>
      <w:r w:rsidRPr="00F05FF9">
        <w:rPr>
          <w:lang w:val="fr-CH"/>
        </w:rPr>
        <w:t xml:space="preserve">analyse. </w:t>
      </w:r>
    </w:p>
    <w:p w:rsidR="0069227C" w:rsidRPr="00F05FF9" w:rsidRDefault="0069227C" w:rsidP="0069227C">
      <w:pPr>
        <w:pStyle w:val="SingleTxt"/>
        <w:spacing w:after="0" w:line="120" w:lineRule="exact"/>
        <w:rPr>
          <w:sz w:val="10"/>
          <w:lang w:val="fr-CH"/>
        </w:rPr>
      </w:pPr>
    </w:p>
    <w:p w:rsidR="0069227C" w:rsidRPr="00F05FF9" w:rsidRDefault="0069227C" w:rsidP="0069227C">
      <w:pPr>
        <w:pStyle w:val="SingleTxt"/>
        <w:spacing w:after="0" w:line="120" w:lineRule="exact"/>
        <w:rPr>
          <w:sz w:val="10"/>
          <w:lang w:val="fr-CH"/>
        </w:rPr>
      </w:pPr>
    </w:p>
    <w:p w:rsidR="00753F14" w:rsidRPr="00F05FF9" w:rsidRDefault="00753F14" w:rsidP="006922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II.</w:t>
      </w:r>
      <w:r w:rsidRPr="00F05FF9">
        <w:rPr>
          <w:lang w:val="fr-CH"/>
        </w:rPr>
        <w:tab/>
        <w:t xml:space="preserve">Produits/activités à réaliser pendant la période </w:t>
      </w:r>
      <w:r w:rsidR="0069227C" w:rsidRPr="00F05FF9">
        <w:rPr>
          <w:lang w:val="fr-CH"/>
        </w:rPr>
        <w:br/>
      </w:r>
      <w:r w:rsidRPr="00F05FF9">
        <w:rPr>
          <w:lang w:val="fr-CH"/>
        </w:rPr>
        <w:t xml:space="preserve">biennale 2016-2017 </w:t>
      </w:r>
    </w:p>
    <w:p w:rsidR="0069227C" w:rsidRPr="00F05FF9" w:rsidRDefault="0069227C" w:rsidP="00F80D89">
      <w:pPr>
        <w:pStyle w:val="SingleTxt"/>
        <w:keepNext/>
        <w:spacing w:after="0" w:line="120" w:lineRule="exact"/>
        <w:rPr>
          <w:sz w:val="10"/>
          <w:lang w:val="fr-CH"/>
        </w:rPr>
      </w:pPr>
    </w:p>
    <w:p w:rsidR="0069227C" w:rsidRPr="00F05FF9" w:rsidRDefault="0069227C" w:rsidP="00F80D89">
      <w:pPr>
        <w:pStyle w:val="SingleTxt"/>
        <w:keepNext/>
        <w:spacing w:after="0" w:line="120" w:lineRule="exact"/>
        <w:rPr>
          <w:sz w:val="10"/>
          <w:lang w:val="fr-CH"/>
        </w:rPr>
      </w:pPr>
    </w:p>
    <w:p w:rsidR="00753F14" w:rsidRPr="00F05FF9" w:rsidRDefault="00753F14" w:rsidP="006922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A.</w:t>
      </w:r>
      <w:r w:rsidRPr="00F05FF9">
        <w:rPr>
          <w:lang w:val="fr-CH"/>
        </w:rPr>
        <w:tab/>
        <w:t>Service d</w:t>
      </w:r>
      <w:r w:rsidR="00B164F7" w:rsidRPr="00F05FF9">
        <w:rPr>
          <w:lang w:val="fr-CH"/>
        </w:rPr>
        <w:t>’</w:t>
      </w:r>
      <w:r w:rsidRPr="00F05FF9">
        <w:rPr>
          <w:lang w:val="fr-CH"/>
        </w:rPr>
        <w:t xml:space="preserve">organes intergouvernementaux </w:t>
      </w:r>
      <w:r w:rsidR="0069227C" w:rsidRPr="00F05FF9">
        <w:rPr>
          <w:lang w:val="fr-CH"/>
        </w:rPr>
        <w:br/>
        <w:t>et d</w:t>
      </w:r>
      <w:r w:rsidR="00B164F7" w:rsidRPr="00F05FF9">
        <w:rPr>
          <w:lang w:val="fr-CH"/>
        </w:rPr>
        <w:t>’</w:t>
      </w:r>
      <w:r w:rsidR="0069227C" w:rsidRPr="00F05FF9">
        <w:rPr>
          <w:lang w:val="fr-CH"/>
        </w:rPr>
        <w:t>organes d</w:t>
      </w:r>
      <w:r w:rsidR="00B164F7" w:rsidRPr="00F05FF9">
        <w:rPr>
          <w:lang w:val="fr-CH"/>
        </w:rPr>
        <w:t>’</w:t>
      </w:r>
      <w:r w:rsidR="0069227C" w:rsidRPr="00F05FF9">
        <w:rPr>
          <w:lang w:val="fr-CH"/>
        </w:rPr>
        <w:t>experts</w:t>
      </w:r>
    </w:p>
    <w:p w:rsidR="0069227C" w:rsidRPr="00F05FF9" w:rsidRDefault="0069227C" w:rsidP="00F80D89">
      <w:pPr>
        <w:pStyle w:val="SingleTxt"/>
        <w:keepNext/>
        <w:spacing w:after="0" w:line="120" w:lineRule="exact"/>
        <w:rPr>
          <w:sz w:val="10"/>
          <w:lang w:val="fr-CH"/>
        </w:rPr>
      </w:pPr>
    </w:p>
    <w:p w:rsidR="0069227C" w:rsidRPr="00F05FF9" w:rsidRDefault="0069227C" w:rsidP="00F80D89">
      <w:pPr>
        <w:pStyle w:val="SingleTxt"/>
        <w:keepNext/>
        <w:spacing w:after="0" w:line="120" w:lineRule="exact"/>
        <w:rPr>
          <w:sz w:val="10"/>
          <w:lang w:val="fr-CH"/>
        </w:rPr>
      </w:pPr>
    </w:p>
    <w:p w:rsidR="00753F14" w:rsidRPr="00F05FF9" w:rsidRDefault="0069227C" w:rsidP="00F80D89">
      <w:pPr>
        <w:pStyle w:val="SingleTxt"/>
        <w:spacing w:after="100"/>
        <w:rPr>
          <w:lang w:val="fr-CH"/>
        </w:rPr>
      </w:pPr>
      <w:r w:rsidRPr="00F05FF9">
        <w:rPr>
          <w:lang w:val="fr-CH"/>
        </w:rPr>
        <w:tab/>
      </w:r>
      <w:r w:rsidR="00753F14" w:rsidRPr="00F05FF9">
        <w:rPr>
          <w:lang w:val="fr-CH"/>
        </w:rPr>
        <w:t>i)</w:t>
      </w:r>
      <w:r w:rsidR="00753F14" w:rsidRPr="00F05FF9">
        <w:rPr>
          <w:lang w:val="fr-CH"/>
        </w:rPr>
        <w:tab/>
        <w:t>Comité des transports intérieurs</w:t>
      </w:r>
      <w:r w:rsidR="00BF6259" w:rsidRPr="00F05FF9">
        <w:rPr>
          <w:lang w:val="fr-CH"/>
        </w:rPr>
        <w:t> </w:t>
      </w:r>
      <w:r w:rsidR="00753F14" w:rsidRPr="00F05FF9">
        <w:rPr>
          <w:lang w:val="fr-CH"/>
        </w:rPr>
        <w:t xml:space="preserve">: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sessions annuelles du Comité des transports intérieurs (12); </w:t>
      </w:r>
      <w:r w:rsidR="002F44EE" w:rsidRPr="00F05FF9">
        <w:rPr>
          <w:lang w:val="fr-CH"/>
        </w:rPr>
        <w:t xml:space="preserve">réunions du </w:t>
      </w:r>
      <w:r w:rsidR="00753F14" w:rsidRPr="00F05FF9">
        <w:rPr>
          <w:lang w:val="fr-CH"/>
        </w:rPr>
        <w:t xml:space="preserve">Bureau du Comité (20);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w:t>
      </w:r>
      <w:r w:rsidR="002F44EE" w:rsidRPr="00F05FF9">
        <w:rPr>
          <w:lang w:val="fr-CH"/>
        </w:rPr>
        <w:t>s</w:t>
      </w:r>
      <w:r w:rsidR="00753F14" w:rsidRPr="00F05FF9">
        <w:rPr>
          <w:lang w:val="fr-CH"/>
        </w:rPr>
        <w:t xml:space="preserve"> du Comité des transports intérieurs (2); rapports sur l</w:t>
      </w:r>
      <w:r w:rsidR="00B164F7" w:rsidRPr="00F05FF9">
        <w:rPr>
          <w:lang w:val="fr-CH"/>
        </w:rPr>
        <w:t>’</w:t>
      </w:r>
      <w:r w:rsidR="00753F14" w:rsidRPr="00F05FF9">
        <w:rPr>
          <w:lang w:val="fr-CH"/>
        </w:rPr>
        <w:t>outil de modélisation des futurs systèmes de transport</w:t>
      </w:r>
      <w:r w:rsidR="0025201F">
        <w:rPr>
          <w:lang w:val="fr-CH"/>
        </w:rPr>
        <w:t>s</w:t>
      </w:r>
      <w:r w:rsidR="00753F14" w:rsidRPr="00F05FF9">
        <w:rPr>
          <w:lang w:val="fr-CH"/>
        </w:rPr>
        <w:t xml:space="preserve"> intérieur</w:t>
      </w:r>
      <w:r w:rsidR="0025201F">
        <w:rPr>
          <w:lang w:val="fr-CH"/>
        </w:rPr>
        <w:t>s</w:t>
      </w:r>
      <w:r w:rsidR="00753F14" w:rsidRPr="00F05FF9">
        <w:rPr>
          <w:lang w:val="fr-CH"/>
        </w:rPr>
        <w:t xml:space="preserve"> </w:t>
      </w:r>
      <w:r w:rsidR="00B900F0">
        <w:rPr>
          <w:lang w:val="fr-CH"/>
        </w:rPr>
        <w:t>–</w:t>
      </w:r>
      <w:r w:rsidR="00753F14" w:rsidRPr="00F05FF9">
        <w:rPr>
          <w:lang w:val="fr-CH"/>
        </w:rPr>
        <w:t xml:space="preserve"> module Sécurité routière (4); documents pour les sessions du Comité des transports intérieurs (56)</w:t>
      </w:r>
      <w:r w:rsidR="002F44EE" w:rsidRPr="00F05FF9">
        <w:rPr>
          <w:lang w:val="fr-CH"/>
        </w:rPr>
        <w:t>;</w:t>
      </w:r>
    </w:p>
    <w:p w:rsidR="00753F14" w:rsidRPr="00F05FF9" w:rsidRDefault="0069227C" w:rsidP="00F80D89">
      <w:pPr>
        <w:pStyle w:val="SingleTxt"/>
        <w:spacing w:after="100"/>
        <w:ind w:left="2218" w:hanging="951"/>
        <w:rPr>
          <w:lang w:val="fr-CH"/>
        </w:rPr>
      </w:pPr>
      <w:r w:rsidRPr="00F05FF9">
        <w:rPr>
          <w:lang w:val="fr-CH"/>
        </w:rPr>
        <w:tab/>
      </w:r>
      <w:r w:rsidR="00753F14" w:rsidRPr="00F05FF9">
        <w:rPr>
          <w:lang w:val="fr-CH"/>
        </w:rPr>
        <w:t>ii)</w:t>
      </w:r>
      <w:r w:rsidR="00753F14" w:rsidRPr="00F05FF9">
        <w:rPr>
          <w:lang w:val="fr-CH"/>
        </w:rPr>
        <w:tab/>
        <w:t>Comité d</w:t>
      </w:r>
      <w:r w:rsidR="00B164F7" w:rsidRPr="00F05FF9">
        <w:rPr>
          <w:lang w:val="fr-CH"/>
        </w:rPr>
        <w:t>’</w:t>
      </w:r>
      <w:r w:rsidR="00753F14" w:rsidRPr="00F05FF9">
        <w:rPr>
          <w:lang w:val="fr-CH"/>
        </w:rPr>
        <w:t xml:space="preserve">experts du transport des marchandises dangereuses et du </w:t>
      </w:r>
      <w:r w:rsidR="002F44EE" w:rsidRPr="00F05FF9">
        <w:rPr>
          <w:lang w:val="fr-CH"/>
        </w:rPr>
        <w:t>S</w:t>
      </w:r>
      <w:r w:rsidR="00753F14" w:rsidRPr="00F05FF9">
        <w:rPr>
          <w:lang w:val="fr-CH"/>
        </w:rPr>
        <w:t>ystème général harmonisé de classification et d</w:t>
      </w:r>
      <w:r w:rsidR="00B164F7" w:rsidRPr="00F05FF9">
        <w:rPr>
          <w:lang w:val="fr-CH"/>
        </w:rPr>
        <w:t>’</w:t>
      </w:r>
      <w:r w:rsidR="00753F14" w:rsidRPr="00F05FF9">
        <w:rPr>
          <w:lang w:val="fr-CH"/>
        </w:rPr>
        <w:t>étiquetage des produits chimiques, relevant du Conseil économique et social</w:t>
      </w:r>
      <w:r w:rsidR="00BF6259" w:rsidRPr="00F05FF9">
        <w:rPr>
          <w:lang w:val="fr-CH"/>
        </w:rPr>
        <w:t> :</w:t>
      </w:r>
      <w:r w:rsidR="00753F14" w:rsidRPr="00F05FF9">
        <w:rPr>
          <w:lang w:val="fr-CH"/>
        </w:rPr>
        <w:t xml:space="preserve"> </w:t>
      </w:r>
    </w:p>
    <w:p w:rsidR="00753F14" w:rsidRPr="00F05FF9" w:rsidRDefault="0069227C" w:rsidP="00F80D89">
      <w:pPr>
        <w:pStyle w:val="SingleTxt"/>
        <w:spacing w:after="100"/>
        <w:ind w:left="2693" w:hanging="1426"/>
        <w:rPr>
          <w:lang w:val="fr-CH"/>
        </w:rPr>
      </w:pPr>
      <w:r w:rsidRPr="00F05FF9">
        <w:rPr>
          <w:lang w:val="fr-CH"/>
        </w:rPr>
        <w:tab/>
      </w:r>
      <w:r w:rsidR="00753F14" w:rsidRPr="00F05FF9">
        <w:rPr>
          <w:lang w:val="fr-CH"/>
        </w:rPr>
        <w:tab/>
        <w:t>a.</w:t>
      </w:r>
      <w:r w:rsidR="00753F14" w:rsidRPr="00F05FF9">
        <w:rPr>
          <w:lang w:val="fr-CH"/>
        </w:rPr>
        <w:tab/>
        <w:t>Services fonctionnels pour les réunions</w:t>
      </w:r>
      <w:r w:rsidR="00BF6259" w:rsidRPr="00F05FF9">
        <w:rPr>
          <w:lang w:val="fr-CH"/>
        </w:rPr>
        <w:t> :</w:t>
      </w:r>
      <w:r w:rsidR="00753F14" w:rsidRPr="00F05FF9">
        <w:rPr>
          <w:lang w:val="fr-CH"/>
        </w:rPr>
        <w:t xml:space="preserve"> session biennale du Comité d</w:t>
      </w:r>
      <w:r w:rsidR="00B164F7" w:rsidRPr="00F05FF9">
        <w:rPr>
          <w:lang w:val="fr-CH"/>
        </w:rPr>
        <w:t>’</w:t>
      </w:r>
      <w:r w:rsidR="00753F14" w:rsidRPr="00F05FF9">
        <w:rPr>
          <w:lang w:val="fr-CH"/>
        </w:rPr>
        <w:t xml:space="preserve">experts (1);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 du Comité d</w:t>
      </w:r>
      <w:r w:rsidR="00B164F7" w:rsidRPr="00F05FF9">
        <w:rPr>
          <w:lang w:val="fr-CH"/>
        </w:rPr>
        <w:t>’</w:t>
      </w:r>
      <w:r w:rsidR="00753F14" w:rsidRPr="00F05FF9">
        <w:rPr>
          <w:lang w:val="fr-CH"/>
        </w:rPr>
        <w:t>experts (1); rapport du Secrétaire général au Conseil économique et social sur les travaux du Comité d</w:t>
      </w:r>
      <w:r w:rsidR="00B164F7" w:rsidRPr="00F05FF9">
        <w:rPr>
          <w:lang w:val="fr-CH"/>
        </w:rPr>
        <w:t>’</w:t>
      </w:r>
      <w:r w:rsidR="00753F14" w:rsidRPr="00F05FF9">
        <w:rPr>
          <w:lang w:val="fr-CH"/>
        </w:rPr>
        <w:t>experts (1); ordre du jour provisoire annoté du Comité d</w:t>
      </w:r>
      <w:r w:rsidR="00B164F7" w:rsidRPr="00F05FF9">
        <w:rPr>
          <w:lang w:val="fr-CH"/>
        </w:rPr>
        <w:t>’</w:t>
      </w:r>
      <w:r w:rsidR="00753F14" w:rsidRPr="00F05FF9">
        <w:rPr>
          <w:lang w:val="fr-CH"/>
        </w:rPr>
        <w:t>experts (1)</w:t>
      </w:r>
      <w:r w:rsidR="002F44EE" w:rsidRPr="00F05FF9">
        <w:rPr>
          <w:lang w:val="fr-CH"/>
        </w:rPr>
        <w:t>;</w:t>
      </w:r>
    </w:p>
    <w:p w:rsidR="00753F14" w:rsidRPr="00F05FF9" w:rsidRDefault="0069227C" w:rsidP="00F80D89">
      <w:pPr>
        <w:pStyle w:val="SingleTxt"/>
        <w:spacing w:after="100"/>
        <w:ind w:left="2218" w:hanging="951"/>
        <w:rPr>
          <w:lang w:val="fr-CH"/>
        </w:rPr>
      </w:pPr>
      <w:r w:rsidRPr="00F05FF9">
        <w:rPr>
          <w:lang w:val="fr-CH"/>
        </w:rPr>
        <w:tab/>
      </w:r>
      <w:r w:rsidR="00753F14" w:rsidRPr="00F05FF9">
        <w:rPr>
          <w:lang w:val="fr-CH"/>
        </w:rPr>
        <w:t>iii)</w:t>
      </w:r>
      <w:r w:rsidR="00753F14" w:rsidRPr="00F05FF9">
        <w:rPr>
          <w:lang w:val="fr-CH"/>
        </w:rPr>
        <w:tab/>
        <w:t>Sous-Comité d</w:t>
      </w:r>
      <w:r w:rsidR="00B164F7" w:rsidRPr="00F05FF9">
        <w:rPr>
          <w:lang w:val="fr-CH"/>
        </w:rPr>
        <w:t>’</w:t>
      </w:r>
      <w:r w:rsidR="00753F14" w:rsidRPr="00F05FF9">
        <w:rPr>
          <w:lang w:val="fr-CH"/>
        </w:rPr>
        <w:t>experts du transport de</w:t>
      </w:r>
      <w:r w:rsidR="002F44EE" w:rsidRPr="00F05FF9">
        <w:rPr>
          <w:lang w:val="fr-CH"/>
        </w:rPr>
        <w:t>s</w:t>
      </w:r>
      <w:r w:rsidR="00753F14" w:rsidRPr="00F05FF9">
        <w:rPr>
          <w:lang w:val="fr-CH"/>
        </w:rPr>
        <w:t xml:space="preserve"> marchandises dangereuses, relevant du Conseil économique et social</w:t>
      </w:r>
      <w:r w:rsidR="00BF6259" w:rsidRPr="00F05FF9">
        <w:rPr>
          <w:lang w:val="fr-CH"/>
        </w:rPr>
        <w:t> :</w:t>
      </w:r>
      <w:r w:rsidR="00753F14" w:rsidRPr="00F05FF9">
        <w:rPr>
          <w:lang w:val="fr-CH"/>
        </w:rPr>
        <w:t xml:space="preserve">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réunions du Sous-Comité d</w:t>
      </w:r>
      <w:r w:rsidR="00B164F7" w:rsidRPr="00F05FF9">
        <w:rPr>
          <w:lang w:val="fr-CH"/>
        </w:rPr>
        <w:t>’</w:t>
      </w:r>
      <w:r w:rsidR="00753F14" w:rsidRPr="00F05FF9">
        <w:rPr>
          <w:lang w:val="fr-CH"/>
        </w:rPr>
        <w:t xml:space="preserve">experts (54);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25201F">
        <w:rPr>
          <w:lang w:val="fr-CH"/>
        </w:rPr>
        <w:t>b.</w:t>
      </w:r>
      <w:r w:rsidR="0025201F">
        <w:rPr>
          <w:lang w:val="fr-CH"/>
        </w:rPr>
        <w:tab/>
      </w:r>
      <w:r w:rsidR="00753F14" w:rsidRPr="00F05FF9">
        <w:rPr>
          <w:lang w:val="fr-CH"/>
        </w:rPr>
        <w:t>Documentation destinée aux organes délibérants</w:t>
      </w:r>
      <w:r w:rsidR="00BF6259" w:rsidRPr="00F05FF9">
        <w:rPr>
          <w:lang w:val="fr-CH"/>
        </w:rPr>
        <w:t> :</w:t>
      </w:r>
      <w:r w:rsidR="00753F14" w:rsidRPr="00F05FF9">
        <w:rPr>
          <w:lang w:val="fr-CH"/>
        </w:rPr>
        <w:t xml:space="preserve"> rapport</w:t>
      </w:r>
      <w:r w:rsidR="002F44EE" w:rsidRPr="00F05FF9">
        <w:rPr>
          <w:lang w:val="fr-CH"/>
        </w:rPr>
        <w:t>s</w:t>
      </w:r>
      <w:r w:rsidR="00753F14" w:rsidRPr="00F05FF9">
        <w:rPr>
          <w:lang w:val="fr-CH"/>
        </w:rPr>
        <w:t xml:space="preserve"> du Sous-Comité d</w:t>
      </w:r>
      <w:r w:rsidR="00B164F7" w:rsidRPr="00F05FF9">
        <w:rPr>
          <w:lang w:val="fr-CH"/>
        </w:rPr>
        <w:t>’</w:t>
      </w:r>
      <w:r w:rsidR="00753F14" w:rsidRPr="00F05FF9">
        <w:rPr>
          <w:lang w:val="fr-CH"/>
        </w:rPr>
        <w:t>experts (4); séries annuelles de documents sur les modifications et l</w:t>
      </w:r>
      <w:r w:rsidR="00B164F7" w:rsidRPr="00F05FF9">
        <w:rPr>
          <w:lang w:val="fr-CH"/>
        </w:rPr>
        <w:t>’</w:t>
      </w:r>
      <w:r w:rsidR="00753F14" w:rsidRPr="00F05FF9">
        <w:rPr>
          <w:lang w:val="fr-CH"/>
        </w:rPr>
        <w:t>application des Recommandations de l</w:t>
      </w:r>
      <w:r w:rsidR="00B164F7" w:rsidRPr="00F05FF9">
        <w:rPr>
          <w:lang w:val="fr-CH"/>
        </w:rPr>
        <w:t>’</w:t>
      </w:r>
      <w:r w:rsidR="00753F14" w:rsidRPr="00F05FF9">
        <w:rPr>
          <w:lang w:val="fr-CH"/>
        </w:rPr>
        <w:t>ONU relatives au transport des marchandises dangereuses (quelque 110 documents par série les années paires et 60 les années impaires) (2);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Sous-Comité d</w:t>
      </w:r>
      <w:r w:rsidR="00B164F7" w:rsidRPr="00F05FF9">
        <w:rPr>
          <w:lang w:val="fr-CH"/>
        </w:rPr>
        <w:t>’</w:t>
      </w:r>
      <w:r w:rsidR="00753F14" w:rsidRPr="00F05FF9">
        <w:rPr>
          <w:lang w:val="fr-CH"/>
        </w:rPr>
        <w:t>experts (4)</w:t>
      </w:r>
      <w:r w:rsidR="002F44EE" w:rsidRPr="00F05FF9">
        <w:rPr>
          <w:lang w:val="fr-CH"/>
        </w:rPr>
        <w:t>;</w:t>
      </w:r>
    </w:p>
    <w:p w:rsidR="00753F14" w:rsidRPr="00F05FF9" w:rsidRDefault="0069227C" w:rsidP="00F80D89">
      <w:pPr>
        <w:pStyle w:val="SingleTxt"/>
        <w:spacing w:after="100"/>
        <w:ind w:left="2218" w:hanging="951"/>
        <w:rPr>
          <w:lang w:val="fr-CH"/>
        </w:rPr>
      </w:pPr>
      <w:r w:rsidRPr="00F05FF9">
        <w:rPr>
          <w:lang w:val="fr-CH"/>
        </w:rPr>
        <w:tab/>
        <w:t>iv</w:t>
      </w:r>
      <w:r w:rsidR="00753F14" w:rsidRPr="00F05FF9">
        <w:rPr>
          <w:lang w:val="fr-CH"/>
        </w:rPr>
        <w:t>)</w:t>
      </w:r>
      <w:r w:rsidR="00753F14" w:rsidRPr="00F05FF9">
        <w:rPr>
          <w:lang w:val="fr-CH"/>
        </w:rPr>
        <w:tab/>
        <w:t>Sous-</w:t>
      </w:r>
      <w:r w:rsidR="002F44EE" w:rsidRPr="00F05FF9">
        <w:rPr>
          <w:lang w:val="fr-CH"/>
        </w:rPr>
        <w:t>C</w:t>
      </w:r>
      <w:r w:rsidR="00753F14" w:rsidRPr="00F05FF9">
        <w:rPr>
          <w:lang w:val="fr-CH"/>
        </w:rPr>
        <w:t>omité d</w:t>
      </w:r>
      <w:r w:rsidR="00B164F7" w:rsidRPr="00F05FF9">
        <w:rPr>
          <w:lang w:val="fr-CH"/>
        </w:rPr>
        <w:t>’</w:t>
      </w:r>
      <w:r w:rsidR="00753F14" w:rsidRPr="00F05FF9">
        <w:rPr>
          <w:lang w:val="fr-CH"/>
        </w:rPr>
        <w:t>experts du Système général harmonisé de classification et d</w:t>
      </w:r>
      <w:r w:rsidR="00B164F7" w:rsidRPr="00F05FF9">
        <w:rPr>
          <w:lang w:val="fr-CH"/>
        </w:rPr>
        <w:t>’</w:t>
      </w:r>
      <w:r w:rsidR="00753F14" w:rsidRPr="00F05FF9">
        <w:rPr>
          <w:lang w:val="fr-CH"/>
        </w:rPr>
        <w:t>étiquetage des produits chimiques, relevant du Conseil économique et social</w:t>
      </w:r>
      <w:r w:rsidR="00BF6259" w:rsidRPr="00F05FF9">
        <w:rPr>
          <w:lang w:val="fr-CH"/>
        </w:rPr>
        <w:t> :</w:t>
      </w:r>
      <w:r w:rsidR="00753F14" w:rsidRPr="00F05FF9">
        <w:rPr>
          <w:lang w:val="fr-CH"/>
        </w:rPr>
        <w:t xml:space="preserve">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réunions du Sous-Comité d</w:t>
      </w:r>
      <w:r w:rsidR="00B164F7" w:rsidRPr="00F05FF9">
        <w:rPr>
          <w:lang w:val="fr-CH"/>
        </w:rPr>
        <w:t>’</w:t>
      </w:r>
      <w:r w:rsidR="00753F14" w:rsidRPr="00F05FF9">
        <w:rPr>
          <w:lang w:val="fr-CH"/>
        </w:rPr>
        <w:t xml:space="preserve">experts (20);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25201F">
        <w:rPr>
          <w:lang w:val="fr-CH"/>
        </w:rPr>
        <w:t>b.</w:t>
      </w:r>
      <w:r w:rsidR="0025201F">
        <w:rPr>
          <w:lang w:val="fr-CH"/>
        </w:rPr>
        <w:tab/>
      </w:r>
      <w:r w:rsidR="00753F14" w:rsidRPr="00F05FF9">
        <w:rPr>
          <w:lang w:val="fr-CH"/>
        </w:rPr>
        <w:t>Documentation destinée aux organes délibérants</w:t>
      </w:r>
      <w:r w:rsidR="00BF6259" w:rsidRPr="00F05FF9">
        <w:rPr>
          <w:lang w:val="fr-CH"/>
        </w:rPr>
        <w:t> :</w:t>
      </w:r>
      <w:r w:rsidR="00753F14" w:rsidRPr="00F05FF9">
        <w:rPr>
          <w:lang w:val="fr-CH"/>
        </w:rPr>
        <w:t xml:space="preserve"> rapport</w:t>
      </w:r>
      <w:r w:rsidR="002F44EE" w:rsidRPr="00F05FF9">
        <w:rPr>
          <w:lang w:val="fr-CH"/>
        </w:rPr>
        <w:t>s</w:t>
      </w:r>
      <w:r w:rsidR="00753F14" w:rsidRPr="00F05FF9">
        <w:rPr>
          <w:lang w:val="fr-CH"/>
        </w:rPr>
        <w:t xml:space="preserve"> du Sous-Comité d</w:t>
      </w:r>
      <w:r w:rsidR="00B164F7" w:rsidRPr="00F05FF9">
        <w:rPr>
          <w:lang w:val="fr-CH"/>
        </w:rPr>
        <w:t>’</w:t>
      </w:r>
      <w:r w:rsidR="00753F14" w:rsidRPr="00F05FF9">
        <w:rPr>
          <w:lang w:val="fr-CH"/>
        </w:rPr>
        <w:t>experts (4); séries annuelles de documents sur les modifications et l</w:t>
      </w:r>
      <w:r w:rsidR="00B164F7" w:rsidRPr="00F05FF9">
        <w:rPr>
          <w:lang w:val="fr-CH"/>
        </w:rPr>
        <w:t>’</w:t>
      </w:r>
      <w:r w:rsidR="00753F14" w:rsidRPr="00F05FF9">
        <w:rPr>
          <w:lang w:val="fr-CH"/>
        </w:rPr>
        <w:t>application du Système général harmonisé de classification et d</w:t>
      </w:r>
      <w:r w:rsidR="00B164F7" w:rsidRPr="00F05FF9">
        <w:rPr>
          <w:lang w:val="fr-CH"/>
        </w:rPr>
        <w:t>’</w:t>
      </w:r>
      <w:r w:rsidR="00753F14" w:rsidRPr="00F05FF9">
        <w:rPr>
          <w:lang w:val="fr-CH"/>
        </w:rPr>
        <w:t>étiquetage des produits chimiques (quelque 25 documents par série les années paires et 10 les années impaires) (2); ordre</w:t>
      </w:r>
      <w:r w:rsidR="0025201F">
        <w:rPr>
          <w:lang w:val="fr-CH"/>
        </w:rPr>
        <w:t>s</w:t>
      </w:r>
      <w:r w:rsidR="00753F14" w:rsidRPr="00F05FF9">
        <w:rPr>
          <w:lang w:val="fr-CH"/>
        </w:rPr>
        <w:t xml:space="preserve"> du jour provisoire</w:t>
      </w:r>
      <w:r w:rsidR="0025201F">
        <w:rPr>
          <w:lang w:val="fr-CH"/>
        </w:rPr>
        <w:t>s</w:t>
      </w:r>
      <w:r w:rsidR="00753F14" w:rsidRPr="00F05FF9">
        <w:rPr>
          <w:lang w:val="fr-CH"/>
        </w:rPr>
        <w:t xml:space="preserve"> annoté</w:t>
      </w:r>
      <w:r w:rsidR="0025201F">
        <w:rPr>
          <w:lang w:val="fr-CH"/>
        </w:rPr>
        <w:t>s</w:t>
      </w:r>
      <w:r w:rsidR="00753F14" w:rsidRPr="00F05FF9">
        <w:rPr>
          <w:lang w:val="fr-CH"/>
        </w:rPr>
        <w:t xml:space="preserve"> du Sous-Comité d</w:t>
      </w:r>
      <w:r w:rsidR="00B164F7" w:rsidRPr="00F05FF9">
        <w:rPr>
          <w:lang w:val="fr-CH"/>
        </w:rPr>
        <w:t>’</w:t>
      </w:r>
      <w:r w:rsidR="00B900F0">
        <w:rPr>
          <w:lang w:val="fr-CH"/>
        </w:rPr>
        <w:t>experts (4);</w:t>
      </w:r>
      <w:r w:rsidR="00753F14" w:rsidRPr="00F05FF9">
        <w:rPr>
          <w:lang w:val="fr-CH"/>
        </w:rPr>
        <w:t xml:space="preserve"> </w:t>
      </w:r>
    </w:p>
    <w:p w:rsidR="00753F14" w:rsidRPr="00F05FF9" w:rsidRDefault="0069227C" w:rsidP="00F80D89">
      <w:pPr>
        <w:pStyle w:val="SingleTxt"/>
        <w:spacing w:after="100"/>
        <w:ind w:left="2218" w:hanging="951"/>
        <w:rPr>
          <w:lang w:val="fr-CH"/>
        </w:rPr>
      </w:pPr>
      <w:r w:rsidRPr="00F05FF9">
        <w:rPr>
          <w:lang w:val="fr-CH"/>
        </w:rPr>
        <w:tab/>
      </w:r>
      <w:r w:rsidR="00753F14" w:rsidRPr="00F05FF9">
        <w:rPr>
          <w:lang w:val="fr-CH"/>
        </w:rPr>
        <w:t>v)</w:t>
      </w:r>
      <w:r w:rsidR="00753F14" w:rsidRPr="00F05FF9">
        <w:rPr>
          <w:lang w:val="fr-CH"/>
        </w:rPr>
        <w:tab/>
        <w:t>Forum mondial de l</w:t>
      </w:r>
      <w:r w:rsidR="00B164F7" w:rsidRPr="00F05FF9">
        <w:rPr>
          <w:lang w:val="fr-CH"/>
        </w:rPr>
        <w:t>’</w:t>
      </w:r>
      <w:r w:rsidR="00753F14" w:rsidRPr="00F05FF9">
        <w:rPr>
          <w:lang w:val="fr-CH"/>
        </w:rPr>
        <w:t>harmonisation des Règlements concernant les véhicules</w:t>
      </w:r>
      <w:r w:rsidR="00BF6259" w:rsidRPr="00F05FF9">
        <w:rPr>
          <w:lang w:val="fr-CH"/>
        </w:rPr>
        <w:t> :</w:t>
      </w:r>
      <w:r w:rsidR="00753F14" w:rsidRPr="00F05FF9">
        <w:rPr>
          <w:lang w:val="fr-CH"/>
        </w:rPr>
        <w:t xml:space="preserve"> </w:t>
      </w:r>
    </w:p>
    <w:p w:rsidR="00753F14" w:rsidRPr="00F05FF9" w:rsidRDefault="0069227C" w:rsidP="00F80D89">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2F44EE" w:rsidRPr="00F05FF9">
        <w:rPr>
          <w:lang w:val="fr-CH"/>
        </w:rPr>
        <w:t xml:space="preserve"> des organes et groupes de travail ci-après</w:t>
      </w:r>
      <w:r w:rsidR="00BF6259" w:rsidRPr="00F05FF9">
        <w:rPr>
          <w:lang w:val="fr-CH"/>
        </w:rPr>
        <w:t> :</w:t>
      </w:r>
      <w:r w:rsidR="00753F14" w:rsidRPr="00F05FF9">
        <w:rPr>
          <w:lang w:val="fr-CH"/>
        </w:rPr>
        <w:t xml:space="preserve"> Forum mondial de l</w:t>
      </w:r>
      <w:r w:rsidR="00B164F7" w:rsidRPr="00F05FF9">
        <w:rPr>
          <w:lang w:val="fr-CH"/>
        </w:rPr>
        <w:t>’</w:t>
      </w:r>
      <w:r w:rsidR="00753F14" w:rsidRPr="00F05FF9">
        <w:rPr>
          <w:lang w:val="fr-CH"/>
        </w:rPr>
        <w:t>harmonisation des Règlements concernant les véhicules (35); Groupe de travail du bruit (24); Groupe de travail en matière de roulement et de freinage (28), Groupe de travail des dispositions générales de sécurité (28); Groupe de travail de l</w:t>
      </w:r>
      <w:r w:rsidR="00B164F7" w:rsidRPr="00F05FF9">
        <w:rPr>
          <w:lang w:val="fr-CH"/>
        </w:rPr>
        <w:t>’</w:t>
      </w:r>
      <w:r w:rsidR="00753F14" w:rsidRPr="00F05FF9">
        <w:rPr>
          <w:lang w:val="fr-CH"/>
        </w:rPr>
        <w:t>éclairage et de la signalisation lumineuse (28); Groupe de travail de la sécurité passive (28); Groupe de travail de la pollution et de l</w:t>
      </w:r>
      <w:r w:rsidR="00B164F7" w:rsidRPr="00F05FF9">
        <w:rPr>
          <w:lang w:val="fr-CH"/>
        </w:rPr>
        <w:t>’</w:t>
      </w:r>
      <w:r w:rsidR="00753F14" w:rsidRPr="00F05FF9">
        <w:rPr>
          <w:lang w:val="fr-CH"/>
        </w:rPr>
        <w:t>énergie (28); Comité de gestion pour la coordination des travaux (12); Comité d</w:t>
      </w:r>
      <w:r w:rsidR="00B164F7" w:rsidRPr="00F05FF9">
        <w:rPr>
          <w:lang w:val="fr-CH"/>
        </w:rPr>
        <w:t>’</w:t>
      </w:r>
      <w:r w:rsidR="00753F14" w:rsidRPr="00F05FF9">
        <w:rPr>
          <w:lang w:val="fr-CH"/>
        </w:rPr>
        <w:t>administration de l</w:t>
      </w:r>
      <w:r w:rsidR="00B164F7" w:rsidRPr="00F05FF9">
        <w:rPr>
          <w:lang w:val="fr-CH"/>
        </w:rPr>
        <w:t>’</w:t>
      </w:r>
      <w:r w:rsidR="00753F14" w:rsidRPr="00F05FF9">
        <w:rPr>
          <w:lang w:val="fr-CH"/>
        </w:rPr>
        <w:t>Accord de 1958 (6); Comité d</w:t>
      </w:r>
      <w:r w:rsidR="00B164F7" w:rsidRPr="00F05FF9">
        <w:rPr>
          <w:lang w:val="fr-CH"/>
        </w:rPr>
        <w:t>’</w:t>
      </w:r>
      <w:r w:rsidR="00753F14" w:rsidRPr="00F05FF9">
        <w:rPr>
          <w:lang w:val="fr-CH"/>
        </w:rPr>
        <w:t>administration de l</w:t>
      </w:r>
      <w:r w:rsidR="00B164F7" w:rsidRPr="00F05FF9">
        <w:rPr>
          <w:lang w:val="fr-CH"/>
        </w:rPr>
        <w:t>’</w:t>
      </w:r>
      <w:r w:rsidR="00753F14" w:rsidRPr="00F05FF9">
        <w:rPr>
          <w:lang w:val="fr-CH"/>
        </w:rPr>
        <w:t>Accord de 1997 (2); Comité exécutif de l</w:t>
      </w:r>
      <w:r w:rsidR="00B164F7" w:rsidRPr="00F05FF9">
        <w:rPr>
          <w:lang w:val="fr-CH"/>
        </w:rPr>
        <w:t>’</w:t>
      </w:r>
      <w:r w:rsidR="00753F14" w:rsidRPr="00F05FF9">
        <w:rPr>
          <w:lang w:val="fr-CH"/>
        </w:rPr>
        <w:t xml:space="preserve">Accord de 1998 (6);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du Forum mondial, dont ceux du Comité de gestion pour la coordination des travaux et </w:t>
      </w:r>
      <w:r w:rsidR="002F44EE" w:rsidRPr="00F05FF9">
        <w:rPr>
          <w:lang w:val="fr-CH"/>
        </w:rPr>
        <w:t>ceux des C</w:t>
      </w:r>
      <w:r w:rsidR="00753F14" w:rsidRPr="00F05FF9">
        <w:rPr>
          <w:lang w:val="fr-CH"/>
        </w:rPr>
        <w:t>omités d</w:t>
      </w:r>
      <w:r w:rsidR="00B164F7" w:rsidRPr="00F05FF9">
        <w:rPr>
          <w:lang w:val="fr-CH"/>
        </w:rPr>
        <w:t>’</w:t>
      </w:r>
      <w:r w:rsidR="00753F14" w:rsidRPr="00F05FF9">
        <w:rPr>
          <w:lang w:val="fr-CH"/>
        </w:rPr>
        <w:t>administration des Accords de 1958 et 1997 et du Comité exécutif de l</w:t>
      </w:r>
      <w:r w:rsidR="00B164F7" w:rsidRPr="00F05FF9">
        <w:rPr>
          <w:lang w:val="fr-CH"/>
        </w:rPr>
        <w:t>’</w:t>
      </w:r>
      <w:r w:rsidR="00753F14" w:rsidRPr="00F05FF9">
        <w:rPr>
          <w:lang w:val="fr-CH"/>
        </w:rPr>
        <w:t>Accord de 1998 (6); rapports du Groupe de travail en matière de roulement et de freinage (4); rapports du Groupe de travail des dispositions générales de sécurité (4); rapports du Groupe de travail de l</w:t>
      </w:r>
      <w:r w:rsidR="00B164F7" w:rsidRPr="00F05FF9">
        <w:rPr>
          <w:lang w:val="fr-CH"/>
        </w:rPr>
        <w:t>’</w:t>
      </w:r>
      <w:r w:rsidR="00753F14" w:rsidRPr="00F05FF9">
        <w:rPr>
          <w:lang w:val="fr-CH"/>
        </w:rPr>
        <w:t>éclairage et de la signalisation lumineuse (4); rapports du Groupe de travail du bruit (4); rapports du Groupe de travail de la sécurité passive (4); rapports du Groupe de travail de la pollution et de l</w:t>
      </w:r>
      <w:r w:rsidR="00B164F7" w:rsidRPr="00F05FF9">
        <w:rPr>
          <w:lang w:val="fr-CH"/>
        </w:rPr>
        <w:t>’</w:t>
      </w:r>
      <w:r w:rsidR="00753F14" w:rsidRPr="00F05FF9">
        <w:rPr>
          <w:lang w:val="fr-CH"/>
        </w:rPr>
        <w:t xml:space="preserve">énergie (4); </w:t>
      </w:r>
      <w:r w:rsidR="002F44EE" w:rsidRPr="00F05FF9">
        <w:rPr>
          <w:lang w:val="fr-CH"/>
        </w:rPr>
        <w:t>R</w:t>
      </w:r>
      <w:r w:rsidR="00753F14" w:rsidRPr="00F05FF9">
        <w:rPr>
          <w:lang w:val="fr-CH"/>
        </w:rPr>
        <w:t xml:space="preserve">ésolution </w:t>
      </w:r>
      <w:r w:rsidR="002F44EE" w:rsidRPr="00F05FF9">
        <w:rPr>
          <w:lang w:val="fr-CH"/>
        </w:rPr>
        <w:t xml:space="preserve">d’ensemble </w:t>
      </w:r>
      <w:r w:rsidR="00753F14" w:rsidRPr="00F05FF9">
        <w:rPr>
          <w:lang w:val="fr-CH"/>
        </w:rPr>
        <w:t xml:space="preserve">sur la construction </w:t>
      </w:r>
      <w:r w:rsidR="002F44EE" w:rsidRPr="00F05FF9">
        <w:rPr>
          <w:lang w:val="fr-CH"/>
        </w:rPr>
        <w:t>des véhicules</w:t>
      </w:r>
      <w:r w:rsidR="00753F14" w:rsidRPr="00F05FF9">
        <w:rPr>
          <w:lang w:val="fr-CH"/>
        </w:rPr>
        <w:t xml:space="preserve"> (2); séries de documents sur les modifications apportées aux instruments juridiques sur la construction des véhicules automobiles (16 séries par an, soit quelque 640 documents par an au total) (32); rapports sur l</w:t>
      </w:r>
      <w:r w:rsidR="00B164F7" w:rsidRPr="00F05FF9">
        <w:rPr>
          <w:lang w:val="fr-CH"/>
        </w:rPr>
        <w:t>’</w:t>
      </w:r>
      <w:r w:rsidR="00753F14" w:rsidRPr="00F05FF9">
        <w:rPr>
          <w:lang w:val="fr-CH"/>
        </w:rPr>
        <w:t>état de l</w:t>
      </w:r>
      <w:r w:rsidR="00B164F7" w:rsidRPr="00F05FF9">
        <w:rPr>
          <w:lang w:val="fr-CH"/>
        </w:rPr>
        <w:t>’</w:t>
      </w:r>
      <w:r w:rsidR="00753F14" w:rsidRPr="00F05FF9">
        <w:rPr>
          <w:lang w:val="fr-CH"/>
        </w:rPr>
        <w:t>Accord de 1958 (2); rapports sur l</w:t>
      </w:r>
      <w:r w:rsidR="00B164F7" w:rsidRPr="00F05FF9">
        <w:rPr>
          <w:lang w:val="fr-CH"/>
        </w:rPr>
        <w:t>’</w:t>
      </w:r>
      <w:r w:rsidR="00753F14" w:rsidRPr="00F05FF9">
        <w:rPr>
          <w:lang w:val="fr-CH"/>
        </w:rPr>
        <w:t>état de l</w:t>
      </w:r>
      <w:r w:rsidR="00B164F7" w:rsidRPr="00F05FF9">
        <w:rPr>
          <w:lang w:val="fr-CH"/>
        </w:rPr>
        <w:t>’</w:t>
      </w:r>
      <w:r w:rsidR="00753F14" w:rsidRPr="00F05FF9">
        <w:rPr>
          <w:lang w:val="fr-CH"/>
        </w:rPr>
        <w:t>Accord de 1997 (2); rapports sur l</w:t>
      </w:r>
      <w:r w:rsidR="00B164F7" w:rsidRPr="00F05FF9">
        <w:rPr>
          <w:lang w:val="fr-CH"/>
        </w:rPr>
        <w:t>’</w:t>
      </w:r>
      <w:r w:rsidR="00753F14" w:rsidRPr="00F05FF9">
        <w:rPr>
          <w:lang w:val="fr-CH"/>
        </w:rPr>
        <w:t>état de l</w:t>
      </w:r>
      <w:r w:rsidR="00B164F7" w:rsidRPr="00F05FF9">
        <w:rPr>
          <w:lang w:val="fr-CH"/>
        </w:rPr>
        <w:t>’</w:t>
      </w:r>
      <w:r w:rsidR="00753F14" w:rsidRPr="00F05FF9">
        <w:rPr>
          <w:lang w:val="fr-CH"/>
        </w:rPr>
        <w:t>Accord de 1998 (2);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des sessions du Forum mondial, y compris l</w:t>
      </w:r>
      <w:r w:rsidR="00B164F7" w:rsidRPr="00F05FF9">
        <w:rPr>
          <w:lang w:val="fr-CH"/>
        </w:rPr>
        <w:t>’</w:t>
      </w:r>
      <w:r w:rsidR="00753F14" w:rsidRPr="00F05FF9">
        <w:rPr>
          <w:lang w:val="fr-CH"/>
        </w:rPr>
        <w:t xml:space="preserve">ordre du jour provisoire annoté du Comité de gestion pour la coordination des travaux et des </w:t>
      </w:r>
      <w:r w:rsidR="002F44EE" w:rsidRPr="00F05FF9">
        <w:rPr>
          <w:lang w:val="fr-CH"/>
        </w:rPr>
        <w:t>C</w:t>
      </w:r>
      <w:r w:rsidR="00753F14" w:rsidRPr="00F05FF9">
        <w:rPr>
          <w:lang w:val="fr-CH"/>
        </w:rPr>
        <w:t>omités d</w:t>
      </w:r>
      <w:r w:rsidR="00B164F7" w:rsidRPr="00F05FF9">
        <w:rPr>
          <w:lang w:val="fr-CH"/>
        </w:rPr>
        <w:t>’</w:t>
      </w:r>
      <w:r w:rsidR="00753F14" w:rsidRPr="00F05FF9">
        <w:rPr>
          <w:lang w:val="fr-CH"/>
        </w:rPr>
        <w:t>administration des Accords de 1958 et 1997 et du Comité exécutif de l</w:t>
      </w:r>
      <w:r w:rsidR="00B164F7" w:rsidRPr="00F05FF9">
        <w:rPr>
          <w:lang w:val="fr-CH"/>
        </w:rPr>
        <w:t>’</w:t>
      </w:r>
      <w:r w:rsidR="00753F14" w:rsidRPr="00F05FF9">
        <w:rPr>
          <w:lang w:val="fr-CH"/>
        </w:rPr>
        <w:t>Accord de 1998 (6);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Groupe de travail en matière de roulement et de freinage (4);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Groupe de travail des dispositions générales de sécurité (4);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Groupe de travail de l</w:t>
      </w:r>
      <w:r w:rsidR="00B164F7" w:rsidRPr="00F05FF9">
        <w:rPr>
          <w:lang w:val="fr-CH"/>
        </w:rPr>
        <w:t>’</w:t>
      </w:r>
      <w:r w:rsidR="00753F14" w:rsidRPr="00F05FF9">
        <w:rPr>
          <w:lang w:val="fr-CH"/>
        </w:rPr>
        <w:t>éclairage et de la signalisation lumineuse (4);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Groupe de travail du bruit (4);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Groupe de travail de la sécurité passive (4); ordre</w:t>
      </w:r>
      <w:r w:rsidR="002F44EE" w:rsidRPr="00F05FF9">
        <w:rPr>
          <w:lang w:val="fr-CH"/>
        </w:rPr>
        <w:t>s</w:t>
      </w:r>
      <w:r w:rsidR="00753F14" w:rsidRPr="00F05FF9">
        <w:rPr>
          <w:lang w:val="fr-CH"/>
        </w:rPr>
        <w:t xml:space="preserve"> du jour provisoire</w:t>
      </w:r>
      <w:r w:rsidR="002F44EE" w:rsidRPr="00F05FF9">
        <w:rPr>
          <w:lang w:val="fr-CH"/>
        </w:rPr>
        <w:t>s</w:t>
      </w:r>
      <w:r w:rsidR="00753F14" w:rsidRPr="00F05FF9">
        <w:rPr>
          <w:lang w:val="fr-CH"/>
        </w:rPr>
        <w:t xml:space="preserve"> annoté</w:t>
      </w:r>
      <w:r w:rsidR="002F44EE" w:rsidRPr="00F05FF9">
        <w:rPr>
          <w:lang w:val="fr-CH"/>
        </w:rPr>
        <w:t>s</w:t>
      </w:r>
      <w:r w:rsidR="00753F14" w:rsidRPr="00F05FF9">
        <w:rPr>
          <w:lang w:val="fr-CH"/>
        </w:rPr>
        <w:t xml:space="preserve"> du Groupe de travail de la pollution et de l</w:t>
      </w:r>
      <w:r w:rsidR="00B164F7" w:rsidRPr="00F05FF9">
        <w:rPr>
          <w:lang w:val="fr-CH"/>
        </w:rPr>
        <w:t>’</w:t>
      </w:r>
      <w:r w:rsidR="00753F14" w:rsidRPr="00F05FF9">
        <w:rPr>
          <w:lang w:val="fr-CH"/>
        </w:rPr>
        <w:t>énergie (4); documents pour le Forum mondial (4)</w:t>
      </w:r>
      <w:r w:rsidR="002F44EE" w:rsidRPr="00F05FF9">
        <w:rPr>
          <w:lang w:val="fr-CH"/>
        </w:rPr>
        <w:t>;</w:t>
      </w:r>
    </w:p>
    <w:p w:rsidR="00753F14" w:rsidRPr="00F05FF9" w:rsidRDefault="0069227C" w:rsidP="00F80D89">
      <w:pPr>
        <w:pStyle w:val="SingleTxt"/>
        <w:spacing w:after="100"/>
        <w:ind w:left="2218" w:hanging="951"/>
        <w:rPr>
          <w:lang w:val="fr-CH"/>
        </w:rPr>
      </w:pPr>
      <w:r w:rsidRPr="00F05FF9">
        <w:rPr>
          <w:lang w:val="fr-CH"/>
        </w:rPr>
        <w:tab/>
      </w:r>
      <w:r w:rsidR="00753F14" w:rsidRPr="00F05FF9">
        <w:rPr>
          <w:lang w:val="fr-CH"/>
        </w:rPr>
        <w:t>vi)</w:t>
      </w:r>
      <w:r w:rsidR="00753F14" w:rsidRPr="00F05FF9">
        <w:rPr>
          <w:lang w:val="fr-CH"/>
        </w:rPr>
        <w:tab/>
        <w:t>Groupe de travail du transport des denrées périssables</w:t>
      </w:r>
      <w:r w:rsidR="00BF6259" w:rsidRPr="00F05FF9">
        <w:rPr>
          <w:lang w:val="fr-CH"/>
        </w:rPr>
        <w:t> :</w:t>
      </w:r>
      <w:r w:rsidR="00753F14" w:rsidRPr="00F05FF9">
        <w:rPr>
          <w:lang w:val="fr-CH"/>
        </w:rPr>
        <w:t xml:space="preserve">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w:t>
      </w:r>
      <w:r w:rsidR="002F44EE" w:rsidRPr="00F05FF9">
        <w:rPr>
          <w:lang w:val="fr-CH"/>
        </w:rPr>
        <w:t xml:space="preserve">réunions du </w:t>
      </w:r>
      <w:r w:rsidR="00753F14" w:rsidRPr="00F05FF9">
        <w:rPr>
          <w:lang w:val="fr-CH"/>
        </w:rPr>
        <w:t xml:space="preserve">Groupe de travail du transport des denrées périssables (16); </w:t>
      </w:r>
    </w:p>
    <w:p w:rsidR="00753F14" w:rsidRPr="00F05FF9" w:rsidRDefault="0069227C" w:rsidP="00F80D89">
      <w:pPr>
        <w:pStyle w:val="SingleTxt"/>
        <w:spacing w:after="100"/>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annuelles du Groupe de travail (2); séries annuelles de documents sur les modifications et l</w:t>
      </w:r>
      <w:r w:rsidR="00B164F7" w:rsidRPr="00F05FF9">
        <w:rPr>
          <w:lang w:val="fr-CH"/>
        </w:rPr>
        <w:t>’</w:t>
      </w:r>
      <w:r w:rsidR="00753F14" w:rsidRPr="00F05FF9">
        <w:rPr>
          <w:lang w:val="fr-CH"/>
        </w:rPr>
        <w:t>application de l</w:t>
      </w:r>
      <w:r w:rsidR="00B164F7" w:rsidRPr="00F05FF9">
        <w:rPr>
          <w:lang w:val="fr-CH"/>
        </w:rPr>
        <w:t>’</w:t>
      </w:r>
      <w:r w:rsidR="00753F14" w:rsidRPr="00F05FF9">
        <w:rPr>
          <w:lang w:val="fr-CH"/>
        </w:rPr>
        <w:t>Accord relatif aux transports internationaux de denrées périssables et aux engins spéciaux à utiliser pour ces transports (quelque 40</w:t>
      </w:r>
      <w:r w:rsidR="00F80D89" w:rsidRPr="00F05FF9">
        <w:rPr>
          <w:lang w:val="fr-CH"/>
        </w:rPr>
        <w:t> </w:t>
      </w:r>
      <w:r w:rsidR="00753F14" w:rsidRPr="00F05FF9">
        <w:rPr>
          <w:lang w:val="fr-CH"/>
        </w:rPr>
        <w:t>documents par série les années paires et 70 les années impaires) (2); documents pour le Groupe de travail du transpo</w:t>
      </w:r>
      <w:r w:rsidR="002F44EE" w:rsidRPr="00F05FF9">
        <w:rPr>
          <w:lang w:val="fr-CH"/>
        </w:rPr>
        <w:t>rt des denrées périssables (6);</w:t>
      </w:r>
    </w:p>
    <w:p w:rsidR="00753F14" w:rsidRPr="00F05FF9" w:rsidRDefault="0069227C" w:rsidP="00F80D89">
      <w:pPr>
        <w:pStyle w:val="SingleTxt"/>
        <w:keepNext/>
        <w:keepLines/>
        <w:spacing w:after="100"/>
        <w:ind w:left="2217" w:hanging="950"/>
        <w:rPr>
          <w:lang w:val="fr-CH"/>
        </w:rPr>
      </w:pPr>
      <w:r w:rsidRPr="00F05FF9">
        <w:rPr>
          <w:lang w:val="fr-CH"/>
        </w:rPr>
        <w:tab/>
      </w:r>
      <w:r w:rsidR="00753F14" w:rsidRPr="00F05FF9">
        <w:rPr>
          <w:lang w:val="fr-CH"/>
        </w:rPr>
        <w:t>vii)</w:t>
      </w:r>
      <w:r w:rsidR="00753F14" w:rsidRPr="00F05FF9">
        <w:rPr>
          <w:lang w:val="fr-CH"/>
        </w:rPr>
        <w:tab/>
        <w:t>Groupe de travail des transports de marchandises dangereuses</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réunions du Groupe de travail d</w:t>
      </w:r>
      <w:r w:rsidR="002F44EE" w:rsidRPr="00F05FF9">
        <w:rPr>
          <w:lang w:val="fr-CH"/>
        </w:rPr>
        <w:t>es</w:t>
      </w:r>
      <w:r w:rsidR="00753F14" w:rsidRPr="00F05FF9">
        <w:rPr>
          <w:lang w:val="fr-CH"/>
        </w:rPr>
        <w:t xml:space="preserve"> transport</w:t>
      </w:r>
      <w:r w:rsidR="002F44EE" w:rsidRPr="00F05FF9">
        <w:rPr>
          <w:lang w:val="fr-CH"/>
        </w:rPr>
        <w:t>s</w:t>
      </w:r>
      <w:r w:rsidR="00753F14" w:rsidRPr="00F05FF9">
        <w:rPr>
          <w:lang w:val="fr-CH"/>
        </w:rPr>
        <w:t xml:space="preserve"> de marchandises dangereuses (40); réunions communes de la Commission d</w:t>
      </w:r>
      <w:r w:rsidR="002F44EE" w:rsidRPr="00F05FF9">
        <w:rPr>
          <w:lang w:val="fr-CH"/>
        </w:rPr>
        <w:t>’</w:t>
      </w:r>
      <w:r w:rsidR="00753F14" w:rsidRPr="00F05FF9">
        <w:rPr>
          <w:lang w:val="fr-CH"/>
        </w:rPr>
        <w:t>e</w:t>
      </w:r>
      <w:r w:rsidR="002F44EE" w:rsidRPr="00F05FF9">
        <w:rPr>
          <w:lang w:val="fr-CH"/>
        </w:rPr>
        <w:t>xperts</w:t>
      </w:r>
      <w:r w:rsidR="00753F14" w:rsidRPr="00F05FF9">
        <w:rPr>
          <w:lang w:val="fr-CH"/>
        </w:rPr>
        <w:t xml:space="preserve"> </w:t>
      </w:r>
      <w:r w:rsidR="002F44EE" w:rsidRPr="00F05FF9">
        <w:rPr>
          <w:lang w:val="fr-CH"/>
        </w:rPr>
        <w:t>du RID et du Groupe de travail des</w:t>
      </w:r>
      <w:r w:rsidR="00753F14" w:rsidRPr="00F05FF9">
        <w:rPr>
          <w:lang w:val="fr-CH"/>
        </w:rPr>
        <w:t xml:space="preserve"> transport</w:t>
      </w:r>
      <w:r w:rsidR="002F44EE" w:rsidRPr="00F05FF9">
        <w:rPr>
          <w:lang w:val="fr-CH"/>
        </w:rPr>
        <w:t>s de</w:t>
      </w:r>
      <w:r w:rsidR="00753F14" w:rsidRPr="00F05FF9">
        <w:rPr>
          <w:lang w:val="fr-CH"/>
        </w:rPr>
        <w:t xml:space="preserve"> marchandises dangereuses (48); réunions communes d</w:t>
      </w:r>
      <w:r w:rsidR="00B164F7" w:rsidRPr="00F05FF9">
        <w:rPr>
          <w:lang w:val="fr-CH"/>
        </w:rPr>
        <w:t>’</w:t>
      </w:r>
      <w:r w:rsidR="00753F14" w:rsidRPr="00F05FF9">
        <w:rPr>
          <w:lang w:val="fr-CH"/>
        </w:rPr>
        <w:t>experts sur le Règlement annexé à l</w:t>
      </w:r>
      <w:r w:rsidR="00B164F7" w:rsidRPr="00F05FF9">
        <w:rPr>
          <w:lang w:val="fr-CH"/>
        </w:rPr>
        <w:t>’</w:t>
      </w:r>
      <w:r w:rsidR="00753F14" w:rsidRPr="00F05FF9">
        <w:rPr>
          <w:lang w:val="fr-CH"/>
        </w:rPr>
        <w:t>Accord européen relatif au transport international des marchandises dangereuses par voies de navigation intérieures (ADN) (Comi</w:t>
      </w:r>
      <w:r w:rsidR="00E81AF3" w:rsidRPr="00F05FF9">
        <w:rPr>
          <w:lang w:val="fr-CH"/>
        </w:rPr>
        <w:t>té</w:t>
      </w:r>
      <w:r w:rsidR="00753F14" w:rsidRPr="00F05FF9">
        <w:rPr>
          <w:lang w:val="fr-CH"/>
        </w:rPr>
        <w:t xml:space="preserve"> de sécurité de l</w:t>
      </w:r>
      <w:r w:rsidR="00B164F7" w:rsidRPr="00F05FF9">
        <w:rPr>
          <w:lang w:val="fr-CH"/>
        </w:rPr>
        <w:t>’</w:t>
      </w:r>
      <w:r w:rsidR="00753F14" w:rsidRPr="00F05FF9">
        <w:rPr>
          <w:lang w:val="fr-CH"/>
        </w:rPr>
        <w:t>ADN) (36); réunions du Comité d</w:t>
      </w:r>
      <w:r w:rsidR="00B164F7" w:rsidRPr="00F05FF9">
        <w:rPr>
          <w:lang w:val="fr-CH"/>
        </w:rPr>
        <w:t>’</w:t>
      </w:r>
      <w:r w:rsidR="00753F14" w:rsidRPr="00F05FF9">
        <w:rPr>
          <w:lang w:val="fr-CH"/>
        </w:rPr>
        <w:t>administration de l</w:t>
      </w:r>
      <w:r w:rsidR="00B164F7" w:rsidRPr="00F05FF9">
        <w:rPr>
          <w:lang w:val="fr-CH"/>
        </w:rPr>
        <w:t>’</w:t>
      </w:r>
      <w:r w:rsidR="00753F14" w:rsidRPr="00F05FF9">
        <w:rPr>
          <w:lang w:val="fr-CH"/>
        </w:rPr>
        <w:t xml:space="preserve">ADN (4);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du Groupe de travail d</w:t>
      </w:r>
      <w:r w:rsidR="00E81AF3" w:rsidRPr="00F05FF9">
        <w:rPr>
          <w:lang w:val="fr-CH"/>
        </w:rPr>
        <w:t>es</w:t>
      </w:r>
      <w:r w:rsidR="00753F14" w:rsidRPr="00F05FF9">
        <w:rPr>
          <w:lang w:val="fr-CH"/>
        </w:rPr>
        <w:t xml:space="preserve"> transport</w:t>
      </w:r>
      <w:r w:rsidR="00E81AF3" w:rsidRPr="00F05FF9">
        <w:rPr>
          <w:lang w:val="fr-CH"/>
        </w:rPr>
        <w:t>s</w:t>
      </w:r>
      <w:r w:rsidR="00753F14" w:rsidRPr="00F05FF9">
        <w:rPr>
          <w:lang w:val="fr-CH"/>
        </w:rPr>
        <w:t xml:space="preserve"> de marchandises dangereuses (4); rapports sur les travaux des réunions communes de la Commission d</w:t>
      </w:r>
      <w:r w:rsidR="00E81AF3" w:rsidRPr="00F05FF9">
        <w:rPr>
          <w:lang w:val="fr-CH"/>
        </w:rPr>
        <w:t>’experts</w:t>
      </w:r>
      <w:r w:rsidR="00753F14" w:rsidRPr="00F05FF9">
        <w:rPr>
          <w:lang w:val="fr-CH"/>
        </w:rPr>
        <w:t xml:space="preserve"> du RID et du Groupe de travail d</w:t>
      </w:r>
      <w:r w:rsidR="00E81AF3" w:rsidRPr="00F05FF9">
        <w:rPr>
          <w:lang w:val="fr-CH"/>
        </w:rPr>
        <w:t>es</w:t>
      </w:r>
      <w:r w:rsidR="00753F14" w:rsidRPr="00F05FF9">
        <w:rPr>
          <w:lang w:val="fr-CH"/>
        </w:rPr>
        <w:t xml:space="preserve"> transport</w:t>
      </w:r>
      <w:r w:rsidR="00E81AF3" w:rsidRPr="00F05FF9">
        <w:rPr>
          <w:lang w:val="fr-CH"/>
        </w:rPr>
        <w:t>s de</w:t>
      </w:r>
      <w:r w:rsidR="00753F14" w:rsidRPr="00F05FF9">
        <w:rPr>
          <w:lang w:val="fr-CH"/>
        </w:rPr>
        <w:t xml:space="preserve"> marchandises dangereuses (4); rapports sur les travaux des réunions communes d</w:t>
      </w:r>
      <w:r w:rsidR="00B164F7" w:rsidRPr="00F05FF9">
        <w:rPr>
          <w:lang w:val="fr-CH"/>
        </w:rPr>
        <w:t>’</w:t>
      </w:r>
      <w:r w:rsidR="00753F14" w:rsidRPr="00F05FF9">
        <w:rPr>
          <w:lang w:val="fr-CH"/>
        </w:rPr>
        <w:t>experts sur le Règlement annexé à l</w:t>
      </w:r>
      <w:r w:rsidR="00B164F7" w:rsidRPr="00F05FF9">
        <w:rPr>
          <w:lang w:val="fr-CH"/>
        </w:rPr>
        <w:t>’</w:t>
      </w:r>
      <w:r w:rsidR="00753F14" w:rsidRPr="00F05FF9">
        <w:rPr>
          <w:lang w:val="fr-CH"/>
        </w:rPr>
        <w:t>ADN (4); rapports sur les travaux des sessions du Comité d</w:t>
      </w:r>
      <w:r w:rsidR="00B164F7" w:rsidRPr="00F05FF9">
        <w:rPr>
          <w:lang w:val="fr-CH"/>
        </w:rPr>
        <w:t>’</w:t>
      </w:r>
      <w:r w:rsidR="00753F14" w:rsidRPr="00F05FF9">
        <w:rPr>
          <w:lang w:val="fr-CH"/>
        </w:rPr>
        <w:t>administration de l</w:t>
      </w:r>
      <w:r w:rsidR="00B164F7" w:rsidRPr="00F05FF9">
        <w:rPr>
          <w:lang w:val="fr-CH"/>
        </w:rPr>
        <w:t>’</w:t>
      </w:r>
      <w:r w:rsidR="00753F14" w:rsidRPr="00F05FF9">
        <w:rPr>
          <w:lang w:val="fr-CH"/>
        </w:rPr>
        <w:t>ADN (4); séries de documents sur les modifications et l</w:t>
      </w:r>
      <w:r w:rsidR="00B164F7" w:rsidRPr="00F05FF9">
        <w:rPr>
          <w:lang w:val="fr-CH"/>
        </w:rPr>
        <w:t>’</w:t>
      </w:r>
      <w:r w:rsidR="00753F14" w:rsidRPr="00F05FF9">
        <w:rPr>
          <w:lang w:val="fr-CH"/>
        </w:rPr>
        <w:t>application de l</w:t>
      </w:r>
      <w:r w:rsidR="00B164F7" w:rsidRPr="00F05FF9">
        <w:rPr>
          <w:lang w:val="fr-CH"/>
        </w:rPr>
        <w:t>’</w:t>
      </w:r>
      <w:r w:rsidR="00753F14" w:rsidRPr="00F05FF9">
        <w:rPr>
          <w:lang w:val="fr-CH"/>
        </w:rPr>
        <w:t>Accord européen relatif au transport international des marchandises dangereuses par route (ADR), le Règlement concernant le transport international ferroviaire des marchandises dangereuses (RID) et l</w:t>
      </w:r>
      <w:r w:rsidR="00B164F7" w:rsidRPr="00F05FF9">
        <w:rPr>
          <w:lang w:val="fr-CH"/>
        </w:rPr>
        <w:t>’</w:t>
      </w:r>
      <w:r w:rsidR="00753F14" w:rsidRPr="00F05FF9">
        <w:rPr>
          <w:lang w:val="fr-CH"/>
        </w:rPr>
        <w:t xml:space="preserve">ADN (4 séries par an, soit quelque 155 documents par an au total) (8); liste des </w:t>
      </w:r>
      <w:r w:rsidR="00E81AF3" w:rsidRPr="00F05FF9">
        <w:rPr>
          <w:lang w:val="fr-CH"/>
        </w:rPr>
        <w:t>amendements</w:t>
      </w:r>
      <w:r w:rsidR="00753F14" w:rsidRPr="00F05FF9">
        <w:rPr>
          <w:lang w:val="fr-CH"/>
        </w:rPr>
        <w:t xml:space="preserve"> </w:t>
      </w:r>
      <w:r w:rsidR="00E81AF3" w:rsidRPr="00F05FF9">
        <w:rPr>
          <w:lang w:val="fr-CH"/>
        </w:rPr>
        <w:t xml:space="preserve">à </w:t>
      </w:r>
      <w:r w:rsidR="00753F14" w:rsidRPr="00F05FF9">
        <w:rPr>
          <w:lang w:val="fr-CH"/>
        </w:rPr>
        <w:t>l</w:t>
      </w:r>
      <w:r w:rsidR="00B164F7" w:rsidRPr="00F05FF9">
        <w:rPr>
          <w:lang w:val="fr-CH"/>
        </w:rPr>
        <w:t>’</w:t>
      </w:r>
      <w:r w:rsidR="00753F14" w:rsidRPr="00F05FF9">
        <w:rPr>
          <w:lang w:val="fr-CH"/>
        </w:rPr>
        <w:t xml:space="preserve">ADN (1); liste des </w:t>
      </w:r>
      <w:r w:rsidR="00E81AF3" w:rsidRPr="00F05FF9">
        <w:rPr>
          <w:lang w:val="fr-CH"/>
        </w:rPr>
        <w:t xml:space="preserve">amendements à </w:t>
      </w:r>
      <w:r w:rsidR="00753F14" w:rsidRPr="00F05FF9">
        <w:rPr>
          <w:lang w:val="fr-CH"/>
        </w:rPr>
        <w:t>l</w:t>
      </w:r>
      <w:r w:rsidR="00B164F7" w:rsidRPr="00F05FF9">
        <w:rPr>
          <w:lang w:val="fr-CH"/>
        </w:rPr>
        <w:t>’</w:t>
      </w:r>
      <w:r w:rsidR="00753F14" w:rsidRPr="00F05FF9">
        <w:rPr>
          <w:lang w:val="fr-CH"/>
        </w:rPr>
        <w:t>ADR (1); documents pour les sessions du Groupe de travail d</w:t>
      </w:r>
      <w:r w:rsidR="00E81AF3" w:rsidRPr="00F05FF9">
        <w:rPr>
          <w:lang w:val="fr-CH"/>
        </w:rPr>
        <w:t>es</w:t>
      </w:r>
      <w:r w:rsidR="00753F14" w:rsidRPr="00F05FF9">
        <w:rPr>
          <w:lang w:val="fr-CH"/>
        </w:rPr>
        <w:t xml:space="preserve"> transport</w:t>
      </w:r>
      <w:r w:rsidR="00E81AF3" w:rsidRPr="00F05FF9">
        <w:rPr>
          <w:lang w:val="fr-CH"/>
        </w:rPr>
        <w:t>s</w:t>
      </w:r>
      <w:r w:rsidR="00753F14" w:rsidRPr="00F05FF9">
        <w:rPr>
          <w:lang w:val="fr-CH"/>
        </w:rPr>
        <w:t xml:space="preserve"> de marchandises dangereuses (8); ordre</w:t>
      </w:r>
      <w:r w:rsidR="0025201F">
        <w:rPr>
          <w:lang w:val="fr-CH"/>
        </w:rPr>
        <w:t>s</w:t>
      </w:r>
      <w:r w:rsidR="00753F14" w:rsidRPr="00F05FF9">
        <w:rPr>
          <w:lang w:val="fr-CH"/>
        </w:rPr>
        <w:t xml:space="preserve"> du jour provisoire</w:t>
      </w:r>
      <w:r w:rsidR="0025201F">
        <w:rPr>
          <w:lang w:val="fr-CH"/>
        </w:rPr>
        <w:t>s</w:t>
      </w:r>
      <w:r w:rsidR="00753F14" w:rsidRPr="00F05FF9">
        <w:rPr>
          <w:lang w:val="fr-CH"/>
        </w:rPr>
        <w:t xml:space="preserve"> annoté</w:t>
      </w:r>
      <w:r w:rsidR="0025201F">
        <w:rPr>
          <w:lang w:val="fr-CH"/>
        </w:rPr>
        <w:t>s</w:t>
      </w:r>
      <w:r w:rsidR="00753F14" w:rsidRPr="00F05FF9">
        <w:rPr>
          <w:lang w:val="fr-CH"/>
        </w:rPr>
        <w:t xml:space="preserve"> des réunions communes d</w:t>
      </w:r>
      <w:r w:rsidR="00B164F7" w:rsidRPr="00F05FF9">
        <w:rPr>
          <w:lang w:val="fr-CH"/>
        </w:rPr>
        <w:t>’</w:t>
      </w:r>
      <w:r w:rsidR="00753F14" w:rsidRPr="00F05FF9">
        <w:rPr>
          <w:lang w:val="fr-CH"/>
        </w:rPr>
        <w:t>experts sur le Règlement annexé à l</w:t>
      </w:r>
      <w:r w:rsidR="00B164F7" w:rsidRPr="00F05FF9">
        <w:rPr>
          <w:lang w:val="fr-CH"/>
        </w:rPr>
        <w:t>’</w:t>
      </w:r>
      <w:r w:rsidR="00753F14" w:rsidRPr="00F05FF9">
        <w:rPr>
          <w:lang w:val="fr-CH"/>
        </w:rPr>
        <w:t>ADN (4); ordre</w:t>
      </w:r>
      <w:r w:rsidR="0025201F">
        <w:rPr>
          <w:lang w:val="fr-CH"/>
        </w:rPr>
        <w:t>s</w:t>
      </w:r>
      <w:r w:rsidR="00753F14" w:rsidRPr="00F05FF9">
        <w:rPr>
          <w:lang w:val="fr-CH"/>
        </w:rPr>
        <w:t xml:space="preserve"> du jour provisoire</w:t>
      </w:r>
      <w:r w:rsidR="0025201F">
        <w:rPr>
          <w:lang w:val="fr-CH"/>
        </w:rPr>
        <w:t>s</w:t>
      </w:r>
      <w:r w:rsidR="00753F14" w:rsidRPr="00F05FF9">
        <w:rPr>
          <w:lang w:val="fr-CH"/>
        </w:rPr>
        <w:t xml:space="preserve"> annoté</w:t>
      </w:r>
      <w:r w:rsidR="0025201F">
        <w:rPr>
          <w:lang w:val="fr-CH"/>
        </w:rPr>
        <w:t>s</w:t>
      </w:r>
      <w:r w:rsidR="00753F14" w:rsidRPr="00F05FF9">
        <w:rPr>
          <w:lang w:val="fr-CH"/>
        </w:rPr>
        <w:t xml:space="preserve"> des réunions communes de la Commission de sécurité du RID et du Groupe de travail d</w:t>
      </w:r>
      <w:r w:rsidR="00E81AF3" w:rsidRPr="00F05FF9">
        <w:rPr>
          <w:lang w:val="fr-CH"/>
        </w:rPr>
        <w:t>es</w:t>
      </w:r>
      <w:r w:rsidR="00753F14" w:rsidRPr="00F05FF9">
        <w:rPr>
          <w:lang w:val="fr-CH"/>
        </w:rPr>
        <w:t xml:space="preserve"> transport</w:t>
      </w:r>
      <w:r w:rsidR="00E81AF3" w:rsidRPr="00F05FF9">
        <w:rPr>
          <w:lang w:val="fr-CH"/>
        </w:rPr>
        <w:t>s</w:t>
      </w:r>
      <w:r w:rsidR="00753F14" w:rsidRPr="00F05FF9">
        <w:rPr>
          <w:lang w:val="fr-CH"/>
        </w:rPr>
        <w:t xml:space="preserve"> de marchandises dangereuses (4); ordre</w:t>
      </w:r>
      <w:r w:rsidR="0025201F">
        <w:rPr>
          <w:lang w:val="fr-CH"/>
        </w:rPr>
        <w:t>s</w:t>
      </w:r>
      <w:r w:rsidR="00753F14" w:rsidRPr="00F05FF9">
        <w:rPr>
          <w:lang w:val="fr-CH"/>
        </w:rPr>
        <w:t xml:space="preserve"> du jour provisoire</w:t>
      </w:r>
      <w:r w:rsidR="0025201F">
        <w:rPr>
          <w:lang w:val="fr-CH"/>
        </w:rPr>
        <w:t>s</w:t>
      </w:r>
      <w:r w:rsidR="00753F14" w:rsidRPr="00F05FF9">
        <w:rPr>
          <w:lang w:val="fr-CH"/>
        </w:rPr>
        <w:t xml:space="preserve"> annoté</w:t>
      </w:r>
      <w:r w:rsidR="0025201F">
        <w:rPr>
          <w:lang w:val="fr-CH"/>
        </w:rPr>
        <w:t>s</w:t>
      </w:r>
      <w:r w:rsidR="00753F14" w:rsidRPr="00F05FF9">
        <w:rPr>
          <w:lang w:val="fr-CH"/>
        </w:rPr>
        <w:t xml:space="preserve"> des sessions du Comité d</w:t>
      </w:r>
      <w:r w:rsidR="00B164F7" w:rsidRPr="00F05FF9">
        <w:rPr>
          <w:lang w:val="fr-CH"/>
        </w:rPr>
        <w:t>’</w:t>
      </w:r>
      <w:r w:rsidR="00753F14" w:rsidRPr="00F05FF9">
        <w:rPr>
          <w:lang w:val="fr-CH"/>
        </w:rPr>
        <w:t>administration de l</w:t>
      </w:r>
      <w:r w:rsidR="00B164F7" w:rsidRPr="00F05FF9">
        <w:rPr>
          <w:lang w:val="fr-CH"/>
        </w:rPr>
        <w:t>’</w:t>
      </w:r>
      <w:r w:rsidR="00753F14" w:rsidRPr="00F05FF9">
        <w:rPr>
          <w:lang w:val="fr-CH"/>
        </w:rPr>
        <w:t>ADN (4)</w:t>
      </w:r>
      <w:r w:rsidR="00E81AF3" w:rsidRPr="00F05FF9">
        <w:rPr>
          <w:lang w:val="fr-CH"/>
        </w:rPr>
        <w:t>;</w:t>
      </w:r>
      <w:r w:rsidR="00753F14" w:rsidRPr="00F05FF9">
        <w:rPr>
          <w:lang w:val="fr-CH"/>
        </w:rPr>
        <w:t xml:space="preserve"> </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viii)</w:t>
      </w:r>
      <w:r w:rsidR="00753F14" w:rsidRPr="00F05FF9">
        <w:rPr>
          <w:lang w:val="fr-CH"/>
        </w:rPr>
        <w:tab/>
        <w:t>Groupe de travail chargé d</w:t>
      </w:r>
      <w:r w:rsidR="00B164F7" w:rsidRPr="00F05FF9">
        <w:rPr>
          <w:lang w:val="fr-CH"/>
        </w:rPr>
        <w:t>’</w:t>
      </w:r>
      <w:r w:rsidR="00753F14" w:rsidRPr="00F05FF9">
        <w:rPr>
          <w:lang w:val="fr-CH"/>
        </w:rPr>
        <w:t>examiner les tendances et l</w:t>
      </w:r>
      <w:r w:rsidR="00B164F7" w:rsidRPr="00F05FF9">
        <w:rPr>
          <w:lang w:val="fr-CH"/>
        </w:rPr>
        <w:t>’</w:t>
      </w:r>
      <w:r w:rsidR="00753F14" w:rsidRPr="00F05FF9">
        <w:rPr>
          <w:lang w:val="fr-CH"/>
        </w:rPr>
        <w:t>économie des transports</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w:t>
      </w:r>
      <w:r w:rsidR="00E81AF3" w:rsidRPr="00F05FF9">
        <w:rPr>
          <w:lang w:val="fr-CH"/>
        </w:rPr>
        <w:t xml:space="preserve">réunions du </w:t>
      </w:r>
      <w:r w:rsidR="00753F14" w:rsidRPr="00F05FF9">
        <w:rPr>
          <w:lang w:val="fr-CH"/>
        </w:rPr>
        <w:t>Groupe de travail chargé d</w:t>
      </w:r>
      <w:r w:rsidR="00B164F7" w:rsidRPr="00F05FF9">
        <w:rPr>
          <w:lang w:val="fr-CH"/>
        </w:rPr>
        <w:t>’</w:t>
      </w:r>
      <w:r w:rsidR="00753F14" w:rsidRPr="00F05FF9">
        <w:rPr>
          <w:lang w:val="fr-CH"/>
        </w:rPr>
        <w:t>examiner les tendances et l</w:t>
      </w:r>
      <w:r w:rsidR="00B164F7" w:rsidRPr="00F05FF9">
        <w:rPr>
          <w:lang w:val="fr-CH"/>
        </w:rPr>
        <w:t>’</w:t>
      </w:r>
      <w:r w:rsidR="00753F14" w:rsidRPr="00F05FF9">
        <w:rPr>
          <w:lang w:val="fr-CH"/>
        </w:rPr>
        <w:t xml:space="preserve">économie des transports (12);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annuelles du Groupe de travail chargé d</w:t>
      </w:r>
      <w:r w:rsidR="00B164F7" w:rsidRPr="00F05FF9">
        <w:rPr>
          <w:lang w:val="fr-CH"/>
        </w:rPr>
        <w:t>’</w:t>
      </w:r>
      <w:r w:rsidR="00753F14" w:rsidRPr="00F05FF9">
        <w:rPr>
          <w:lang w:val="fr-CH"/>
        </w:rPr>
        <w:t>examiner les tendances et l</w:t>
      </w:r>
      <w:r w:rsidR="00B164F7" w:rsidRPr="00F05FF9">
        <w:rPr>
          <w:lang w:val="fr-CH"/>
        </w:rPr>
        <w:t>’</w:t>
      </w:r>
      <w:r w:rsidR="00753F14" w:rsidRPr="00F05FF9">
        <w:rPr>
          <w:lang w:val="fr-CH"/>
        </w:rPr>
        <w:t>économie des transports (2); documents pour le Groupe de travail (18)</w:t>
      </w:r>
      <w:r w:rsidR="00E81AF3" w:rsidRPr="00F05FF9">
        <w:rPr>
          <w:lang w:val="fr-CH"/>
        </w:rPr>
        <w:t>;</w:t>
      </w:r>
      <w:r w:rsidR="00753F14" w:rsidRPr="00F05FF9">
        <w:rPr>
          <w:lang w:val="fr-CH"/>
        </w:rPr>
        <w:t xml:space="preserve"> </w:t>
      </w:r>
    </w:p>
    <w:p w:rsidR="00753F14" w:rsidRPr="00F05FF9" w:rsidRDefault="0069227C" w:rsidP="00753F14">
      <w:pPr>
        <w:pStyle w:val="SingleTxt"/>
        <w:rPr>
          <w:lang w:val="fr-CH"/>
        </w:rPr>
      </w:pPr>
      <w:r w:rsidRPr="00F05FF9">
        <w:rPr>
          <w:lang w:val="fr-CH"/>
        </w:rPr>
        <w:tab/>
      </w:r>
      <w:r w:rsidR="00753F14" w:rsidRPr="00F05FF9">
        <w:rPr>
          <w:lang w:val="fr-CH"/>
        </w:rPr>
        <w:t>ix)</w:t>
      </w:r>
      <w:r w:rsidR="00753F14" w:rsidRPr="00F05FF9">
        <w:rPr>
          <w:lang w:val="fr-CH"/>
        </w:rPr>
        <w:tab/>
        <w:t>Groupe de travail des statistiques des transports</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w:t>
      </w:r>
      <w:r w:rsidR="000821B2" w:rsidRPr="00F05FF9">
        <w:rPr>
          <w:lang w:val="fr-CH"/>
        </w:rPr>
        <w:t xml:space="preserve">réunions du </w:t>
      </w:r>
      <w:r w:rsidR="00753F14" w:rsidRPr="00F05FF9">
        <w:rPr>
          <w:lang w:val="fr-CH"/>
        </w:rPr>
        <w:t xml:space="preserve">Groupe de travail des statistiques des transports (12);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du Groupe de travail (2); documents pour le Groupe de travail (26)</w:t>
      </w:r>
      <w:r w:rsidR="000821B2" w:rsidRPr="00F05FF9">
        <w:rPr>
          <w:lang w:val="fr-CH"/>
        </w:rPr>
        <w:t>;</w:t>
      </w:r>
    </w:p>
    <w:p w:rsidR="00753F14" w:rsidRPr="00F05FF9" w:rsidRDefault="0069227C" w:rsidP="00753F14">
      <w:pPr>
        <w:pStyle w:val="SingleTxt"/>
        <w:rPr>
          <w:lang w:val="fr-CH"/>
        </w:rPr>
      </w:pPr>
      <w:r w:rsidRPr="00F05FF9">
        <w:rPr>
          <w:lang w:val="fr-CH"/>
        </w:rPr>
        <w:tab/>
      </w:r>
      <w:r w:rsidR="00753F14" w:rsidRPr="00F05FF9">
        <w:rPr>
          <w:lang w:val="fr-CH"/>
        </w:rPr>
        <w:t>x)</w:t>
      </w:r>
      <w:r w:rsidR="00753F14" w:rsidRPr="00F05FF9">
        <w:rPr>
          <w:lang w:val="fr-CH"/>
        </w:rPr>
        <w:tab/>
        <w:t>Groupe de travail des transports routiers</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sessions annuelles du Groupe de travail des transports routiers (12); session</w:t>
      </w:r>
      <w:r w:rsidR="000821B2" w:rsidRPr="00F05FF9">
        <w:rPr>
          <w:lang w:val="fr-CH"/>
        </w:rPr>
        <w:t>s</w:t>
      </w:r>
      <w:r w:rsidR="00753F14" w:rsidRPr="00F05FF9">
        <w:rPr>
          <w:lang w:val="fr-CH"/>
        </w:rPr>
        <w:t xml:space="preserve"> extraordinaire</w:t>
      </w:r>
      <w:r w:rsidR="000821B2" w:rsidRPr="00F05FF9">
        <w:rPr>
          <w:lang w:val="fr-CH"/>
        </w:rPr>
        <w:t>s</w:t>
      </w:r>
      <w:r w:rsidR="00753F14" w:rsidRPr="00F05FF9">
        <w:rPr>
          <w:lang w:val="fr-CH"/>
        </w:rPr>
        <w:t xml:space="preserve"> du Groupe de travail des transports routiers (4);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du Groupe de travail (3); rapports sur les activités menées dans le cadre du projet d</w:t>
      </w:r>
      <w:r w:rsidR="00B164F7" w:rsidRPr="00F05FF9">
        <w:rPr>
          <w:lang w:val="fr-CH"/>
        </w:rPr>
        <w:t>’</w:t>
      </w:r>
      <w:r w:rsidR="00753F14" w:rsidRPr="00F05FF9">
        <w:rPr>
          <w:lang w:val="fr-CH"/>
        </w:rPr>
        <w:t>autoroute transeuropéenne (2); documents pour le Groupe de travail (7); documents sur les modifications de l</w:t>
      </w:r>
      <w:r w:rsidR="00B164F7" w:rsidRPr="00F05FF9">
        <w:rPr>
          <w:lang w:val="fr-CH"/>
        </w:rPr>
        <w:t>’</w:t>
      </w:r>
      <w:r w:rsidR="00753F14" w:rsidRPr="00F05FF9">
        <w:rPr>
          <w:lang w:val="fr-CH"/>
        </w:rPr>
        <w:t>Accord européen sur les grandes routes de trafic international (AGR) (2); documents sur les modifications de l</w:t>
      </w:r>
      <w:r w:rsidR="00B164F7" w:rsidRPr="00F05FF9">
        <w:rPr>
          <w:lang w:val="fr-CH"/>
        </w:rPr>
        <w:t>’</w:t>
      </w:r>
      <w:r w:rsidR="00753F14" w:rsidRPr="00F05FF9">
        <w:rPr>
          <w:lang w:val="fr-CH"/>
        </w:rPr>
        <w:t>Accord européen relatif au travail des équipages des véhicules effectuant des transports internationaux par route (AETR) (4); document</w:t>
      </w:r>
      <w:r w:rsidR="000821B2" w:rsidRPr="00F05FF9">
        <w:rPr>
          <w:lang w:val="fr-CH"/>
        </w:rPr>
        <w:t>s</w:t>
      </w:r>
      <w:r w:rsidR="00753F14" w:rsidRPr="00F05FF9">
        <w:rPr>
          <w:lang w:val="fr-CH"/>
        </w:rPr>
        <w:t xml:space="preserve"> sur l</w:t>
      </w:r>
      <w:r w:rsidR="00B164F7" w:rsidRPr="00F05FF9">
        <w:rPr>
          <w:lang w:val="fr-CH"/>
        </w:rPr>
        <w:t>’</w:t>
      </w:r>
      <w:r w:rsidR="00753F14" w:rsidRPr="00F05FF9">
        <w:rPr>
          <w:lang w:val="fr-CH"/>
        </w:rPr>
        <w:t>application de l</w:t>
      </w:r>
      <w:r w:rsidR="00B164F7" w:rsidRPr="00F05FF9">
        <w:rPr>
          <w:lang w:val="fr-CH"/>
        </w:rPr>
        <w:t>’</w:t>
      </w:r>
      <w:r w:rsidR="00753F14" w:rsidRPr="00F05FF9">
        <w:rPr>
          <w:lang w:val="fr-CH"/>
        </w:rPr>
        <w:t>AETR (2); projet d</w:t>
      </w:r>
      <w:r w:rsidR="00B164F7" w:rsidRPr="00F05FF9">
        <w:rPr>
          <w:lang w:val="fr-CH"/>
        </w:rPr>
        <w:t>’</w:t>
      </w:r>
      <w:r w:rsidR="00753F14" w:rsidRPr="00F05FF9">
        <w:rPr>
          <w:lang w:val="fr-CH"/>
        </w:rPr>
        <w:t xml:space="preserve">accord multilatéral mondial relatif au transport régulier international de voyageurs par autobus et autocar (OmniBUS) (2); documents sur le transport international routier de marchandises (2). </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xi)</w:t>
      </w:r>
      <w:r w:rsidR="00753F14" w:rsidRPr="00F05FF9">
        <w:rPr>
          <w:lang w:val="fr-CH"/>
        </w:rPr>
        <w:tab/>
        <w:t>Groupe de travail de la sécurité et de la circulation routières</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w:t>
      </w:r>
      <w:r w:rsidR="000821B2" w:rsidRPr="00F05FF9">
        <w:rPr>
          <w:lang w:val="fr-CH"/>
        </w:rPr>
        <w:t xml:space="preserve">réunions du </w:t>
      </w:r>
      <w:r w:rsidR="00753F14" w:rsidRPr="00F05FF9">
        <w:rPr>
          <w:lang w:val="fr-CH"/>
        </w:rPr>
        <w:t xml:space="preserve">Groupe de travail de la sécurité et de la circulation routières (28);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du Groupe de travail (4); document sur l</w:t>
      </w:r>
      <w:r w:rsidR="00B164F7" w:rsidRPr="00F05FF9">
        <w:rPr>
          <w:lang w:val="fr-CH"/>
        </w:rPr>
        <w:t>’</w:t>
      </w:r>
      <w:r w:rsidR="00753F14" w:rsidRPr="00F05FF9">
        <w:rPr>
          <w:lang w:val="fr-CH"/>
        </w:rPr>
        <w:t>application des Conventions de 1968 sur la circulation routière et sur la signalisation routière (1); documents sur les modifications des Conventions de 1968 (4); documents sur les règles nationales en matière de sécurité routière (2); documents sur la révision des résolutions d</w:t>
      </w:r>
      <w:r w:rsidR="00B164F7" w:rsidRPr="00F05FF9">
        <w:rPr>
          <w:lang w:val="fr-CH"/>
        </w:rPr>
        <w:t>’</w:t>
      </w:r>
      <w:r w:rsidR="00753F14" w:rsidRPr="00F05FF9">
        <w:rPr>
          <w:lang w:val="fr-CH"/>
        </w:rPr>
        <w:t>ensemble sur la circulation routière et sur la signalisation routière (2); enquêtes multidisciplinaires sur les accidents de la route (2); documents sur la Décennie d</w:t>
      </w:r>
      <w:r w:rsidR="00B164F7" w:rsidRPr="00F05FF9">
        <w:rPr>
          <w:lang w:val="fr-CH"/>
        </w:rPr>
        <w:t>’</w:t>
      </w:r>
      <w:r w:rsidR="00753F14" w:rsidRPr="00F05FF9">
        <w:rPr>
          <w:lang w:val="fr-CH"/>
        </w:rPr>
        <w:t>action pour la sécurité routière (2); document</w:t>
      </w:r>
      <w:r w:rsidR="000821B2" w:rsidRPr="00F05FF9">
        <w:rPr>
          <w:lang w:val="fr-CH"/>
        </w:rPr>
        <w:t>s pour le Groupe de travail (8);</w:t>
      </w:r>
      <w:r w:rsidR="00753F14" w:rsidRPr="00F05FF9">
        <w:rPr>
          <w:lang w:val="fr-CH"/>
        </w:rPr>
        <w:t xml:space="preserve"> </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xii)</w:t>
      </w:r>
      <w:r w:rsidR="00753F14" w:rsidRPr="00F05FF9">
        <w:rPr>
          <w:lang w:val="fr-CH"/>
        </w:rPr>
        <w:tab/>
        <w:t>Groupe de travail des transports par chemin de fer</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w:t>
      </w:r>
      <w:r w:rsidR="000821B2" w:rsidRPr="00F05FF9">
        <w:rPr>
          <w:lang w:val="fr-CH"/>
        </w:rPr>
        <w:t xml:space="preserve">réunions du </w:t>
      </w:r>
      <w:r w:rsidR="00753F14" w:rsidRPr="00F05FF9">
        <w:rPr>
          <w:lang w:val="fr-CH"/>
        </w:rPr>
        <w:t xml:space="preserve">Groupe de travail des transports par chemin de fer (12);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annuelles du Groupe de travail (2); documents pour le Groupe de travail (18); rapports sur les activités menées dans le cadre du projet </w:t>
      </w:r>
      <w:r w:rsidR="000821B2" w:rsidRPr="00F05FF9">
        <w:rPr>
          <w:lang w:val="fr-CH"/>
        </w:rPr>
        <w:t>de c</w:t>
      </w:r>
      <w:r w:rsidR="00753F14" w:rsidRPr="00F05FF9">
        <w:rPr>
          <w:lang w:val="fr-CH"/>
        </w:rPr>
        <w:t>hemin de fer transeuropéen (TER) (2); documents sur les modifications de l</w:t>
      </w:r>
      <w:r w:rsidR="00B164F7" w:rsidRPr="00F05FF9">
        <w:rPr>
          <w:lang w:val="fr-CH"/>
        </w:rPr>
        <w:t>’</w:t>
      </w:r>
      <w:r w:rsidR="00753F14" w:rsidRPr="00F05FF9">
        <w:rPr>
          <w:lang w:val="fr-CH"/>
        </w:rPr>
        <w:t>Accord européen sur les grandes lignes internationales de chemin de fer (AGC) (2); documents sur la productivité en matière</w:t>
      </w:r>
      <w:r w:rsidR="000821B2" w:rsidRPr="00F05FF9">
        <w:rPr>
          <w:lang w:val="fr-CH"/>
        </w:rPr>
        <w:t xml:space="preserve"> de transports ferroviaires (2);</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xiii)</w:t>
      </w:r>
      <w:r w:rsidR="00753F14" w:rsidRPr="00F05FF9">
        <w:rPr>
          <w:lang w:val="fr-CH"/>
        </w:rPr>
        <w:tab/>
        <w:t>Groupe de travail du transport intermodal et de la logistique</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w:t>
      </w:r>
      <w:r w:rsidR="000821B2" w:rsidRPr="00F05FF9">
        <w:rPr>
          <w:lang w:val="fr-CH"/>
        </w:rPr>
        <w:t xml:space="preserve">réunions du </w:t>
      </w:r>
      <w:r w:rsidR="00753F14" w:rsidRPr="00F05FF9">
        <w:rPr>
          <w:lang w:val="fr-CH"/>
        </w:rPr>
        <w:t xml:space="preserve">Groupe de travail du transport intermodal et de la logistique (12);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du Groupe de travail (2); documents pour le Groupe de travail (16); documents sur les modifications de l</w:t>
      </w:r>
      <w:r w:rsidR="00B164F7" w:rsidRPr="00F05FF9">
        <w:rPr>
          <w:lang w:val="fr-CH"/>
        </w:rPr>
        <w:t>’</w:t>
      </w:r>
      <w:r w:rsidR="00753F14" w:rsidRPr="00F05FF9">
        <w:rPr>
          <w:lang w:val="fr-CH"/>
        </w:rPr>
        <w:t>Accord européen sur les grandes lignes de transport international combiné et les inst</w:t>
      </w:r>
      <w:r w:rsidR="000821B2" w:rsidRPr="00F05FF9">
        <w:rPr>
          <w:lang w:val="fr-CH"/>
        </w:rPr>
        <w:t xml:space="preserve">allations connexes (AGTC) (2); </w:t>
      </w:r>
      <w:r w:rsidR="00753F14" w:rsidRPr="00F05FF9">
        <w:rPr>
          <w:lang w:val="fr-CH"/>
        </w:rPr>
        <w:t>documents sur l</w:t>
      </w:r>
      <w:r w:rsidR="00B164F7" w:rsidRPr="00F05FF9">
        <w:rPr>
          <w:lang w:val="fr-CH"/>
        </w:rPr>
        <w:t>’</w:t>
      </w:r>
      <w:r w:rsidR="00753F14" w:rsidRPr="00F05FF9">
        <w:rPr>
          <w:lang w:val="fr-CH"/>
        </w:rPr>
        <w:t>évolution du transport intermodal (4)</w:t>
      </w:r>
      <w:r w:rsidR="000821B2" w:rsidRPr="00F05FF9">
        <w:rPr>
          <w:lang w:val="fr-CH"/>
        </w:rPr>
        <w:t>;</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xiv)</w:t>
      </w:r>
      <w:r w:rsidR="00753F14" w:rsidRPr="00F05FF9">
        <w:rPr>
          <w:lang w:val="fr-CH"/>
        </w:rPr>
        <w:tab/>
        <w:t>Groupe de travail des transports par voie navigable</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réunions du Groupe de travail des transports par voie navigable (12); réunions du Groupe de travail de l</w:t>
      </w:r>
      <w:r w:rsidR="00B164F7" w:rsidRPr="00F05FF9">
        <w:rPr>
          <w:lang w:val="fr-CH"/>
        </w:rPr>
        <w:t>’</w:t>
      </w:r>
      <w:r w:rsidR="00753F14" w:rsidRPr="00F05FF9">
        <w:rPr>
          <w:lang w:val="fr-CH"/>
        </w:rPr>
        <w:t xml:space="preserve">unification des prescriptions techniques et de sécurité en navigation intérieure (24);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rapports sur les travaux des sessions annuelles du Groupe de travail des transports par voie navigable (2); rapports du Groupe de travail de l</w:t>
      </w:r>
      <w:r w:rsidR="00B164F7" w:rsidRPr="00F05FF9">
        <w:rPr>
          <w:lang w:val="fr-CH"/>
        </w:rPr>
        <w:t>’</w:t>
      </w:r>
      <w:r w:rsidR="00753F14" w:rsidRPr="00F05FF9">
        <w:rPr>
          <w:lang w:val="fr-CH"/>
        </w:rPr>
        <w:t>unification des prescriptions techniques et de sécurité en navigation intérieure (4); documents sur les modifications de l</w:t>
      </w:r>
      <w:r w:rsidR="00B164F7" w:rsidRPr="00F05FF9">
        <w:rPr>
          <w:lang w:val="fr-CH"/>
        </w:rPr>
        <w:t>’</w:t>
      </w:r>
      <w:r w:rsidR="00753F14" w:rsidRPr="00F05FF9">
        <w:rPr>
          <w:lang w:val="fr-CH"/>
        </w:rPr>
        <w:t>Accord européen sur les grandes voies navigables d</w:t>
      </w:r>
      <w:r w:rsidR="00B164F7" w:rsidRPr="00F05FF9">
        <w:rPr>
          <w:lang w:val="fr-CH"/>
        </w:rPr>
        <w:t>’</w:t>
      </w:r>
      <w:r w:rsidR="00753F14" w:rsidRPr="00F05FF9">
        <w:rPr>
          <w:lang w:val="fr-CH"/>
        </w:rPr>
        <w:t>importance internationale (AGN) (2); documents pour le Groupe de travail des transports par voie navigable (38); documents pour le Groupe de travail de l</w:t>
      </w:r>
      <w:r w:rsidR="00B164F7" w:rsidRPr="00F05FF9">
        <w:rPr>
          <w:lang w:val="fr-CH"/>
        </w:rPr>
        <w:t>’</w:t>
      </w:r>
      <w:r w:rsidR="00753F14" w:rsidRPr="00F05FF9">
        <w:rPr>
          <w:lang w:val="fr-CH"/>
        </w:rPr>
        <w:t>unification des prescriptions techniques et de sécurité</w:t>
      </w:r>
      <w:r w:rsidR="000821B2" w:rsidRPr="00F05FF9">
        <w:rPr>
          <w:lang w:val="fr-CH"/>
        </w:rPr>
        <w:t xml:space="preserve"> en navigation intérieure (34);</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xv)</w:t>
      </w:r>
      <w:r w:rsidR="00753F14" w:rsidRPr="00F05FF9">
        <w:rPr>
          <w:lang w:val="fr-CH"/>
        </w:rPr>
        <w:tab/>
        <w:t>Groupe de travail des problèmes douaniers intéressant les transports</w:t>
      </w:r>
      <w:r w:rsidR="00BF6259" w:rsidRPr="00F05FF9">
        <w:rPr>
          <w:lang w:val="fr-CH"/>
        </w:rPr>
        <w:t> :</w:t>
      </w:r>
      <w:r w:rsidR="00753F14" w:rsidRPr="00F05FF9">
        <w:rPr>
          <w:lang w:val="fr-CH"/>
        </w:rPr>
        <w:t xml:space="preserve">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réunions du Groupe de travail des problèmes douaniers intéressant les transports (36); réunions du Comité de gestion de la Convention TIR (8); réunions de la Commission de contrôle TIR (28); réunions du Groupe d</w:t>
      </w:r>
      <w:r w:rsidR="00B164F7" w:rsidRPr="00F05FF9">
        <w:rPr>
          <w:lang w:val="fr-CH"/>
        </w:rPr>
        <w:t>’</w:t>
      </w:r>
      <w:r w:rsidR="00753F14" w:rsidRPr="00F05FF9">
        <w:rPr>
          <w:lang w:val="fr-CH"/>
        </w:rPr>
        <w:t>experts des aspects juridiques de l</w:t>
      </w:r>
      <w:r w:rsidR="00B164F7" w:rsidRPr="00F05FF9">
        <w:rPr>
          <w:lang w:val="fr-CH"/>
        </w:rPr>
        <w:t>’</w:t>
      </w:r>
      <w:r w:rsidR="00753F14" w:rsidRPr="00F05FF9">
        <w:rPr>
          <w:lang w:val="fr-CH"/>
        </w:rPr>
        <w:t xml:space="preserve">informatisation du régime TIR (16);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xml:space="preserve"> : </w:t>
      </w:r>
      <w:r w:rsidR="00753F14" w:rsidRPr="00F05FF9">
        <w:rPr>
          <w:lang w:val="fr-CH"/>
        </w:rPr>
        <w:t>documents sur l</w:t>
      </w:r>
      <w:r w:rsidR="00B164F7" w:rsidRPr="00F05FF9">
        <w:rPr>
          <w:lang w:val="fr-CH"/>
        </w:rPr>
        <w:t>’</w:t>
      </w:r>
      <w:r w:rsidR="00753F14" w:rsidRPr="00F05FF9">
        <w:rPr>
          <w:lang w:val="fr-CH"/>
        </w:rPr>
        <w:t>application de la Convention TIR (40); documents sur l</w:t>
      </w:r>
      <w:r w:rsidR="00B164F7" w:rsidRPr="00F05FF9">
        <w:rPr>
          <w:lang w:val="fr-CH"/>
        </w:rPr>
        <w:t>’</w:t>
      </w:r>
      <w:r w:rsidR="00753F14" w:rsidRPr="00F05FF9">
        <w:rPr>
          <w:lang w:val="fr-CH"/>
        </w:rPr>
        <w:t>application de la Convention internationale sur l</w:t>
      </w:r>
      <w:r w:rsidR="00B164F7" w:rsidRPr="00F05FF9">
        <w:rPr>
          <w:lang w:val="fr-CH"/>
        </w:rPr>
        <w:t>’</w:t>
      </w:r>
      <w:r w:rsidR="00753F14" w:rsidRPr="00F05FF9">
        <w:rPr>
          <w:lang w:val="fr-CH"/>
        </w:rPr>
        <w:t>harmonisation des contrôles des marchandises aux frontières (8); documents sur l</w:t>
      </w:r>
      <w:r w:rsidR="00B164F7" w:rsidRPr="00F05FF9">
        <w:rPr>
          <w:lang w:val="fr-CH"/>
        </w:rPr>
        <w:t>’</w:t>
      </w:r>
      <w:r w:rsidR="00753F14" w:rsidRPr="00F05FF9">
        <w:rPr>
          <w:lang w:val="fr-CH"/>
        </w:rPr>
        <w:t xml:space="preserve">informatisation du régime TIR (10); documents pour le Groupe de travail </w:t>
      </w:r>
      <w:r w:rsidR="000821B2" w:rsidRPr="00F05FF9">
        <w:rPr>
          <w:lang w:val="fr-CH"/>
        </w:rPr>
        <w:t xml:space="preserve">des problèmes </w:t>
      </w:r>
      <w:r w:rsidR="00753F14" w:rsidRPr="00F05FF9">
        <w:rPr>
          <w:lang w:val="fr-CH"/>
        </w:rPr>
        <w:t>douani</w:t>
      </w:r>
      <w:r w:rsidR="000821B2" w:rsidRPr="00F05FF9">
        <w:rPr>
          <w:lang w:val="fr-CH"/>
        </w:rPr>
        <w:t>e</w:t>
      </w:r>
      <w:r w:rsidR="00753F14" w:rsidRPr="00F05FF9">
        <w:rPr>
          <w:lang w:val="fr-CH"/>
        </w:rPr>
        <w:t xml:space="preserve">rs intéressant les transports (10); rapports sur les travaux des sessions du Groupe de travail </w:t>
      </w:r>
      <w:r w:rsidR="0025201F">
        <w:rPr>
          <w:lang w:val="fr-CH"/>
        </w:rPr>
        <w:t>d</w:t>
      </w:r>
      <w:r w:rsidR="00753F14" w:rsidRPr="00F05FF9">
        <w:rPr>
          <w:lang w:val="fr-CH"/>
        </w:rPr>
        <w:t xml:space="preserve">es </w:t>
      </w:r>
      <w:r w:rsidR="000821B2" w:rsidRPr="00F05FF9">
        <w:rPr>
          <w:lang w:val="fr-CH"/>
        </w:rPr>
        <w:t xml:space="preserve">problèmes </w:t>
      </w:r>
      <w:r w:rsidR="00753F14" w:rsidRPr="00F05FF9">
        <w:rPr>
          <w:lang w:val="fr-CH"/>
        </w:rPr>
        <w:t>douani</w:t>
      </w:r>
      <w:r w:rsidR="000821B2" w:rsidRPr="00F05FF9">
        <w:rPr>
          <w:lang w:val="fr-CH"/>
        </w:rPr>
        <w:t>e</w:t>
      </w:r>
      <w:r w:rsidR="00753F14" w:rsidRPr="00F05FF9">
        <w:rPr>
          <w:lang w:val="fr-CH"/>
        </w:rPr>
        <w:t>rs intéressant les transports (6); documents pour le Comité de gestion de la Convention TIR (8); rapports du Comité de gestion de la Convention TIR (4); rapports sur les travaux des réunions de la Commission de contrôle TIR (6); rapports du Groupe d</w:t>
      </w:r>
      <w:r w:rsidR="00B164F7" w:rsidRPr="00F05FF9">
        <w:rPr>
          <w:lang w:val="fr-CH"/>
        </w:rPr>
        <w:t>’</w:t>
      </w:r>
      <w:r w:rsidR="00753F14" w:rsidRPr="00F05FF9">
        <w:rPr>
          <w:lang w:val="fr-CH"/>
        </w:rPr>
        <w:t xml:space="preserve">experts </w:t>
      </w:r>
      <w:r w:rsidR="000821B2" w:rsidRPr="00F05FF9">
        <w:rPr>
          <w:lang w:val="fr-CH"/>
        </w:rPr>
        <w:t>d</w:t>
      </w:r>
      <w:r w:rsidR="00753F14" w:rsidRPr="00F05FF9">
        <w:rPr>
          <w:lang w:val="fr-CH"/>
        </w:rPr>
        <w:t>es aspects juridiques de l</w:t>
      </w:r>
      <w:r w:rsidR="00B164F7" w:rsidRPr="00F05FF9">
        <w:rPr>
          <w:lang w:val="fr-CH"/>
        </w:rPr>
        <w:t>’</w:t>
      </w:r>
      <w:r w:rsidR="00753F14" w:rsidRPr="00F05FF9">
        <w:rPr>
          <w:lang w:val="fr-CH"/>
        </w:rPr>
        <w:t>informatisation du régime TIR (4); documents sur l</w:t>
      </w:r>
      <w:r w:rsidR="00B164F7" w:rsidRPr="00F05FF9">
        <w:rPr>
          <w:lang w:val="fr-CH"/>
        </w:rPr>
        <w:t>’</w:t>
      </w:r>
      <w:r w:rsidR="00753F14" w:rsidRPr="00F05FF9">
        <w:rPr>
          <w:lang w:val="fr-CH"/>
        </w:rPr>
        <w:t>application d</w:t>
      </w:r>
      <w:r w:rsidR="00B164F7" w:rsidRPr="00F05FF9">
        <w:rPr>
          <w:lang w:val="fr-CH"/>
        </w:rPr>
        <w:t>’</w:t>
      </w:r>
      <w:r w:rsidR="00753F14" w:rsidRPr="00F05FF9">
        <w:rPr>
          <w:lang w:val="fr-CH"/>
        </w:rPr>
        <w:t>autres conventions relatives à la facilitation du fra</w:t>
      </w:r>
      <w:r w:rsidR="000821B2" w:rsidRPr="00F05FF9">
        <w:rPr>
          <w:lang w:val="fr-CH"/>
        </w:rPr>
        <w:t>nchissement des frontières (2);</w:t>
      </w:r>
    </w:p>
    <w:p w:rsidR="00753F14" w:rsidRPr="00F05FF9" w:rsidRDefault="0069227C" w:rsidP="0069227C">
      <w:pPr>
        <w:pStyle w:val="SingleTxt"/>
        <w:ind w:left="2218" w:hanging="951"/>
        <w:rPr>
          <w:lang w:val="fr-CH"/>
        </w:rPr>
      </w:pPr>
      <w:r w:rsidRPr="00F05FF9">
        <w:rPr>
          <w:lang w:val="fr-CH"/>
        </w:rPr>
        <w:tab/>
      </w:r>
      <w:r w:rsidR="00753F14" w:rsidRPr="00F05FF9">
        <w:rPr>
          <w:lang w:val="fr-CH"/>
        </w:rPr>
        <w:t>xvi)</w:t>
      </w:r>
      <w:r w:rsidR="00753F14" w:rsidRPr="00F05FF9">
        <w:rPr>
          <w:lang w:val="fr-CH"/>
        </w:rPr>
        <w:tab/>
        <w:t>Comité directeur du Programme paneuropéen sur les transports, la santé et l</w:t>
      </w:r>
      <w:r w:rsidR="00B164F7" w:rsidRPr="00F05FF9">
        <w:rPr>
          <w:lang w:val="fr-CH"/>
        </w:rPr>
        <w:t>’</w:t>
      </w:r>
      <w:r w:rsidR="00753F14" w:rsidRPr="00F05FF9">
        <w:rPr>
          <w:lang w:val="fr-CH"/>
        </w:rPr>
        <w:t>environnement</w:t>
      </w:r>
      <w:r w:rsidR="00B900F0">
        <w:rPr>
          <w:lang w:val="fr-CH"/>
        </w:rPr>
        <w:t>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a.</w:t>
      </w:r>
      <w:r w:rsidR="00753F14" w:rsidRPr="00F05FF9">
        <w:rPr>
          <w:lang w:val="fr-CH"/>
        </w:rPr>
        <w:tab/>
        <w:t>Services fonctionnels pour les réunions</w:t>
      </w:r>
      <w:r w:rsidR="00BF6259" w:rsidRPr="00F05FF9">
        <w:rPr>
          <w:lang w:val="fr-CH"/>
        </w:rPr>
        <w:t> :</w:t>
      </w:r>
      <w:r w:rsidR="00753F14" w:rsidRPr="00F05FF9">
        <w:rPr>
          <w:lang w:val="fr-CH"/>
        </w:rPr>
        <w:t xml:space="preserve"> réunions du Comité directeur (3); </w:t>
      </w:r>
    </w:p>
    <w:p w:rsidR="00753F14" w:rsidRPr="00F05FF9" w:rsidRDefault="0069227C" w:rsidP="0069227C">
      <w:pPr>
        <w:pStyle w:val="SingleTxt"/>
        <w:ind w:left="2693" w:hanging="1426"/>
        <w:rPr>
          <w:lang w:val="fr-CH"/>
        </w:rPr>
      </w:pPr>
      <w:r w:rsidRPr="00F05FF9">
        <w:rPr>
          <w:lang w:val="fr-CH"/>
        </w:rPr>
        <w:tab/>
      </w:r>
      <w:r w:rsidRPr="00F05FF9">
        <w:rPr>
          <w:lang w:val="fr-CH"/>
        </w:rPr>
        <w:tab/>
      </w:r>
      <w:r w:rsidR="00753F14" w:rsidRPr="00F05FF9">
        <w:rPr>
          <w:lang w:val="fr-CH"/>
        </w:rPr>
        <w:t>b.</w:t>
      </w:r>
      <w:r w:rsidR="00753F14" w:rsidRPr="00F05FF9">
        <w:rPr>
          <w:lang w:val="fr-CH"/>
        </w:rPr>
        <w:tab/>
        <w:t>Documentation destinée aux organes délibérants</w:t>
      </w:r>
      <w:r w:rsidR="00BF6259" w:rsidRPr="00F05FF9">
        <w:rPr>
          <w:lang w:val="fr-CH"/>
        </w:rPr>
        <w:t> :</w:t>
      </w:r>
      <w:r w:rsidR="00753F14" w:rsidRPr="00F05FF9">
        <w:rPr>
          <w:lang w:val="fr-CH"/>
        </w:rPr>
        <w:t xml:space="preserve"> rapport sur les travaux de la session annuelle du Comité directeur (1); documents pour le Comité directeur (8). </w:t>
      </w:r>
    </w:p>
    <w:p w:rsidR="0069227C" w:rsidRPr="00F05FF9" w:rsidRDefault="0069227C" w:rsidP="0069227C">
      <w:pPr>
        <w:pStyle w:val="SingleTxt"/>
        <w:spacing w:after="0" w:line="120" w:lineRule="exact"/>
        <w:ind w:left="2693" w:hanging="1426"/>
        <w:rPr>
          <w:sz w:val="10"/>
          <w:lang w:val="fr-CH"/>
        </w:rPr>
      </w:pPr>
    </w:p>
    <w:p w:rsidR="0069227C" w:rsidRPr="00F05FF9" w:rsidRDefault="0069227C" w:rsidP="0069227C">
      <w:pPr>
        <w:pStyle w:val="SingleTxt"/>
        <w:spacing w:after="0" w:line="120" w:lineRule="exact"/>
        <w:ind w:left="2693" w:hanging="1426"/>
        <w:rPr>
          <w:sz w:val="10"/>
          <w:lang w:val="fr-CH"/>
        </w:rPr>
      </w:pPr>
    </w:p>
    <w:p w:rsidR="00753F14" w:rsidRPr="00F05FF9" w:rsidRDefault="00753F14" w:rsidP="006922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B.</w:t>
      </w:r>
      <w:r w:rsidRPr="00F05FF9">
        <w:rPr>
          <w:lang w:val="fr-CH"/>
        </w:rPr>
        <w:tab/>
        <w:t>Autres activités de fond</w:t>
      </w:r>
    </w:p>
    <w:p w:rsidR="0069227C" w:rsidRPr="00F05FF9" w:rsidRDefault="0069227C" w:rsidP="00F80D89">
      <w:pPr>
        <w:pStyle w:val="SingleTxt"/>
        <w:keepNext/>
        <w:spacing w:after="0" w:line="120" w:lineRule="exact"/>
        <w:rPr>
          <w:sz w:val="10"/>
          <w:lang w:val="fr-CH"/>
        </w:rPr>
      </w:pPr>
    </w:p>
    <w:p w:rsidR="0069227C" w:rsidRPr="00F05FF9" w:rsidRDefault="0069227C" w:rsidP="00F80D89">
      <w:pPr>
        <w:pStyle w:val="SingleTxt"/>
        <w:keepNe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w:t>
      </w:r>
      <w:r w:rsidRPr="00F05FF9">
        <w:rPr>
          <w:lang w:val="fr-CH"/>
        </w:rPr>
        <w:tab/>
        <w:t>Publications en série</w:t>
      </w:r>
    </w:p>
    <w:p w:rsidR="0069227C" w:rsidRPr="00F05FF9" w:rsidRDefault="0069227C" w:rsidP="0069227C">
      <w:pPr>
        <w:pStyle w:val="SingleTxt"/>
        <w:spacing w:after="0" w:line="120" w:lineRule="exact"/>
        <w:rPr>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Accord relatif aux transports internationaux de denrées périssables et aux engins spéciaux à utiliser pour ces transports (ATP) (1); Manuel TIR (1); Bulletin annuel de statistiques des accidents de la circulation routière en Europe et en Amérique du Nord 2017 (1); Bulletin annuel de statistiques des transports pour l</w:t>
      </w:r>
      <w:r w:rsidR="00B164F7" w:rsidRPr="00F05FF9">
        <w:rPr>
          <w:lang w:val="fr-CH"/>
        </w:rPr>
        <w:t>’</w:t>
      </w:r>
      <w:r w:rsidR="00753F14" w:rsidRPr="00F05FF9">
        <w:rPr>
          <w:lang w:val="fr-CH"/>
        </w:rPr>
        <w:t>Europe et l</w:t>
      </w:r>
      <w:r w:rsidR="00B164F7" w:rsidRPr="00F05FF9">
        <w:rPr>
          <w:lang w:val="fr-CH"/>
        </w:rPr>
        <w:t>’</w:t>
      </w:r>
      <w:r w:rsidR="00753F14" w:rsidRPr="00F05FF9">
        <w:rPr>
          <w:lang w:val="fr-CH"/>
        </w:rPr>
        <w:t>Amérique du Nord 2016 (1); Accord européen relatif au transport international des marchandises dangereuses par route (ADR 2017) (vol.</w:t>
      </w:r>
      <w:r w:rsidR="000821B2" w:rsidRPr="00F05FF9">
        <w:rPr>
          <w:lang w:val="fr-CH"/>
        </w:rPr>
        <w:t> </w:t>
      </w:r>
      <w:r w:rsidR="00753F14" w:rsidRPr="00F05FF9">
        <w:rPr>
          <w:lang w:val="fr-CH"/>
        </w:rPr>
        <w:t xml:space="preserve">I et II) (1); Accord européen relatif au transport international des marchandises dangereuses par voies de navigation intérieures (ADN 2017) (vol. I et II) (1); Recommandations relatives au transport des marchandises dangereuses, </w:t>
      </w:r>
      <w:r w:rsidR="000821B2" w:rsidRPr="00F05FF9">
        <w:rPr>
          <w:lang w:val="fr-CH"/>
        </w:rPr>
        <w:t>R</w:t>
      </w:r>
      <w:r w:rsidR="00753F14" w:rsidRPr="00F05FF9">
        <w:rPr>
          <w:lang w:val="fr-CH"/>
        </w:rPr>
        <w:t>èglement type, 20</w:t>
      </w:r>
      <w:r w:rsidR="00753F14" w:rsidRPr="00F05FF9">
        <w:rPr>
          <w:vertAlign w:val="superscript"/>
          <w:lang w:val="fr-CH"/>
        </w:rPr>
        <w:t>e</w:t>
      </w:r>
      <w:r w:rsidR="000E5B97">
        <w:rPr>
          <w:lang w:val="fr-CH"/>
        </w:rPr>
        <w:t> édition révisée (v</w:t>
      </w:r>
      <w:r w:rsidR="00753F14" w:rsidRPr="00F05FF9">
        <w:rPr>
          <w:lang w:val="fr-CH"/>
        </w:rPr>
        <w:t>ol</w:t>
      </w:r>
      <w:r w:rsidR="000E5B97">
        <w:rPr>
          <w:lang w:val="fr-CH"/>
        </w:rPr>
        <w:t>. </w:t>
      </w:r>
      <w:r w:rsidR="00753F14" w:rsidRPr="00F05FF9">
        <w:rPr>
          <w:lang w:val="fr-CH"/>
        </w:rPr>
        <w:t>I et II</w:t>
      </w:r>
      <w:r w:rsidR="000E5B97">
        <w:rPr>
          <w:lang w:val="fr-CH"/>
        </w:rPr>
        <w:t>)</w:t>
      </w:r>
      <w:r w:rsidR="00753F14" w:rsidRPr="00F05FF9">
        <w:rPr>
          <w:lang w:val="fr-CH"/>
        </w:rPr>
        <w:t xml:space="preserve"> (1); Recommandations relatives au transport des marchandises dangereuses, </w:t>
      </w:r>
      <w:r w:rsidR="000821B2" w:rsidRPr="00F05FF9">
        <w:rPr>
          <w:lang w:val="fr-CH"/>
        </w:rPr>
        <w:t>M</w:t>
      </w:r>
      <w:r w:rsidR="00753F14" w:rsidRPr="00F05FF9">
        <w:rPr>
          <w:lang w:val="fr-CH"/>
        </w:rPr>
        <w:t>anuel d</w:t>
      </w:r>
      <w:r w:rsidR="00B164F7" w:rsidRPr="00F05FF9">
        <w:rPr>
          <w:lang w:val="fr-CH"/>
        </w:rPr>
        <w:t>’</w:t>
      </w:r>
      <w:r w:rsidR="00753F14" w:rsidRPr="00F05FF9">
        <w:rPr>
          <w:lang w:val="fr-CH"/>
        </w:rPr>
        <w:t>épreuves et de critères (1); Système général harmonisé de classification et d</w:t>
      </w:r>
      <w:r w:rsidR="00B164F7" w:rsidRPr="00F05FF9">
        <w:rPr>
          <w:lang w:val="fr-CH"/>
        </w:rPr>
        <w:t>’</w:t>
      </w:r>
      <w:r w:rsidR="00753F14" w:rsidRPr="00F05FF9">
        <w:rPr>
          <w:lang w:val="fr-CH"/>
        </w:rPr>
        <w:t xml:space="preserve">étiquetage des produits chimiques (SGH) (1); </w:t>
      </w:r>
      <w:r w:rsidR="000821B2" w:rsidRPr="00F05FF9">
        <w:rPr>
          <w:lang w:val="fr-CH"/>
        </w:rPr>
        <w:t>T</w:t>
      </w:r>
      <w:r w:rsidR="00753F14" w:rsidRPr="00F05FF9">
        <w:rPr>
          <w:lang w:val="fr-CH"/>
        </w:rPr>
        <w:t>endances et économie des transports 2016-2017 (1); Forum mondial de l</w:t>
      </w:r>
      <w:r w:rsidR="00B164F7" w:rsidRPr="00F05FF9">
        <w:rPr>
          <w:lang w:val="fr-CH"/>
        </w:rPr>
        <w:t>’</w:t>
      </w:r>
      <w:r w:rsidR="00753F14" w:rsidRPr="00F05FF9">
        <w:rPr>
          <w:lang w:val="fr-CH"/>
        </w:rPr>
        <w:t xml:space="preserve">harmonisation des Règlements concernant les véhicules (WP.29), </w:t>
      </w:r>
      <w:r w:rsidR="000821B2" w:rsidRPr="00F05FF9">
        <w:rPr>
          <w:lang w:val="fr-CH"/>
        </w:rPr>
        <w:t>comment il fonctionne, comment y adhérer</w:t>
      </w:r>
      <w:r w:rsidR="00753F14" w:rsidRPr="00F05FF9">
        <w:rPr>
          <w:lang w:val="fr-CH"/>
        </w:rPr>
        <w:t xml:space="preserve"> (1).</w:t>
      </w:r>
    </w:p>
    <w:p w:rsidR="00BE0B88" w:rsidRPr="00F05FF9" w:rsidRDefault="00BE0B88" w:rsidP="00BE0B88">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ii)</w:t>
      </w:r>
      <w:r w:rsidRPr="00F05FF9">
        <w:rPr>
          <w:lang w:val="fr-CH"/>
        </w:rPr>
        <w:tab/>
        <w:t>Publications isolées</w:t>
      </w:r>
    </w:p>
    <w:p w:rsidR="0069227C" w:rsidRPr="00F05FF9" w:rsidRDefault="0069227C" w:rsidP="00F80D89">
      <w:pPr>
        <w:pStyle w:val="SingleTxt"/>
        <w:keepNext/>
        <w:spacing w:after="0" w:line="120" w:lineRule="exact"/>
        <w:rPr>
          <w:sz w:val="10"/>
          <w:lang w:val="fr-CH"/>
        </w:rPr>
      </w:pPr>
    </w:p>
    <w:p w:rsidR="00753F14" w:rsidRPr="00F05FF9" w:rsidRDefault="0069227C" w:rsidP="000821B2">
      <w:pPr>
        <w:pStyle w:val="SingleTxt"/>
        <w:rPr>
          <w:lang w:val="fr-CH"/>
        </w:rPr>
      </w:pPr>
      <w:r w:rsidRPr="00F05FF9">
        <w:rPr>
          <w:lang w:val="fr-CH"/>
        </w:rPr>
        <w:tab/>
      </w:r>
      <w:r w:rsidR="00753F14" w:rsidRPr="00F05FF9">
        <w:rPr>
          <w:lang w:val="fr-CH"/>
        </w:rPr>
        <w:t xml:space="preserve">Rapport sur la phase 3 du projet </w:t>
      </w:r>
      <w:r w:rsidR="000821B2" w:rsidRPr="00F05FF9">
        <w:rPr>
          <w:lang w:val="fr-CH"/>
        </w:rPr>
        <w:t>LT</w:t>
      </w:r>
      <w:r w:rsidR="00753F14" w:rsidRPr="00F05FF9">
        <w:rPr>
          <w:lang w:val="fr-CH"/>
        </w:rPr>
        <w:t xml:space="preserve">EA (1); étude relative au franchissement des frontières et aux questions douanières intéressant les transports (1); </w:t>
      </w:r>
      <w:r w:rsidR="000821B2" w:rsidRPr="00F05FF9">
        <w:rPr>
          <w:lang w:val="fr-CH"/>
        </w:rPr>
        <w:t>« </w:t>
      </w:r>
      <w:r w:rsidR="00753F14" w:rsidRPr="00F05FF9">
        <w:rPr>
          <w:lang w:val="fr-CH"/>
        </w:rPr>
        <w:t>Livre bleu</w:t>
      </w:r>
      <w:r w:rsidR="000821B2" w:rsidRPr="00F05FF9">
        <w:rPr>
          <w:lang w:val="fr-CH"/>
        </w:rPr>
        <w:t> »</w:t>
      </w:r>
      <w:r w:rsidR="00753F14" w:rsidRPr="00F05FF9">
        <w:rPr>
          <w:lang w:val="fr-CH"/>
        </w:rPr>
        <w:t>, troisième édition révisée (ECE/TRANS/SC.3/144/Rev.3) (1); Livre blanc sur la navigation intérieure (1); examen de l</w:t>
      </w:r>
      <w:r w:rsidR="00B164F7" w:rsidRPr="00F05FF9">
        <w:rPr>
          <w:lang w:val="fr-CH"/>
        </w:rPr>
        <w:t>’</w:t>
      </w:r>
      <w:r w:rsidR="00753F14" w:rsidRPr="00F05FF9">
        <w:rPr>
          <w:lang w:val="fr-CH"/>
        </w:rPr>
        <w:t>état des transports ferroviaires et logistique du transport intermodal (1); incidences des changements climatiques et adaptation des réseaux de transport (1); outil de modélisation des futurs systèmes de transport intérieur (ForFITS) (1); sécurité routière</w:t>
      </w:r>
      <w:r w:rsidR="00BF6259" w:rsidRPr="00F05FF9">
        <w:rPr>
          <w:lang w:val="fr-CH"/>
        </w:rPr>
        <w:t> :</w:t>
      </w:r>
      <w:r w:rsidR="00753F14" w:rsidRPr="00F05FF9">
        <w:rPr>
          <w:lang w:val="fr-CH"/>
        </w:rPr>
        <w:t xml:space="preserve"> évaluation à mi-parcours de la mise en œuvre de la Décennie d</w:t>
      </w:r>
      <w:r w:rsidR="00B164F7" w:rsidRPr="00F05FF9">
        <w:rPr>
          <w:lang w:val="fr-CH"/>
        </w:rPr>
        <w:t>’</w:t>
      </w:r>
      <w:r w:rsidR="00753F14" w:rsidRPr="00F05FF9">
        <w:rPr>
          <w:lang w:val="fr-CH"/>
        </w:rPr>
        <w:t xml:space="preserve">action pour la sécurité routière (1). </w:t>
      </w:r>
    </w:p>
    <w:p w:rsidR="0069227C" w:rsidRPr="00F05FF9" w:rsidRDefault="0069227C" w:rsidP="0069227C">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iii)</w:t>
      </w:r>
      <w:r w:rsidRPr="00F05FF9">
        <w:rPr>
          <w:lang w:val="fr-CH"/>
        </w:rPr>
        <w:tab/>
        <w:t>Brochures, fiches d</w:t>
      </w:r>
      <w:r w:rsidR="00B164F7" w:rsidRPr="00F05FF9">
        <w:rPr>
          <w:lang w:val="fr-CH"/>
        </w:rPr>
        <w:t>’</w:t>
      </w:r>
      <w:r w:rsidRPr="00F05FF9">
        <w:rPr>
          <w:lang w:val="fr-CH"/>
        </w:rPr>
        <w:t>information, planches murales, pochettes de documentation</w:t>
      </w:r>
    </w:p>
    <w:p w:rsidR="0069227C" w:rsidRPr="00F05FF9" w:rsidRDefault="0069227C" w:rsidP="0069227C">
      <w:pPr>
        <w:pStyle w:val="SingleTxt"/>
        <w:spacing w:after="0" w:line="120" w:lineRule="exact"/>
        <w:rPr>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Documents d</w:t>
      </w:r>
      <w:r w:rsidR="00B164F7" w:rsidRPr="00F05FF9">
        <w:rPr>
          <w:lang w:val="fr-CH"/>
        </w:rPr>
        <w:t>’</w:t>
      </w:r>
      <w:r w:rsidR="00753F14" w:rsidRPr="00F05FF9">
        <w:rPr>
          <w:lang w:val="fr-CH"/>
        </w:rPr>
        <w:t>information tels que le répertoire du Comité des transports intérieurs (6); informations sur les activités de la CEE dans le</w:t>
      </w:r>
      <w:r w:rsidR="000821B2" w:rsidRPr="00F05FF9">
        <w:rPr>
          <w:lang w:val="fr-CH"/>
        </w:rPr>
        <w:t>s</w:t>
      </w:r>
      <w:r w:rsidR="00753F14" w:rsidRPr="00F05FF9">
        <w:rPr>
          <w:lang w:val="fr-CH"/>
        </w:rPr>
        <w:t xml:space="preserve"> domaine</w:t>
      </w:r>
      <w:r w:rsidR="000821B2" w:rsidRPr="00F05FF9">
        <w:rPr>
          <w:lang w:val="fr-CH"/>
        </w:rPr>
        <w:t>s</w:t>
      </w:r>
      <w:r w:rsidR="00753F14" w:rsidRPr="00F05FF9">
        <w:rPr>
          <w:lang w:val="fr-CH"/>
        </w:rPr>
        <w:t xml:space="preserve"> de la facilitation du franchissement des frontières et des transports (1); informations sur les activités du Comité des transports intérieurs </w:t>
      </w:r>
      <w:r w:rsidR="000821B2" w:rsidRPr="00F05FF9">
        <w:rPr>
          <w:lang w:val="fr-CH"/>
        </w:rPr>
        <w:t>au bénéfice de l</w:t>
      </w:r>
      <w:r w:rsidR="00B164F7" w:rsidRPr="00F05FF9">
        <w:rPr>
          <w:lang w:val="fr-CH"/>
        </w:rPr>
        <w:t>’</w:t>
      </w:r>
      <w:r w:rsidR="00753F14" w:rsidRPr="00F05FF9">
        <w:rPr>
          <w:lang w:val="fr-CH"/>
        </w:rPr>
        <w:t xml:space="preserve">environnement (1); </w:t>
      </w:r>
      <w:r w:rsidR="000821B2" w:rsidRPr="00F05FF9">
        <w:rPr>
          <w:lang w:val="fr-CH"/>
        </w:rPr>
        <w:t>f</w:t>
      </w:r>
      <w:r w:rsidR="00753F14" w:rsidRPr="00F05FF9">
        <w:rPr>
          <w:lang w:val="fr-CH"/>
        </w:rPr>
        <w:t>iche d</w:t>
      </w:r>
      <w:r w:rsidR="00B164F7" w:rsidRPr="00F05FF9">
        <w:rPr>
          <w:lang w:val="fr-CH"/>
        </w:rPr>
        <w:t>’</w:t>
      </w:r>
      <w:r w:rsidR="00753F14" w:rsidRPr="00F05FF9">
        <w:rPr>
          <w:lang w:val="fr-CH"/>
        </w:rPr>
        <w:t>information sur les gains de sécurité apportés par les systèmes de retenue pour enfants (1).</w:t>
      </w:r>
    </w:p>
    <w:p w:rsidR="0069227C" w:rsidRPr="00F05FF9" w:rsidRDefault="0069227C" w:rsidP="0069227C">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iv)</w:t>
      </w:r>
      <w:r w:rsidRPr="00F05FF9">
        <w:rPr>
          <w:lang w:val="fr-CH"/>
        </w:rPr>
        <w:tab/>
        <w:t xml:space="preserve">Communiqués et conférences de presse </w:t>
      </w:r>
    </w:p>
    <w:p w:rsidR="0069227C" w:rsidRPr="00F05FF9" w:rsidRDefault="0069227C" w:rsidP="0069227C">
      <w:pPr>
        <w:pStyle w:val="SingleTxt"/>
        <w:spacing w:after="0" w:line="120" w:lineRule="exact"/>
        <w:rPr>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Série annuelle de communiqués de presse publiés à l</w:t>
      </w:r>
      <w:r w:rsidR="00B164F7" w:rsidRPr="00F05FF9">
        <w:rPr>
          <w:lang w:val="fr-CH"/>
        </w:rPr>
        <w:t>’</w:t>
      </w:r>
      <w:r w:rsidR="00753F14" w:rsidRPr="00F05FF9">
        <w:rPr>
          <w:lang w:val="fr-CH"/>
        </w:rPr>
        <w:t xml:space="preserve">occasion de réunions ou de forums et de la parution de publications (2). </w:t>
      </w:r>
    </w:p>
    <w:p w:rsidR="0069227C" w:rsidRPr="00F05FF9" w:rsidRDefault="0069227C" w:rsidP="0069227C">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v)</w:t>
      </w:r>
      <w:r w:rsidRPr="00F05FF9">
        <w:rPr>
          <w:lang w:val="fr-CH"/>
        </w:rPr>
        <w:tab/>
        <w:t>Documentation technique et activités connexes</w:t>
      </w:r>
    </w:p>
    <w:p w:rsidR="0069227C" w:rsidRPr="00F05FF9" w:rsidRDefault="0069227C" w:rsidP="0069227C">
      <w:pPr>
        <w:pStyle w:val="SingleTxt"/>
        <w:spacing w:after="0" w:line="120" w:lineRule="exact"/>
        <w:rPr>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 xml:space="preserve">Tenue à jour de la Banque de données internationale TIR (ITDB) sur les </w:t>
      </w:r>
      <w:r w:rsidR="000821B2" w:rsidRPr="00F05FF9">
        <w:rPr>
          <w:lang w:val="fr-CH"/>
        </w:rPr>
        <w:t xml:space="preserve">entreprises </w:t>
      </w:r>
      <w:r w:rsidR="00753F14" w:rsidRPr="00F05FF9">
        <w:rPr>
          <w:lang w:val="fr-CH"/>
        </w:rPr>
        <w:t xml:space="preserve">de transport, </w:t>
      </w:r>
      <w:r w:rsidR="000821B2" w:rsidRPr="00F05FF9">
        <w:rPr>
          <w:lang w:val="fr-CH"/>
        </w:rPr>
        <w:t xml:space="preserve">y compris </w:t>
      </w:r>
      <w:r w:rsidR="00753F14" w:rsidRPr="00F05FF9">
        <w:rPr>
          <w:lang w:val="fr-CH"/>
        </w:rPr>
        <w:t xml:space="preserve">sa version en ligne (2); </w:t>
      </w:r>
      <w:r w:rsidR="000821B2" w:rsidRPr="00F05FF9">
        <w:rPr>
          <w:lang w:val="fr-CH"/>
        </w:rPr>
        <w:t xml:space="preserve">développement et </w:t>
      </w:r>
      <w:r w:rsidR="00753F14" w:rsidRPr="00F05FF9">
        <w:rPr>
          <w:lang w:val="fr-CH"/>
        </w:rPr>
        <w:t xml:space="preserve">mise au point du projet ITDB </w:t>
      </w:r>
      <w:r w:rsidR="000821B2" w:rsidRPr="00F05FF9">
        <w:rPr>
          <w:lang w:val="fr-CH"/>
        </w:rPr>
        <w:t>online</w:t>
      </w:r>
      <w:r w:rsidR="00D65790" w:rsidRPr="00F05FF9">
        <w:rPr>
          <w:lang w:val="fr-CH"/>
        </w:rPr>
        <w:t>+</w:t>
      </w:r>
      <w:r w:rsidR="000821B2" w:rsidRPr="00F05FF9">
        <w:rPr>
          <w:lang w:val="fr-CH"/>
        </w:rPr>
        <w:t xml:space="preserve"> </w:t>
      </w:r>
      <w:r w:rsidR="00753F14" w:rsidRPr="00F05FF9">
        <w:rPr>
          <w:lang w:val="fr-CH"/>
        </w:rPr>
        <w:t>(2); tenue du registre en ligne des dispositifs de scellement et des timbres douaniers (2); gestion du site Web TIR (2); tenue à jour d</w:t>
      </w:r>
      <w:r w:rsidR="00B164F7" w:rsidRPr="00F05FF9">
        <w:rPr>
          <w:lang w:val="fr-CH"/>
        </w:rPr>
        <w:t>’</w:t>
      </w:r>
      <w:r w:rsidR="00753F14" w:rsidRPr="00F05FF9">
        <w:rPr>
          <w:lang w:val="fr-CH"/>
        </w:rPr>
        <w:t>un inventaire en ligne des normes concernant l</w:t>
      </w:r>
      <w:r w:rsidR="00D65790" w:rsidRPr="00F05FF9">
        <w:rPr>
          <w:lang w:val="fr-CH"/>
        </w:rPr>
        <w:t xml:space="preserve">es </w:t>
      </w:r>
      <w:r w:rsidR="00753F14" w:rsidRPr="00F05FF9">
        <w:rPr>
          <w:lang w:val="fr-CH"/>
        </w:rPr>
        <w:t>infrastructure</w:t>
      </w:r>
      <w:r w:rsidR="00D65790" w:rsidRPr="00F05FF9">
        <w:rPr>
          <w:lang w:val="fr-CH"/>
        </w:rPr>
        <w:t>s</w:t>
      </w:r>
      <w:r w:rsidR="00753F14" w:rsidRPr="00F05FF9">
        <w:rPr>
          <w:lang w:val="fr-CH"/>
        </w:rPr>
        <w:t xml:space="preserve"> </w:t>
      </w:r>
      <w:r w:rsidR="00D65790" w:rsidRPr="00F05FF9">
        <w:rPr>
          <w:lang w:val="fr-CH"/>
        </w:rPr>
        <w:t xml:space="preserve">des voies de navigation </w:t>
      </w:r>
      <w:r w:rsidR="00753F14" w:rsidRPr="00F05FF9">
        <w:rPr>
          <w:lang w:val="fr-CH"/>
        </w:rPr>
        <w:t xml:space="preserve">intérieure (2); tenue </w:t>
      </w:r>
      <w:r w:rsidR="00D65790" w:rsidRPr="00F05FF9">
        <w:rPr>
          <w:lang w:val="fr-CH"/>
        </w:rPr>
        <w:t xml:space="preserve">à jour </w:t>
      </w:r>
      <w:r w:rsidR="00753F14" w:rsidRPr="00F05FF9">
        <w:rPr>
          <w:lang w:val="fr-CH"/>
        </w:rPr>
        <w:t>d</w:t>
      </w:r>
      <w:r w:rsidR="00B164F7" w:rsidRPr="00F05FF9">
        <w:rPr>
          <w:lang w:val="fr-CH"/>
        </w:rPr>
        <w:t>’</w:t>
      </w:r>
      <w:r w:rsidR="00753F14" w:rsidRPr="00F05FF9">
        <w:rPr>
          <w:lang w:val="fr-CH"/>
        </w:rPr>
        <w:t>un inventaire en ligne des normes et des paramètres énoncés dans l</w:t>
      </w:r>
      <w:r w:rsidR="00B164F7" w:rsidRPr="00F05FF9">
        <w:rPr>
          <w:lang w:val="fr-CH"/>
        </w:rPr>
        <w:t>’</w:t>
      </w:r>
      <w:r w:rsidR="00753F14" w:rsidRPr="00F05FF9">
        <w:rPr>
          <w:lang w:val="fr-CH"/>
        </w:rPr>
        <w:t>AGC et l</w:t>
      </w:r>
      <w:r w:rsidR="00B164F7" w:rsidRPr="00F05FF9">
        <w:rPr>
          <w:lang w:val="fr-CH"/>
        </w:rPr>
        <w:t>’</w:t>
      </w:r>
      <w:r w:rsidR="00753F14" w:rsidRPr="00F05FF9">
        <w:rPr>
          <w:lang w:val="fr-CH"/>
        </w:rPr>
        <w:t>AGTC (2); séries de</w:t>
      </w:r>
      <w:r w:rsidR="00D65790" w:rsidRPr="00F05FF9">
        <w:rPr>
          <w:lang w:val="fr-CH"/>
        </w:rPr>
        <w:t>s</w:t>
      </w:r>
      <w:r w:rsidR="00753F14" w:rsidRPr="00F05FF9">
        <w:rPr>
          <w:lang w:val="fr-CH"/>
        </w:rPr>
        <w:t xml:space="preserve"> Règlements ONU concernant les véhicules et </w:t>
      </w:r>
      <w:r w:rsidR="00D65790" w:rsidRPr="00F05FF9">
        <w:rPr>
          <w:lang w:val="fr-CH"/>
        </w:rPr>
        <w:t xml:space="preserve">des amendements à </w:t>
      </w:r>
      <w:r w:rsidR="00753F14" w:rsidRPr="00F05FF9">
        <w:rPr>
          <w:lang w:val="fr-CH"/>
        </w:rPr>
        <w:t>ceux-ci, annexés à l</w:t>
      </w:r>
      <w:r w:rsidR="00B164F7" w:rsidRPr="00F05FF9">
        <w:rPr>
          <w:lang w:val="fr-CH"/>
        </w:rPr>
        <w:t>’</w:t>
      </w:r>
      <w:r w:rsidR="00753F14" w:rsidRPr="00F05FF9">
        <w:rPr>
          <w:lang w:val="fr-CH"/>
        </w:rPr>
        <w:t>Accord de 1958 (chaque série comporte 100 documents) (2</w:t>
      </w:r>
      <w:r w:rsidR="00D65790" w:rsidRPr="00F05FF9">
        <w:rPr>
          <w:lang w:val="fr-CH"/>
        </w:rPr>
        <w:t>); séries de R</w:t>
      </w:r>
      <w:r w:rsidR="00753F14" w:rsidRPr="00F05FF9">
        <w:rPr>
          <w:lang w:val="fr-CH"/>
        </w:rPr>
        <w:t xml:space="preserve">èglements techniques mondiaux ONU concernant les véhicules et </w:t>
      </w:r>
      <w:r w:rsidR="00D65790" w:rsidRPr="00F05FF9">
        <w:rPr>
          <w:lang w:val="fr-CH"/>
        </w:rPr>
        <w:t xml:space="preserve">des amendements à </w:t>
      </w:r>
      <w:r w:rsidR="00753F14" w:rsidRPr="00F05FF9">
        <w:rPr>
          <w:lang w:val="fr-CH"/>
        </w:rPr>
        <w:t>ceux-ci, dans le cadre de l</w:t>
      </w:r>
      <w:r w:rsidR="00B164F7" w:rsidRPr="00F05FF9">
        <w:rPr>
          <w:lang w:val="fr-CH"/>
        </w:rPr>
        <w:t>’</w:t>
      </w:r>
      <w:r w:rsidR="00753F14" w:rsidRPr="00F05FF9">
        <w:rPr>
          <w:lang w:val="fr-CH"/>
        </w:rPr>
        <w:t>Accord de 1998 (chaque série comporte 5 documents) (3); série</w:t>
      </w:r>
      <w:r w:rsidR="00D65790" w:rsidRPr="00F05FF9">
        <w:rPr>
          <w:lang w:val="fr-CH"/>
        </w:rPr>
        <w:t>s</w:t>
      </w:r>
      <w:r w:rsidR="00753F14" w:rsidRPr="00F05FF9">
        <w:rPr>
          <w:lang w:val="fr-CH"/>
        </w:rPr>
        <w:t xml:space="preserve"> de</w:t>
      </w:r>
      <w:r w:rsidR="00D65790" w:rsidRPr="00F05FF9">
        <w:rPr>
          <w:lang w:val="fr-CH"/>
        </w:rPr>
        <w:t>s</w:t>
      </w:r>
      <w:r w:rsidR="00753F14" w:rsidRPr="00F05FF9">
        <w:rPr>
          <w:lang w:val="fr-CH"/>
        </w:rPr>
        <w:t xml:space="preserve"> </w:t>
      </w:r>
      <w:r w:rsidR="00D65790" w:rsidRPr="00F05FF9">
        <w:rPr>
          <w:lang w:val="fr-CH"/>
        </w:rPr>
        <w:t>R</w:t>
      </w:r>
      <w:r w:rsidR="00753F14" w:rsidRPr="00F05FF9">
        <w:rPr>
          <w:lang w:val="fr-CH"/>
        </w:rPr>
        <w:t>ègles de l</w:t>
      </w:r>
      <w:r w:rsidR="00B164F7" w:rsidRPr="00F05FF9">
        <w:rPr>
          <w:lang w:val="fr-CH"/>
        </w:rPr>
        <w:t>’</w:t>
      </w:r>
      <w:r w:rsidR="00753F14" w:rsidRPr="00F05FF9">
        <w:rPr>
          <w:lang w:val="fr-CH"/>
        </w:rPr>
        <w:t>ONU sur le contrôle technique périodique des véhicules, annexées à l</w:t>
      </w:r>
      <w:r w:rsidR="00B164F7" w:rsidRPr="00F05FF9">
        <w:rPr>
          <w:lang w:val="fr-CH"/>
        </w:rPr>
        <w:t>’</w:t>
      </w:r>
      <w:r w:rsidR="00753F14" w:rsidRPr="00F05FF9">
        <w:rPr>
          <w:lang w:val="fr-CH"/>
        </w:rPr>
        <w:t>Accord de 1997 (</w:t>
      </w:r>
      <w:r w:rsidR="00D65790" w:rsidRPr="00F05FF9">
        <w:rPr>
          <w:lang w:val="fr-CH"/>
        </w:rPr>
        <w:t xml:space="preserve">chaque </w:t>
      </w:r>
      <w:r w:rsidR="00753F14" w:rsidRPr="00F05FF9">
        <w:rPr>
          <w:lang w:val="fr-CH"/>
        </w:rPr>
        <w:t xml:space="preserve">série </w:t>
      </w:r>
      <w:r w:rsidR="00D65790" w:rsidRPr="00F05FF9">
        <w:rPr>
          <w:lang w:val="fr-CH"/>
        </w:rPr>
        <w:t>comporte</w:t>
      </w:r>
      <w:r w:rsidR="00753F14" w:rsidRPr="00F05FF9">
        <w:rPr>
          <w:lang w:val="fr-CH"/>
        </w:rPr>
        <w:t xml:space="preserve"> 2 documents) (1); tenue de bases de données sur les statistiques des transports, les accidents de la route, le transport des marchandises dangereuses, le transport des denrées périssables, le transport urbain et les transports et l</w:t>
      </w:r>
      <w:r w:rsidR="00B164F7" w:rsidRPr="00F05FF9">
        <w:rPr>
          <w:lang w:val="fr-CH"/>
        </w:rPr>
        <w:t>’</w:t>
      </w:r>
      <w:r w:rsidR="00753F14" w:rsidRPr="00F05FF9">
        <w:rPr>
          <w:lang w:val="fr-CH"/>
        </w:rPr>
        <w:t xml:space="preserve">environnement (2); tenue à jour du site Web, </w:t>
      </w:r>
      <w:r w:rsidR="00D65790" w:rsidRPr="00F05FF9">
        <w:rPr>
          <w:lang w:val="fr-CH"/>
        </w:rPr>
        <w:t xml:space="preserve">qui donne accès à </w:t>
      </w:r>
      <w:r w:rsidR="00753F14" w:rsidRPr="00F05FF9">
        <w:rPr>
          <w:lang w:val="fr-CH"/>
        </w:rPr>
        <w:t xml:space="preserve">des documents de séance, des publications et des informations concernant les activités </w:t>
      </w:r>
      <w:r w:rsidR="00D65790" w:rsidRPr="00F05FF9">
        <w:rPr>
          <w:lang w:val="fr-CH"/>
        </w:rPr>
        <w:t>menées dans le cadre du</w:t>
      </w:r>
      <w:r w:rsidR="00753F14" w:rsidRPr="00F05FF9">
        <w:rPr>
          <w:lang w:val="fr-CH"/>
        </w:rPr>
        <w:t xml:space="preserve"> sous-programme (2); mise au point et tenue à jour de l</w:t>
      </w:r>
      <w:r w:rsidR="00B164F7" w:rsidRPr="00F05FF9">
        <w:rPr>
          <w:lang w:val="fr-CH"/>
        </w:rPr>
        <w:t>’</w:t>
      </w:r>
      <w:r w:rsidR="00753F14" w:rsidRPr="00F05FF9">
        <w:rPr>
          <w:lang w:val="fr-CH"/>
        </w:rPr>
        <w:t xml:space="preserve">Observatoire international en ligne de la sûreté des chemins de fer (2). </w:t>
      </w:r>
    </w:p>
    <w:p w:rsidR="0069227C" w:rsidRPr="00F05FF9" w:rsidRDefault="0069227C" w:rsidP="0069227C">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vi)</w:t>
      </w:r>
      <w:r w:rsidRPr="00F05FF9">
        <w:rPr>
          <w:lang w:val="fr-CH"/>
        </w:rPr>
        <w:tab/>
        <w:t>Colloques organisés par le secrétariat à destination d</w:t>
      </w:r>
      <w:r w:rsidR="00B164F7" w:rsidRPr="00F05FF9">
        <w:rPr>
          <w:lang w:val="fr-CH"/>
        </w:rPr>
        <w:t>’</w:t>
      </w:r>
      <w:r w:rsidRPr="00F05FF9">
        <w:rPr>
          <w:lang w:val="fr-CH"/>
        </w:rPr>
        <w:t xml:space="preserve">utilisateurs </w:t>
      </w:r>
      <w:r w:rsidR="0069227C" w:rsidRPr="00F05FF9">
        <w:rPr>
          <w:lang w:val="fr-CH"/>
        </w:rPr>
        <w:br/>
      </w:r>
      <w:r w:rsidRPr="00F05FF9">
        <w:rPr>
          <w:lang w:val="fr-CH"/>
        </w:rPr>
        <w:t xml:space="preserve">dans le cadre de mandats spécifiques </w:t>
      </w:r>
    </w:p>
    <w:p w:rsidR="0069227C" w:rsidRPr="00F05FF9" w:rsidRDefault="0069227C" w:rsidP="0069227C">
      <w:pPr>
        <w:pStyle w:val="SingleTxt"/>
        <w:spacing w:after="0" w:line="120" w:lineRule="exact"/>
        <w:rPr>
          <w:i/>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Facilitation des transports et application de la Convention TIR (2); atelier annuel sur les systèmes de transport intelligents (2).</w:t>
      </w:r>
    </w:p>
    <w:p w:rsidR="00753F14" w:rsidRPr="00F05FF9" w:rsidRDefault="00753F14" w:rsidP="006922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C.</w:t>
      </w:r>
      <w:r w:rsidRPr="00F05FF9">
        <w:rPr>
          <w:lang w:val="fr-CH"/>
        </w:rPr>
        <w:tab/>
        <w:t>Coopération technique</w:t>
      </w:r>
    </w:p>
    <w:p w:rsidR="0069227C" w:rsidRPr="00F05FF9" w:rsidRDefault="0069227C" w:rsidP="0069227C">
      <w:pPr>
        <w:pStyle w:val="SingleTxt"/>
        <w:keepNext/>
        <w:keepLines/>
        <w:spacing w:after="0" w:line="120" w:lineRule="exact"/>
        <w:rPr>
          <w:sz w:val="10"/>
          <w:lang w:val="fr-CH"/>
        </w:rPr>
      </w:pPr>
    </w:p>
    <w:p w:rsidR="0069227C" w:rsidRPr="00F05FF9" w:rsidRDefault="0069227C" w:rsidP="0069227C">
      <w:pPr>
        <w:pStyle w:val="SingleTxt"/>
        <w:keepNext/>
        <w:keepLines/>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w:t>
      </w:r>
      <w:r w:rsidRPr="00F05FF9">
        <w:rPr>
          <w:lang w:val="fr-CH"/>
        </w:rPr>
        <w:tab/>
        <w:t>Services consultatifs</w:t>
      </w:r>
    </w:p>
    <w:p w:rsidR="0069227C" w:rsidRPr="00F05FF9" w:rsidRDefault="0069227C" w:rsidP="00F80D89">
      <w:pPr>
        <w:pStyle w:val="SingleTxt"/>
        <w:keepNext/>
        <w:spacing w:after="0" w:line="120" w:lineRule="exact"/>
        <w:rPr>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Services consultatifs concernant les instruments juridiques liés aux transports intérieurs (2); instruments juridiques concernant la facilitation des transports (2); instruments juridiques concernant le franchissement des frontières (2); instruments juridiques concernant la sécurité routière (2); instruments juridiques concernant la construction des véhicules (2); instruments juridiques concernant le transport des marchandises dangereuses et d</w:t>
      </w:r>
      <w:r w:rsidR="00B164F7" w:rsidRPr="00F05FF9">
        <w:rPr>
          <w:lang w:val="fr-CH"/>
        </w:rPr>
        <w:t>’</w:t>
      </w:r>
      <w:r w:rsidR="00753F14" w:rsidRPr="00F05FF9">
        <w:rPr>
          <w:lang w:val="fr-CH"/>
        </w:rPr>
        <w:t>autres cargaisons spéciales (2).</w:t>
      </w:r>
    </w:p>
    <w:p w:rsidR="0069227C" w:rsidRPr="00F05FF9" w:rsidRDefault="0069227C" w:rsidP="0069227C">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ii)</w:t>
      </w:r>
      <w:r w:rsidRPr="00F05FF9">
        <w:rPr>
          <w:lang w:val="fr-CH"/>
        </w:rPr>
        <w:tab/>
        <w:t>Formations, colloques et ateliers</w:t>
      </w:r>
    </w:p>
    <w:p w:rsidR="0069227C" w:rsidRPr="00F05FF9" w:rsidRDefault="0069227C" w:rsidP="0069227C">
      <w:pPr>
        <w:pStyle w:val="SingleTxt"/>
        <w:spacing w:after="0" w:line="120" w:lineRule="exact"/>
        <w:rPr>
          <w:sz w:val="10"/>
          <w:lang w:val="fr-CH"/>
        </w:rPr>
      </w:pPr>
    </w:p>
    <w:p w:rsidR="00753F14" w:rsidRPr="00F05FF9" w:rsidRDefault="0069227C" w:rsidP="00753F14">
      <w:pPr>
        <w:pStyle w:val="SingleTxt"/>
        <w:rPr>
          <w:lang w:val="fr-CH"/>
        </w:rPr>
      </w:pPr>
      <w:r w:rsidRPr="00F05FF9">
        <w:rPr>
          <w:lang w:val="fr-CH"/>
        </w:rPr>
        <w:tab/>
      </w:r>
      <w:r w:rsidR="00753F14" w:rsidRPr="00F05FF9">
        <w:rPr>
          <w:lang w:val="fr-CH"/>
        </w:rPr>
        <w:t>Colloques consacrés à des thèmes choisis dans le cadre des projets TEM et TER (systèmes de transport intelligents, tarification des infrastructures, transport intermodal, nouvelle</w:t>
      </w:r>
      <w:r w:rsidR="00B07B56">
        <w:rPr>
          <w:lang w:val="fr-CH"/>
        </w:rPr>
        <w:t>s</w:t>
      </w:r>
      <w:r w:rsidR="00753F14" w:rsidRPr="00F05FF9">
        <w:rPr>
          <w:lang w:val="fr-CH"/>
        </w:rPr>
        <w:t xml:space="preserve"> technologies applicables aux opérations de transp</w:t>
      </w:r>
      <w:r w:rsidR="00B07B56">
        <w:rPr>
          <w:lang w:val="fr-CH"/>
        </w:rPr>
        <w:t>ort ferroviaire, centres/plate</w:t>
      </w:r>
      <w:r w:rsidR="00753F14" w:rsidRPr="00F05FF9">
        <w:rPr>
          <w:lang w:val="fr-CH"/>
        </w:rPr>
        <w:t>formes logistiques, franchissement des frontières) (4); colloques et ateliers sur la facilitation des transports et l</w:t>
      </w:r>
      <w:r w:rsidR="00B164F7" w:rsidRPr="00F05FF9">
        <w:rPr>
          <w:lang w:val="fr-CH"/>
        </w:rPr>
        <w:t>’</w:t>
      </w:r>
      <w:r w:rsidR="00753F14" w:rsidRPr="00F05FF9">
        <w:rPr>
          <w:lang w:val="fr-CH"/>
        </w:rPr>
        <w:t>application de la Convention TIR (2); atelier/colloque sur les statistiques des transports (2); atelier sur les tendances et l</w:t>
      </w:r>
      <w:r w:rsidR="00B164F7" w:rsidRPr="00F05FF9">
        <w:rPr>
          <w:lang w:val="fr-CH"/>
        </w:rPr>
        <w:t>’</w:t>
      </w:r>
      <w:r w:rsidR="00753F14" w:rsidRPr="00F05FF9">
        <w:rPr>
          <w:lang w:val="fr-CH"/>
        </w:rPr>
        <w:t>économie des transports (2); atelier sur les questions d</w:t>
      </w:r>
      <w:r w:rsidR="00B164F7" w:rsidRPr="00F05FF9">
        <w:rPr>
          <w:lang w:val="fr-CH"/>
        </w:rPr>
        <w:t>’</w:t>
      </w:r>
      <w:r w:rsidR="00753F14" w:rsidRPr="00F05FF9">
        <w:rPr>
          <w:lang w:val="fr-CH"/>
        </w:rPr>
        <w:t>actualité intéressant les transports ferroviaires (2); atelier sur les questions d</w:t>
      </w:r>
      <w:r w:rsidR="00B164F7" w:rsidRPr="00F05FF9">
        <w:rPr>
          <w:lang w:val="fr-CH"/>
        </w:rPr>
        <w:t>’</w:t>
      </w:r>
      <w:r w:rsidR="00753F14" w:rsidRPr="00F05FF9">
        <w:rPr>
          <w:lang w:val="fr-CH"/>
        </w:rPr>
        <w:t>actualité intéressant le transport intermodal et la logistique (2); atelier sur le Programme paneuropéen sur les transports, la santé et l</w:t>
      </w:r>
      <w:r w:rsidR="00B164F7" w:rsidRPr="00F05FF9">
        <w:rPr>
          <w:lang w:val="fr-CH"/>
        </w:rPr>
        <w:t>’</w:t>
      </w:r>
      <w:r w:rsidR="00D65790" w:rsidRPr="00F05FF9">
        <w:rPr>
          <w:lang w:val="fr-CH"/>
        </w:rPr>
        <w:t>environnement (1); colloque su</w:t>
      </w:r>
      <w:r w:rsidR="00753F14" w:rsidRPr="00F05FF9">
        <w:rPr>
          <w:lang w:val="fr-CH"/>
        </w:rPr>
        <w:t>r le Programme paneuropéen sur les transports, la santé et l</w:t>
      </w:r>
      <w:r w:rsidR="00B164F7" w:rsidRPr="00F05FF9">
        <w:rPr>
          <w:lang w:val="fr-CH"/>
        </w:rPr>
        <w:t>’</w:t>
      </w:r>
      <w:r w:rsidR="00753F14" w:rsidRPr="00F05FF9">
        <w:rPr>
          <w:lang w:val="fr-CH"/>
        </w:rPr>
        <w:t>environnement (1).</w:t>
      </w:r>
    </w:p>
    <w:p w:rsidR="0069227C" w:rsidRPr="00F05FF9" w:rsidRDefault="0069227C" w:rsidP="0069227C">
      <w:pPr>
        <w:pStyle w:val="SingleTxt"/>
        <w:spacing w:after="0" w:line="120" w:lineRule="exact"/>
        <w:rPr>
          <w:sz w:val="10"/>
          <w:lang w:val="fr-CH"/>
        </w:rPr>
      </w:pPr>
    </w:p>
    <w:p w:rsidR="00753F14" w:rsidRPr="00F05FF9" w:rsidRDefault="00753F14" w:rsidP="006922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t>iii)</w:t>
      </w:r>
      <w:r w:rsidRPr="00F05FF9">
        <w:rPr>
          <w:lang w:val="fr-CH"/>
        </w:rPr>
        <w:tab/>
        <w:t>Projets opérationnels</w:t>
      </w:r>
    </w:p>
    <w:p w:rsidR="0069227C" w:rsidRPr="00F05FF9" w:rsidRDefault="0069227C" w:rsidP="0069227C">
      <w:pPr>
        <w:pStyle w:val="SingleTxt"/>
        <w:spacing w:after="0" w:line="120" w:lineRule="exact"/>
        <w:rPr>
          <w:i/>
          <w:sz w:val="10"/>
          <w:lang w:val="fr-CH"/>
        </w:rPr>
      </w:pPr>
    </w:p>
    <w:p w:rsidR="00C87138" w:rsidRPr="00F05FF9" w:rsidRDefault="0069227C" w:rsidP="00753F14">
      <w:pPr>
        <w:pStyle w:val="SingleTxt"/>
        <w:rPr>
          <w:lang w:val="fr-CH"/>
        </w:rPr>
      </w:pPr>
      <w:r w:rsidRPr="00F05FF9">
        <w:rPr>
          <w:lang w:val="fr-CH"/>
        </w:rPr>
        <w:tab/>
      </w:r>
      <w:r w:rsidR="00753F14" w:rsidRPr="00F05FF9">
        <w:rPr>
          <w:lang w:val="fr-CH"/>
        </w:rPr>
        <w:t>Projet d</w:t>
      </w:r>
      <w:r w:rsidR="00B164F7" w:rsidRPr="00F05FF9">
        <w:rPr>
          <w:lang w:val="fr-CH"/>
        </w:rPr>
        <w:t>’</w:t>
      </w:r>
      <w:r w:rsidR="00753F14" w:rsidRPr="00F05FF9">
        <w:rPr>
          <w:lang w:val="fr-CH"/>
        </w:rPr>
        <w:t>autoroute transeuropéenne (TEM) (1) et projet de chemin de fer transeuropéen (TER) (1).</w:t>
      </w:r>
    </w:p>
    <w:p w:rsidR="00753F14" w:rsidRPr="00F05FF9" w:rsidRDefault="00753F14">
      <w:pPr>
        <w:spacing w:line="240" w:lineRule="auto"/>
        <w:rPr>
          <w:lang w:val="fr-CH"/>
        </w:rPr>
      </w:pPr>
      <w:r w:rsidRPr="00F05FF9">
        <w:rPr>
          <w:lang w:val="fr-CH"/>
        </w:rPr>
        <w:br w:type="page"/>
      </w:r>
    </w:p>
    <w:p w:rsidR="00753F14" w:rsidRPr="00F05FF9" w:rsidRDefault="00753F14" w:rsidP="00BE0B8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Annexe I</w:t>
      </w:r>
    </w:p>
    <w:p w:rsidR="00BE0B88" w:rsidRPr="00F05FF9" w:rsidRDefault="00BE0B88" w:rsidP="00F80D89">
      <w:pPr>
        <w:spacing w:line="120" w:lineRule="exact"/>
        <w:rPr>
          <w:sz w:val="10"/>
          <w:lang w:val="fr-CH"/>
        </w:rPr>
      </w:pPr>
    </w:p>
    <w:p w:rsidR="00F80D89" w:rsidRPr="00F05FF9" w:rsidRDefault="00F80D89" w:rsidP="00BE0B88">
      <w:pPr>
        <w:spacing w:line="120" w:lineRule="exact"/>
        <w:rPr>
          <w:sz w:val="10"/>
          <w:lang w:val="fr-CH"/>
        </w:rPr>
      </w:pPr>
    </w:p>
    <w:p w:rsidR="00753F14" w:rsidRPr="00F05FF9" w:rsidRDefault="00753F14" w:rsidP="00F80D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05FF9">
        <w:rPr>
          <w:lang w:val="fr-CH"/>
        </w:rPr>
        <w:tab/>
      </w:r>
      <w:r w:rsidRPr="00F05FF9">
        <w:rPr>
          <w:lang w:val="fr-CH"/>
        </w:rPr>
        <w:tab/>
        <w:t xml:space="preserve">Résultats escomptés, indicateurs de succès et mesure </w:t>
      </w:r>
      <w:r w:rsidR="00BE0B88" w:rsidRPr="00F05FF9">
        <w:rPr>
          <w:lang w:val="fr-CH"/>
        </w:rPr>
        <w:br/>
      </w:r>
      <w:r w:rsidRPr="00F05FF9">
        <w:rPr>
          <w:lang w:val="fr-CH"/>
        </w:rPr>
        <w:t>de</w:t>
      </w:r>
      <w:r w:rsidR="004E1E53" w:rsidRPr="00F05FF9">
        <w:rPr>
          <w:lang w:val="fr-CH"/>
        </w:rPr>
        <w:t>s</w:t>
      </w:r>
      <w:r w:rsidRPr="00F05FF9">
        <w:rPr>
          <w:lang w:val="fr-CH"/>
        </w:rPr>
        <w:t xml:space="preserve"> </w:t>
      </w:r>
      <w:r w:rsidR="004E1E53" w:rsidRPr="00F05FF9">
        <w:rPr>
          <w:lang w:val="fr-CH"/>
        </w:rPr>
        <w:t>résultats</w:t>
      </w:r>
      <w:r w:rsidRPr="00F05FF9">
        <w:rPr>
          <w:lang w:val="fr-CH"/>
        </w:rPr>
        <w:t xml:space="preserve"> pour 2016-2017</w:t>
      </w:r>
    </w:p>
    <w:p w:rsidR="00BE0B88" w:rsidRPr="00F05FF9" w:rsidRDefault="00BE0B88" w:rsidP="00BE0B88">
      <w:pPr>
        <w:pStyle w:val="SingleTxt"/>
        <w:spacing w:after="0" w:line="120" w:lineRule="exact"/>
        <w:rPr>
          <w:sz w:val="10"/>
          <w:lang w:val="fr-CH"/>
        </w:rPr>
      </w:pPr>
    </w:p>
    <w:p w:rsidR="00F423AB" w:rsidRPr="00F05FF9" w:rsidRDefault="00F423AB" w:rsidP="00BE0B88">
      <w:pPr>
        <w:pStyle w:val="SingleTxt"/>
        <w:spacing w:after="0" w:line="120" w:lineRule="exact"/>
        <w:rPr>
          <w:sz w:val="10"/>
          <w:lang w:val="fr-CH"/>
        </w:rPr>
      </w:pPr>
    </w:p>
    <w:tbl>
      <w:tblPr>
        <w:tblW w:w="8798" w:type="dxa"/>
        <w:tblInd w:w="1260" w:type="dxa"/>
        <w:tblLayout w:type="fixed"/>
        <w:tblCellMar>
          <w:left w:w="0" w:type="dxa"/>
          <w:right w:w="0" w:type="dxa"/>
        </w:tblCellMar>
        <w:tblLook w:val="0000" w:firstRow="0" w:lastRow="0" w:firstColumn="0" w:lastColumn="0" w:noHBand="0" w:noVBand="0"/>
      </w:tblPr>
      <w:tblGrid>
        <w:gridCol w:w="4399"/>
        <w:gridCol w:w="4399"/>
      </w:tblGrid>
      <w:tr w:rsidR="00F423AB" w:rsidRPr="00F05FF9" w:rsidTr="00F423AB">
        <w:trPr>
          <w:tblHeader/>
        </w:trPr>
        <w:tc>
          <w:tcPr>
            <w:tcW w:w="4399" w:type="dxa"/>
            <w:tcBorders>
              <w:top w:val="single" w:sz="4" w:space="0" w:color="auto"/>
              <w:bottom w:val="single" w:sz="12" w:space="0" w:color="auto"/>
            </w:tcBorders>
            <w:shd w:val="clear" w:color="auto" w:fill="auto"/>
            <w:vAlign w:val="bottom"/>
          </w:tcPr>
          <w:p w:rsidR="00F423AB" w:rsidRPr="00F05FF9" w:rsidRDefault="00F423AB"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Résultats escomptés du secrétariat</w:t>
            </w:r>
          </w:p>
        </w:tc>
        <w:tc>
          <w:tcPr>
            <w:tcW w:w="4399" w:type="dxa"/>
            <w:tcBorders>
              <w:top w:val="single" w:sz="4" w:space="0" w:color="auto"/>
              <w:bottom w:val="single" w:sz="12" w:space="0" w:color="auto"/>
            </w:tcBorders>
            <w:shd w:val="clear" w:color="auto" w:fill="auto"/>
            <w:vAlign w:val="bottom"/>
          </w:tcPr>
          <w:p w:rsidR="00F423AB" w:rsidRPr="00F05FF9" w:rsidRDefault="00F423AB" w:rsidP="00F423AB">
            <w:pPr>
              <w:tabs>
                <w:tab w:val="left" w:pos="288"/>
                <w:tab w:val="left" w:pos="576"/>
                <w:tab w:val="left" w:pos="864"/>
                <w:tab w:val="left" w:pos="1152"/>
              </w:tabs>
              <w:suppressAutoHyphens/>
              <w:spacing w:before="80" w:after="80" w:line="160" w:lineRule="exact"/>
              <w:ind w:right="397"/>
              <w:rPr>
                <w:i/>
                <w:sz w:val="14"/>
                <w:lang w:val="fr-CH"/>
              </w:rPr>
            </w:pPr>
            <w:r w:rsidRPr="00F05FF9">
              <w:rPr>
                <w:i/>
                <w:sz w:val="14"/>
                <w:lang w:val="fr-CH"/>
              </w:rPr>
              <w:t>Indicateurs de succès</w:t>
            </w:r>
          </w:p>
        </w:tc>
      </w:tr>
      <w:tr w:rsidR="00F423AB" w:rsidRPr="00F05FF9" w:rsidTr="00F423AB">
        <w:trPr>
          <w:trHeight w:hRule="exact" w:val="115"/>
          <w:tblHeader/>
        </w:trPr>
        <w:tc>
          <w:tcPr>
            <w:tcW w:w="4399" w:type="dxa"/>
            <w:tcBorders>
              <w:top w:val="single" w:sz="12" w:space="0" w:color="auto"/>
            </w:tcBorders>
            <w:shd w:val="clear" w:color="auto" w:fill="auto"/>
            <w:vAlign w:val="bottom"/>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tcBorders>
              <w:top w:val="single" w:sz="12" w:space="0" w:color="auto"/>
            </w:tcBorders>
            <w:shd w:val="clear" w:color="auto" w:fill="auto"/>
            <w:vAlign w:val="bottom"/>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r w:rsidRPr="00F05FF9">
              <w:rPr>
                <w:lang w:val="fr-CH"/>
              </w:rPr>
              <w:t>a) Renforcement du cadre juridique et réglementaire concernant les transports intérieurs internationaux (routiers, ferroviaires, fluviaux et intermodaux), y compris les infrastructures, la facilitation du passage des frontières, le transport des marchandises dangereuses, la construction automobile et d’autres services liés aux transports</w:t>
            </w: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left="288" w:right="397" w:hanging="288"/>
              <w:rPr>
                <w:lang w:val="fr-CH"/>
              </w:rPr>
            </w:pPr>
            <w:r w:rsidRPr="00F05FF9">
              <w:rPr>
                <w:lang w:val="fr-CH"/>
              </w:rPr>
              <w:t>a)</w:t>
            </w:r>
            <w:r w:rsidRPr="00F05FF9">
              <w:rPr>
                <w:lang w:val="fr-CH"/>
              </w:rPr>
              <w:tab/>
              <w:t>i)</w:t>
            </w:r>
            <w:r w:rsidRPr="00F05FF9">
              <w:rPr>
                <w:lang w:val="fr-CH"/>
              </w:rPr>
              <w:tab/>
            </w:r>
            <w:r w:rsidRPr="00F05FF9">
              <w:rPr>
                <w:i/>
                <w:lang w:val="fr-CH"/>
              </w:rPr>
              <w:t>Accroissement du nombre d’instruments juridiques relatifs aux transports en vigueur qui sont administrés par la CEE par rapport au nombre total d’instruments juridiques des Nations Unies relatifs aux transports administrés par la CEE [pourcentage]</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2012-2013 : 86</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87</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88</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5C0C80">
            <w:pPr>
              <w:tabs>
                <w:tab w:val="left" w:pos="288"/>
                <w:tab w:val="left" w:pos="576"/>
                <w:tab w:val="left" w:pos="864"/>
                <w:tab w:val="left" w:pos="1152"/>
              </w:tabs>
              <w:suppressAutoHyphens/>
              <w:spacing w:before="40" w:after="80"/>
              <w:ind w:left="288" w:right="397" w:hanging="288"/>
              <w:rPr>
                <w:lang w:val="fr-CH"/>
              </w:rPr>
            </w:pPr>
            <w:r w:rsidRPr="00F05FF9">
              <w:rPr>
                <w:lang w:val="fr-CH"/>
              </w:rPr>
              <w:tab/>
              <w:t>ii)</w:t>
            </w:r>
            <w:r w:rsidRPr="00F05FF9">
              <w:rPr>
                <w:lang w:val="fr-CH"/>
              </w:rPr>
              <w:tab/>
            </w:r>
            <w:r w:rsidRPr="00F05FF9">
              <w:rPr>
                <w:i/>
                <w:lang w:val="fr-CH"/>
              </w:rPr>
              <w:t xml:space="preserve">Nombre de nouveaux règlements concernant les véhicules et </w:t>
            </w:r>
            <w:r w:rsidR="005C0C80" w:rsidRPr="00F05FF9">
              <w:rPr>
                <w:i/>
                <w:lang w:val="fr-CH"/>
              </w:rPr>
              <w:t>d’amendements aux</w:t>
            </w:r>
            <w:r w:rsidRPr="00F05FF9">
              <w:rPr>
                <w:i/>
                <w:lang w:val="fr-CH"/>
              </w:rPr>
              <w:t xml:space="preserve"> dispositions existantes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2012-2013 : 130</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100</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100</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B07B56">
            <w:pPr>
              <w:tabs>
                <w:tab w:val="left" w:pos="288"/>
                <w:tab w:val="left" w:pos="576"/>
                <w:tab w:val="left" w:pos="864"/>
                <w:tab w:val="left" w:pos="1152"/>
              </w:tabs>
              <w:suppressAutoHyphens/>
              <w:spacing w:before="40" w:after="80"/>
              <w:ind w:left="288" w:right="397" w:hanging="288"/>
              <w:rPr>
                <w:lang w:val="fr-CH"/>
              </w:rPr>
            </w:pPr>
            <w:r w:rsidRPr="00F05FF9">
              <w:rPr>
                <w:lang w:val="fr-CH"/>
              </w:rPr>
              <w:tab/>
              <w:t>iii)</w:t>
            </w:r>
            <w:r w:rsidRPr="00F05FF9">
              <w:rPr>
                <w:lang w:val="fr-CH"/>
              </w:rPr>
              <w:tab/>
            </w:r>
            <w:r w:rsidR="000E5B97">
              <w:rPr>
                <w:lang w:val="fr-CH"/>
              </w:rPr>
              <w:t xml:space="preserve"> </w:t>
            </w:r>
            <w:r w:rsidRPr="00F05FF9">
              <w:rPr>
                <w:i/>
                <w:lang w:val="fr-CH"/>
              </w:rPr>
              <w:t xml:space="preserve">Nombre d’instruments juridiques internationaux modifiés pour tenir compte de la révision la plus récente des </w:t>
            </w:r>
            <w:r w:rsidR="00B07B56">
              <w:rPr>
                <w:i/>
                <w:lang w:val="fr-CH"/>
              </w:rPr>
              <w:t>r</w:t>
            </w:r>
            <w:r w:rsidRPr="00F05FF9">
              <w:rPr>
                <w:i/>
                <w:lang w:val="fr-CH"/>
              </w:rPr>
              <w:t>ecommandations des Nations Unies relatives au transport des marchandises dangereuses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2012-2013 : 6</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6</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6</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r w:rsidRPr="00F05FF9">
              <w:rPr>
                <w:lang w:val="fr-CH"/>
              </w:rPr>
              <w:t xml:space="preserve">b) Élargissement de la couverture géographique </w:t>
            </w:r>
            <w:r w:rsidRPr="00F05FF9">
              <w:rPr>
                <w:lang w:val="fr-CH"/>
              </w:rPr>
              <w:br/>
              <w:t>et amélioration de l’application des instruments juridiques et des recommandations des Nations Unies relatifs aux transports administrés par la CEE</w:t>
            </w:r>
          </w:p>
        </w:tc>
        <w:tc>
          <w:tcPr>
            <w:tcW w:w="4399" w:type="dxa"/>
            <w:shd w:val="clear" w:color="auto" w:fill="auto"/>
          </w:tcPr>
          <w:p w:rsidR="00F423AB" w:rsidRPr="00F05FF9" w:rsidRDefault="00F423AB" w:rsidP="005C0C80">
            <w:pPr>
              <w:tabs>
                <w:tab w:val="left" w:pos="288"/>
                <w:tab w:val="left" w:pos="576"/>
                <w:tab w:val="left" w:pos="864"/>
                <w:tab w:val="left" w:pos="1152"/>
              </w:tabs>
              <w:suppressAutoHyphens/>
              <w:spacing w:before="40" w:after="80"/>
              <w:ind w:left="288" w:right="397" w:hanging="288"/>
              <w:rPr>
                <w:lang w:val="fr-CH"/>
              </w:rPr>
            </w:pPr>
            <w:r w:rsidRPr="00F05FF9">
              <w:rPr>
                <w:lang w:val="fr-CH"/>
              </w:rPr>
              <w:t>a)</w:t>
            </w:r>
            <w:r w:rsidRPr="00F05FF9">
              <w:rPr>
                <w:lang w:val="fr-CH"/>
              </w:rPr>
              <w:tab/>
              <w:t>i)</w:t>
            </w:r>
            <w:r w:rsidRPr="00F05FF9">
              <w:rPr>
                <w:lang w:val="fr-CH"/>
              </w:rPr>
              <w:tab/>
            </w:r>
            <w:r w:rsidRPr="00F05FF9">
              <w:rPr>
                <w:i/>
                <w:lang w:val="fr-CH"/>
              </w:rPr>
              <w:t xml:space="preserve">Augmentation du nombre de </w:t>
            </w:r>
            <w:r w:rsidR="005C0C80" w:rsidRPr="00F05FF9">
              <w:rPr>
                <w:i/>
                <w:lang w:val="fr-CH"/>
              </w:rPr>
              <w:t>P</w:t>
            </w:r>
            <w:r w:rsidRPr="00F05FF9">
              <w:rPr>
                <w:i/>
                <w:lang w:val="fr-CH"/>
              </w:rPr>
              <w:t>arties contractantes, notamment extérieures à la région, aux instruments juridiques et recommandations des Nations Unies relatifs aux transports administrés par la CEE</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2012-2013 : 1690</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1700</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1710</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left="288" w:right="397" w:hanging="288"/>
              <w:rPr>
                <w:lang w:val="fr-CH"/>
              </w:rPr>
            </w:pPr>
            <w:r w:rsidRPr="00F05FF9">
              <w:rPr>
                <w:lang w:val="fr-CH"/>
              </w:rPr>
              <w:tab/>
              <w:t>ii)</w:t>
            </w:r>
            <w:r w:rsidRPr="00F05FF9">
              <w:rPr>
                <w:lang w:val="fr-CH"/>
              </w:rPr>
              <w:tab/>
            </w:r>
            <w:r w:rsidRPr="00F05FF9">
              <w:rPr>
                <w:i/>
                <w:lang w:val="fr-CH"/>
              </w:rPr>
              <w:t>Augmentation du nombre de mécanismes de suivi de l’application des instruments juridiques et recommandations des Nations Unies relatifs aux transports administrés par la CEE</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F423AB" w:rsidRPr="00F05FF9">
              <w:rPr>
                <w:lang w:val="fr-CH"/>
              </w:rPr>
              <w:t>Mesure des résultats</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F423AB" w:rsidRPr="00F05FF9">
              <w:rPr>
                <w:lang w:val="fr-CH"/>
              </w:rPr>
              <w:t>2012-2013 : 7</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F423AB" w:rsidRPr="00F05FF9">
              <w:rPr>
                <w:lang w:val="fr-CH"/>
              </w:rPr>
              <w:t>Estimation 2014-2015 : 7</w:t>
            </w:r>
          </w:p>
        </w:tc>
      </w:tr>
      <w:tr w:rsidR="00F423AB" w:rsidRPr="00F05FF9" w:rsidTr="00F423AB">
        <w:tc>
          <w:tcPr>
            <w:tcW w:w="4399" w:type="dxa"/>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F423AB"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F423AB" w:rsidRPr="00F05FF9">
              <w:rPr>
                <w:lang w:val="fr-CH"/>
              </w:rPr>
              <w:t>Objectif 2016-2017 : 8</w:t>
            </w:r>
          </w:p>
        </w:tc>
      </w:tr>
      <w:tr w:rsidR="00F423AB" w:rsidRPr="00F05FF9" w:rsidTr="00F423AB">
        <w:tc>
          <w:tcPr>
            <w:tcW w:w="4399" w:type="dxa"/>
            <w:shd w:val="clear" w:color="auto" w:fill="auto"/>
          </w:tcPr>
          <w:p w:rsidR="00F423AB" w:rsidRPr="00F05FF9" w:rsidRDefault="005C0C80" w:rsidP="005C0C80">
            <w:pPr>
              <w:tabs>
                <w:tab w:val="left" w:pos="288"/>
                <w:tab w:val="left" w:pos="576"/>
                <w:tab w:val="left" w:pos="864"/>
                <w:tab w:val="left" w:pos="1152"/>
              </w:tabs>
              <w:suppressAutoHyphens/>
              <w:spacing w:before="40" w:after="80"/>
              <w:ind w:right="40"/>
              <w:rPr>
                <w:lang w:val="fr-CH"/>
              </w:rPr>
            </w:pPr>
            <w:r w:rsidRPr="00F05FF9">
              <w:rPr>
                <w:lang w:val="fr-CH"/>
              </w:rPr>
              <w:t xml:space="preserve">c) Renforcement de la capacité des États </w:t>
            </w:r>
            <w:r w:rsidR="008F3B85" w:rsidRPr="00F05FF9">
              <w:rPr>
                <w:lang w:val="fr-CH"/>
              </w:rPr>
              <w:br/>
            </w:r>
            <w:r w:rsidRPr="00F05FF9">
              <w:rPr>
                <w:lang w:val="fr-CH"/>
              </w:rPr>
              <w:t xml:space="preserve">membres de la CEE, particulièrement les pays </w:t>
            </w:r>
            <w:r w:rsidR="008F3B85" w:rsidRPr="00F05FF9">
              <w:rPr>
                <w:lang w:val="fr-CH"/>
              </w:rPr>
              <w:br/>
            </w:r>
            <w:r w:rsidRPr="00F05FF9">
              <w:rPr>
                <w:lang w:val="fr-CH"/>
              </w:rPr>
              <w:t xml:space="preserve">en développement sans littoral, en ce qui concerne le développement d’infrastructures de transport paneuropéennes et transcontinentales et la mise </w:t>
            </w:r>
            <w:r w:rsidR="008F3B85" w:rsidRPr="00F05FF9">
              <w:rPr>
                <w:lang w:val="fr-CH"/>
              </w:rPr>
              <w:br/>
            </w:r>
            <w:r w:rsidRPr="00F05FF9">
              <w:rPr>
                <w:lang w:val="fr-CH"/>
              </w:rPr>
              <w:t>en place de mesures destinées à faciliter les transports</w:t>
            </w:r>
          </w:p>
        </w:tc>
        <w:tc>
          <w:tcPr>
            <w:tcW w:w="4399" w:type="dxa"/>
            <w:shd w:val="clear" w:color="auto" w:fill="auto"/>
          </w:tcPr>
          <w:p w:rsidR="00F423AB"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w:t>
            </w:r>
            <w:r w:rsidRPr="00F05FF9">
              <w:rPr>
                <w:lang w:val="fr-CH"/>
              </w:rPr>
              <w:tab/>
              <w:t>i)</w:t>
            </w:r>
            <w:r w:rsidRPr="00F05FF9">
              <w:rPr>
                <w:lang w:val="fr-CH"/>
              </w:rPr>
              <w:tab/>
            </w:r>
            <w:r w:rsidRPr="00F05FF9">
              <w:rPr>
                <w:i/>
                <w:lang w:val="fr-CH"/>
              </w:rPr>
              <w:t xml:space="preserve">Nombre d’activités de renforcement </w:t>
            </w:r>
            <w:r w:rsidRPr="00F05FF9">
              <w:rPr>
                <w:i/>
                <w:lang w:val="fr-CH"/>
              </w:rPr>
              <w:tab/>
              <w:t>des capacités relatives aux transports</w:t>
            </w:r>
          </w:p>
          <w:p w:rsidR="008F3B85" w:rsidRPr="00F05FF9" w:rsidRDefault="008F3B85"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p w:rsidR="008F3B85" w:rsidRPr="00F05FF9" w:rsidRDefault="008F3B85" w:rsidP="00F423AB">
            <w:pPr>
              <w:tabs>
                <w:tab w:val="left" w:pos="288"/>
                <w:tab w:val="left" w:pos="576"/>
                <w:tab w:val="left" w:pos="864"/>
                <w:tab w:val="left" w:pos="1152"/>
              </w:tabs>
              <w:suppressAutoHyphens/>
              <w:spacing w:before="40" w:after="80"/>
              <w:ind w:right="397"/>
              <w:rPr>
                <w:lang w:val="fr-CH"/>
              </w:rPr>
            </w:pPr>
            <w:r w:rsidRPr="00F05FF9">
              <w:rPr>
                <w:lang w:val="fr-CH"/>
              </w:rPr>
              <w:tab/>
              <w:t>2012-2013 : 114</w:t>
            </w:r>
          </w:p>
          <w:p w:rsidR="008F3B85" w:rsidRPr="00F05FF9" w:rsidRDefault="008F3B85"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115</w:t>
            </w:r>
          </w:p>
          <w:p w:rsidR="008F3B85" w:rsidRPr="00F05FF9" w:rsidRDefault="008F3B85"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116</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5C0C80">
            <w:pPr>
              <w:tabs>
                <w:tab w:val="left" w:pos="288"/>
                <w:tab w:val="left" w:pos="576"/>
                <w:tab w:val="left" w:pos="864"/>
                <w:tab w:val="left" w:pos="1152"/>
              </w:tabs>
              <w:suppressAutoHyphens/>
              <w:spacing w:before="40" w:after="80"/>
              <w:ind w:left="288" w:right="397" w:hanging="288"/>
              <w:rPr>
                <w:lang w:val="fr-CH"/>
              </w:rPr>
            </w:pPr>
            <w:r w:rsidRPr="00F05FF9">
              <w:rPr>
                <w:lang w:val="fr-CH"/>
              </w:rPr>
              <w:tab/>
              <w:t>ii)</w:t>
            </w:r>
            <w:r w:rsidRPr="00F05FF9">
              <w:rPr>
                <w:lang w:val="fr-CH"/>
              </w:rPr>
              <w:tab/>
            </w:r>
            <w:r w:rsidRPr="00F05FF9">
              <w:rPr>
                <w:i/>
                <w:lang w:val="fr-CH"/>
              </w:rPr>
              <w:t>Augmentation du nombre d’États Membres de l’ONU participant à des projets sous-régionaux de la CEE relatifs aux infrastructures de transport</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2012-2013 : 52</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53</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55</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r w:rsidRPr="00F05FF9">
              <w:rPr>
                <w:lang w:val="fr-CH"/>
              </w:rPr>
              <w:t xml:space="preserve">d) Renforcement de la capacité d’appliquer les instruments juridiques, règles et normes de la CEE pertinents, en particulier dans les pays de l’Europe orientale et de l’Europe du Sud-Est, </w:t>
            </w:r>
            <w:r w:rsidR="008F3B85" w:rsidRPr="00F05FF9">
              <w:rPr>
                <w:lang w:val="fr-CH"/>
              </w:rPr>
              <w:br/>
            </w:r>
            <w:r w:rsidRPr="00F05FF9">
              <w:rPr>
                <w:lang w:val="fr-CH"/>
              </w:rPr>
              <w:t>du Caucase et de l’Asie centrale</w:t>
            </w:r>
          </w:p>
        </w:tc>
        <w:tc>
          <w:tcPr>
            <w:tcW w:w="4399" w:type="dxa"/>
            <w:shd w:val="clear" w:color="auto" w:fill="auto"/>
          </w:tcPr>
          <w:p w:rsidR="005C0C80" w:rsidRPr="00F05FF9" w:rsidRDefault="005C0C80" w:rsidP="005C0C80">
            <w:pPr>
              <w:tabs>
                <w:tab w:val="left" w:pos="288"/>
                <w:tab w:val="left" w:pos="576"/>
                <w:tab w:val="left" w:pos="864"/>
                <w:tab w:val="left" w:pos="1152"/>
              </w:tabs>
              <w:suppressAutoHyphens/>
              <w:spacing w:before="40" w:after="80"/>
              <w:ind w:left="288" w:right="397" w:hanging="288"/>
              <w:rPr>
                <w:lang w:val="fr-CH"/>
              </w:rPr>
            </w:pPr>
            <w:r w:rsidRPr="00F05FF9">
              <w:rPr>
                <w:lang w:val="fr-CH"/>
              </w:rPr>
              <w:t>a)</w:t>
            </w:r>
            <w:r w:rsidRPr="00F05FF9">
              <w:rPr>
                <w:lang w:val="fr-CH"/>
              </w:rPr>
              <w:tab/>
              <w:t>i)</w:t>
            </w:r>
            <w:r w:rsidRPr="00F05FF9">
              <w:rPr>
                <w:lang w:val="fr-CH"/>
              </w:rPr>
              <w:tab/>
            </w:r>
            <w:r w:rsidRPr="00F05FF9">
              <w:rPr>
                <w:i/>
                <w:lang w:val="fr-CH"/>
              </w:rPr>
              <w:t>Nombre d’activités de renforcement des capacités relatives aux transports</w:t>
            </w:r>
          </w:p>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Mesure des résultats</w:t>
            </w:r>
          </w:p>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2012-2013 : -</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Estimation 2014-2015 : -</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397"/>
              <w:rPr>
                <w:lang w:val="fr-CH"/>
              </w:rPr>
            </w:pPr>
            <w:r w:rsidRPr="00F05FF9">
              <w:rPr>
                <w:lang w:val="fr-CH"/>
              </w:rPr>
              <w:tab/>
              <w:t>Objectif 2016-2017 : 29</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5C0C80" w:rsidP="005C0C80">
            <w:pPr>
              <w:tabs>
                <w:tab w:val="left" w:pos="288"/>
                <w:tab w:val="left" w:pos="576"/>
                <w:tab w:val="left" w:pos="864"/>
                <w:tab w:val="left" w:pos="1152"/>
              </w:tabs>
              <w:suppressAutoHyphens/>
              <w:spacing w:before="40" w:after="80"/>
              <w:ind w:left="288" w:right="397" w:hanging="288"/>
              <w:rPr>
                <w:lang w:val="fr-CH"/>
              </w:rPr>
            </w:pPr>
            <w:r w:rsidRPr="00F05FF9">
              <w:rPr>
                <w:lang w:val="fr-CH"/>
              </w:rPr>
              <w:tab/>
              <w:t>ii)</w:t>
            </w:r>
            <w:r w:rsidRPr="00F05FF9">
              <w:rPr>
                <w:lang w:val="fr-CH"/>
              </w:rPr>
              <w:tab/>
            </w:r>
            <w:r w:rsidRPr="00F05FF9">
              <w:rPr>
                <w:i/>
                <w:lang w:val="fr-CH"/>
              </w:rPr>
              <w:t>Augmentation du nombre d’États membres de la CEE ayant défini des objectifs de renforcement de la sécurité routière</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C775A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5C0C80" w:rsidRPr="00F05FF9">
              <w:rPr>
                <w:lang w:val="fr-CH"/>
              </w:rPr>
              <w:t>Mesure des résultats</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C775A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5C0C80" w:rsidRPr="00F05FF9">
              <w:rPr>
                <w:lang w:val="fr-CH"/>
              </w:rPr>
              <w:t>2012-2013 : 30</w:t>
            </w:r>
          </w:p>
        </w:tc>
      </w:tr>
      <w:tr w:rsidR="005C0C80" w:rsidRPr="00F05FF9" w:rsidTr="00F423AB">
        <w:tc>
          <w:tcPr>
            <w:tcW w:w="4399" w:type="dxa"/>
            <w:shd w:val="clear" w:color="auto" w:fill="auto"/>
          </w:tcPr>
          <w:p w:rsidR="005C0C80" w:rsidRPr="00F05FF9" w:rsidRDefault="005C0C80" w:rsidP="00F423AB">
            <w:pPr>
              <w:tabs>
                <w:tab w:val="left" w:pos="288"/>
                <w:tab w:val="left" w:pos="576"/>
                <w:tab w:val="left" w:pos="864"/>
                <w:tab w:val="left" w:pos="1152"/>
              </w:tabs>
              <w:suppressAutoHyphens/>
              <w:spacing w:before="40" w:after="80"/>
              <w:ind w:right="40"/>
              <w:rPr>
                <w:lang w:val="fr-CH"/>
              </w:rPr>
            </w:pPr>
          </w:p>
        </w:tc>
        <w:tc>
          <w:tcPr>
            <w:tcW w:w="4399" w:type="dxa"/>
            <w:shd w:val="clear" w:color="auto" w:fill="auto"/>
          </w:tcPr>
          <w:p w:rsidR="005C0C80" w:rsidRPr="00F05FF9" w:rsidRDefault="00C775A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5C0C80" w:rsidRPr="00F05FF9">
              <w:rPr>
                <w:lang w:val="fr-CH"/>
              </w:rPr>
              <w:t>Estimation 2014-2015 : 37</w:t>
            </w:r>
          </w:p>
        </w:tc>
      </w:tr>
      <w:tr w:rsidR="00F423AB" w:rsidRPr="00F05FF9" w:rsidTr="00F423AB">
        <w:tc>
          <w:tcPr>
            <w:tcW w:w="4399" w:type="dxa"/>
            <w:tcBorders>
              <w:bottom w:val="single" w:sz="12" w:space="0" w:color="auto"/>
            </w:tcBorders>
            <w:shd w:val="clear" w:color="auto" w:fill="auto"/>
          </w:tcPr>
          <w:p w:rsidR="00F423AB" w:rsidRPr="00F05FF9" w:rsidRDefault="00F423AB" w:rsidP="00F423AB">
            <w:pPr>
              <w:tabs>
                <w:tab w:val="left" w:pos="288"/>
                <w:tab w:val="left" w:pos="576"/>
                <w:tab w:val="left" w:pos="864"/>
                <w:tab w:val="left" w:pos="1152"/>
              </w:tabs>
              <w:suppressAutoHyphens/>
              <w:spacing w:before="40" w:after="80"/>
              <w:ind w:right="40"/>
              <w:rPr>
                <w:lang w:val="fr-CH"/>
              </w:rPr>
            </w:pPr>
          </w:p>
        </w:tc>
        <w:tc>
          <w:tcPr>
            <w:tcW w:w="4399" w:type="dxa"/>
            <w:tcBorders>
              <w:bottom w:val="single" w:sz="12" w:space="0" w:color="auto"/>
            </w:tcBorders>
            <w:shd w:val="clear" w:color="auto" w:fill="auto"/>
          </w:tcPr>
          <w:p w:rsidR="00F423AB" w:rsidRPr="00F05FF9" w:rsidRDefault="00C775A0" w:rsidP="00F423AB">
            <w:pPr>
              <w:tabs>
                <w:tab w:val="left" w:pos="288"/>
                <w:tab w:val="left" w:pos="576"/>
                <w:tab w:val="left" w:pos="864"/>
                <w:tab w:val="left" w:pos="1152"/>
              </w:tabs>
              <w:suppressAutoHyphens/>
              <w:spacing w:before="40" w:after="80"/>
              <w:ind w:right="397"/>
              <w:rPr>
                <w:lang w:val="fr-CH"/>
              </w:rPr>
            </w:pPr>
            <w:r w:rsidRPr="00F05FF9">
              <w:rPr>
                <w:lang w:val="fr-CH"/>
              </w:rPr>
              <w:tab/>
            </w:r>
            <w:r w:rsidR="005C0C80" w:rsidRPr="00F05FF9">
              <w:rPr>
                <w:lang w:val="fr-CH"/>
              </w:rPr>
              <w:t>Objectif 2016-2017 : 40</w:t>
            </w:r>
          </w:p>
        </w:tc>
      </w:tr>
    </w:tbl>
    <w:p w:rsidR="00753F14" w:rsidRPr="00F05FF9" w:rsidRDefault="00753F14">
      <w:pPr>
        <w:spacing w:line="240" w:lineRule="auto"/>
        <w:rPr>
          <w:lang w:val="fr-CH"/>
        </w:rPr>
      </w:pPr>
      <w:r w:rsidRPr="00F05FF9">
        <w:rPr>
          <w:lang w:val="fr-CH"/>
        </w:rPr>
        <w:br w:type="page"/>
      </w:r>
    </w:p>
    <w:p w:rsidR="00753F14" w:rsidRPr="00F05FF9" w:rsidRDefault="00753F14" w:rsidP="005C0C8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Annexe II</w:t>
      </w:r>
    </w:p>
    <w:p w:rsidR="005C0C80" w:rsidRPr="00F05FF9" w:rsidRDefault="005C0C80" w:rsidP="00C775A0">
      <w:pPr>
        <w:spacing w:line="120" w:lineRule="exact"/>
        <w:ind w:firstLine="475"/>
        <w:rPr>
          <w:sz w:val="10"/>
          <w:lang w:val="fr-CH"/>
        </w:rPr>
      </w:pPr>
    </w:p>
    <w:p w:rsidR="00C775A0" w:rsidRPr="00F05FF9" w:rsidRDefault="00C775A0" w:rsidP="00C775A0">
      <w:pPr>
        <w:spacing w:line="120" w:lineRule="exact"/>
        <w:ind w:firstLine="475"/>
        <w:rPr>
          <w:sz w:val="10"/>
          <w:lang w:val="fr-CH"/>
        </w:rPr>
      </w:pPr>
    </w:p>
    <w:p w:rsidR="00753F14" w:rsidRPr="00F05FF9" w:rsidRDefault="00753F14" w:rsidP="005C0C8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r>
      <w:r w:rsidRPr="00F05FF9">
        <w:rPr>
          <w:lang w:val="fr-CH"/>
        </w:rPr>
        <w:tab/>
        <w:t>Détail des publications proposées pour 2016-2017</w:t>
      </w:r>
    </w:p>
    <w:p w:rsidR="005C0C80" w:rsidRPr="00F05FF9" w:rsidRDefault="005C0C80" w:rsidP="005C0C80">
      <w:pPr>
        <w:spacing w:line="120" w:lineRule="exact"/>
        <w:rPr>
          <w:sz w:val="10"/>
          <w:lang w:val="fr-CH"/>
        </w:rPr>
      </w:pPr>
    </w:p>
    <w:p w:rsidR="005C0C80" w:rsidRPr="00F05FF9" w:rsidRDefault="005C0C80" w:rsidP="005C0C80">
      <w:pPr>
        <w:spacing w:line="120" w:lineRule="exact"/>
        <w:rPr>
          <w:sz w:val="10"/>
          <w:lang w:val="fr-CH"/>
        </w:rPr>
      </w:pPr>
    </w:p>
    <w:p w:rsidR="00753F14" w:rsidRPr="00F05FF9" w:rsidRDefault="00753F14" w:rsidP="005C0C8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A.</w:t>
      </w:r>
      <w:r w:rsidRPr="00F05FF9">
        <w:rPr>
          <w:lang w:val="fr-CH"/>
        </w:rPr>
        <w:tab/>
        <w:t>Publications en série</w:t>
      </w:r>
    </w:p>
    <w:p w:rsidR="005C0C80" w:rsidRPr="00F05FF9" w:rsidRDefault="005C0C80" w:rsidP="005A15C2">
      <w:pPr>
        <w:pStyle w:val="SingleTxt"/>
        <w:spacing w:after="0" w:line="120" w:lineRule="exact"/>
        <w:rPr>
          <w:sz w:val="10"/>
          <w:lang w:val="fr-CH"/>
        </w:rPr>
      </w:pPr>
    </w:p>
    <w:p w:rsidR="005A15C2" w:rsidRPr="00F05FF9" w:rsidRDefault="005A15C2" w:rsidP="005A15C2">
      <w:pPr>
        <w:pStyle w:val="SingleTxt"/>
        <w:spacing w:after="0" w:line="120" w:lineRule="exact"/>
        <w:rPr>
          <w:sz w:val="10"/>
          <w:lang w:val="fr-CH"/>
        </w:rPr>
      </w:pPr>
    </w:p>
    <w:tbl>
      <w:tblPr>
        <w:tblW w:w="8784" w:type="dxa"/>
        <w:tblInd w:w="1260" w:type="dxa"/>
        <w:tblLayout w:type="fixed"/>
        <w:tblCellMar>
          <w:left w:w="0" w:type="dxa"/>
          <w:right w:w="0" w:type="dxa"/>
        </w:tblCellMar>
        <w:tblLook w:val="0000" w:firstRow="0" w:lastRow="0" w:firstColumn="0" w:lastColumn="0" w:noHBand="0" w:noVBand="0"/>
      </w:tblPr>
      <w:tblGrid>
        <w:gridCol w:w="369"/>
        <w:gridCol w:w="1521"/>
        <w:gridCol w:w="1413"/>
        <w:gridCol w:w="1062"/>
        <w:gridCol w:w="585"/>
        <w:gridCol w:w="1080"/>
        <w:gridCol w:w="885"/>
        <w:gridCol w:w="941"/>
        <w:gridCol w:w="928"/>
      </w:tblGrid>
      <w:tr w:rsidR="00B27CA5" w:rsidRPr="00F05FF9" w:rsidTr="00907643">
        <w:trPr>
          <w:tblHeader/>
        </w:trPr>
        <w:tc>
          <w:tcPr>
            <w:tcW w:w="369"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0"/>
              <w:rPr>
                <w:i/>
                <w:sz w:val="14"/>
                <w:lang w:val="fr-CH"/>
              </w:rPr>
            </w:pPr>
            <w:r w:rsidRPr="00F05FF9">
              <w:rPr>
                <w:i/>
                <w:sz w:val="14"/>
                <w:lang w:val="fr-CH"/>
              </w:rPr>
              <w:t>N</w:t>
            </w:r>
            <w:r w:rsidRPr="00F05FF9">
              <w:rPr>
                <w:i/>
                <w:sz w:val="14"/>
                <w:vertAlign w:val="superscript"/>
                <w:lang w:val="fr-CH"/>
              </w:rPr>
              <w:t>o</w:t>
            </w:r>
          </w:p>
        </w:tc>
        <w:tc>
          <w:tcPr>
            <w:tcW w:w="1521"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Titre de la publication</w:t>
            </w:r>
          </w:p>
        </w:tc>
        <w:tc>
          <w:tcPr>
            <w:tcW w:w="1413"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Mandat</w:t>
            </w:r>
          </w:p>
        </w:tc>
        <w:tc>
          <w:tcPr>
            <w:tcW w:w="1062"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 xml:space="preserve">Version </w:t>
            </w:r>
            <w:r w:rsidR="008F3B85" w:rsidRPr="00F05FF9">
              <w:rPr>
                <w:i/>
                <w:sz w:val="14"/>
                <w:lang w:val="fr-CH"/>
              </w:rPr>
              <w:br/>
            </w:r>
            <w:r w:rsidRPr="00F05FF9">
              <w:rPr>
                <w:i/>
                <w:sz w:val="14"/>
                <w:lang w:val="fr-CH"/>
              </w:rPr>
              <w:t>papier et/ou électronique</w:t>
            </w:r>
          </w:p>
        </w:tc>
        <w:tc>
          <w:tcPr>
            <w:tcW w:w="585" w:type="dxa"/>
            <w:tcBorders>
              <w:top w:val="single" w:sz="4" w:space="0" w:color="auto"/>
              <w:bottom w:val="single" w:sz="12" w:space="0" w:color="auto"/>
            </w:tcBorders>
            <w:shd w:val="clear" w:color="auto" w:fill="auto"/>
            <w:vAlign w:val="bottom"/>
          </w:tcPr>
          <w:p w:rsidR="003F6C8F" w:rsidRPr="00F05FF9" w:rsidRDefault="00B27CA5"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Format</w:t>
            </w:r>
          </w:p>
        </w:tc>
        <w:tc>
          <w:tcPr>
            <w:tcW w:w="1080"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 xml:space="preserve">Nombre </w:t>
            </w:r>
            <w:r w:rsidR="008F3B85" w:rsidRPr="00F05FF9">
              <w:rPr>
                <w:i/>
                <w:sz w:val="14"/>
                <w:lang w:val="fr-CH"/>
              </w:rPr>
              <w:br/>
            </w:r>
            <w:r w:rsidRPr="00F05FF9">
              <w:rPr>
                <w:i/>
                <w:sz w:val="14"/>
                <w:lang w:val="fr-CH"/>
              </w:rPr>
              <w:t>de pages</w:t>
            </w:r>
          </w:p>
        </w:tc>
        <w:tc>
          <w:tcPr>
            <w:tcW w:w="885"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Langue(s) originale(s)</w:t>
            </w:r>
            <w:r w:rsidRPr="00F05FF9">
              <w:rPr>
                <w:i/>
                <w:sz w:val="14"/>
                <w:vertAlign w:val="superscript"/>
                <w:lang w:val="fr-CH"/>
              </w:rPr>
              <w:t>1</w:t>
            </w:r>
          </w:p>
        </w:tc>
        <w:tc>
          <w:tcPr>
            <w:tcW w:w="941"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Traduction(s)</w:t>
            </w:r>
            <w:r w:rsidRPr="00F05FF9">
              <w:rPr>
                <w:i/>
                <w:sz w:val="14"/>
                <w:vertAlign w:val="superscript"/>
                <w:lang w:val="fr-CH"/>
              </w:rPr>
              <w:t>1</w:t>
            </w:r>
          </w:p>
        </w:tc>
        <w:tc>
          <w:tcPr>
            <w:tcW w:w="928" w:type="dxa"/>
            <w:tcBorders>
              <w:top w:val="single" w:sz="4" w:space="0" w:color="auto"/>
              <w:bottom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Nombre d’exemplaires et langue(s)</w:t>
            </w:r>
          </w:p>
        </w:tc>
      </w:tr>
      <w:tr w:rsidR="005A15C2" w:rsidRPr="00F05FF9" w:rsidTr="00907643">
        <w:trPr>
          <w:trHeight w:hRule="exact" w:val="115"/>
          <w:tblHeader/>
        </w:trPr>
        <w:tc>
          <w:tcPr>
            <w:tcW w:w="369"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40"/>
              <w:rPr>
                <w:lang w:val="fr-CH"/>
              </w:rPr>
            </w:pPr>
          </w:p>
        </w:tc>
        <w:tc>
          <w:tcPr>
            <w:tcW w:w="1521"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1413"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1062"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585"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1080"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885"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941"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c>
          <w:tcPr>
            <w:tcW w:w="928" w:type="dxa"/>
            <w:tcBorders>
              <w:top w:val="single" w:sz="12" w:space="0" w:color="auto"/>
            </w:tcBorders>
            <w:shd w:val="clear" w:color="auto" w:fill="auto"/>
            <w:vAlign w:val="bottom"/>
          </w:tcPr>
          <w:p w:rsidR="003F6C8F" w:rsidRPr="00F05FF9" w:rsidRDefault="003F6C8F" w:rsidP="003F6C8F">
            <w:pPr>
              <w:tabs>
                <w:tab w:val="left" w:pos="288"/>
                <w:tab w:val="left" w:pos="576"/>
                <w:tab w:val="left" w:pos="864"/>
                <w:tab w:val="left" w:pos="1152"/>
              </w:tabs>
              <w:suppressAutoHyphens/>
              <w:spacing w:before="40" w:after="80"/>
              <w:ind w:right="397"/>
              <w:rPr>
                <w:lang w:val="fr-CH"/>
              </w:rPr>
            </w:pPr>
          </w:p>
        </w:tc>
      </w:tr>
      <w:tr w:rsidR="00B27CA5" w:rsidRPr="00F05FF9" w:rsidTr="00907643">
        <w:trPr>
          <w:trHeight w:val="238"/>
        </w:trPr>
        <w:tc>
          <w:tcPr>
            <w:tcW w:w="369"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w:t>
            </w:r>
          </w:p>
        </w:tc>
        <w:tc>
          <w:tcPr>
            <w:tcW w:w="1521"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Manuel TIR</w:t>
            </w:r>
          </w:p>
        </w:tc>
        <w:tc>
          <w:tcPr>
            <w:tcW w:w="1413" w:type="dxa"/>
            <w:shd w:val="clear" w:color="auto" w:fill="auto"/>
          </w:tcPr>
          <w:p w:rsidR="003F6C8F" w:rsidRPr="00F05FF9" w:rsidRDefault="003F6C8F" w:rsidP="008F3B8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Résolution ECOSOC n</w:t>
            </w:r>
            <w:r w:rsidR="008F3B85" w:rsidRPr="00F05FF9">
              <w:rPr>
                <w:sz w:val="18"/>
                <w:szCs w:val="18"/>
                <w:vertAlign w:val="superscript"/>
                <w:lang w:val="fr-CH"/>
              </w:rPr>
              <w:t>o</w:t>
            </w:r>
            <w:r w:rsidR="008F3B85" w:rsidRPr="00F05FF9">
              <w:rPr>
                <w:sz w:val="18"/>
                <w:szCs w:val="18"/>
                <w:lang w:val="fr-CH"/>
              </w:rPr>
              <w:t> </w:t>
            </w:r>
            <w:r w:rsidRPr="00F05FF9">
              <w:rPr>
                <w:sz w:val="18"/>
                <w:szCs w:val="18"/>
                <w:lang w:val="fr-CH"/>
              </w:rPr>
              <w:t>1984179, par. 2 et ECE/</w:t>
            </w:r>
            <w:r w:rsidR="00FE7A01" w:rsidRPr="00F05FF9">
              <w:rPr>
                <w:sz w:val="18"/>
                <w:szCs w:val="18"/>
                <w:lang w:val="fr-CH"/>
              </w:rPr>
              <w:br/>
            </w:r>
            <w:r w:rsidRPr="00F05FF9">
              <w:rPr>
                <w:sz w:val="18"/>
                <w:szCs w:val="18"/>
                <w:lang w:val="fr-CH"/>
              </w:rPr>
              <w:t>TRANS/WP.30/</w:t>
            </w:r>
            <w:r w:rsidR="00FE7A01" w:rsidRPr="00F05FF9">
              <w:rPr>
                <w:sz w:val="18"/>
                <w:szCs w:val="18"/>
                <w:lang w:val="fr-CH"/>
              </w:rPr>
              <w:br/>
            </w:r>
            <w:r w:rsidRPr="00F05FF9">
              <w:rPr>
                <w:sz w:val="18"/>
                <w:szCs w:val="18"/>
                <w:lang w:val="fr-CH"/>
              </w:rPr>
              <w:t>244, par.</w:t>
            </w:r>
            <w:r w:rsidR="00B27CA5" w:rsidRPr="00F05FF9">
              <w:rPr>
                <w:sz w:val="18"/>
                <w:szCs w:val="18"/>
                <w:lang w:val="fr-CH"/>
              </w:rPr>
              <w:t> </w:t>
            </w:r>
            <w:r w:rsidRPr="00F05FF9">
              <w:rPr>
                <w:sz w:val="18"/>
                <w:szCs w:val="18"/>
                <w:lang w:val="fr-CH"/>
              </w:rPr>
              <w:t>387</w:t>
            </w:r>
          </w:p>
        </w:tc>
        <w:tc>
          <w:tcPr>
            <w:tcW w:w="1062"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Versions papier et électronique</w:t>
            </w:r>
          </w:p>
        </w:tc>
        <w:tc>
          <w:tcPr>
            <w:tcW w:w="585"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365</w:t>
            </w:r>
          </w:p>
        </w:tc>
        <w:tc>
          <w:tcPr>
            <w:tcW w:w="885"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 F, R,</w:t>
            </w:r>
            <w:r w:rsidR="005A15C2" w:rsidRPr="00F05FF9">
              <w:rPr>
                <w:sz w:val="18"/>
                <w:szCs w:val="18"/>
                <w:lang w:val="fr-CH"/>
              </w:rPr>
              <w:t xml:space="preserve"> </w:t>
            </w:r>
            <w:r w:rsidR="00FE7A01" w:rsidRPr="00F05FF9">
              <w:rPr>
                <w:sz w:val="18"/>
                <w:szCs w:val="18"/>
                <w:lang w:val="fr-CH"/>
              </w:rPr>
              <w:br/>
            </w:r>
            <w:r w:rsidRPr="00F05FF9">
              <w:rPr>
                <w:sz w:val="18"/>
                <w:szCs w:val="18"/>
                <w:lang w:val="fr-CH"/>
              </w:rPr>
              <w:t>A, C et S</w:t>
            </w:r>
          </w:p>
        </w:tc>
        <w:tc>
          <w:tcPr>
            <w:tcW w:w="941" w:type="dxa"/>
            <w:shd w:val="clear" w:color="auto" w:fill="auto"/>
          </w:tcPr>
          <w:p w:rsidR="003F6C8F" w:rsidRPr="00F05FF9" w:rsidRDefault="003F6C8F" w:rsidP="00390C30">
            <w:pPr>
              <w:tabs>
                <w:tab w:val="left" w:pos="288"/>
                <w:tab w:val="left" w:pos="576"/>
                <w:tab w:val="left" w:pos="864"/>
                <w:tab w:val="left" w:pos="1152"/>
              </w:tabs>
              <w:suppressAutoHyphens/>
              <w:spacing w:before="40" w:after="80" w:line="220" w:lineRule="exact"/>
              <w:ind w:right="43"/>
              <w:rPr>
                <w:sz w:val="18"/>
                <w:szCs w:val="18"/>
                <w:lang w:val="fr-CH"/>
              </w:rPr>
            </w:pPr>
          </w:p>
        </w:tc>
        <w:tc>
          <w:tcPr>
            <w:tcW w:w="928"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E-500, </w:t>
            </w:r>
            <w:r w:rsidR="00FE7A01" w:rsidRPr="00F05FF9">
              <w:rPr>
                <w:sz w:val="18"/>
                <w:szCs w:val="18"/>
                <w:lang w:val="fr-CH"/>
              </w:rPr>
              <w:br/>
            </w:r>
            <w:r w:rsidRPr="00F05FF9">
              <w:rPr>
                <w:sz w:val="18"/>
                <w:szCs w:val="18"/>
                <w:lang w:val="fr-CH"/>
              </w:rPr>
              <w:t xml:space="preserve">R-400, </w:t>
            </w:r>
            <w:r w:rsidR="00FE7A01" w:rsidRPr="00F05FF9">
              <w:rPr>
                <w:sz w:val="18"/>
                <w:szCs w:val="18"/>
                <w:lang w:val="fr-CH"/>
              </w:rPr>
              <w:br/>
              <w:t>F-</w:t>
            </w:r>
            <w:r w:rsidRPr="00F05FF9">
              <w:rPr>
                <w:sz w:val="18"/>
                <w:szCs w:val="18"/>
                <w:lang w:val="fr-CH"/>
              </w:rPr>
              <w:t xml:space="preserve">200, </w:t>
            </w:r>
            <w:r w:rsidR="00FE7A01" w:rsidRPr="00F05FF9">
              <w:rPr>
                <w:sz w:val="18"/>
                <w:szCs w:val="18"/>
                <w:lang w:val="fr-CH"/>
              </w:rPr>
              <w:br/>
            </w:r>
            <w:r w:rsidRPr="00F05FF9">
              <w:rPr>
                <w:sz w:val="18"/>
                <w:szCs w:val="18"/>
                <w:lang w:val="fr-CH"/>
              </w:rPr>
              <w:t xml:space="preserve">A-100, </w:t>
            </w:r>
            <w:r w:rsidR="00FE7A01" w:rsidRPr="00F05FF9">
              <w:rPr>
                <w:sz w:val="18"/>
                <w:szCs w:val="18"/>
                <w:lang w:val="fr-CH"/>
              </w:rPr>
              <w:br/>
            </w:r>
            <w:r w:rsidRPr="00F05FF9">
              <w:rPr>
                <w:sz w:val="18"/>
                <w:szCs w:val="18"/>
                <w:lang w:val="fr-CH"/>
              </w:rPr>
              <w:t xml:space="preserve">C-300, </w:t>
            </w:r>
            <w:r w:rsidR="00FE7A01" w:rsidRPr="00F05FF9">
              <w:rPr>
                <w:sz w:val="18"/>
                <w:szCs w:val="18"/>
                <w:lang w:val="fr-CH"/>
              </w:rPr>
              <w:br/>
            </w:r>
            <w:r w:rsidRPr="00F05FF9">
              <w:rPr>
                <w:sz w:val="18"/>
                <w:szCs w:val="18"/>
                <w:lang w:val="fr-CH"/>
              </w:rPr>
              <w:t>S-100</w:t>
            </w:r>
          </w:p>
        </w:tc>
      </w:tr>
      <w:tr w:rsidR="00B27CA5" w:rsidRPr="00F05FF9" w:rsidTr="00907643">
        <w:tc>
          <w:tcPr>
            <w:tcW w:w="369"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2</w:t>
            </w:r>
          </w:p>
        </w:tc>
        <w:tc>
          <w:tcPr>
            <w:tcW w:w="1521" w:type="dxa"/>
            <w:shd w:val="clear" w:color="auto" w:fill="auto"/>
          </w:tcPr>
          <w:p w:rsidR="003F6C8F" w:rsidRPr="00F05FF9" w:rsidRDefault="005A15C2" w:rsidP="00DE0B88">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Tendances </w:t>
            </w:r>
            <w:r w:rsidR="00DE0B88" w:rsidRPr="00F05FF9">
              <w:rPr>
                <w:sz w:val="18"/>
                <w:szCs w:val="18"/>
                <w:lang w:val="fr-CH"/>
              </w:rPr>
              <w:br/>
            </w:r>
            <w:r w:rsidRPr="00F05FF9">
              <w:rPr>
                <w:sz w:val="18"/>
                <w:szCs w:val="18"/>
                <w:lang w:val="fr-CH"/>
              </w:rPr>
              <w:t xml:space="preserve">et économie </w:t>
            </w:r>
            <w:r w:rsidR="00DE0B88" w:rsidRPr="00F05FF9">
              <w:rPr>
                <w:sz w:val="18"/>
                <w:szCs w:val="18"/>
                <w:lang w:val="fr-CH"/>
              </w:rPr>
              <w:br/>
            </w:r>
            <w:r w:rsidRPr="00F05FF9">
              <w:rPr>
                <w:sz w:val="18"/>
                <w:szCs w:val="18"/>
                <w:lang w:val="fr-CH"/>
              </w:rPr>
              <w:t>des transports 2016-2017</w:t>
            </w:r>
          </w:p>
        </w:tc>
        <w:tc>
          <w:tcPr>
            <w:tcW w:w="1413" w:type="dxa"/>
            <w:shd w:val="clear" w:color="auto" w:fill="auto"/>
          </w:tcPr>
          <w:p w:rsidR="003F6C8F" w:rsidRPr="00F05FF9" w:rsidRDefault="005A15C2" w:rsidP="00F709E1">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FE7A01" w:rsidRPr="00F05FF9">
              <w:rPr>
                <w:sz w:val="18"/>
                <w:szCs w:val="18"/>
                <w:lang w:val="fr-CH"/>
              </w:rPr>
              <w:br/>
            </w:r>
            <w:r w:rsidR="00F709E1">
              <w:rPr>
                <w:sz w:val="18"/>
                <w:szCs w:val="18"/>
                <w:lang w:val="fr-CH"/>
              </w:rPr>
              <w:t>224</w:t>
            </w:r>
            <w:r w:rsidRPr="00F05FF9">
              <w:rPr>
                <w:sz w:val="18"/>
                <w:szCs w:val="18"/>
                <w:lang w:val="fr-CH"/>
              </w:rPr>
              <w:t>, par.</w:t>
            </w:r>
            <w:r w:rsidR="00B27CA5" w:rsidRPr="00F05FF9">
              <w:rPr>
                <w:sz w:val="18"/>
                <w:szCs w:val="18"/>
                <w:lang w:val="fr-CH"/>
              </w:rPr>
              <w:t> </w:t>
            </w:r>
            <w:r w:rsidRPr="00F05FF9">
              <w:rPr>
                <w:sz w:val="18"/>
                <w:szCs w:val="18"/>
                <w:lang w:val="fr-CH"/>
              </w:rPr>
              <w:t xml:space="preserve">20 </w:t>
            </w:r>
            <w:r w:rsidR="00FE7A01" w:rsidRPr="00F05FF9">
              <w:rPr>
                <w:sz w:val="18"/>
                <w:szCs w:val="18"/>
                <w:lang w:val="fr-CH"/>
              </w:rPr>
              <w:br/>
            </w:r>
            <w:r w:rsidRPr="00F05FF9">
              <w:rPr>
                <w:sz w:val="18"/>
                <w:szCs w:val="18"/>
                <w:lang w:val="fr-CH"/>
              </w:rPr>
              <w:t>et 21</w:t>
            </w:r>
          </w:p>
        </w:tc>
        <w:tc>
          <w:tcPr>
            <w:tcW w:w="1062"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Version papier</w:t>
            </w:r>
          </w:p>
        </w:tc>
        <w:tc>
          <w:tcPr>
            <w:tcW w:w="585"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120</w:t>
            </w:r>
          </w:p>
        </w:tc>
        <w:tc>
          <w:tcPr>
            <w:tcW w:w="885" w:type="dxa"/>
            <w:shd w:val="clear" w:color="auto" w:fill="auto"/>
          </w:tcPr>
          <w:p w:rsidR="003F6C8F" w:rsidRPr="00F05FF9" w:rsidRDefault="00B27CA5"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w:t>
            </w:r>
          </w:p>
        </w:tc>
        <w:tc>
          <w:tcPr>
            <w:tcW w:w="941"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F, R</w:t>
            </w:r>
          </w:p>
        </w:tc>
        <w:tc>
          <w:tcPr>
            <w:tcW w:w="928"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E-200, </w:t>
            </w:r>
            <w:r w:rsidR="00FE7A01" w:rsidRPr="00F05FF9">
              <w:rPr>
                <w:sz w:val="18"/>
                <w:szCs w:val="18"/>
                <w:lang w:val="fr-CH"/>
              </w:rPr>
              <w:br/>
            </w:r>
            <w:r w:rsidRPr="00F05FF9">
              <w:rPr>
                <w:sz w:val="18"/>
                <w:szCs w:val="18"/>
                <w:lang w:val="fr-CH"/>
              </w:rPr>
              <w:t xml:space="preserve">F-100, </w:t>
            </w:r>
            <w:r w:rsidR="00FE7A01" w:rsidRPr="00F05FF9">
              <w:rPr>
                <w:sz w:val="18"/>
                <w:szCs w:val="18"/>
                <w:lang w:val="fr-CH"/>
              </w:rPr>
              <w:br/>
            </w:r>
            <w:r w:rsidRPr="00F05FF9">
              <w:rPr>
                <w:sz w:val="18"/>
                <w:szCs w:val="18"/>
                <w:lang w:val="fr-CH"/>
              </w:rPr>
              <w:t>R-100</w:t>
            </w:r>
          </w:p>
        </w:tc>
      </w:tr>
      <w:tr w:rsidR="00B27CA5" w:rsidRPr="00F05FF9" w:rsidTr="00907643">
        <w:tc>
          <w:tcPr>
            <w:tcW w:w="369"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3</w:t>
            </w:r>
          </w:p>
        </w:tc>
        <w:tc>
          <w:tcPr>
            <w:tcW w:w="1521" w:type="dxa"/>
            <w:shd w:val="clear" w:color="auto" w:fill="auto"/>
          </w:tcPr>
          <w:p w:rsidR="003F6C8F" w:rsidRPr="00F05FF9" w:rsidRDefault="005A15C2" w:rsidP="000E5B97">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Accord européen </w:t>
            </w:r>
            <w:r w:rsidRPr="00F05FF9">
              <w:rPr>
                <w:spacing w:val="2"/>
                <w:sz w:val="18"/>
                <w:szCs w:val="18"/>
                <w:lang w:val="fr-CH"/>
              </w:rPr>
              <w:t>relatif au transport</w:t>
            </w:r>
            <w:r w:rsidRPr="00F05FF9">
              <w:rPr>
                <w:sz w:val="18"/>
                <w:szCs w:val="18"/>
                <w:lang w:val="fr-CH"/>
              </w:rPr>
              <w:t xml:space="preserve"> international des marchandises dangereuses par route (ADR 2017) (vol</w:t>
            </w:r>
            <w:r w:rsidR="000E5B97">
              <w:rPr>
                <w:sz w:val="18"/>
                <w:szCs w:val="18"/>
                <w:lang w:val="fr-CH"/>
              </w:rPr>
              <w:t>. </w:t>
            </w:r>
            <w:r w:rsidRPr="00F05FF9">
              <w:rPr>
                <w:sz w:val="18"/>
                <w:szCs w:val="18"/>
                <w:lang w:val="fr-CH"/>
              </w:rPr>
              <w:t>I et II)</w:t>
            </w:r>
          </w:p>
        </w:tc>
        <w:tc>
          <w:tcPr>
            <w:tcW w:w="1413"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FE7A01" w:rsidRPr="00F05FF9">
              <w:rPr>
                <w:sz w:val="18"/>
                <w:szCs w:val="18"/>
                <w:lang w:val="fr-CH"/>
              </w:rPr>
              <w:br/>
            </w:r>
            <w:r w:rsidRPr="00F05FF9">
              <w:rPr>
                <w:sz w:val="18"/>
                <w:szCs w:val="18"/>
                <w:lang w:val="fr-CH"/>
              </w:rPr>
              <w:t>240, par. 77</w:t>
            </w:r>
          </w:p>
        </w:tc>
        <w:tc>
          <w:tcPr>
            <w:tcW w:w="1062"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Versions papier et électronique (pdf), consultation en ligne, CD-Rom</w:t>
            </w:r>
          </w:p>
        </w:tc>
        <w:tc>
          <w:tcPr>
            <w:tcW w:w="585"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F6C8F" w:rsidRPr="00F05FF9" w:rsidRDefault="005A15C2" w:rsidP="003C725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Vol</w:t>
            </w:r>
            <w:r w:rsidR="003C725A" w:rsidRPr="00F05FF9">
              <w:rPr>
                <w:sz w:val="18"/>
                <w:szCs w:val="18"/>
                <w:lang w:val="fr-CH"/>
              </w:rPr>
              <w:t>.</w:t>
            </w:r>
            <w:r w:rsidRPr="00F05FF9">
              <w:rPr>
                <w:sz w:val="18"/>
                <w:szCs w:val="18"/>
                <w:lang w:val="fr-CH"/>
              </w:rPr>
              <w:t> I : 660; vol</w:t>
            </w:r>
            <w:r w:rsidR="003C725A" w:rsidRPr="00F05FF9">
              <w:rPr>
                <w:sz w:val="18"/>
                <w:szCs w:val="18"/>
                <w:lang w:val="fr-CH"/>
              </w:rPr>
              <w:t>.</w:t>
            </w:r>
            <w:r w:rsidRPr="00F05FF9">
              <w:rPr>
                <w:sz w:val="18"/>
                <w:szCs w:val="18"/>
                <w:lang w:val="fr-CH"/>
              </w:rPr>
              <w:t> II : 700</w:t>
            </w:r>
          </w:p>
        </w:tc>
        <w:tc>
          <w:tcPr>
            <w:tcW w:w="885"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 F</w:t>
            </w:r>
          </w:p>
        </w:tc>
        <w:tc>
          <w:tcPr>
            <w:tcW w:w="941"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R</w:t>
            </w:r>
          </w:p>
        </w:tc>
        <w:tc>
          <w:tcPr>
            <w:tcW w:w="928"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E-200, </w:t>
            </w:r>
            <w:r w:rsidR="00FE7A01" w:rsidRPr="00F05FF9">
              <w:rPr>
                <w:sz w:val="18"/>
                <w:szCs w:val="18"/>
                <w:lang w:val="fr-CH"/>
              </w:rPr>
              <w:br/>
            </w:r>
            <w:r w:rsidRPr="00F05FF9">
              <w:rPr>
                <w:sz w:val="18"/>
                <w:szCs w:val="18"/>
                <w:lang w:val="fr-CH"/>
              </w:rPr>
              <w:t xml:space="preserve">F-80, </w:t>
            </w:r>
            <w:r w:rsidR="00FE7A01" w:rsidRPr="00F05FF9">
              <w:rPr>
                <w:sz w:val="18"/>
                <w:szCs w:val="18"/>
                <w:lang w:val="fr-CH"/>
              </w:rPr>
              <w:br/>
            </w:r>
            <w:r w:rsidRPr="00F05FF9">
              <w:rPr>
                <w:sz w:val="18"/>
                <w:szCs w:val="18"/>
                <w:lang w:val="fr-CH"/>
              </w:rPr>
              <w:t>R-40</w:t>
            </w:r>
          </w:p>
        </w:tc>
      </w:tr>
      <w:tr w:rsidR="00B27CA5" w:rsidRPr="00F05FF9" w:rsidTr="00907643">
        <w:tc>
          <w:tcPr>
            <w:tcW w:w="369"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4</w:t>
            </w:r>
          </w:p>
        </w:tc>
        <w:tc>
          <w:tcPr>
            <w:tcW w:w="1521"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Accord européen </w:t>
            </w:r>
            <w:r w:rsidRPr="00F05FF9">
              <w:rPr>
                <w:spacing w:val="2"/>
                <w:sz w:val="18"/>
                <w:szCs w:val="18"/>
                <w:lang w:val="fr-CH"/>
              </w:rPr>
              <w:t>relatif au transport</w:t>
            </w:r>
            <w:r w:rsidRPr="00F05FF9">
              <w:rPr>
                <w:sz w:val="18"/>
                <w:szCs w:val="18"/>
                <w:lang w:val="fr-CH"/>
              </w:rPr>
              <w:t xml:space="preserve"> international des marchandises dangereuses </w:t>
            </w:r>
            <w:r w:rsidR="00FE7A01" w:rsidRPr="00F05FF9">
              <w:rPr>
                <w:sz w:val="18"/>
                <w:szCs w:val="18"/>
                <w:lang w:val="fr-CH"/>
              </w:rPr>
              <w:br/>
            </w:r>
            <w:r w:rsidRPr="00F05FF9">
              <w:rPr>
                <w:sz w:val="18"/>
                <w:szCs w:val="18"/>
                <w:lang w:val="fr-CH"/>
              </w:rPr>
              <w:t xml:space="preserve">par voies </w:t>
            </w:r>
            <w:r w:rsidR="00FE7A01" w:rsidRPr="00F05FF9">
              <w:rPr>
                <w:sz w:val="18"/>
                <w:szCs w:val="18"/>
                <w:lang w:val="fr-CH"/>
              </w:rPr>
              <w:br/>
            </w:r>
            <w:r w:rsidRPr="00F05FF9">
              <w:rPr>
                <w:sz w:val="18"/>
                <w:szCs w:val="18"/>
                <w:lang w:val="fr-CH"/>
              </w:rPr>
              <w:t xml:space="preserve">de navigation intérieures </w:t>
            </w:r>
            <w:r w:rsidR="00FE7A01" w:rsidRPr="00F05FF9">
              <w:rPr>
                <w:sz w:val="18"/>
                <w:szCs w:val="18"/>
                <w:lang w:val="fr-CH"/>
              </w:rPr>
              <w:br/>
            </w:r>
            <w:r w:rsidRPr="00F05FF9">
              <w:rPr>
                <w:sz w:val="18"/>
                <w:szCs w:val="18"/>
                <w:lang w:val="fr-CH"/>
              </w:rPr>
              <w:t xml:space="preserve">(ADN 2017) </w:t>
            </w:r>
            <w:r w:rsidR="00F709E1" w:rsidRPr="00F05FF9">
              <w:rPr>
                <w:sz w:val="18"/>
                <w:szCs w:val="18"/>
                <w:lang w:val="fr-CH"/>
              </w:rPr>
              <w:t>(vol</w:t>
            </w:r>
            <w:r w:rsidR="00F709E1">
              <w:rPr>
                <w:sz w:val="18"/>
                <w:szCs w:val="18"/>
                <w:lang w:val="fr-CH"/>
              </w:rPr>
              <w:t>. </w:t>
            </w:r>
            <w:r w:rsidR="00F709E1" w:rsidRPr="00F05FF9">
              <w:rPr>
                <w:sz w:val="18"/>
                <w:szCs w:val="18"/>
                <w:lang w:val="fr-CH"/>
              </w:rPr>
              <w:t>I et II)</w:t>
            </w:r>
          </w:p>
        </w:tc>
        <w:tc>
          <w:tcPr>
            <w:tcW w:w="1413"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FE7A01" w:rsidRPr="00F05FF9">
              <w:rPr>
                <w:sz w:val="18"/>
                <w:szCs w:val="18"/>
                <w:lang w:val="fr-CH"/>
              </w:rPr>
              <w:br/>
            </w:r>
            <w:r w:rsidRPr="00F05FF9">
              <w:rPr>
                <w:sz w:val="18"/>
                <w:szCs w:val="18"/>
                <w:lang w:val="fr-CH"/>
              </w:rPr>
              <w:t>240, par. 77</w:t>
            </w:r>
          </w:p>
        </w:tc>
        <w:tc>
          <w:tcPr>
            <w:tcW w:w="1062"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Versions papier et électronique, consultation en ligne</w:t>
            </w:r>
          </w:p>
        </w:tc>
        <w:tc>
          <w:tcPr>
            <w:tcW w:w="585"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F6C8F" w:rsidRPr="00F05FF9" w:rsidRDefault="005A15C2" w:rsidP="003C725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Vol</w:t>
            </w:r>
            <w:r w:rsidR="003C725A" w:rsidRPr="00F05FF9">
              <w:rPr>
                <w:sz w:val="18"/>
                <w:szCs w:val="18"/>
                <w:lang w:val="fr-CH"/>
              </w:rPr>
              <w:t>.</w:t>
            </w:r>
            <w:r w:rsidRPr="00F05FF9">
              <w:rPr>
                <w:sz w:val="18"/>
                <w:szCs w:val="18"/>
                <w:lang w:val="fr-CH"/>
              </w:rPr>
              <w:t xml:space="preserve"> 1 : 580; </w:t>
            </w:r>
            <w:r w:rsidR="00B27CA5" w:rsidRPr="00F05FF9">
              <w:rPr>
                <w:sz w:val="18"/>
                <w:szCs w:val="18"/>
                <w:lang w:val="fr-CH"/>
              </w:rPr>
              <w:br/>
            </w:r>
            <w:r w:rsidRPr="00F05FF9">
              <w:rPr>
                <w:sz w:val="18"/>
                <w:szCs w:val="18"/>
                <w:lang w:val="fr-CH"/>
              </w:rPr>
              <w:t>vol</w:t>
            </w:r>
            <w:r w:rsidR="003C725A" w:rsidRPr="00F05FF9">
              <w:rPr>
                <w:sz w:val="18"/>
                <w:szCs w:val="18"/>
                <w:lang w:val="fr-CH"/>
              </w:rPr>
              <w:t>.</w:t>
            </w:r>
            <w:r w:rsidRPr="00F05FF9">
              <w:rPr>
                <w:sz w:val="18"/>
                <w:szCs w:val="18"/>
                <w:lang w:val="fr-CH"/>
              </w:rPr>
              <w:t xml:space="preserve"> II : 500</w:t>
            </w:r>
          </w:p>
        </w:tc>
        <w:tc>
          <w:tcPr>
            <w:tcW w:w="885"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 F</w:t>
            </w:r>
          </w:p>
        </w:tc>
        <w:tc>
          <w:tcPr>
            <w:tcW w:w="941"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R</w:t>
            </w:r>
          </w:p>
        </w:tc>
        <w:tc>
          <w:tcPr>
            <w:tcW w:w="928" w:type="dxa"/>
            <w:shd w:val="clear" w:color="auto" w:fill="auto"/>
          </w:tcPr>
          <w:p w:rsidR="003F6C8F"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E-150; </w:t>
            </w:r>
            <w:r w:rsidR="00FE7A01" w:rsidRPr="00F05FF9">
              <w:rPr>
                <w:sz w:val="18"/>
                <w:szCs w:val="18"/>
                <w:lang w:val="fr-CH"/>
              </w:rPr>
              <w:br/>
            </w:r>
            <w:r w:rsidRPr="00F05FF9">
              <w:rPr>
                <w:sz w:val="18"/>
                <w:szCs w:val="18"/>
                <w:lang w:val="fr-CH"/>
              </w:rPr>
              <w:t>F-150;</w:t>
            </w:r>
            <w:r w:rsidR="00FE7A01" w:rsidRPr="00F05FF9">
              <w:rPr>
                <w:sz w:val="18"/>
                <w:szCs w:val="18"/>
                <w:lang w:val="fr-CH"/>
              </w:rPr>
              <w:br/>
            </w:r>
            <w:r w:rsidRPr="00F05FF9">
              <w:rPr>
                <w:sz w:val="18"/>
                <w:szCs w:val="18"/>
                <w:lang w:val="fr-CH"/>
              </w:rPr>
              <w:t>R-50</w:t>
            </w:r>
          </w:p>
        </w:tc>
      </w:tr>
      <w:tr w:rsidR="00B27CA5" w:rsidRPr="00F05FF9" w:rsidTr="00907643">
        <w:tc>
          <w:tcPr>
            <w:tcW w:w="369" w:type="dxa"/>
            <w:shd w:val="clear" w:color="auto" w:fill="auto"/>
          </w:tcPr>
          <w:p w:rsidR="005A15C2" w:rsidRPr="00F05FF9" w:rsidRDefault="005A15C2"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5</w:t>
            </w:r>
          </w:p>
        </w:tc>
        <w:tc>
          <w:tcPr>
            <w:tcW w:w="1521"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Recommandations relatives au transport</w:t>
            </w:r>
            <w:r w:rsidR="00B27CA5" w:rsidRPr="00F05FF9">
              <w:rPr>
                <w:sz w:val="18"/>
                <w:szCs w:val="18"/>
                <w:lang w:val="fr-CH"/>
              </w:rPr>
              <w:t xml:space="preserve"> des marchandises dangereuses, R</w:t>
            </w:r>
            <w:r w:rsidRPr="00F05FF9">
              <w:rPr>
                <w:sz w:val="18"/>
                <w:szCs w:val="18"/>
                <w:lang w:val="fr-CH"/>
              </w:rPr>
              <w:t>èglement type, 20</w:t>
            </w:r>
            <w:r w:rsidRPr="00F05FF9">
              <w:rPr>
                <w:sz w:val="18"/>
                <w:szCs w:val="18"/>
                <w:vertAlign w:val="superscript"/>
                <w:lang w:val="fr-CH"/>
              </w:rPr>
              <w:t>e</w:t>
            </w:r>
            <w:r w:rsidR="00FE7A01" w:rsidRPr="00F05FF9">
              <w:rPr>
                <w:sz w:val="18"/>
                <w:szCs w:val="18"/>
                <w:lang w:val="fr-CH"/>
              </w:rPr>
              <w:t> </w:t>
            </w:r>
            <w:r w:rsidR="00F709E1">
              <w:rPr>
                <w:sz w:val="18"/>
                <w:szCs w:val="18"/>
                <w:lang w:val="fr-CH"/>
              </w:rPr>
              <w:t>édition révisée</w:t>
            </w:r>
            <w:r w:rsidR="00B27CA5" w:rsidRPr="00F05FF9">
              <w:rPr>
                <w:sz w:val="18"/>
                <w:szCs w:val="18"/>
                <w:lang w:val="fr-CH"/>
              </w:rPr>
              <w:t xml:space="preserve"> </w:t>
            </w:r>
            <w:r w:rsidR="00FE7A01" w:rsidRPr="00F05FF9">
              <w:rPr>
                <w:sz w:val="18"/>
                <w:szCs w:val="18"/>
                <w:lang w:val="fr-CH"/>
              </w:rPr>
              <w:br/>
            </w:r>
            <w:r w:rsidR="00F709E1" w:rsidRPr="00F05FF9">
              <w:rPr>
                <w:sz w:val="18"/>
                <w:szCs w:val="18"/>
                <w:lang w:val="fr-CH"/>
              </w:rPr>
              <w:t>(vol</w:t>
            </w:r>
            <w:r w:rsidR="00F709E1">
              <w:rPr>
                <w:sz w:val="18"/>
                <w:szCs w:val="18"/>
                <w:lang w:val="fr-CH"/>
              </w:rPr>
              <w:t>. </w:t>
            </w:r>
            <w:r w:rsidR="00F709E1" w:rsidRPr="00F05FF9">
              <w:rPr>
                <w:sz w:val="18"/>
                <w:szCs w:val="18"/>
                <w:lang w:val="fr-CH"/>
              </w:rPr>
              <w:t>I et II)</w:t>
            </w:r>
          </w:p>
        </w:tc>
        <w:tc>
          <w:tcPr>
            <w:tcW w:w="1413"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E/RES/2013/25 du 25 juillet 2013, section A, alinéas</w:t>
            </w:r>
            <w:r w:rsidR="00390C30" w:rsidRPr="00F05FF9">
              <w:rPr>
                <w:sz w:val="18"/>
                <w:szCs w:val="18"/>
                <w:lang w:val="fr-CH"/>
              </w:rPr>
              <w:t> </w:t>
            </w:r>
            <w:r w:rsidRPr="00F05FF9">
              <w:rPr>
                <w:sz w:val="18"/>
                <w:szCs w:val="18"/>
                <w:lang w:val="fr-CH"/>
              </w:rPr>
              <w:t>b) et c) du paragraphe 2 du dispositif : 2</w:t>
            </w:r>
          </w:p>
        </w:tc>
        <w:tc>
          <w:tcPr>
            <w:tcW w:w="1062"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Versions papier et électronique (pdf), consultation en ligne </w:t>
            </w:r>
          </w:p>
        </w:tc>
        <w:tc>
          <w:tcPr>
            <w:tcW w:w="585"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5A15C2" w:rsidRPr="00F05FF9" w:rsidRDefault="005A15C2" w:rsidP="003C725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Vol</w:t>
            </w:r>
            <w:r w:rsidR="003C725A" w:rsidRPr="00F05FF9">
              <w:rPr>
                <w:sz w:val="18"/>
                <w:szCs w:val="18"/>
                <w:lang w:val="fr-CH"/>
              </w:rPr>
              <w:t>.</w:t>
            </w:r>
            <w:r w:rsidRPr="00F05FF9">
              <w:rPr>
                <w:sz w:val="18"/>
                <w:szCs w:val="18"/>
                <w:lang w:val="fr-CH"/>
              </w:rPr>
              <w:t xml:space="preserve"> 1 : 460; </w:t>
            </w:r>
            <w:r w:rsidR="00B27CA5" w:rsidRPr="00F05FF9">
              <w:rPr>
                <w:sz w:val="18"/>
                <w:szCs w:val="18"/>
                <w:lang w:val="fr-CH"/>
              </w:rPr>
              <w:br/>
            </w:r>
            <w:r w:rsidRPr="00F05FF9">
              <w:rPr>
                <w:sz w:val="18"/>
                <w:szCs w:val="18"/>
                <w:lang w:val="fr-CH"/>
              </w:rPr>
              <w:t>vol</w:t>
            </w:r>
            <w:r w:rsidR="003C725A" w:rsidRPr="00F05FF9">
              <w:rPr>
                <w:sz w:val="18"/>
                <w:szCs w:val="18"/>
                <w:lang w:val="fr-CH"/>
              </w:rPr>
              <w:t>.</w:t>
            </w:r>
            <w:r w:rsidRPr="00F05FF9">
              <w:rPr>
                <w:sz w:val="18"/>
                <w:szCs w:val="18"/>
                <w:lang w:val="fr-CH"/>
              </w:rPr>
              <w:t xml:space="preserve"> II : 450</w:t>
            </w:r>
          </w:p>
        </w:tc>
        <w:tc>
          <w:tcPr>
            <w:tcW w:w="885"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 F, S</w:t>
            </w:r>
          </w:p>
        </w:tc>
        <w:tc>
          <w:tcPr>
            <w:tcW w:w="941"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 C, R</w:t>
            </w:r>
          </w:p>
        </w:tc>
        <w:tc>
          <w:tcPr>
            <w:tcW w:w="928" w:type="dxa"/>
            <w:shd w:val="clear" w:color="auto" w:fill="auto"/>
          </w:tcPr>
          <w:p w:rsidR="005A15C2" w:rsidRPr="00F05FF9" w:rsidRDefault="005A15C2" w:rsidP="00390C30">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E-250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F-110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S-25</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A-30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C-30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R-30</w:t>
            </w:r>
          </w:p>
        </w:tc>
      </w:tr>
      <w:tr w:rsidR="00B27CA5" w:rsidRPr="00F05FF9" w:rsidTr="00907643">
        <w:tc>
          <w:tcPr>
            <w:tcW w:w="369"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iCs/>
                <w:lang w:val="fr-CH"/>
              </w:rPr>
            </w:pPr>
            <w:r w:rsidRPr="00F05FF9">
              <w:rPr>
                <w:lang w:val="fr-CH"/>
              </w:rPr>
              <w:t>6</w:t>
            </w:r>
          </w:p>
        </w:tc>
        <w:tc>
          <w:tcPr>
            <w:tcW w:w="1521"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14"/>
              <w:rPr>
                <w:sz w:val="18"/>
                <w:szCs w:val="18"/>
                <w:lang w:val="fr-CH"/>
              </w:rPr>
            </w:pPr>
            <w:r w:rsidRPr="00F05FF9">
              <w:rPr>
                <w:spacing w:val="0"/>
                <w:sz w:val="18"/>
                <w:szCs w:val="18"/>
                <w:lang w:val="fr-CH"/>
              </w:rPr>
              <w:t>Recommandations</w:t>
            </w:r>
            <w:r w:rsidRPr="00F05FF9">
              <w:rPr>
                <w:sz w:val="18"/>
                <w:szCs w:val="18"/>
                <w:lang w:val="fr-CH"/>
              </w:rPr>
              <w:t xml:space="preserve"> relatives au transport des marchandises dangereuses, </w:t>
            </w:r>
            <w:r w:rsidR="00B27CA5" w:rsidRPr="00F05FF9">
              <w:rPr>
                <w:spacing w:val="-2"/>
                <w:sz w:val="18"/>
                <w:szCs w:val="18"/>
                <w:lang w:val="fr-CH"/>
              </w:rPr>
              <w:t>M</w:t>
            </w:r>
            <w:r w:rsidRPr="00F05FF9">
              <w:rPr>
                <w:spacing w:val="-2"/>
                <w:sz w:val="18"/>
                <w:szCs w:val="18"/>
                <w:lang w:val="fr-CH"/>
              </w:rPr>
              <w:t>anuel d’épreuves</w:t>
            </w:r>
            <w:r w:rsidRPr="00F05FF9">
              <w:rPr>
                <w:sz w:val="18"/>
                <w:szCs w:val="18"/>
                <w:lang w:val="fr-CH"/>
              </w:rPr>
              <w:t xml:space="preserve"> et de critères (7</w:t>
            </w:r>
            <w:r w:rsidRPr="00F05FF9">
              <w:rPr>
                <w:sz w:val="18"/>
                <w:szCs w:val="18"/>
                <w:vertAlign w:val="superscript"/>
                <w:lang w:val="fr-CH"/>
              </w:rPr>
              <w:t>e</w:t>
            </w:r>
            <w:r w:rsidR="00FE7A01" w:rsidRPr="00F05FF9">
              <w:rPr>
                <w:sz w:val="18"/>
                <w:szCs w:val="18"/>
                <w:lang w:val="fr-CH"/>
              </w:rPr>
              <w:t> </w:t>
            </w:r>
            <w:r w:rsidRPr="00F05FF9">
              <w:rPr>
                <w:sz w:val="18"/>
                <w:szCs w:val="18"/>
                <w:lang w:val="fr-CH"/>
              </w:rPr>
              <w:t>éd</w:t>
            </w:r>
            <w:r w:rsidR="00FE7A01" w:rsidRPr="00F05FF9">
              <w:rPr>
                <w:sz w:val="18"/>
                <w:szCs w:val="18"/>
                <w:lang w:val="fr-CH"/>
              </w:rPr>
              <w:t>.</w:t>
            </w:r>
            <w:r w:rsidRPr="00F05FF9">
              <w:rPr>
                <w:sz w:val="18"/>
                <w:szCs w:val="18"/>
                <w:lang w:val="fr-CH"/>
              </w:rPr>
              <w:t xml:space="preserve"> révisée OU amend.1 à la </w:t>
            </w:r>
            <w:r w:rsidR="00DE0B88" w:rsidRPr="00F05FF9">
              <w:rPr>
                <w:spacing w:val="0"/>
                <w:sz w:val="18"/>
                <w:szCs w:val="18"/>
                <w:lang w:val="fr-CH"/>
              </w:rPr>
              <w:t>6</w:t>
            </w:r>
            <w:r w:rsidR="00DE0B88" w:rsidRPr="00F05FF9">
              <w:rPr>
                <w:spacing w:val="0"/>
                <w:sz w:val="18"/>
                <w:szCs w:val="18"/>
                <w:vertAlign w:val="superscript"/>
                <w:lang w:val="fr-CH"/>
              </w:rPr>
              <w:t>e</w:t>
            </w:r>
            <w:r w:rsidR="00DE0B88" w:rsidRPr="00F05FF9">
              <w:rPr>
                <w:spacing w:val="0"/>
                <w:sz w:val="18"/>
                <w:szCs w:val="18"/>
                <w:lang w:val="fr-CH"/>
              </w:rPr>
              <w:t> </w:t>
            </w:r>
            <w:r w:rsidRPr="00F05FF9">
              <w:rPr>
                <w:spacing w:val="0"/>
                <w:sz w:val="18"/>
                <w:szCs w:val="18"/>
                <w:lang w:val="fr-CH"/>
              </w:rPr>
              <w:t>édition révisée</w:t>
            </w:r>
            <w:r w:rsidRPr="00F05FF9">
              <w:rPr>
                <w:spacing w:val="-2"/>
                <w:sz w:val="18"/>
                <w:szCs w:val="18"/>
                <w:lang w:val="fr-CH"/>
              </w:rPr>
              <w:t>)</w:t>
            </w:r>
            <w:r w:rsidRPr="00F05FF9">
              <w:rPr>
                <w:sz w:val="18"/>
                <w:szCs w:val="18"/>
                <w:lang w:val="fr-CH"/>
              </w:rPr>
              <w:t xml:space="preserve"> </w:t>
            </w:r>
          </w:p>
        </w:tc>
        <w:tc>
          <w:tcPr>
            <w:tcW w:w="1413"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E/RES/2013/25, section A, alinéas b) et c) du paragraphe 2 du dispositif : 2 R</w:t>
            </w:r>
          </w:p>
        </w:tc>
        <w:tc>
          <w:tcPr>
            <w:tcW w:w="1062"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 xml:space="preserve">Versions papier et électronique (pdf), consultation en ligne </w:t>
            </w:r>
          </w:p>
        </w:tc>
        <w:tc>
          <w:tcPr>
            <w:tcW w:w="585"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A4</w:t>
            </w:r>
          </w:p>
        </w:tc>
        <w:tc>
          <w:tcPr>
            <w:tcW w:w="1080"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 xml:space="preserve">Dans le </w:t>
            </w:r>
            <w:r w:rsidR="00B27CA5" w:rsidRPr="00F05FF9">
              <w:rPr>
                <w:sz w:val="18"/>
                <w:szCs w:val="18"/>
                <w:lang w:val="fr-CH"/>
              </w:rPr>
              <w:t>premier</w:t>
            </w:r>
            <w:r w:rsidRPr="00F05FF9">
              <w:rPr>
                <w:sz w:val="18"/>
                <w:szCs w:val="18"/>
                <w:lang w:val="fr-CH"/>
              </w:rPr>
              <w:t xml:space="preserve"> cas 550; dans le </w:t>
            </w:r>
            <w:r w:rsidR="00B27CA5" w:rsidRPr="00F05FF9">
              <w:rPr>
                <w:sz w:val="18"/>
                <w:szCs w:val="18"/>
                <w:lang w:val="fr-CH"/>
              </w:rPr>
              <w:t xml:space="preserve">deuxième </w:t>
            </w:r>
            <w:r w:rsidRPr="00F05FF9">
              <w:rPr>
                <w:sz w:val="18"/>
                <w:szCs w:val="18"/>
                <w:lang w:val="fr-CH"/>
              </w:rPr>
              <w:t>cas : 60</w:t>
            </w:r>
          </w:p>
        </w:tc>
        <w:tc>
          <w:tcPr>
            <w:tcW w:w="885"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E, F, S</w:t>
            </w:r>
          </w:p>
        </w:tc>
        <w:tc>
          <w:tcPr>
            <w:tcW w:w="941"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A, C, R</w:t>
            </w:r>
          </w:p>
        </w:tc>
        <w:tc>
          <w:tcPr>
            <w:tcW w:w="928" w:type="dxa"/>
            <w:shd w:val="clear" w:color="auto" w:fill="auto"/>
          </w:tcPr>
          <w:p w:rsidR="005A15C2" w:rsidRPr="00F05FF9" w:rsidRDefault="005A15C2" w:rsidP="00DE0B88">
            <w:pPr>
              <w:tabs>
                <w:tab w:val="left" w:pos="288"/>
                <w:tab w:val="left" w:pos="576"/>
                <w:tab w:val="left" w:pos="864"/>
                <w:tab w:val="left" w:pos="1152"/>
              </w:tabs>
              <w:suppressAutoHyphens/>
              <w:spacing w:before="40" w:after="80" w:line="210" w:lineRule="exact"/>
              <w:ind w:right="43"/>
              <w:rPr>
                <w:sz w:val="18"/>
                <w:szCs w:val="18"/>
                <w:lang w:val="fr-CH"/>
              </w:rPr>
            </w:pPr>
            <w:r w:rsidRPr="00F05FF9">
              <w:rPr>
                <w:sz w:val="18"/>
                <w:szCs w:val="18"/>
                <w:lang w:val="fr-CH"/>
              </w:rPr>
              <w:t>E-250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F-110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S-25</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A-30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C-30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R-30</w:t>
            </w:r>
          </w:p>
        </w:tc>
      </w:tr>
      <w:tr w:rsidR="00B27CA5" w:rsidRPr="00F05FF9" w:rsidTr="00907643">
        <w:tc>
          <w:tcPr>
            <w:tcW w:w="369"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7</w:t>
            </w:r>
          </w:p>
        </w:tc>
        <w:tc>
          <w:tcPr>
            <w:tcW w:w="1521"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Système général harmonisé </w:t>
            </w:r>
            <w:r w:rsidR="0079730F" w:rsidRPr="00F05FF9">
              <w:rPr>
                <w:sz w:val="18"/>
                <w:szCs w:val="18"/>
                <w:lang w:val="fr-CH"/>
              </w:rPr>
              <w:br/>
            </w:r>
            <w:r w:rsidRPr="00F05FF9">
              <w:rPr>
                <w:sz w:val="18"/>
                <w:szCs w:val="18"/>
                <w:lang w:val="fr-CH"/>
              </w:rPr>
              <w:t xml:space="preserve">de classification </w:t>
            </w:r>
            <w:r w:rsidR="0079730F" w:rsidRPr="00F05FF9">
              <w:rPr>
                <w:sz w:val="18"/>
                <w:szCs w:val="18"/>
                <w:lang w:val="fr-CH"/>
              </w:rPr>
              <w:br/>
            </w:r>
            <w:r w:rsidRPr="00F05FF9">
              <w:rPr>
                <w:sz w:val="18"/>
                <w:szCs w:val="18"/>
                <w:lang w:val="fr-CH"/>
              </w:rPr>
              <w:t xml:space="preserve">et d’étiquetage </w:t>
            </w:r>
            <w:r w:rsidR="0079730F" w:rsidRPr="00F05FF9">
              <w:rPr>
                <w:sz w:val="18"/>
                <w:szCs w:val="18"/>
                <w:lang w:val="fr-CH"/>
              </w:rPr>
              <w:br/>
            </w:r>
            <w:r w:rsidRPr="00F05FF9">
              <w:rPr>
                <w:sz w:val="18"/>
                <w:szCs w:val="18"/>
                <w:lang w:val="fr-CH"/>
              </w:rPr>
              <w:t>des produits chimiques (SGH), 7</w:t>
            </w:r>
            <w:r w:rsidRPr="00F05FF9">
              <w:rPr>
                <w:sz w:val="18"/>
                <w:szCs w:val="18"/>
                <w:vertAlign w:val="superscript"/>
                <w:lang w:val="fr-CH"/>
              </w:rPr>
              <w:t>e</w:t>
            </w:r>
            <w:r w:rsidR="00DE0B88" w:rsidRPr="00F05FF9">
              <w:rPr>
                <w:sz w:val="18"/>
                <w:szCs w:val="18"/>
                <w:lang w:val="fr-CH"/>
              </w:rPr>
              <w:t> </w:t>
            </w:r>
            <w:r w:rsidRPr="00F05FF9">
              <w:rPr>
                <w:sz w:val="18"/>
                <w:szCs w:val="18"/>
                <w:lang w:val="fr-CH"/>
              </w:rPr>
              <w:t>éd</w:t>
            </w:r>
            <w:r w:rsidR="00B07B56">
              <w:rPr>
                <w:sz w:val="18"/>
                <w:szCs w:val="18"/>
                <w:lang w:val="fr-CH"/>
              </w:rPr>
              <w:t>ition</w:t>
            </w:r>
            <w:r w:rsidR="00DE0B88" w:rsidRPr="00F05FF9">
              <w:rPr>
                <w:sz w:val="18"/>
                <w:szCs w:val="18"/>
                <w:lang w:val="fr-CH"/>
              </w:rPr>
              <w:t xml:space="preserve"> </w:t>
            </w:r>
            <w:r w:rsidRPr="00F05FF9">
              <w:rPr>
                <w:sz w:val="18"/>
                <w:szCs w:val="18"/>
                <w:lang w:val="fr-CH"/>
              </w:rPr>
              <w:t xml:space="preserve">révisée </w:t>
            </w:r>
          </w:p>
        </w:tc>
        <w:tc>
          <w:tcPr>
            <w:tcW w:w="1413"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Résolution ECOSOC E/RES/2013/25, section B, alinéa b) du paragraphe 3 du dispositif : 3</w:t>
            </w:r>
            <w:r w:rsidR="008F3B85" w:rsidRPr="00F05FF9">
              <w:rPr>
                <w:sz w:val="18"/>
                <w:szCs w:val="18"/>
                <w:lang w:val="fr-CH"/>
              </w:rPr>
              <w:t>.</w:t>
            </w:r>
            <w:r w:rsidRPr="00F05FF9">
              <w:rPr>
                <w:sz w:val="18"/>
                <w:szCs w:val="18"/>
                <w:lang w:val="fr-CH"/>
              </w:rPr>
              <w:t xml:space="preserve"> « Demande au Secrétaire général » :</w:t>
            </w:r>
          </w:p>
        </w:tc>
        <w:tc>
          <w:tcPr>
            <w:tcW w:w="1062"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Versions papier et électronique (pdf), consultation en ligne </w:t>
            </w:r>
          </w:p>
        </w:tc>
        <w:tc>
          <w:tcPr>
            <w:tcW w:w="585"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620</w:t>
            </w:r>
          </w:p>
        </w:tc>
        <w:tc>
          <w:tcPr>
            <w:tcW w:w="885"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 F, S</w:t>
            </w:r>
          </w:p>
        </w:tc>
        <w:tc>
          <w:tcPr>
            <w:tcW w:w="941"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 C, R</w:t>
            </w:r>
          </w:p>
        </w:tc>
        <w:tc>
          <w:tcPr>
            <w:tcW w:w="928" w:type="dxa"/>
            <w:shd w:val="clear" w:color="auto" w:fill="auto"/>
          </w:tcPr>
          <w:p w:rsidR="00390C30" w:rsidRPr="00F05FF9" w:rsidRDefault="00390C30" w:rsidP="00B07B56">
            <w:pPr>
              <w:keepNext/>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E-250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F-60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S-45</w:t>
            </w:r>
            <w:r w:rsidR="0079730F" w:rsidRPr="00F05FF9">
              <w:rPr>
                <w:sz w:val="18"/>
                <w:szCs w:val="18"/>
                <w:lang w:val="fr-CH"/>
              </w:rPr>
              <w:t>;</w:t>
            </w:r>
            <w:r w:rsidRPr="00F05FF9">
              <w:rPr>
                <w:sz w:val="18"/>
                <w:szCs w:val="18"/>
                <w:lang w:val="fr-CH"/>
              </w:rPr>
              <w:t xml:space="preserve"> </w:t>
            </w:r>
            <w:r w:rsidR="0079730F" w:rsidRPr="00F05FF9">
              <w:rPr>
                <w:sz w:val="18"/>
                <w:szCs w:val="18"/>
                <w:lang w:val="fr-CH"/>
              </w:rPr>
              <w:br/>
            </w:r>
            <w:r w:rsidRPr="00F05FF9">
              <w:rPr>
                <w:sz w:val="18"/>
                <w:szCs w:val="18"/>
                <w:lang w:val="fr-CH"/>
              </w:rPr>
              <w:t>A-15</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C-30</w:t>
            </w:r>
            <w:r w:rsidR="00DE0B88" w:rsidRPr="00F05FF9">
              <w:rPr>
                <w:sz w:val="18"/>
                <w:szCs w:val="18"/>
                <w:lang w:val="fr-CH"/>
              </w:rPr>
              <w:t>;</w:t>
            </w:r>
            <w:r w:rsidRPr="00F05FF9">
              <w:rPr>
                <w:sz w:val="18"/>
                <w:szCs w:val="18"/>
                <w:lang w:val="fr-CH"/>
              </w:rPr>
              <w:t xml:space="preserve"> </w:t>
            </w:r>
            <w:r w:rsidR="00DE0B88" w:rsidRPr="00F05FF9">
              <w:rPr>
                <w:sz w:val="18"/>
                <w:szCs w:val="18"/>
                <w:lang w:val="fr-CH"/>
              </w:rPr>
              <w:br/>
            </w:r>
            <w:r w:rsidRPr="00F05FF9">
              <w:rPr>
                <w:sz w:val="18"/>
                <w:szCs w:val="18"/>
                <w:lang w:val="fr-CH"/>
              </w:rPr>
              <w:t>R-30</w:t>
            </w:r>
          </w:p>
        </w:tc>
      </w:tr>
      <w:tr w:rsidR="00390C30" w:rsidRPr="00F05FF9" w:rsidTr="00907643">
        <w:tc>
          <w:tcPr>
            <w:tcW w:w="369"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8</w:t>
            </w:r>
          </w:p>
        </w:tc>
        <w:tc>
          <w:tcPr>
            <w:tcW w:w="1521"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Accord relatif </w:t>
            </w:r>
            <w:r w:rsidR="0079730F" w:rsidRPr="00F05FF9">
              <w:rPr>
                <w:sz w:val="18"/>
                <w:szCs w:val="18"/>
                <w:lang w:val="fr-CH"/>
              </w:rPr>
              <w:br/>
            </w:r>
            <w:r w:rsidRPr="00F05FF9">
              <w:rPr>
                <w:sz w:val="18"/>
                <w:szCs w:val="18"/>
                <w:lang w:val="fr-CH"/>
              </w:rPr>
              <w:t xml:space="preserve">aux transports internationaux </w:t>
            </w:r>
            <w:r w:rsidR="0079730F" w:rsidRPr="00F05FF9">
              <w:rPr>
                <w:sz w:val="18"/>
                <w:szCs w:val="18"/>
                <w:lang w:val="fr-CH"/>
              </w:rPr>
              <w:br/>
            </w:r>
            <w:r w:rsidRPr="00F05FF9">
              <w:rPr>
                <w:sz w:val="18"/>
                <w:szCs w:val="18"/>
                <w:lang w:val="fr-CH"/>
              </w:rPr>
              <w:t xml:space="preserve">de denrées périssables et aux engins spéciaux </w:t>
            </w:r>
            <w:r w:rsidR="0079730F" w:rsidRPr="00F05FF9">
              <w:rPr>
                <w:sz w:val="18"/>
                <w:szCs w:val="18"/>
                <w:lang w:val="fr-CH"/>
              </w:rPr>
              <w:br/>
            </w:r>
            <w:r w:rsidRPr="00F05FF9">
              <w:rPr>
                <w:sz w:val="18"/>
                <w:szCs w:val="18"/>
                <w:lang w:val="fr-CH"/>
              </w:rPr>
              <w:t xml:space="preserve">à utiliser pour ces transports (ATP) </w:t>
            </w:r>
          </w:p>
        </w:tc>
        <w:tc>
          <w:tcPr>
            <w:tcW w:w="1413"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79730F" w:rsidRPr="00F05FF9">
              <w:rPr>
                <w:sz w:val="18"/>
                <w:szCs w:val="18"/>
                <w:lang w:val="fr-CH"/>
              </w:rPr>
              <w:br/>
            </w:r>
            <w:r w:rsidRPr="00F05FF9">
              <w:rPr>
                <w:sz w:val="18"/>
                <w:szCs w:val="18"/>
                <w:lang w:val="fr-CH"/>
              </w:rPr>
              <w:t xml:space="preserve">2014/26, </w:t>
            </w:r>
            <w:r w:rsidR="0079730F" w:rsidRPr="00F05FF9">
              <w:rPr>
                <w:sz w:val="18"/>
                <w:szCs w:val="18"/>
                <w:lang w:val="fr-CH"/>
              </w:rPr>
              <w:br/>
            </w:r>
            <w:r w:rsidRPr="00F05FF9">
              <w:rPr>
                <w:sz w:val="18"/>
                <w:szCs w:val="18"/>
                <w:lang w:val="fr-CH"/>
              </w:rPr>
              <w:t xml:space="preserve">activité 02.11, </w:t>
            </w:r>
            <w:r w:rsidR="0079730F" w:rsidRPr="00F05FF9">
              <w:rPr>
                <w:sz w:val="18"/>
                <w:szCs w:val="18"/>
                <w:lang w:val="fr-CH"/>
              </w:rPr>
              <w:br/>
            </w:r>
            <w:r w:rsidRPr="00F05FF9">
              <w:rPr>
                <w:sz w:val="18"/>
                <w:szCs w:val="18"/>
                <w:lang w:val="fr-CH"/>
              </w:rPr>
              <w:t>1 a)</w:t>
            </w:r>
          </w:p>
        </w:tc>
        <w:tc>
          <w:tcPr>
            <w:tcW w:w="1062"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Version papier</w:t>
            </w:r>
          </w:p>
        </w:tc>
        <w:tc>
          <w:tcPr>
            <w:tcW w:w="585"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100</w:t>
            </w:r>
          </w:p>
        </w:tc>
        <w:tc>
          <w:tcPr>
            <w:tcW w:w="885"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 F</w:t>
            </w:r>
          </w:p>
        </w:tc>
        <w:tc>
          <w:tcPr>
            <w:tcW w:w="941"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R-250</w:t>
            </w:r>
          </w:p>
        </w:tc>
        <w:tc>
          <w:tcPr>
            <w:tcW w:w="928" w:type="dxa"/>
            <w:shd w:val="clear" w:color="auto" w:fill="auto"/>
          </w:tcPr>
          <w:p w:rsidR="00390C30" w:rsidRPr="00F05FF9" w:rsidRDefault="00390C30" w:rsidP="0079730F">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E-200</w:t>
            </w:r>
            <w:r w:rsidR="0079730F" w:rsidRPr="00F05FF9">
              <w:rPr>
                <w:sz w:val="18"/>
                <w:szCs w:val="18"/>
                <w:lang w:val="fr-CH"/>
              </w:rPr>
              <w:t>;</w:t>
            </w:r>
            <w:r w:rsidRPr="00F05FF9">
              <w:rPr>
                <w:sz w:val="18"/>
                <w:szCs w:val="18"/>
                <w:lang w:val="fr-CH"/>
              </w:rPr>
              <w:t xml:space="preserve"> </w:t>
            </w:r>
            <w:r w:rsidR="0079730F" w:rsidRPr="00F05FF9">
              <w:rPr>
                <w:sz w:val="18"/>
                <w:szCs w:val="18"/>
                <w:lang w:val="fr-CH"/>
              </w:rPr>
              <w:br/>
            </w:r>
            <w:r w:rsidRPr="00F05FF9">
              <w:rPr>
                <w:sz w:val="18"/>
                <w:szCs w:val="18"/>
                <w:lang w:val="fr-CH"/>
              </w:rPr>
              <w:t>F-100</w:t>
            </w:r>
            <w:r w:rsidR="0079730F" w:rsidRPr="00F05FF9">
              <w:rPr>
                <w:sz w:val="18"/>
                <w:szCs w:val="18"/>
                <w:lang w:val="fr-CH"/>
              </w:rPr>
              <w:t>;</w:t>
            </w:r>
            <w:r w:rsidRPr="00F05FF9">
              <w:rPr>
                <w:sz w:val="18"/>
                <w:szCs w:val="18"/>
                <w:lang w:val="fr-CH"/>
              </w:rPr>
              <w:t xml:space="preserve"> </w:t>
            </w:r>
            <w:r w:rsidR="0079730F" w:rsidRPr="00F05FF9">
              <w:rPr>
                <w:sz w:val="18"/>
                <w:szCs w:val="18"/>
                <w:lang w:val="fr-CH"/>
              </w:rPr>
              <w:br/>
            </w:r>
            <w:r w:rsidRPr="00F05FF9">
              <w:rPr>
                <w:sz w:val="18"/>
                <w:szCs w:val="18"/>
                <w:lang w:val="fr-CH"/>
              </w:rPr>
              <w:t>R-100</w:t>
            </w:r>
          </w:p>
        </w:tc>
      </w:tr>
      <w:tr w:rsidR="00390C30" w:rsidRPr="00F05FF9" w:rsidTr="00907643">
        <w:tc>
          <w:tcPr>
            <w:tcW w:w="369"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9</w:t>
            </w:r>
          </w:p>
        </w:tc>
        <w:tc>
          <w:tcPr>
            <w:tcW w:w="1521" w:type="dxa"/>
            <w:shd w:val="clear" w:color="auto" w:fill="auto"/>
          </w:tcPr>
          <w:p w:rsidR="00390C30" w:rsidRPr="00F05FF9" w:rsidRDefault="00390C30" w:rsidP="008F3B8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Forum mondial de l’harmonisation des Règlements concernant les véhicules (WP.29)</w:t>
            </w:r>
            <w:r w:rsidR="008F3B85" w:rsidRPr="00F05FF9">
              <w:rPr>
                <w:sz w:val="18"/>
                <w:szCs w:val="18"/>
                <w:lang w:val="fr-CH"/>
              </w:rPr>
              <w:t xml:space="preserve"> – comment </w:t>
            </w:r>
            <w:r w:rsidR="0079730F" w:rsidRPr="00F05FF9">
              <w:rPr>
                <w:sz w:val="18"/>
                <w:szCs w:val="18"/>
                <w:lang w:val="fr-CH"/>
              </w:rPr>
              <w:br/>
            </w:r>
            <w:r w:rsidR="008F3B85" w:rsidRPr="00F05FF9">
              <w:rPr>
                <w:sz w:val="18"/>
                <w:szCs w:val="18"/>
                <w:lang w:val="fr-CH"/>
              </w:rPr>
              <w:t xml:space="preserve">il fonctionne, comment </w:t>
            </w:r>
            <w:r w:rsidR="0079730F" w:rsidRPr="00F05FF9">
              <w:rPr>
                <w:sz w:val="18"/>
                <w:szCs w:val="18"/>
                <w:lang w:val="fr-CH"/>
              </w:rPr>
              <w:br/>
            </w:r>
            <w:r w:rsidR="008F3B85" w:rsidRPr="00F05FF9">
              <w:rPr>
                <w:sz w:val="18"/>
                <w:szCs w:val="18"/>
                <w:lang w:val="fr-CH"/>
              </w:rPr>
              <w:t>y adhérer</w:t>
            </w:r>
            <w:r w:rsidRPr="00F05FF9">
              <w:rPr>
                <w:sz w:val="18"/>
                <w:szCs w:val="18"/>
                <w:lang w:val="fr-CH"/>
              </w:rPr>
              <w:t xml:space="preserve"> </w:t>
            </w:r>
          </w:p>
        </w:tc>
        <w:tc>
          <w:tcPr>
            <w:tcW w:w="1413"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79730F" w:rsidRPr="00F05FF9">
              <w:rPr>
                <w:sz w:val="18"/>
                <w:szCs w:val="18"/>
                <w:lang w:val="fr-CH"/>
              </w:rPr>
              <w:br/>
            </w:r>
            <w:r w:rsidRPr="00F05FF9">
              <w:rPr>
                <w:sz w:val="18"/>
                <w:szCs w:val="18"/>
                <w:lang w:val="fr-CH"/>
              </w:rPr>
              <w:t>WP.29/1110/</w:t>
            </w:r>
            <w:r w:rsidR="0079730F" w:rsidRPr="00F05FF9">
              <w:rPr>
                <w:sz w:val="18"/>
                <w:szCs w:val="18"/>
                <w:lang w:val="fr-CH"/>
              </w:rPr>
              <w:br/>
            </w:r>
            <w:r w:rsidRPr="00F05FF9">
              <w:rPr>
                <w:sz w:val="18"/>
                <w:szCs w:val="18"/>
                <w:lang w:val="fr-CH"/>
              </w:rPr>
              <w:t xml:space="preserve">Add.1, par. 50 : 50 </w:t>
            </w:r>
          </w:p>
        </w:tc>
        <w:tc>
          <w:tcPr>
            <w:tcW w:w="1062"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Version papier</w:t>
            </w:r>
          </w:p>
        </w:tc>
        <w:tc>
          <w:tcPr>
            <w:tcW w:w="585"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150</w:t>
            </w:r>
          </w:p>
        </w:tc>
        <w:tc>
          <w:tcPr>
            <w:tcW w:w="885"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w:t>
            </w:r>
          </w:p>
        </w:tc>
        <w:tc>
          <w:tcPr>
            <w:tcW w:w="941"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 C, F, R, S</w:t>
            </w:r>
          </w:p>
        </w:tc>
        <w:tc>
          <w:tcPr>
            <w:tcW w:w="928" w:type="dxa"/>
            <w:shd w:val="clear" w:color="auto" w:fill="auto"/>
          </w:tcPr>
          <w:p w:rsidR="00390C30" w:rsidRPr="00F05FF9" w:rsidRDefault="00390C30" w:rsidP="0079730F">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E-1</w:t>
            </w:r>
            <w:r w:rsidR="0079730F" w:rsidRPr="00F05FF9">
              <w:rPr>
                <w:sz w:val="18"/>
                <w:szCs w:val="18"/>
                <w:lang w:val="fr-CH"/>
              </w:rPr>
              <w:t> </w:t>
            </w:r>
            <w:r w:rsidRPr="00F05FF9">
              <w:rPr>
                <w:sz w:val="18"/>
                <w:szCs w:val="18"/>
                <w:lang w:val="fr-CH"/>
              </w:rPr>
              <w:t>000</w:t>
            </w:r>
            <w:r w:rsidR="0079730F" w:rsidRPr="00F05FF9">
              <w:rPr>
                <w:sz w:val="18"/>
                <w:szCs w:val="18"/>
                <w:lang w:val="fr-CH"/>
              </w:rPr>
              <w:t>;</w:t>
            </w:r>
            <w:r w:rsidRPr="00F05FF9">
              <w:rPr>
                <w:sz w:val="18"/>
                <w:szCs w:val="18"/>
                <w:lang w:val="fr-CH"/>
              </w:rPr>
              <w:t xml:space="preserve"> </w:t>
            </w:r>
            <w:r w:rsidR="0079730F" w:rsidRPr="00F05FF9">
              <w:rPr>
                <w:sz w:val="18"/>
                <w:szCs w:val="18"/>
                <w:lang w:val="fr-CH"/>
              </w:rPr>
              <w:br/>
            </w:r>
            <w:r w:rsidRPr="00F05FF9">
              <w:rPr>
                <w:sz w:val="18"/>
                <w:szCs w:val="18"/>
                <w:lang w:val="fr-CH"/>
              </w:rPr>
              <w:t>F-500</w:t>
            </w:r>
            <w:r w:rsidR="0079730F" w:rsidRPr="00F05FF9">
              <w:rPr>
                <w:sz w:val="18"/>
                <w:szCs w:val="18"/>
                <w:lang w:val="fr-CH"/>
              </w:rPr>
              <w:t>;</w:t>
            </w:r>
            <w:r w:rsidRPr="00F05FF9">
              <w:rPr>
                <w:sz w:val="18"/>
                <w:szCs w:val="18"/>
                <w:lang w:val="fr-CH"/>
              </w:rPr>
              <w:t xml:space="preserve"> </w:t>
            </w:r>
            <w:r w:rsidR="0079730F" w:rsidRPr="00F05FF9">
              <w:rPr>
                <w:sz w:val="18"/>
                <w:szCs w:val="18"/>
                <w:lang w:val="fr-CH"/>
              </w:rPr>
              <w:br/>
            </w:r>
            <w:r w:rsidRPr="00F05FF9">
              <w:rPr>
                <w:sz w:val="18"/>
                <w:szCs w:val="18"/>
                <w:lang w:val="fr-CH"/>
              </w:rPr>
              <w:t>R-300</w:t>
            </w:r>
            <w:r w:rsidR="0079730F" w:rsidRPr="00F05FF9">
              <w:rPr>
                <w:sz w:val="18"/>
                <w:szCs w:val="18"/>
                <w:lang w:val="fr-CH"/>
              </w:rPr>
              <w:t>;</w:t>
            </w:r>
            <w:r w:rsidRPr="00F05FF9">
              <w:rPr>
                <w:sz w:val="18"/>
                <w:szCs w:val="18"/>
                <w:lang w:val="fr-CH"/>
              </w:rPr>
              <w:t xml:space="preserve"> </w:t>
            </w:r>
            <w:r w:rsidR="0079730F" w:rsidRPr="00F05FF9">
              <w:rPr>
                <w:sz w:val="18"/>
                <w:szCs w:val="18"/>
                <w:lang w:val="fr-CH"/>
              </w:rPr>
              <w:br/>
            </w:r>
            <w:r w:rsidRPr="00F05FF9">
              <w:rPr>
                <w:sz w:val="18"/>
                <w:szCs w:val="18"/>
                <w:lang w:val="fr-CH"/>
              </w:rPr>
              <w:t>S-300</w:t>
            </w:r>
          </w:p>
        </w:tc>
      </w:tr>
      <w:tr w:rsidR="00390C30" w:rsidRPr="00F05FF9" w:rsidTr="00907643">
        <w:tc>
          <w:tcPr>
            <w:tcW w:w="369"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10</w:t>
            </w:r>
          </w:p>
        </w:tc>
        <w:tc>
          <w:tcPr>
            <w:tcW w:w="1521"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Bulletin annuel </w:t>
            </w:r>
            <w:r w:rsidR="0079730F" w:rsidRPr="00F05FF9">
              <w:rPr>
                <w:sz w:val="18"/>
                <w:szCs w:val="18"/>
                <w:lang w:val="fr-CH"/>
              </w:rPr>
              <w:br/>
            </w:r>
            <w:r w:rsidRPr="00F05FF9">
              <w:rPr>
                <w:sz w:val="18"/>
                <w:szCs w:val="18"/>
                <w:lang w:val="fr-CH"/>
              </w:rPr>
              <w:t xml:space="preserve">de statistiques </w:t>
            </w:r>
            <w:r w:rsidR="0079730F" w:rsidRPr="00F05FF9">
              <w:rPr>
                <w:sz w:val="18"/>
                <w:szCs w:val="18"/>
                <w:lang w:val="fr-CH"/>
              </w:rPr>
              <w:br/>
            </w:r>
            <w:r w:rsidRPr="00F05FF9">
              <w:rPr>
                <w:sz w:val="18"/>
                <w:szCs w:val="18"/>
                <w:lang w:val="fr-CH"/>
              </w:rPr>
              <w:t xml:space="preserve">des accidents </w:t>
            </w:r>
            <w:r w:rsidR="0079730F" w:rsidRPr="00F05FF9">
              <w:rPr>
                <w:sz w:val="18"/>
                <w:szCs w:val="18"/>
                <w:lang w:val="fr-CH"/>
              </w:rPr>
              <w:br/>
            </w:r>
            <w:r w:rsidRPr="00F05FF9">
              <w:rPr>
                <w:sz w:val="18"/>
                <w:szCs w:val="18"/>
                <w:lang w:val="fr-CH"/>
              </w:rPr>
              <w:t xml:space="preserve">de la circulation routière en Europe et en Amérique </w:t>
            </w:r>
            <w:r w:rsidR="0079730F" w:rsidRPr="00F05FF9">
              <w:rPr>
                <w:sz w:val="18"/>
                <w:szCs w:val="18"/>
                <w:lang w:val="fr-CH"/>
              </w:rPr>
              <w:br/>
            </w:r>
            <w:r w:rsidRPr="00F05FF9">
              <w:rPr>
                <w:sz w:val="18"/>
                <w:szCs w:val="18"/>
                <w:lang w:val="fr-CH"/>
              </w:rPr>
              <w:t xml:space="preserve">du Nord 2017 </w:t>
            </w:r>
          </w:p>
        </w:tc>
        <w:tc>
          <w:tcPr>
            <w:tcW w:w="1413" w:type="dxa"/>
            <w:shd w:val="clear" w:color="auto" w:fill="auto"/>
          </w:tcPr>
          <w:p w:rsidR="00390C30" w:rsidRPr="00F05FF9" w:rsidRDefault="00390C30" w:rsidP="003C725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79730F" w:rsidRPr="00F05FF9">
              <w:rPr>
                <w:sz w:val="18"/>
                <w:szCs w:val="18"/>
                <w:lang w:val="fr-CH"/>
              </w:rPr>
              <w:br/>
            </w:r>
            <w:r w:rsidRPr="00F05FF9">
              <w:rPr>
                <w:sz w:val="18"/>
                <w:szCs w:val="18"/>
                <w:lang w:val="fr-CH"/>
              </w:rPr>
              <w:t>WP.6/2010/6, par.</w:t>
            </w:r>
            <w:r w:rsidR="0079730F" w:rsidRPr="00F05FF9">
              <w:rPr>
                <w:sz w:val="18"/>
                <w:szCs w:val="18"/>
                <w:lang w:val="fr-CH"/>
              </w:rPr>
              <w:t> </w:t>
            </w:r>
            <w:r w:rsidRPr="00F05FF9">
              <w:rPr>
                <w:sz w:val="18"/>
                <w:szCs w:val="18"/>
                <w:lang w:val="fr-CH"/>
              </w:rPr>
              <w:t>125 a), ECE/TRANS/</w:t>
            </w:r>
            <w:r w:rsidR="0079730F" w:rsidRPr="00F05FF9">
              <w:rPr>
                <w:sz w:val="18"/>
                <w:szCs w:val="18"/>
                <w:lang w:val="fr-CH"/>
              </w:rPr>
              <w:br/>
            </w:r>
            <w:r w:rsidRPr="00F05FF9">
              <w:rPr>
                <w:sz w:val="18"/>
                <w:szCs w:val="18"/>
                <w:lang w:val="fr-CH"/>
              </w:rPr>
              <w:t>WP.6/159, par.</w:t>
            </w:r>
            <w:r w:rsidR="0079730F" w:rsidRPr="00F05FF9">
              <w:rPr>
                <w:sz w:val="18"/>
                <w:szCs w:val="18"/>
                <w:lang w:val="fr-CH"/>
              </w:rPr>
              <w:t> </w:t>
            </w:r>
            <w:r w:rsidRPr="00F05FF9">
              <w:rPr>
                <w:sz w:val="18"/>
                <w:szCs w:val="18"/>
                <w:lang w:val="fr-CH"/>
              </w:rPr>
              <w:t>44 et</w:t>
            </w:r>
            <w:r w:rsidR="0079730F" w:rsidRPr="00F05FF9">
              <w:rPr>
                <w:sz w:val="18"/>
                <w:szCs w:val="18"/>
                <w:lang w:val="fr-CH"/>
              </w:rPr>
              <w:t xml:space="preserve"> </w:t>
            </w:r>
            <w:r w:rsidRPr="00F05FF9">
              <w:rPr>
                <w:sz w:val="18"/>
                <w:szCs w:val="18"/>
                <w:lang w:val="fr-CH"/>
              </w:rPr>
              <w:t>ECE/TRANS</w:t>
            </w:r>
            <w:r w:rsidR="003C725A" w:rsidRPr="00F05FF9">
              <w:rPr>
                <w:sz w:val="18"/>
                <w:szCs w:val="18"/>
                <w:lang w:val="fr-CH"/>
              </w:rPr>
              <w:t>/</w:t>
            </w:r>
            <w:r w:rsidR="0079730F" w:rsidRPr="00F05FF9">
              <w:rPr>
                <w:sz w:val="18"/>
                <w:szCs w:val="18"/>
                <w:lang w:val="fr-CH"/>
              </w:rPr>
              <w:br/>
            </w:r>
            <w:r w:rsidRPr="00F05FF9">
              <w:rPr>
                <w:sz w:val="18"/>
                <w:szCs w:val="18"/>
                <w:lang w:val="fr-CH"/>
              </w:rPr>
              <w:t>WP.6/161, ann</w:t>
            </w:r>
            <w:r w:rsidR="00B07B56">
              <w:rPr>
                <w:sz w:val="18"/>
                <w:szCs w:val="18"/>
                <w:lang w:val="fr-CH"/>
              </w:rPr>
              <w:t>exe 1, activité 02.12.1 b) ii),</w:t>
            </w:r>
            <w:r w:rsidRPr="00F05FF9">
              <w:rPr>
                <w:sz w:val="18"/>
                <w:szCs w:val="18"/>
                <w:lang w:val="fr-CH"/>
              </w:rPr>
              <w:t>par.</w:t>
            </w:r>
            <w:r w:rsidR="00B07B56">
              <w:rPr>
                <w:sz w:val="18"/>
                <w:szCs w:val="18"/>
                <w:lang w:val="fr-CH"/>
              </w:rPr>
              <w:t> </w:t>
            </w:r>
            <w:r w:rsidRPr="00F05FF9">
              <w:rPr>
                <w:sz w:val="18"/>
                <w:szCs w:val="18"/>
                <w:lang w:val="fr-CH"/>
              </w:rPr>
              <w:t>125</w:t>
            </w:r>
          </w:p>
        </w:tc>
        <w:tc>
          <w:tcPr>
            <w:tcW w:w="1062"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Pdf et livre numérique</w:t>
            </w:r>
          </w:p>
        </w:tc>
        <w:tc>
          <w:tcPr>
            <w:tcW w:w="585"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150</w:t>
            </w:r>
          </w:p>
        </w:tc>
        <w:tc>
          <w:tcPr>
            <w:tcW w:w="885"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w:t>
            </w:r>
          </w:p>
        </w:tc>
        <w:tc>
          <w:tcPr>
            <w:tcW w:w="941"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F, R</w:t>
            </w:r>
          </w:p>
        </w:tc>
        <w:tc>
          <w:tcPr>
            <w:tcW w:w="928" w:type="dxa"/>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p>
        </w:tc>
      </w:tr>
      <w:tr w:rsidR="00B27CA5" w:rsidRPr="00F05FF9" w:rsidTr="00907643">
        <w:tc>
          <w:tcPr>
            <w:tcW w:w="369"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iCs/>
                <w:lang w:val="fr-CH"/>
              </w:rPr>
            </w:pPr>
            <w:r w:rsidRPr="00F05FF9">
              <w:rPr>
                <w:lang w:val="fr-CH"/>
              </w:rPr>
              <w:t>11</w:t>
            </w:r>
          </w:p>
        </w:tc>
        <w:tc>
          <w:tcPr>
            <w:tcW w:w="1521"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 xml:space="preserve">Bulletin annuel </w:t>
            </w:r>
            <w:r w:rsidR="0079730F" w:rsidRPr="00F05FF9">
              <w:rPr>
                <w:sz w:val="18"/>
                <w:szCs w:val="18"/>
                <w:lang w:val="fr-CH"/>
              </w:rPr>
              <w:br/>
            </w:r>
            <w:r w:rsidRPr="00F05FF9">
              <w:rPr>
                <w:sz w:val="18"/>
                <w:szCs w:val="18"/>
                <w:lang w:val="fr-CH"/>
              </w:rPr>
              <w:t xml:space="preserve">de statistiques </w:t>
            </w:r>
            <w:r w:rsidR="0079730F" w:rsidRPr="00F05FF9">
              <w:rPr>
                <w:sz w:val="18"/>
                <w:szCs w:val="18"/>
                <w:lang w:val="fr-CH"/>
              </w:rPr>
              <w:br/>
            </w:r>
            <w:r w:rsidRPr="00F05FF9">
              <w:rPr>
                <w:sz w:val="18"/>
                <w:szCs w:val="18"/>
                <w:lang w:val="fr-CH"/>
              </w:rPr>
              <w:t xml:space="preserve">des transports pour l’Europe </w:t>
            </w:r>
            <w:r w:rsidR="0079730F" w:rsidRPr="00F05FF9">
              <w:rPr>
                <w:sz w:val="18"/>
                <w:szCs w:val="18"/>
                <w:lang w:val="fr-CH"/>
              </w:rPr>
              <w:br/>
            </w:r>
            <w:r w:rsidRPr="00F05FF9">
              <w:rPr>
                <w:sz w:val="18"/>
                <w:szCs w:val="18"/>
                <w:lang w:val="fr-CH"/>
              </w:rPr>
              <w:t xml:space="preserve">et l’Amérique </w:t>
            </w:r>
            <w:r w:rsidR="0079730F" w:rsidRPr="00F05FF9">
              <w:rPr>
                <w:sz w:val="18"/>
                <w:szCs w:val="18"/>
                <w:lang w:val="fr-CH"/>
              </w:rPr>
              <w:br/>
            </w:r>
            <w:r w:rsidRPr="00F05FF9">
              <w:rPr>
                <w:sz w:val="18"/>
                <w:szCs w:val="18"/>
                <w:lang w:val="fr-CH"/>
              </w:rPr>
              <w:t>du Nord 2016</w:t>
            </w:r>
          </w:p>
        </w:tc>
        <w:tc>
          <w:tcPr>
            <w:tcW w:w="1413" w:type="dxa"/>
            <w:tcBorders>
              <w:bottom w:val="single" w:sz="12" w:space="0" w:color="auto"/>
            </w:tcBorders>
            <w:shd w:val="clear" w:color="auto" w:fill="auto"/>
          </w:tcPr>
          <w:p w:rsidR="00390C30" w:rsidRPr="00F05FF9" w:rsidRDefault="00390C30" w:rsidP="0079730F">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ECE/TRANS/</w:t>
            </w:r>
            <w:r w:rsidR="0079730F" w:rsidRPr="00F05FF9">
              <w:rPr>
                <w:sz w:val="18"/>
                <w:szCs w:val="18"/>
                <w:lang w:val="fr-CH"/>
              </w:rPr>
              <w:br/>
            </w:r>
            <w:r w:rsidRPr="00F05FF9">
              <w:rPr>
                <w:sz w:val="18"/>
                <w:szCs w:val="18"/>
                <w:lang w:val="fr-CH"/>
              </w:rPr>
              <w:t>WP.6/2010/6, par.</w:t>
            </w:r>
            <w:r w:rsidR="0079730F" w:rsidRPr="00F05FF9">
              <w:rPr>
                <w:sz w:val="18"/>
                <w:szCs w:val="18"/>
                <w:lang w:val="fr-CH"/>
              </w:rPr>
              <w:t> </w:t>
            </w:r>
            <w:r w:rsidR="003C725A" w:rsidRPr="00F05FF9">
              <w:rPr>
                <w:sz w:val="18"/>
                <w:szCs w:val="18"/>
                <w:lang w:val="fr-CH"/>
              </w:rPr>
              <w:t xml:space="preserve">125 a), ECE/TRANS </w:t>
            </w:r>
            <w:r w:rsidR="0079730F" w:rsidRPr="00F05FF9">
              <w:rPr>
                <w:sz w:val="18"/>
                <w:szCs w:val="18"/>
                <w:lang w:val="fr-CH"/>
              </w:rPr>
              <w:br/>
            </w:r>
            <w:r w:rsidRPr="00F05FF9">
              <w:rPr>
                <w:sz w:val="18"/>
                <w:szCs w:val="18"/>
                <w:lang w:val="fr-CH"/>
              </w:rPr>
              <w:t>WP.6/159, par.</w:t>
            </w:r>
            <w:r w:rsidR="0079730F" w:rsidRPr="00F05FF9">
              <w:rPr>
                <w:sz w:val="18"/>
                <w:szCs w:val="18"/>
                <w:lang w:val="fr-CH"/>
              </w:rPr>
              <w:t> </w:t>
            </w:r>
            <w:r w:rsidRPr="00F05FF9">
              <w:rPr>
                <w:sz w:val="18"/>
                <w:szCs w:val="18"/>
                <w:lang w:val="fr-CH"/>
              </w:rPr>
              <w:t>44 et ECE/TRANS/</w:t>
            </w:r>
            <w:r w:rsidR="0079730F" w:rsidRPr="00F05FF9">
              <w:rPr>
                <w:sz w:val="18"/>
                <w:szCs w:val="18"/>
                <w:lang w:val="fr-CH"/>
              </w:rPr>
              <w:br/>
            </w:r>
            <w:r w:rsidRPr="00F05FF9">
              <w:rPr>
                <w:sz w:val="18"/>
                <w:szCs w:val="18"/>
                <w:lang w:val="fr-CH"/>
              </w:rPr>
              <w:t xml:space="preserve">WP.6/161, annexe 1, activité </w:t>
            </w:r>
            <w:r w:rsidR="00B07B56">
              <w:rPr>
                <w:sz w:val="18"/>
                <w:szCs w:val="18"/>
                <w:lang w:val="fr-CH"/>
              </w:rPr>
              <w:br/>
              <w:t>02.12.1 b) i),</w:t>
            </w:r>
            <w:r w:rsidR="0079730F" w:rsidRPr="00F05FF9">
              <w:rPr>
                <w:sz w:val="18"/>
                <w:szCs w:val="18"/>
                <w:lang w:val="fr-CH"/>
              </w:rPr>
              <w:t xml:space="preserve"> </w:t>
            </w:r>
            <w:r w:rsidRPr="00F05FF9">
              <w:rPr>
                <w:sz w:val="18"/>
                <w:szCs w:val="18"/>
                <w:lang w:val="fr-CH"/>
              </w:rPr>
              <w:t>par.</w:t>
            </w:r>
            <w:r w:rsidR="0079730F" w:rsidRPr="00F05FF9">
              <w:rPr>
                <w:sz w:val="18"/>
                <w:szCs w:val="18"/>
                <w:lang w:val="fr-CH"/>
              </w:rPr>
              <w:t> </w:t>
            </w:r>
            <w:r w:rsidRPr="00F05FF9">
              <w:rPr>
                <w:sz w:val="18"/>
                <w:szCs w:val="18"/>
                <w:lang w:val="fr-CH"/>
              </w:rPr>
              <w:t>125</w:t>
            </w:r>
          </w:p>
        </w:tc>
        <w:tc>
          <w:tcPr>
            <w:tcW w:w="1062"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Pdf et livre numérique</w:t>
            </w:r>
          </w:p>
        </w:tc>
        <w:tc>
          <w:tcPr>
            <w:tcW w:w="585"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A4</w:t>
            </w:r>
          </w:p>
        </w:tc>
        <w:tc>
          <w:tcPr>
            <w:tcW w:w="1080"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150</w:t>
            </w:r>
          </w:p>
        </w:tc>
        <w:tc>
          <w:tcPr>
            <w:tcW w:w="885"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E</w:t>
            </w:r>
          </w:p>
        </w:tc>
        <w:tc>
          <w:tcPr>
            <w:tcW w:w="941"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F, R</w:t>
            </w:r>
          </w:p>
        </w:tc>
        <w:tc>
          <w:tcPr>
            <w:tcW w:w="928" w:type="dxa"/>
            <w:tcBorders>
              <w:bottom w:val="single" w:sz="12" w:space="0" w:color="auto"/>
            </w:tcBorders>
            <w:shd w:val="clear" w:color="auto" w:fill="auto"/>
          </w:tcPr>
          <w:p w:rsidR="00390C30" w:rsidRPr="00F05FF9" w:rsidRDefault="00390C30" w:rsidP="00B27CA5">
            <w:pPr>
              <w:tabs>
                <w:tab w:val="left" w:pos="288"/>
                <w:tab w:val="left" w:pos="576"/>
                <w:tab w:val="left" w:pos="864"/>
                <w:tab w:val="left" w:pos="1152"/>
              </w:tabs>
              <w:suppressAutoHyphens/>
              <w:spacing w:before="40" w:after="80" w:line="220" w:lineRule="exact"/>
              <w:ind w:right="43"/>
              <w:rPr>
                <w:sz w:val="18"/>
                <w:szCs w:val="18"/>
                <w:lang w:val="fr-CH"/>
              </w:rPr>
            </w:pPr>
          </w:p>
        </w:tc>
      </w:tr>
    </w:tbl>
    <w:p w:rsidR="005C0C80" w:rsidRPr="00F05FF9" w:rsidRDefault="005C0C80" w:rsidP="005C0C80">
      <w:pPr>
        <w:spacing w:line="120" w:lineRule="exact"/>
        <w:rPr>
          <w:sz w:val="10"/>
          <w:lang w:val="fr-CH"/>
        </w:rPr>
      </w:pPr>
    </w:p>
    <w:p w:rsidR="00C775A0" w:rsidRPr="00F05FF9" w:rsidRDefault="00B27CA5" w:rsidP="00B27CA5">
      <w:pPr>
        <w:pStyle w:val="FootnoteText"/>
        <w:tabs>
          <w:tab w:val="right" w:pos="1476"/>
          <w:tab w:val="left" w:pos="1548"/>
          <w:tab w:val="right" w:pos="1836"/>
          <w:tab w:val="left" w:pos="1908"/>
        </w:tabs>
        <w:ind w:left="1548" w:hanging="288"/>
        <w:rPr>
          <w:lang w:val="fr-CH"/>
        </w:rPr>
      </w:pPr>
      <w:r w:rsidRPr="00F05FF9">
        <w:rPr>
          <w:vertAlign w:val="superscript"/>
          <w:lang w:val="fr-CH"/>
        </w:rPr>
        <w:tab/>
      </w:r>
      <w:r w:rsidR="00753F14" w:rsidRPr="00F05FF9">
        <w:rPr>
          <w:i/>
          <w:vertAlign w:val="superscript"/>
          <w:lang w:val="fr-CH"/>
        </w:rPr>
        <w:t>1</w:t>
      </w:r>
      <w:r w:rsidRPr="00F05FF9">
        <w:rPr>
          <w:lang w:val="fr-CH"/>
        </w:rPr>
        <w:tab/>
      </w:r>
      <w:r w:rsidR="00753F14" w:rsidRPr="00F05FF9">
        <w:rPr>
          <w:lang w:val="fr-CH"/>
        </w:rPr>
        <w:t>Langues</w:t>
      </w:r>
      <w:r w:rsidR="00BF6259" w:rsidRPr="00F05FF9">
        <w:rPr>
          <w:lang w:val="fr-CH"/>
        </w:rPr>
        <w:t> :</w:t>
      </w:r>
      <w:r w:rsidR="00753F14" w:rsidRPr="00F05FF9">
        <w:rPr>
          <w:lang w:val="fr-CH"/>
        </w:rPr>
        <w:t xml:space="preserve"> </w:t>
      </w:r>
      <w:r w:rsidR="00C775A0" w:rsidRPr="00F05FF9">
        <w:rPr>
          <w:lang w:val="fr-CH"/>
        </w:rPr>
        <w:t>a</w:t>
      </w:r>
      <w:r w:rsidR="00753F14" w:rsidRPr="00F05FF9">
        <w:rPr>
          <w:lang w:val="fr-CH"/>
        </w:rPr>
        <w:t>nglais</w:t>
      </w:r>
      <w:r w:rsidR="0079730F" w:rsidRPr="00F05FF9">
        <w:rPr>
          <w:lang w:val="fr-CH"/>
        </w:rPr>
        <w:t xml:space="preserve"> </w:t>
      </w:r>
      <w:r w:rsidR="00753F14" w:rsidRPr="00F05FF9">
        <w:rPr>
          <w:lang w:val="fr-CH"/>
        </w:rPr>
        <w:t xml:space="preserve">= E; </w:t>
      </w:r>
      <w:r w:rsidR="00C775A0" w:rsidRPr="00F05FF9">
        <w:rPr>
          <w:lang w:val="fr-CH"/>
        </w:rPr>
        <w:t>a</w:t>
      </w:r>
      <w:r w:rsidR="00753F14" w:rsidRPr="00F05FF9">
        <w:rPr>
          <w:lang w:val="fr-CH"/>
        </w:rPr>
        <w:t>rabe = A</w:t>
      </w:r>
      <w:r w:rsidR="0079730F" w:rsidRPr="00F05FF9">
        <w:rPr>
          <w:lang w:val="fr-CH"/>
        </w:rPr>
        <w:t>;</w:t>
      </w:r>
      <w:r w:rsidR="00753F14" w:rsidRPr="00F05FF9">
        <w:rPr>
          <w:lang w:val="fr-CH"/>
        </w:rPr>
        <w:t xml:space="preserve"> </w:t>
      </w:r>
      <w:r w:rsidR="00C775A0" w:rsidRPr="00F05FF9">
        <w:rPr>
          <w:lang w:val="fr-CH"/>
        </w:rPr>
        <w:t>chinois = C; e</w:t>
      </w:r>
      <w:r w:rsidR="00753F14" w:rsidRPr="00F05FF9">
        <w:rPr>
          <w:lang w:val="fr-CH"/>
        </w:rPr>
        <w:t xml:space="preserve">spagnol = S; </w:t>
      </w:r>
      <w:r w:rsidR="00C775A0" w:rsidRPr="00F05FF9">
        <w:rPr>
          <w:lang w:val="fr-CH"/>
        </w:rPr>
        <w:t>f</w:t>
      </w:r>
      <w:r w:rsidR="00753F14" w:rsidRPr="00F05FF9">
        <w:rPr>
          <w:lang w:val="fr-CH"/>
        </w:rPr>
        <w:t xml:space="preserve">rançais = F; </w:t>
      </w:r>
      <w:r w:rsidR="00C775A0" w:rsidRPr="00F05FF9">
        <w:rPr>
          <w:lang w:val="fr-CH"/>
        </w:rPr>
        <w:t>r</w:t>
      </w:r>
      <w:r w:rsidR="00753F14" w:rsidRPr="00F05FF9">
        <w:rPr>
          <w:lang w:val="fr-CH"/>
        </w:rPr>
        <w:t>usse = R.</w:t>
      </w:r>
    </w:p>
    <w:p w:rsidR="00753F14" w:rsidRPr="00F05FF9" w:rsidRDefault="00753F14" w:rsidP="00B27CA5">
      <w:pPr>
        <w:pStyle w:val="FootnoteText"/>
        <w:tabs>
          <w:tab w:val="right" w:pos="1476"/>
          <w:tab w:val="left" w:pos="1548"/>
          <w:tab w:val="right" w:pos="1836"/>
          <w:tab w:val="left" w:pos="1908"/>
        </w:tabs>
        <w:ind w:left="1548" w:hanging="288"/>
        <w:rPr>
          <w:lang w:val="fr-CH"/>
        </w:rPr>
      </w:pPr>
      <w:r w:rsidRPr="00F05FF9">
        <w:rPr>
          <w:lang w:val="fr-CH"/>
        </w:rPr>
        <w:br w:type="page"/>
      </w:r>
    </w:p>
    <w:p w:rsidR="00753F14" w:rsidRPr="00F05FF9" w:rsidRDefault="00C93121" w:rsidP="00C9312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r>
      <w:r w:rsidR="00753F14" w:rsidRPr="00F05FF9">
        <w:rPr>
          <w:lang w:val="fr-CH"/>
        </w:rPr>
        <w:t>B.</w:t>
      </w:r>
      <w:r w:rsidR="00753F14" w:rsidRPr="00F05FF9">
        <w:rPr>
          <w:lang w:val="fr-CH"/>
        </w:rPr>
        <w:tab/>
        <w:t>Publications isolées</w:t>
      </w:r>
    </w:p>
    <w:p w:rsidR="00C93121" w:rsidRPr="00F05FF9" w:rsidRDefault="00C93121" w:rsidP="00C93121">
      <w:pPr>
        <w:spacing w:line="120" w:lineRule="exact"/>
        <w:rPr>
          <w:sz w:val="10"/>
          <w:lang w:val="fr-CH"/>
        </w:rPr>
      </w:pPr>
    </w:p>
    <w:p w:rsidR="00C93121" w:rsidRPr="00F05FF9" w:rsidRDefault="00C93121" w:rsidP="00C775A0">
      <w:pPr>
        <w:keepNext/>
        <w:spacing w:line="120" w:lineRule="exact"/>
        <w:rPr>
          <w:sz w:val="10"/>
          <w:lang w:val="fr-CH"/>
        </w:rPr>
      </w:pPr>
    </w:p>
    <w:tbl>
      <w:tblPr>
        <w:tblW w:w="8784" w:type="dxa"/>
        <w:tblInd w:w="1260" w:type="dxa"/>
        <w:tblLayout w:type="fixed"/>
        <w:tblCellMar>
          <w:left w:w="0" w:type="dxa"/>
          <w:right w:w="0" w:type="dxa"/>
        </w:tblCellMar>
        <w:tblLook w:val="0000" w:firstRow="0" w:lastRow="0" w:firstColumn="0" w:lastColumn="0" w:noHBand="0" w:noVBand="0"/>
      </w:tblPr>
      <w:tblGrid>
        <w:gridCol w:w="369"/>
        <w:gridCol w:w="1521"/>
        <w:gridCol w:w="1539"/>
        <w:gridCol w:w="1069"/>
        <w:gridCol w:w="521"/>
        <w:gridCol w:w="1060"/>
        <w:gridCol w:w="869"/>
        <w:gridCol w:w="918"/>
        <w:gridCol w:w="918"/>
      </w:tblGrid>
      <w:tr w:rsidR="00C93121" w:rsidRPr="00F05FF9" w:rsidTr="00907643">
        <w:trPr>
          <w:tblHeader/>
        </w:trPr>
        <w:tc>
          <w:tcPr>
            <w:tcW w:w="369"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0"/>
              <w:rPr>
                <w:i/>
                <w:sz w:val="14"/>
                <w:lang w:val="fr-CH"/>
              </w:rPr>
            </w:pPr>
            <w:r w:rsidRPr="00F05FF9">
              <w:rPr>
                <w:i/>
                <w:sz w:val="14"/>
                <w:lang w:val="fr-CH"/>
              </w:rPr>
              <w:t>N</w:t>
            </w:r>
            <w:r w:rsidRPr="00F05FF9">
              <w:rPr>
                <w:i/>
                <w:sz w:val="14"/>
                <w:vertAlign w:val="superscript"/>
                <w:lang w:val="fr-CH"/>
              </w:rPr>
              <w:t>o</w:t>
            </w:r>
          </w:p>
        </w:tc>
        <w:tc>
          <w:tcPr>
            <w:tcW w:w="1521"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Titre de la publication</w:t>
            </w:r>
          </w:p>
        </w:tc>
        <w:tc>
          <w:tcPr>
            <w:tcW w:w="1539"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Mandat</w:t>
            </w:r>
          </w:p>
        </w:tc>
        <w:tc>
          <w:tcPr>
            <w:tcW w:w="1069"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 xml:space="preserve">Version </w:t>
            </w:r>
            <w:r w:rsidRPr="00F05FF9">
              <w:rPr>
                <w:i/>
                <w:sz w:val="14"/>
                <w:lang w:val="fr-CH"/>
              </w:rPr>
              <w:br/>
              <w:t>papier et/ou électronique</w:t>
            </w:r>
          </w:p>
        </w:tc>
        <w:tc>
          <w:tcPr>
            <w:tcW w:w="521"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Format</w:t>
            </w:r>
          </w:p>
        </w:tc>
        <w:tc>
          <w:tcPr>
            <w:tcW w:w="1060"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 xml:space="preserve">Nombre </w:t>
            </w:r>
            <w:r w:rsidRPr="00F05FF9">
              <w:rPr>
                <w:i/>
                <w:sz w:val="14"/>
                <w:lang w:val="fr-CH"/>
              </w:rPr>
              <w:br/>
              <w:t>de pages</w:t>
            </w:r>
          </w:p>
        </w:tc>
        <w:tc>
          <w:tcPr>
            <w:tcW w:w="869"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Langue(s) originale(s)</w:t>
            </w:r>
            <w:r w:rsidRPr="00F05FF9">
              <w:rPr>
                <w:i/>
                <w:sz w:val="14"/>
                <w:vertAlign w:val="superscript"/>
                <w:lang w:val="fr-CH"/>
              </w:rPr>
              <w:t>1</w:t>
            </w:r>
          </w:p>
        </w:tc>
        <w:tc>
          <w:tcPr>
            <w:tcW w:w="918" w:type="dxa"/>
            <w:tcBorders>
              <w:top w:val="single" w:sz="4" w:space="0" w:color="auto"/>
              <w:bottom w:val="single" w:sz="12" w:space="0" w:color="auto"/>
            </w:tcBorders>
            <w:shd w:val="clear" w:color="auto" w:fill="auto"/>
            <w:vAlign w:val="bottom"/>
          </w:tcPr>
          <w:p w:rsidR="00C93121" w:rsidRPr="00F05FF9" w:rsidRDefault="00C93121" w:rsidP="00907643">
            <w:pPr>
              <w:tabs>
                <w:tab w:val="left" w:pos="288"/>
                <w:tab w:val="left" w:pos="576"/>
                <w:tab w:val="left" w:pos="864"/>
                <w:tab w:val="left" w:pos="1152"/>
              </w:tabs>
              <w:suppressAutoHyphens/>
              <w:spacing w:before="80" w:after="80" w:line="160" w:lineRule="exact"/>
              <w:ind w:right="43"/>
              <w:jc w:val="both"/>
              <w:rPr>
                <w:i/>
                <w:spacing w:val="3"/>
                <w:sz w:val="14"/>
                <w:lang w:val="fr-CH"/>
              </w:rPr>
            </w:pPr>
            <w:r w:rsidRPr="00F05FF9">
              <w:rPr>
                <w:i/>
                <w:spacing w:val="3"/>
                <w:sz w:val="14"/>
                <w:lang w:val="fr-CH"/>
              </w:rPr>
              <w:t>Traduction(s)</w:t>
            </w:r>
            <w:r w:rsidRPr="00F05FF9">
              <w:rPr>
                <w:i/>
                <w:spacing w:val="3"/>
                <w:sz w:val="14"/>
                <w:vertAlign w:val="superscript"/>
                <w:lang w:val="fr-CH"/>
              </w:rPr>
              <w:t>1</w:t>
            </w:r>
          </w:p>
        </w:tc>
        <w:tc>
          <w:tcPr>
            <w:tcW w:w="918" w:type="dxa"/>
            <w:tcBorders>
              <w:top w:val="single" w:sz="4" w:space="0" w:color="auto"/>
              <w:bottom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Nombre d’exemplaires et langue(s)</w:t>
            </w:r>
          </w:p>
        </w:tc>
      </w:tr>
      <w:tr w:rsidR="00C93121" w:rsidRPr="00F05FF9" w:rsidTr="00907643">
        <w:trPr>
          <w:trHeight w:hRule="exact" w:val="115"/>
          <w:tblHeader/>
        </w:trPr>
        <w:tc>
          <w:tcPr>
            <w:tcW w:w="369"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40"/>
              <w:rPr>
                <w:lang w:val="fr-CH"/>
              </w:rPr>
            </w:pPr>
          </w:p>
        </w:tc>
        <w:tc>
          <w:tcPr>
            <w:tcW w:w="1521"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1539"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1069"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521"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1060"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869"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918"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c>
          <w:tcPr>
            <w:tcW w:w="918" w:type="dxa"/>
            <w:tcBorders>
              <w:top w:val="single" w:sz="12" w:space="0" w:color="auto"/>
            </w:tcBorders>
            <w:shd w:val="clear" w:color="auto" w:fill="auto"/>
            <w:vAlign w:val="bottom"/>
          </w:tcPr>
          <w:p w:rsidR="00C93121" w:rsidRPr="00F05FF9" w:rsidRDefault="00C93121" w:rsidP="00C93121">
            <w:pPr>
              <w:tabs>
                <w:tab w:val="left" w:pos="288"/>
                <w:tab w:val="left" w:pos="576"/>
                <w:tab w:val="left" w:pos="864"/>
                <w:tab w:val="left" w:pos="1152"/>
              </w:tabs>
              <w:suppressAutoHyphens/>
              <w:spacing w:before="40" w:after="80"/>
              <w:ind w:right="397"/>
              <w:rPr>
                <w:lang w:val="fr-CH"/>
              </w:rPr>
            </w:pPr>
          </w:p>
        </w:tc>
      </w:tr>
      <w:tr w:rsidR="00C93121" w:rsidRPr="00F05FF9" w:rsidTr="00907643">
        <w:trPr>
          <w:trHeight w:val="238"/>
        </w:trPr>
        <w:tc>
          <w:tcPr>
            <w:tcW w:w="369" w:type="dxa"/>
            <w:shd w:val="clear" w:color="auto" w:fill="auto"/>
          </w:tcPr>
          <w:p w:rsidR="00C93121" w:rsidRPr="00F05FF9" w:rsidRDefault="00C93121"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w:t>
            </w:r>
          </w:p>
        </w:tc>
        <w:tc>
          <w:tcPr>
            <w:tcW w:w="1521"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Projet concernant les liaisons de transport Europe-Asie (LTEA), rapport sur </w:t>
            </w:r>
            <w:r w:rsidR="002B57DA" w:rsidRPr="00F05FF9">
              <w:rPr>
                <w:sz w:val="18"/>
                <w:szCs w:val="18"/>
                <w:lang w:val="fr-CH"/>
              </w:rPr>
              <w:br/>
            </w:r>
            <w:r w:rsidRPr="00F05FF9">
              <w:rPr>
                <w:sz w:val="18"/>
                <w:szCs w:val="18"/>
                <w:lang w:val="fr-CH"/>
              </w:rPr>
              <w:t xml:space="preserve">la phase 3 </w:t>
            </w:r>
          </w:p>
        </w:tc>
        <w:tc>
          <w:tcPr>
            <w:tcW w:w="1539"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Déclaration ministérielle conjointe relative à l’établissement futur de liaisons de transport Europe-Asie, signée le 26 février 2013 </w:t>
            </w:r>
            <w:r w:rsidR="002B57DA" w:rsidRPr="00F05FF9">
              <w:rPr>
                <w:sz w:val="18"/>
                <w:szCs w:val="18"/>
                <w:lang w:val="fr-CH"/>
              </w:rPr>
              <w:br/>
            </w:r>
            <w:r w:rsidRPr="00F05FF9">
              <w:rPr>
                <w:sz w:val="18"/>
                <w:szCs w:val="18"/>
                <w:lang w:val="fr-CH"/>
              </w:rPr>
              <w:t xml:space="preserve">à Genève, </w:t>
            </w:r>
            <w:r w:rsidR="002B57DA" w:rsidRPr="00F05FF9">
              <w:rPr>
                <w:sz w:val="18"/>
                <w:szCs w:val="18"/>
                <w:lang w:val="fr-CH"/>
              </w:rPr>
              <w:br/>
            </w:r>
            <w:r w:rsidRPr="00F05FF9">
              <w:rPr>
                <w:sz w:val="18"/>
                <w:szCs w:val="18"/>
                <w:lang w:val="fr-CH"/>
              </w:rPr>
              <w:t>par. d) et e)</w:t>
            </w:r>
          </w:p>
        </w:tc>
        <w:tc>
          <w:tcPr>
            <w:tcW w:w="1069" w:type="dxa"/>
            <w:shd w:val="clear" w:color="auto" w:fill="auto"/>
          </w:tcPr>
          <w:p w:rsidR="00C93121" w:rsidRPr="00F05FF9" w:rsidRDefault="00C93121" w:rsidP="00907643">
            <w:pPr>
              <w:tabs>
                <w:tab w:val="left" w:pos="288"/>
                <w:tab w:val="left" w:pos="576"/>
                <w:tab w:val="left" w:pos="864"/>
                <w:tab w:val="left" w:pos="1152"/>
              </w:tabs>
              <w:suppressAutoHyphens/>
              <w:spacing w:before="40" w:after="80" w:line="220" w:lineRule="exact"/>
              <w:ind w:right="72"/>
              <w:rPr>
                <w:sz w:val="18"/>
                <w:szCs w:val="18"/>
                <w:lang w:val="fr-CH"/>
              </w:rPr>
            </w:pPr>
            <w:r w:rsidRPr="00F05FF9">
              <w:rPr>
                <w:sz w:val="18"/>
                <w:szCs w:val="18"/>
                <w:lang w:val="fr-CH"/>
              </w:rPr>
              <w:t>Versions papier et électronique</w:t>
            </w:r>
          </w:p>
        </w:tc>
        <w:tc>
          <w:tcPr>
            <w:tcW w:w="521"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A4</w:t>
            </w:r>
          </w:p>
        </w:tc>
        <w:tc>
          <w:tcPr>
            <w:tcW w:w="1060"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300</w:t>
            </w:r>
          </w:p>
        </w:tc>
        <w:tc>
          <w:tcPr>
            <w:tcW w:w="869"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R</w:t>
            </w:r>
          </w:p>
        </w:tc>
        <w:tc>
          <w:tcPr>
            <w:tcW w:w="918" w:type="dxa"/>
            <w:shd w:val="clear" w:color="auto" w:fill="auto"/>
          </w:tcPr>
          <w:p w:rsidR="00C93121" w:rsidRPr="00F05FF9" w:rsidRDefault="00C93121" w:rsidP="003C725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E-1000</w:t>
            </w:r>
            <w:r w:rsidR="002B57DA" w:rsidRPr="00F05FF9">
              <w:rPr>
                <w:sz w:val="18"/>
                <w:szCs w:val="18"/>
                <w:lang w:val="fr-CH"/>
              </w:rPr>
              <w:t>;</w:t>
            </w:r>
            <w:r w:rsidRPr="00F05FF9">
              <w:rPr>
                <w:sz w:val="18"/>
                <w:szCs w:val="18"/>
                <w:lang w:val="fr-CH"/>
              </w:rPr>
              <w:t xml:space="preserve"> </w:t>
            </w:r>
            <w:r w:rsidR="002B57DA" w:rsidRPr="00F05FF9">
              <w:rPr>
                <w:sz w:val="18"/>
                <w:szCs w:val="18"/>
                <w:lang w:val="fr-CH"/>
              </w:rPr>
              <w:br/>
            </w:r>
            <w:r w:rsidRPr="00F05FF9">
              <w:rPr>
                <w:sz w:val="18"/>
                <w:szCs w:val="18"/>
                <w:lang w:val="fr-CH"/>
              </w:rPr>
              <w:t>R-600</w:t>
            </w:r>
          </w:p>
        </w:tc>
      </w:tr>
      <w:tr w:rsidR="002B57DA" w:rsidRPr="00F05FF9" w:rsidTr="00907643">
        <w:tc>
          <w:tcPr>
            <w:tcW w:w="369" w:type="dxa"/>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2</w:t>
            </w:r>
          </w:p>
        </w:tc>
        <w:tc>
          <w:tcPr>
            <w:tcW w:w="1521"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xml:space="preserve">Étude relative au franchissement </w:t>
            </w:r>
            <w:r w:rsidRPr="00F05FF9">
              <w:rPr>
                <w:sz w:val="18"/>
                <w:szCs w:val="18"/>
                <w:lang w:val="fr-CH"/>
              </w:rPr>
              <w:br/>
              <w:t xml:space="preserve">des frontières </w:t>
            </w:r>
            <w:r w:rsidRPr="00F05FF9">
              <w:rPr>
                <w:sz w:val="18"/>
                <w:szCs w:val="18"/>
                <w:lang w:val="fr-CH"/>
              </w:rPr>
              <w:br/>
              <w:t xml:space="preserve">et aux questions douanières intéressant </w:t>
            </w:r>
            <w:r w:rsidRPr="00F05FF9">
              <w:rPr>
                <w:sz w:val="18"/>
                <w:szCs w:val="18"/>
                <w:lang w:val="fr-CH"/>
              </w:rPr>
              <w:br/>
              <w:t xml:space="preserve">les transports </w:t>
            </w:r>
          </w:p>
        </w:tc>
        <w:tc>
          <w:tcPr>
            <w:tcW w:w="1539"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 xml:space="preserve">Pour que la Convention TIR soit </w:t>
            </w:r>
            <w:r w:rsidRPr="00F05FF9">
              <w:rPr>
                <w:sz w:val="18"/>
                <w:szCs w:val="18"/>
                <w:lang w:val="fr-CH"/>
              </w:rPr>
              <w:br/>
              <w:t xml:space="preserve">effectivement et convenablement appliquée, </w:t>
            </w:r>
            <w:r w:rsidRPr="00F05FF9">
              <w:rPr>
                <w:sz w:val="18"/>
                <w:szCs w:val="18"/>
                <w:lang w:val="fr-CH"/>
              </w:rPr>
              <w:br/>
              <w:t xml:space="preserve">de même que d’autres conventions </w:t>
            </w:r>
            <w:r w:rsidRPr="00F05FF9">
              <w:rPr>
                <w:sz w:val="18"/>
                <w:szCs w:val="18"/>
                <w:lang w:val="fr-CH"/>
              </w:rPr>
              <w:br/>
              <w:t xml:space="preserve">et accords </w:t>
            </w:r>
            <w:r w:rsidRPr="00F05FF9">
              <w:rPr>
                <w:sz w:val="18"/>
                <w:szCs w:val="18"/>
                <w:lang w:val="fr-CH"/>
              </w:rPr>
              <w:br/>
              <w:t xml:space="preserve">en matière de facilitation du franchissement des frontières, </w:t>
            </w:r>
            <w:r w:rsidRPr="00F05FF9">
              <w:rPr>
                <w:sz w:val="18"/>
                <w:szCs w:val="18"/>
                <w:lang w:val="fr-CH"/>
              </w:rPr>
              <w:br/>
              <w:t xml:space="preserve">il convient </w:t>
            </w:r>
            <w:r w:rsidRPr="00F05FF9">
              <w:rPr>
                <w:sz w:val="18"/>
                <w:szCs w:val="18"/>
                <w:lang w:val="fr-CH"/>
              </w:rPr>
              <w:br/>
              <w:t xml:space="preserve">de mener </w:t>
            </w:r>
            <w:r w:rsidRPr="00F05FF9">
              <w:rPr>
                <w:sz w:val="18"/>
                <w:szCs w:val="18"/>
                <w:lang w:val="fr-CH"/>
              </w:rPr>
              <w:br/>
              <w:t xml:space="preserve">des examens périodiques </w:t>
            </w:r>
            <w:r w:rsidR="003C58C2" w:rsidRPr="00F05FF9">
              <w:rPr>
                <w:sz w:val="18"/>
                <w:szCs w:val="18"/>
                <w:lang w:val="fr-CH"/>
              </w:rPr>
              <w:br/>
            </w:r>
            <w:r w:rsidRPr="00F05FF9">
              <w:rPr>
                <w:sz w:val="18"/>
                <w:szCs w:val="18"/>
                <w:lang w:val="fr-CH"/>
              </w:rPr>
              <w:t>et des études analytiques/</w:t>
            </w:r>
            <w:r w:rsidR="003C725A" w:rsidRPr="00F05FF9">
              <w:rPr>
                <w:sz w:val="18"/>
                <w:szCs w:val="18"/>
                <w:lang w:val="fr-CH"/>
              </w:rPr>
              <w:t xml:space="preserve"> </w:t>
            </w:r>
            <w:r w:rsidRPr="00F05FF9">
              <w:rPr>
                <w:sz w:val="18"/>
                <w:szCs w:val="18"/>
                <w:lang w:val="fr-CH"/>
              </w:rPr>
              <w:br/>
              <w:t xml:space="preserve">comparatives </w:t>
            </w:r>
            <w:r w:rsidRPr="00F05FF9">
              <w:rPr>
                <w:sz w:val="18"/>
                <w:szCs w:val="18"/>
                <w:lang w:val="fr-CH"/>
              </w:rPr>
              <w:br/>
              <w:t xml:space="preserve">sur les questions douanières intéressant </w:t>
            </w:r>
            <w:r w:rsidRPr="00F05FF9">
              <w:rPr>
                <w:sz w:val="18"/>
                <w:szCs w:val="18"/>
                <w:lang w:val="fr-CH"/>
              </w:rPr>
              <w:br/>
              <w:t>les transports.</w:t>
            </w:r>
          </w:p>
        </w:tc>
        <w:tc>
          <w:tcPr>
            <w:tcW w:w="1069" w:type="dxa"/>
            <w:shd w:val="clear" w:color="auto" w:fill="auto"/>
          </w:tcPr>
          <w:p w:rsidR="002B57DA" w:rsidRPr="00F05FF9" w:rsidRDefault="002B57DA" w:rsidP="003C725A">
            <w:pPr>
              <w:tabs>
                <w:tab w:val="left" w:pos="288"/>
                <w:tab w:val="left" w:pos="576"/>
                <w:tab w:val="left" w:pos="864"/>
                <w:tab w:val="left" w:pos="1152"/>
              </w:tabs>
              <w:suppressAutoHyphens/>
              <w:spacing w:before="40" w:after="80" w:line="220" w:lineRule="exact"/>
              <w:ind w:right="43"/>
              <w:rPr>
                <w:b/>
                <w:bCs/>
                <w:sz w:val="18"/>
                <w:szCs w:val="18"/>
                <w:lang w:val="fr-CH"/>
              </w:rPr>
            </w:pPr>
            <w:r w:rsidRPr="00F05FF9">
              <w:rPr>
                <w:b/>
                <w:sz w:val="18"/>
                <w:szCs w:val="18"/>
                <w:lang w:val="fr-CH"/>
              </w:rPr>
              <w:t xml:space="preserve">Impression à la demande (groupes </w:t>
            </w:r>
            <w:r w:rsidRPr="00F05FF9">
              <w:rPr>
                <w:b/>
                <w:sz w:val="18"/>
                <w:szCs w:val="18"/>
                <w:lang w:val="fr-CH"/>
              </w:rPr>
              <w:br/>
              <w:t>de travail) et version électronique</w:t>
            </w:r>
          </w:p>
        </w:tc>
        <w:tc>
          <w:tcPr>
            <w:tcW w:w="521"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spacing w:before="40" w:after="80" w:line="220" w:lineRule="exact"/>
              <w:ind w:right="115"/>
              <w:rPr>
                <w:b/>
                <w:bCs/>
                <w:sz w:val="18"/>
                <w:szCs w:val="18"/>
                <w:lang w:val="fr-CH"/>
              </w:rPr>
            </w:pPr>
            <w:r w:rsidRPr="00F05FF9">
              <w:rPr>
                <w:b/>
                <w:sz w:val="18"/>
                <w:szCs w:val="18"/>
                <w:lang w:val="fr-CH"/>
              </w:rPr>
              <w:t>150</w:t>
            </w:r>
          </w:p>
        </w:tc>
        <w:tc>
          <w:tcPr>
            <w:tcW w:w="869" w:type="dxa"/>
            <w:shd w:val="clear" w:color="auto" w:fill="auto"/>
          </w:tcPr>
          <w:p w:rsidR="002B57DA" w:rsidRPr="00F05FF9" w:rsidRDefault="002B57DA" w:rsidP="003C725A">
            <w:pPr>
              <w:spacing w:before="40" w:after="80" w:line="220" w:lineRule="exact"/>
              <w:ind w:right="115"/>
              <w:rPr>
                <w:b/>
                <w:bCs/>
                <w:sz w:val="18"/>
                <w:szCs w:val="18"/>
                <w:lang w:val="fr-CH"/>
              </w:rPr>
            </w:pPr>
            <w:r w:rsidRPr="00F05FF9">
              <w:rPr>
                <w:b/>
                <w:sz w:val="18"/>
                <w:szCs w:val="18"/>
                <w:lang w:val="fr-CH"/>
              </w:rPr>
              <w:t xml:space="preserve">E, R </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R-100</w:t>
            </w:r>
          </w:p>
        </w:tc>
      </w:tr>
      <w:tr w:rsidR="002B57DA" w:rsidRPr="00F05FF9" w:rsidTr="00907643">
        <w:tc>
          <w:tcPr>
            <w:tcW w:w="369" w:type="dxa"/>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3</w:t>
            </w:r>
          </w:p>
        </w:tc>
        <w:tc>
          <w:tcPr>
            <w:tcW w:w="1521"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xml:space="preserve">Livre blanc </w:t>
            </w:r>
            <w:r w:rsidR="003C58C2" w:rsidRPr="00F05FF9">
              <w:rPr>
                <w:sz w:val="18"/>
                <w:szCs w:val="18"/>
                <w:lang w:val="fr-CH"/>
              </w:rPr>
              <w:br/>
            </w:r>
            <w:r w:rsidRPr="00F05FF9">
              <w:rPr>
                <w:sz w:val="18"/>
                <w:szCs w:val="18"/>
                <w:lang w:val="fr-CH"/>
              </w:rPr>
              <w:t>sur la navigation intérieure</w:t>
            </w:r>
          </w:p>
        </w:tc>
        <w:tc>
          <w:tcPr>
            <w:tcW w:w="1539"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ECE/TRANS/</w:t>
            </w:r>
            <w:r w:rsidR="003C58C2" w:rsidRPr="00F05FF9">
              <w:rPr>
                <w:sz w:val="18"/>
                <w:szCs w:val="18"/>
                <w:lang w:val="fr-CH"/>
              </w:rPr>
              <w:br/>
            </w:r>
            <w:r w:rsidRPr="00F05FF9">
              <w:rPr>
                <w:sz w:val="18"/>
                <w:szCs w:val="18"/>
                <w:lang w:val="fr-CH"/>
              </w:rPr>
              <w:t>SC.3/2013/195/</w:t>
            </w:r>
            <w:r w:rsidR="003C58C2" w:rsidRPr="00F05FF9">
              <w:rPr>
                <w:sz w:val="18"/>
                <w:szCs w:val="18"/>
                <w:lang w:val="fr-CH"/>
              </w:rPr>
              <w:br/>
            </w:r>
            <w:r w:rsidRPr="00F05FF9">
              <w:rPr>
                <w:sz w:val="18"/>
                <w:szCs w:val="18"/>
                <w:lang w:val="fr-CH"/>
              </w:rPr>
              <w:t>Add.2</w:t>
            </w:r>
            <w:r w:rsidR="00907643" w:rsidRPr="00F05FF9">
              <w:rPr>
                <w:sz w:val="18"/>
                <w:szCs w:val="18"/>
                <w:lang w:val="fr-CH"/>
              </w:rPr>
              <w:t>,</w:t>
            </w:r>
            <w:r w:rsidRPr="00F05FF9">
              <w:rPr>
                <w:sz w:val="18"/>
                <w:szCs w:val="18"/>
                <w:lang w:val="fr-CH"/>
              </w:rPr>
              <w:t xml:space="preserve"> </w:t>
            </w:r>
            <w:r w:rsidR="003C58C2" w:rsidRPr="00F05FF9">
              <w:rPr>
                <w:sz w:val="18"/>
                <w:szCs w:val="18"/>
                <w:lang w:val="fr-CH"/>
              </w:rPr>
              <w:br/>
            </w:r>
            <w:r w:rsidRPr="00F05FF9">
              <w:rPr>
                <w:sz w:val="18"/>
                <w:szCs w:val="18"/>
                <w:lang w:val="fr-CH"/>
              </w:rPr>
              <w:t>chap.</w:t>
            </w:r>
            <w:r w:rsidR="003C58C2" w:rsidRPr="00F05FF9">
              <w:rPr>
                <w:sz w:val="18"/>
                <w:szCs w:val="18"/>
                <w:lang w:val="fr-CH"/>
              </w:rPr>
              <w:t> </w:t>
            </w:r>
            <w:r w:rsidRPr="00F05FF9">
              <w:rPr>
                <w:sz w:val="18"/>
                <w:szCs w:val="18"/>
                <w:lang w:val="fr-CH"/>
              </w:rPr>
              <w:t>B, 1 b) i)</w:t>
            </w:r>
          </w:p>
        </w:tc>
        <w:tc>
          <w:tcPr>
            <w:tcW w:w="1069" w:type="dxa"/>
            <w:shd w:val="clear" w:color="auto" w:fill="auto"/>
          </w:tcPr>
          <w:p w:rsidR="002B57DA" w:rsidRPr="00F05FF9" w:rsidRDefault="002B57DA" w:rsidP="0055133C">
            <w:pPr>
              <w:spacing w:before="40" w:after="80" w:line="220" w:lineRule="exact"/>
              <w:ind w:right="72"/>
              <w:rPr>
                <w:sz w:val="18"/>
                <w:szCs w:val="18"/>
                <w:lang w:val="fr-CH"/>
              </w:rPr>
            </w:pPr>
            <w:r w:rsidRPr="00F05FF9">
              <w:rPr>
                <w:sz w:val="18"/>
                <w:szCs w:val="18"/>
                <w:lang w:val="fr-CH"/>
              </w:rPr>
              <w:t>Versions papier et électronique</w:t>
            </w:r>
          </w:p>
        </w:tc>
        <w:tc>
          <w:tcPr>
            <w:tcW w:w="521"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150</w:t>
            </w:r>
          </w:p>
        </w:tc>
        <w:tc>
          <w:tcPr>
            <w:tcW w:w="8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F, R</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E-200</w:t>
            </w:r>
            <w:r w:rsidR="003C58C2" w:rsidRPr="00F05FF9">
              <w:rPr>
                <w:sz w:val="18"/>
                <w:szCs w:val="18"/>
                <w:lang w:val="fr-CH"/>
              </w:rPr>
              <w:t>;</w:t>
            </w:r>
            <w:r w:rsidRPr="00F05FF9">
              <w:rPr>
                <w:sz w:val="18"/>
                <w:szCs w:val="18"/>
                <w:lang w:val="fr-CH"/>
              </w:rPr>
              <w:t xml:space="preserve"> </w:t>
            </w:r>
            <w:r w:rsidR="003C58C2" w:rsidRPr="00F05FF9">
              <w:rPr>
                <w:sz w:val="18"/>
                <w:szCs w:val="18"/>
                <w:lang w:val="fr-CH"/>
              </w:rPr>
              <w:br/>
            </w:r>
            <w:r w:rsidRPr="00F05FF9">
              <w:rPr>
                <w:sz w:val="18"/>
                <w:szCs w:val="18"/>
                <w:lang w:val="fr-CH"/>
              </w:rPr>
              <w:t>F-100</w:t>
            </w:r>
            <w:r w:rsidR="003C58C2" w:rsidRPr="00F05FF9">
              <w:rPr>
                <w:sz w:val="18"/>
                <w:szCs w:val="18"/>
                <w:lang w:val="fr-CH"/>
              </w:rPr>
              <w:t>;</w:t>
            </w:r>
            <w:r w:rsidRPr="00F05FF9">
              <w:rPr>
                <w:sz w:val="18"/>
                <w:szCs w:val="18"/>
                <w:lang w:val="fr-CH"/>
              </w:rPr>
              <w:t xml:space="preserve"> </w:t>
            </w:r>
            <w:r w:rsidR="003C58C2" w:rsidRPr="00F05FF9">
              <w:rPr>
                <w:sz w:val="18"/>
                <w:szCs w:val="18"/>
                <w:lang w:val="fr-CH"/>
              </w:rPr>
              <w:br/>
            </w:r>
            <w:r w:rsidRPr="00F05FF9">
              <w:rPr>
                <w:sz w:val="18"/>
                <w:szCs w:val="18"/>
                <w:lang w:val="fr-CH"/>
              </w:rPr>
              <w:t>R-100</w:t>
            </w:r>
          </w:p>
        </w:tc>
      </w:tr>
      <w:tr w:rsidR="002B57DA" w:rsidRPr="00F05FF9" w:rsidTr="00907643">
        <w:tc>
          <w:tcPr>
            <w:tcW w:w="369" w:type="dxa"/>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4</w:t>
            </w:r>
          </w:p>
        </w:tc>
        <w:tc>
          <w:tcPr>
            <w:tcW w:w="1521"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Livre bleu », troisième édition révisée (ECE/TRANS</w:t>
            </w:r>
            <w:r w:rsidR="00B212F0">
              <w:rPr>
                <w:sz w:val="18"/>
                <w:szCs w:val="18"/>
                <w:lang w:val="fr-CH"/>
              </w:rPr>
              <w:t>/</w:t>
            </w:r>
            <w:r w:rsidR="003C58C2" w:rsidRPr="00F05FF9">
              <w:rPr>
                <w:sz w:val="18"/>
                <w:szCs w:val="18"/>
                <w:lang w:val="fr-CH"/>
              </w:rPr>
              <w:br/>
            </w:r>
            <w:r w:rsidRPr="00F05FF9">
              <w:rPr>
                <w:sz w:val="18"/>
                <w:szCs w:val="18"/>
                <w:lang w:val="fr-CH"/>
              </w:rPr>
              <w:t xml:space="preserve">SC.3/144/Rev.3) </w:t>
            </w:r>
          </w:p>
        </w:tc>
        <w:tc>
          <w:tcPr>
            <w:tcW w:w="1539"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ECE/TRANS/</w:t>
            </w:r>
            <w:r w:rsidR="003C58C2" w:rsidRPr="00F05FF9">
              <w:rPr>
                <w:sz w:val="18"/>
                <w:szCs w:val="18"/>
                <w:lang w:val="fr-CH"/>
              </w:rPr>
              <w:br/>
            </w:r>
            <w:r w:rsidRPr="00F05FF9">
              <w:rPr>
                <w:sz w:val="18"/>
                <w:szCs w:val="18"/>
                <w:lang w:val="fr-CH"/>
              </w:rPr>
              <w:t>SC.3/2013/195/</w:t>
            </w:r>
            <w:r w:rsidR="003C58C2" w:rsidRPr="00F05FF9">
              <w:rPr>
                <w:sz w:val="18"/>
                <w:szCs w:val="18"/>
                <w:lang w:val="fr-CH"/>
              </w:rPr>
              <w:br/>
            </w:r>
            <w:r w:rsidRPr="00F05FF9">
              <w:rPr>
                <w:sz w:val="18"/>
                <w:szCs w:val="18"/>
                <w:lang w:val="fr-CH"/>
              </w:rPr>
              <w:t xml:space="preserve">Add.2, </w:t>
            </w:r>
            <w:r w:rsidR="003C58C2" w:rsidRPr="00F05FF9">
              <w:rPr>
                <w:sz w:val="18"/>
                <w:szCs w:val="18"/>
                <w:lang w:val="fr-CH"/>
              </w:rPr>
              <w:br/>
              <w:t>chap. </w:t>
            </w:r>
            <w:r w:rsidRPr="00F05FF9">
              <w:rPr>
                <w:sz w:val="18"/>
                <w:szCs w:val="18"/>
                <w:lang w:val="fr-CH"/>
              </w:rPr>
              <w:t>A, 1 b)</w:t>
            </w:r>
          </w:p>
        </w:tc>
        <w:tc>
          <w:tcPr>
            <w:tcW w:w="1069" w:type="dxa"/>
            <w:shd w:val="clear" w:color="auto" w:fill="auto"/>
          </w:tcPr>
          <w:p w:rsidR="002B57DA" w:rsidRPr="00F05FF9" w:rsidRDefault="002B57DA" w:rsidP="0055133C">
            <w:pPr>
              <w:spacing w:before="40" w:after="80" w:line="220" w:lineRule="exact"/>
              <w:ind w:right="72"/>
              <w:rPr>
                <w:sz w:val="18"/>
                <w:szCs w:val="18"/>
                <w:lang w:val="fr-CH"/>
              </w:rPr>
            </w:pPr>
            <w:r w:rsidRPr="00F05FF9">
              <w:rPr>
                <w:sz w:val="18"/>
                <w:szCs w:val="18"/>
                <w:lang w:val="fr-CH"/>
              </w:rPr>
              <w:t>Versions papier et électronique</w:t>
            </w:r>
          </w:p>
        </w:tc>
        <w:tc>
          <w:tcPr>
            <w:tcW w:w="521"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120</w:t>
            </w:r>
          </w:p>
        </w:tc>
        <w:tc>
          <w:tcPr>
            <w:tcW w:w="8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F, R</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E-200</w:t>
            </w:r>
            <w:r w:rsidR="003C58C2" w:rsidRPr="00F05FF9">
              <w:rPr>
                <w:sz w:val="18"/>
                <w:szCs w:val="18"/>
                <w:lang w:val="fr-CH"/>
              </w:rPr>
              <w:t>;</w:t>
            </w:r>
            <w:r w:rsidRPr="00F05FF9">
              <w:rPr>
                <w:sz w:val="18"/>
                <w:szCs w:val="18"/>
                <w:lang w:val="fr-CH"/>
              </w:rPr>
              <w:t xml:space="preserve"> </w:t>
            </w:r>
            <w:r w:rsidR="003C58C2" w:rsidRPr="00F05FF9">
              <w:rPr>
                <w:sz w:val="18"/>
                <w:szCs w:val="18"/>
                <w:lang w:val="fr-CH"/>
              </w:rPr>
              <w:br/>
            </w:r>
            <w:r w:rsidRPr="00F05FF9">
              <w:rPr>
                <w:sz w:val="18"/>
                <w:szCs w:val="18"/>
                <w:lang w:val="fr-CH"/>
              </w:rPr>
              <w:t>F-100</w:t>
            </w:r>
            <w:r w:rsidR="003C58C2" w:rsidRPr="00F05FF9">
              <w:rPr>
                <w:sz w:val="18"/>
                <w:szCs w:val="18"/>
                <w:lang w:val="fr-CH"/>
              </w:rPr>
              <w:t>;</w:t>
            </w:r>
            <w:r w:rsidRPr="00F05FF9">
              <w:rPr>
                <w:sz w:val="18"/>
                <w:szCs w:val="18"/>
                <w:lang w:val="fr-CH"/>
              </w:rPr>
              <w:t xml:space="preserve"> </w:t>
            </w:r>
            <w:r w:rsidR="003C58C2" w:rsidRPr="00F05FF9">
              <w:rPr>
                <w:sz w:val="18"/>
                <w:szCs w:val="18"/>
                <w:lang w:val="fr-CH"/>
              </w:rPr>
              <w:br/>
            </w:r>
            <w:r w:rsidRPr="00F05FF9">
              <w:rPr>
                <w:sz w:val="18"/>
                <w:szCs w:val="18"/>
                <w:lang w:val="fr-CH"/>
              </w:rPr>
              <w:t>R-100</w:t>
            </w:r>
          </w:p>
        </w:tc>
      </w:tr>
      <w:tr w:rsidR="002B57DA" w:rsidRPr="00F05FF9" w:rsidTr="00907643">
        <w:tc>
          <w:tcPr>
            <w:tcW w:w="369" w:type="dxa"/>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5</w:t>
            </w:r>
          </w:p>
        </w:tc>
        <w:tc>
          <w:tcPr>
            <w:tcW w:w="1521"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xml:space="preserve">Examen de l’état des transports ferroviaires </w:t>
            </w:r>
          </w:p>
        </w:tc>
        <w:tc>
          <w:tcPr>
            <w:tcW w:w="1539"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ECE/TRANS/</w:t>
            </w:r>
            <w:r w:rsidR="003C58C2" w:rsidRPr="00F05FF9">
              <w:rPr>
                <w:sz w:val="18"/>
                <w:szCs w:val="18"/>
                <w:lang w:val="fr-CH"/>
              </w:rPr>
              <w:br/>
            </w:r>
            <w:r w:rsidRPr="00F05FF9">
              <w:rPr>
                <w:sz w:val="18"/>
                <w:szCs w:val="18"/>
                <w:lang w:val="fr-CH"/>
              </w:rPr>
              <w:t xml:space="preserve">SC.2/218, </w:t>
            </w:r>
            <w:r w:rsidR="003C58C2" w:rsidRPr="00F05FF9">
              <w:rPr>
                <w:sz w:val="18"/>
                <w:szCs w:val="18"/>
                <w:lang w:val="fr-CH"/>
              </w:rPr>
              <w:br/>
            </w:r>
            <w:r w:rsidRPr="00F05FF9">
              <w:rPr>
                <w:sz w:val="18"/>
                <w:szCs w:val="18"/>
                <w:lang w:val="fr-CH"/>
              </w:rPr>
              <w:t>par.</w:t>
            </w:r>
            <w:r w:rsidR="003C58C2" w:rsidRPr="00F05FF9">
              <w:rPr>
                <w:sz w:val="18"/>
                <w:szCs w:val="18"/>
                <w:lang w:val="fr-CH"/>
              </w:rPr>
              <w:t> </w:t>
            </w:r>
            <w:r w:rsidRPr="00F05FF9">
              <w:rPr>
                <w:sz w:val="18"/>
                <w:szCs w:val="18"/>
                <w:lang w:val="fr-CH"/>
              </w:rPr>
              <w:t>56 et 57</w:t>
            </w:r>
          </w:p>
        </w:tc>
        <w:tc>
          <w:tcPr>
            <w:tcW w:w="10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Pdf et livre numérique</w:t>
            </w:r>
          </w:p>
        </w:tc>
        <w:tc>
          <w:tcPr>
            <w:tcW w:w="521"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150</w:t>
            </w:r>
          </w:p>
        </w:tc>
        <w:tc>
          <w:tcPr>
            <w:tcW w:w="8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F, R</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E-150</w:t>
            </w:r>
          </w:p>
        </w:tc>
      </w:tr>
      <w:tr w:rsidR="002B57DA" w:rsidRPr="00F05FF9" w:rsidTr="00907643">
        <w:tc>
          <w:tcPr>
            <w:tcW w:w="369" w:type="dxa"/>
            <w:shd w:val="clear" w:color="auto" w:fill="auto"/>
          </w:tcPr>
          <w:p w:rsidR="002B57DA" w:rsidRPr="00F05FF9" w:rsidRDefault="002B57DA" w:rsidP="003C725A">
            <w:pPr>
              <w:keepNext/>
              <w:tabs>
                <w:tab w:val="left" w:pos="288"/>
                <w:tab w:val="left" w:pos="576"/>
                <w:tab w:val="left" w:pos="864"/>
                <w:tab w:val="left" w:pos="1152"/>
              </w:tabs>
              <w:suppressAutoHyphens/>
              <w:spacing w:before="40" w:after="80" w:line="220" w:lineRule="exact"/>
              <w:ind w:right="43"/>
              <w:rPr>
                <w:iCs/>
                <w:sz w:val="18"/>
                <w:szCs w:val="18"/>
                <w:lang w:val="fr-CH"/>
              </w:rPr>
            </w:pPr>
            <w:r w:rsidRPr="00F05FF9">
              <w:rPr>
                <w:sz w:val="18"/>
                <w:szCs w:val="18"/>
                <w:lang w:val="fr-CH"/>
              </w:rPr>
              <w:t>6</w:t>
            </w:r>
          </w:p>
        </w:tc>
        <w:tc>
          <w:tcPr>
            <w:tcW w:w="1521" w:type="dxa"/>
            <w:shd w:val="clear" w:color="auto" w:fill="auto"/>
          </w:tcPr>
          <w:p w:rsidR="002B57DA" w:rsidRPr="00F05FF9" w:rsidRDefault="002B57DA" w:rsidP="003C725A">
            <w:pPr>
              <w:keepNext/>
              <w:spacing w:before="40" w:after="80" w:line="220" w:lineRule="exact"/>
              <w:ind w:right="115"/>
              <w:rPr>
                <w:sz w:val="18"/>
                <w:szCs w:val="18"/>
                <w:lang w:val="fr-CH"/>
              </w:rPr>
            </w:pPr>
            <w:r w:rsidRPr="00F05FF9">
              <w:rPr>
                <w:sz w:val="18"/>
                <w:szCs w:val="18"/>
                <w:lang w:val="fr-CH"/>
              </w:rPr>
              <w:t xml:space="preserve">Logistique </w:t>
            </w:r>
            <w:r w:rsidR="003C58C2" w:rsidRPr="00F05FF9">
              <w:rPr>
                <w:sz w:val="18"/>
                <w:szCs w:val="18"/>
                <w:lang w:val="fr-CH"/>
              </w:rPr>
              <w:br/>
            </w:r>
            <w:r w:rsidRPr="00F05FF9">
              <w:rPr>
                <w:sz w:val="18"/>
                <w:szCs w:val="18"/>
                <w:lang w:val="fr-CH"/>
              </w:rPr>
              <w:t>du transport intermodal</w:t>
            </w:r>
          </w:p>
        </w:tc>
        <w:tc>
          <w:tcPr>
            <w:tcW w:w="1539" w:type="dxa"/>
            <w:shd w:val="clear" w:color="auto" w:fill="auto"/>
          </w:tcPr>
          <w:p w:rsidR="002B57DA" w:rsidRPr="00F05FF9" w:rsidRDefault="002B57DA" w:rsidP="003C725A">
            <w:pPr>
              <w:keepNext/>
              <w:spacing w:before="40" w:after="80" w:line="220" w:lineRule="exact"/>
              <w:ind w:right="115"/>
              <w:rPr>
                <w:iCs/>
                <w:sz w:val="18"/>
                <w:szCs w:val="18"/>
                <w:lang w:val="fr-CH"/>
              </w:rPr>
            </w:pPr>
            <w:r w:rsidRPr="00F05FF9">
              <w:rPr>
                <w:sz w:val="18"/>
                <w:szCs w:val="18"/>
                <w:lang w:val="fr-CH"/>
              </w:rPr>
              <w:t>ECE/TRANS/</w:t>
            </w:r>
            <w:r w:rsidR="003C58C2" w:rsidRPr="00F05FF9">
              <w:rPr>
                <w:sz w:val="18"/>
                <w:szCs w:val="18"/>
                <w:lang w:val="fr-CH"/>
              </w:rPr>
              <w:br/>
            </w:r>
            <w:r w:rsidRPr="00F05FF9">
              <w:rPr>
                <w:sz w:val="18"/>
                <w:szCs w:val="18"/>
                <w:lang w:val="fr-CH"/>
              </w:rPr>
              <w:t>WP.24/135</w:t>
            </w:r>
          </w:p>
        </w:tc>
        <w:tc>
          <w:tcPr>
            <w:tcW w:w="1069" w:type="dxa"/>
            <w:shd w:val="clear" w:color="auto" w:fill="auto"/>
          </w:tcPr>
          <w:p w:rsidR="002B57DA" w:rsidRPr="00F05FF9" w:rsidRDefault="002B57DA" w:rsidP="003C725A">
            <w:pPr>
              <w:keepNext/>
              <w:spacing w:before="40" w:after="80" w:line="220" w:lineRule="exact"/>
              <w:ind w:right="115"/>
              <w:rPr>
                <w:sz w:val="18"/>
                <w:szCs w:val="18"/>
                <w:lang w:val="fr-CH"/>
              </w:rPr>
            </w:pPr>
            <w:r w:rsidRPr="00F05FF9">
              <w:rPr>
                <w:sz w:val="18"/>
                <w:szCs w:val="18"/>
                <w:lang w:val="fr-CH"/>
              </w:rPr>
              <w:t>Pdf et livre numérique</w:t>
            </w:r>
          </w:p>
        </w:tc>
        <w:tc>
          <w:tcPr>
            <w:tcW w:w="521" w:type="dxa"/>
            <w:shd w:val="clear" w:color="auto" w:fill="auto"/>
          </w:tcPr>
          <w:p w:rsidR="002B57DA" w:rsidRPr="00F05FF9" w:rsidRDefault="002B57DA" w:rsidP="003C725A">
            <w:pPr>
              <w:keepNext/>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keepNext/>
              <w:spacing w:before="40" w:after="80" w:line="220" w:lineRule="exact"/>
              <w:ind w:right="115"/>
              <w:rPr>
                <w:sz w:val="18"/>
                <w:szCs w:val="18"/>
                <w:lang w:val="fr-CH"/>
              </w:rPr>
            </w:pPr>
            <w:r w:rsidRPr="00F05FF9">
              <w:rPr>
                <w:sz w:val="18"/>
                <w:szCs w:val="18"/>
                <w:lang w:val="fr-CH"/>
              </w:rPr>
              <w:t>120</w:t>
            </w:r>
          </w:p>
        </w:tc>
        <w:tc>
          <w:tcPr>
            <w:tcW w:w="869" w:type="dxa"/>
            <w:shd w:val="clear" w:color="auto" w:fill="auto"/>
          </w:tcPr>
          <w:p w:rsidR="002B57DA" w:rsidRPr="00F05FF9" w:rsidRDefault="002B57DA" w:rsidP="003C725A">
            <w:pPr>
              <w:keepNext/>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2B57DA" w:rsidRPr="00F05FF9" w:rsidRDefault="002B57DA" w:rsidP="003C725A">
            <w:pPr>
              <w:keepNext/>
              <w:spacing w:before="40" w:after="80" w:line="220" w:lineRule="exact"/>
              <w:ind w:right="115"/>
              <w:rPr>
                <w:sz w:val="18"/>
                <w:szCs w:val="18"/>
                <w:lang w:val="fr-CH"/>
              </w:rPr>
            </w:pPr>
            <w:r w:rsidRPr="00F05FF9">
              <w:rPr>
                <w:sz w:val="18"/>
                <w:szCs w:val="18"/>
                <w:lang w:val="fr-CH"/>
              </w:rPr>
              <w:t>F, R</w:t>
            </w:r>
          </w:p>
        </w:tc>
        <w:tc>
          <w:tcPr>
            <w:tcW w:w="918" w:type="dxa"/>
            <w:shd w:val="clear" w:color="auto" w:fill="auto"/>
          </w:tcPr>
          <w:p w:rsidR="002B57DA" w:rsidRPr="00F05FF9" w:rsidRDefault="002B57DA" w:rsidP="003C725A">
            <w:pPr>
              <w:keepNext/>
              <w:spacing w:before="40" w:after="80" w:line="220" w:lineRule="exact"/>
              <w:ind w:right="115"/>
              <w:rPr>
                <w:sz w:val="18"/>
                <w:szCs w:val="18"/>
                <w:lang w:val="fr-CH"/>
              </w:rPr>
            </w:pPr>
            <w:r w:rsidRPr="00F05FF9">
              <w:rPr>
                <w:sz w:val="18"/>
                <w:szCs w:val="18"/>
                <w:lang w:val="fr-CH"/>
              </w:rPr>
              <w:t>E-120</w:t>
            </w:r>
          </w:p>
        </w:tc>
      </w:tr>
      <w:tr w:rsidR="002B57DA" w:rsidRPr="00F05FF9" w:rsidTr="00907643">
        <w:tc>
          <w:tcPr>
            <w:tcW w:w="369" w:type="dxa"/>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7</w:t>
            </w:r>
          </w:p>
        </w:tc>
        <w:tc>
          <w:tcPr>
            <w:tcW w:w="1521"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xml:space="preserve">Incidences </w:t>
            </w:r>
            <w:r w:rsidR="003C58C2" w:rsidRPr="00F05FF9">
              <w:rPr>
                <w:sz w:val="18"/>
                <w:szCs w:val="18"/>
                <w:lang w:val="fr-CH"/>
              </w:rPr>
              <w:br/>
            </w:r>
            <w:r w:rsidRPr="00F05FF9">
              <w:rPr>
                <w:sz w:val="18"/>
                <w:szCs w:val="18"/>
                <w:lang w:val="fr-CH"/>
              </w:rPr>
              <w:t xml:space="preserve">des changements climatiques </w:t>
            </w:r>
            <w:r w:rsidR="003C58C2" w:rsidRPr="00F05FF9">
              <w:rPr>
                <w:sz w:val="18"/>
                <w:szCs w:val="18"/>
                <w:lang w:val="fr-CH"/>
              </w:rPr>
              <w:br/>
            </w:r>
            <w:r w:rsidRPr="00F05FF9">
              <w:rPr>
                <w:sz w:val="18"/>
                <w:szCs w:val="18"/>
                <w:lang w:val="fr-CH"/>
              </w:rPr>
              <w:t xml:space="preserve">et adaptation </w:t>
            </w:r>
            <w:r w:rsidR="003C58C2" w:rsidRPr="00F05FF9">
              <w:rPr>
                <w:sz w:val="18"/>
                <w:szCs w:val="18"/>
                <w:lang w:val="fr-CH"/>
              </w:rPr>
              <w:br/>
            </w:r>
            <w:r w:rsidRPr="00F05FF9">
              <w:rPr>
                <w:sz w:val="18"/>
                <w:szCs w:val="18"/>
                <w:lang w:val="fr-CH"/>
              </w:rPr>
              <w:t xml:space="preserve">des réseaux </w:t>
            </w:r>
            <w:r w:rsidR="003C58C2" w:rsidRPr="00F05FF9">
              <w:rPr>
                <w:sz w:val="18"/>
                <w:szCs w:val="18"/>
                <w:lang w:val="fr-CH"/>
              </w:rPr>
              <w:br/>
            </w:r>
            <w:r w:rsidRPr="00F05FF9">
              <w:rPr>
                <w:sz w:val="18"/>
                <w:szCs w:val="18"/>
                <w:lang w:val="fr-CH"/>
              </w:rPr>
              <w:t xml:space="preserve">de transport </w:t>
            </w:r>
          </w:p>
        </w:tc>
        <w:tc>
          <w:tcPr>
            <w:tcW w:w="1539" w:type="dxa"/>
            <w:shd w:val="clear" w:color="auto" w:fill="auto"/>
          </w:tcPr>
          <w:p w:rsidR="002B57DA" w:rsidRPr="00F05FF9" w:rsidRDefault="002B57DA" w:rsidP="003C725A">
            <w:pPr>
              <w:spacing w:before="40" w:after="80" w:line="220" w:lineRule="exact"/>
              <w:ind w:right="43"/>
              <w:rPr>
                <w:iCs/>
                <w:sz w:val="18"/>
                <w:szCs w:val="18"/>
                <w:lang w:val="fr-CH"/>
              </w:rPr>
            </w:pPr>
            <w:r w:rsidRPr="00F05FF9">
              <w:rPr>
                <w:spacing w:val="2"/>
                <w:sz w:val="18"/>
                <w:szCs w:val="18"/>
                <w:lang w:val="fr-CH"/>
              </w:rPr>
              <w:t>ECE/TRANS/240,</w:t>
            </w:r>
            <w:r w:rsidRPr="00F05FF9">
              <w:rPr>
                <w:sz w:val="18"/>
                <w:szCs w:val="18"/>
                <w:lang w:val="fr-CH"/>
              </w:rPr>
              <w:t xml:space="preserve"> par. 20 à 24</w:t>
            </w:r>
          </w:p>
        </w:tc>
        <w:tc>
          <w:tcPr>
            <w:tcW w:w="10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Pdf et livre numérique</w:t>
            </w:r>
          </w:p>
        </w:tc>
        <w:tc>
          <w:tcPr>
            <w:tcW w:w="521"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150</w:t>
            </w:r>
          </w:p>
        </w:tc>
        <w:tc>
          <w:tcPr>
            <w:tcW w:w="8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F, R</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E-150</w:t>
            </w:r>
          </w:p>
        </w:tc>
      </w:tr>
      <w:tr w:rsidR="002B57DA" w:rsidRPr="00F05FF9" w:rsidTr="00907643">
        <w:tc>
          <w:tcPr>
            <w:tcW w:w="369" w:type="dxa"/>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8</w:t>
            </w:r>
          </w:p>
        </w:tc>
        <w:tc>
          <w:tcPr>
            <w:tcW w:w="1521"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xml:space="preserve">Outil de modélisation des futurs systèmes de transport intérieur (ForFITS) </w:t>
            </w:r>
          </w:p>
        </w:tc>
        <w:tc>
          <w:tcPr>
            <w:tcW w:w="1539" w:type="dxa"/>
            <w:shd w:val="clear" w:color="auto" w:fill="auto"/>
          </w:tcPr>
          <w:p w:rsidR="002B57DA" w:rsidRPr="00F05FF9" w:rsidRDefault="002B57DA" w:rsidP="003C725A">
            <w:pPr>
              <w:spacing w:before="40" w:after="80" w:line="220" w:lineRule="exact"/>
              <w:ind w:right="43"/>
              <w:rPr>
                <w:iCs/>
                <w:sz w:val="18"/>
                <w:szCs w:val="18"/>
                <w:lang w:val="fr-CH"/>
              </w:rPr>
            </w:pPr>
            <w:r w:rsidRPr="00F05FF9">
              <w:rPr>
                <w:sz w:val="18"/>
                <w:szCs w:val="18"/>
                <w:lang w:val="fr-CH"/>
              </w:rPr>
              <w:t>ECE/TRANS/240, par. 17 à 19</w:t>
            </w:r>
          </w:p>
        </w:tc>
        <w:tc>
          <w:tcPr>
            <w:tcW w:w="10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Pdf et livre numérique</w:t>
            </w:r>
          </w:p>
        </w:tc>
        <w:tc>
          <w:tcPr>
            <w:tcW w:w="521" w:type="dxa"/>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150</w:t>
            </w:r>
          </w:p>
        </w:tc>
        <w:tc>
          <w:tcPr>
            <w:tcW w:w="869"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w:t>
            </w:r>
          </w:p>
        </w:tc>
        <w:tc>
          <w:tcPr>
            <w:tcW w:w="918" w:type="dxa"/>
            <w:shd w:val="clear" w:color="auto" w:fill="auto"/>
          </w:tcPr>
          <w:p w:rsidR="002B57DA" w:rsidRPr="00F05FF9" w:rsidRDefault="002B57DA" w:rsidP="003C725A">
            <w:pPr>
              <w:spacing w:before="40" w:after="80" w:line="220" w:lineRule="exact"/>
              <w:ind w:right="115"/>
              <w:rPr>
                <w:sz w:val="18"/>
                <w:szCs w:val="18"/>
                <w:lang w:val="fr-CH"/>
              </w:rPr>
            </w:pPr>
          </w:p>
        </w:tc>
      </w:tr>
      <w:tr w:rsidR="002B57DA" w:rsidRPr="00F05FF9" w:rsidTr="00907643">
        <w:tc>
          <w:tcPr>
            <w:tcW w:w="369" w:type="dxa"/>
            <w:tcBorders>
              <w:bottom w:val="single" w:sz="12" w:space="0" w:color="auto"/>
            </w:tcBorders>
            <w:shd w:val="clear" w:color="auto" w:fill="auto"/>
          </w:tcPr>
          <w:p w:rsidR="002B57DA" w:rsidRPr="00F05FF9" w:rsidRDefault="002B57DA" w:rsidP="003C58C2">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9</w:t>
            </w:r>
          </w:p>
        </w:tc>
        <w:tc>
          <w:tcPr>
            <w:tcW w:w="1521" w:type="dxa"/>
            <w:tcBorders>
              <w:bottom w:val="single" w:sz="12" w:space="0" w:color="auto"/>
            </w:tcBorders>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 xml:space="preserve">Sécurité routière : Évaluation </w:t>
            </w:r>
            <w:r w:rsidR="003C58C2" w:rsidRPr="00F05FF9">
              <w:rPr>
                <w:sz w:val="18"/>
                <w:szCs w:val="18"/>
                <w:lang w:val="fr-CH"/>
              </w:rPr>
              <w:br/>
            </w:r>
            <w:r w:rsidRPr="00F05FF9">
              <w:rPr>
                <w:sz w:val="18"/>
                <w:szCs w:val="18"/>
                <w:lang w:val="fr-CH"/>
              </w:rPr>
              <w:t xml:space="preserve">à mi-parcours </w:t>
            </w:r>
            <w:r w:rsidR="003C58C2" w:rsidRPr="00F05FF9">
              <w:rPr>
                <w:sz w:val="18"/>
                <w:szCs w:val="18"/>
                <w:lang w:val="fr-CH"/>
              </w:rPr>
              <w:br/>
            </w:r>
            <w:r w:rsidRPr="00F05FF9">
              <w:rPr>
                <w:sz w:val="18"/>
                <w:szCs w:val="18"/>
                <w:lang w:val="fr-CH"/>
              </w:rPr>
              <w:t xml:space="preserve">de la mise </w:t>
            </w:r>
            <w:r w:rsidR="003C58C2" w:rsidRPr="00F05FF9">
              <w:rPr>
                <w:sz w:val="18"/>
                <w:szCs w:val="18"/>
                <w:lang w:val="fr-CH"/>
              </w:rPr>
              <w:br/>
            </w:r>
            <w:r w:rsidRPr="00F05FF9">
              <w:rPr>
                <w:sz w:val="18"/>
                <w:szCs w:val="18"/>
                <w:lang w:val="fr-CH"/>
              </w:rPr>
              <w:t xml:space="preserve">en œuvre de la Décennie d’action pour la sécurité routière </w:t>
            </w:r>
          </w:p>
        </w:tc>
        <w:tc>
          <w:tcPr>
            <w:tcW w:w="1539" w:type="dxa"/>
            <w:tcBorders>
              <w:bottom w:val="single" w:sz="12" w:space="0" w:color="auto"/>
            </w:tcBorders>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ECE/TRANS/</w:t>
            </w:r>
            <w:r w:rsidR="003C58C2" w:rsidRPr="00F05FF9">
              <w:rPr>
                <w:sz w:val="18"/>
                <w:szCs w:val="18"/>
                <w:lang w:val="fr-CH"/>
              </w:rPr>
              <w:br/>
            </w:r>
            <w:r w:rsidRPr="00F05FF9">
              <w:rPr>
                <w:sz w:val="18"/>
                <w:szCs w:val="18"/>
                <w:lang w:val="fr-CH"/>
              </w:rPr>
              <w:t>224, par.</w:t>
            </w:r>
            <w:r w:rsidR="003C58C2" w:rsidRPr="00F05FF9">
              <w:rPr>
                <w:sz w:val="18"/>
                <w:szCs w:val="18"/>
                <w:lang w:val="fr-CH"/>
              </w:rPr>
              <w:t> </w:t>
            </w:r>
            <w:r w:rsidRPr="00F05FF9">
              <w:rPr>
                <w:sz w:val="18"/>
                <w:szCs w:val="18"/>
                <w:lang w:val="fr-CH"/>
              </w:rPr>
              <w:t>46</w:t>
            </w:r>
          </w:p>
        </w:tc>
        <w:tc>
          <w:tcPr>
            <w:tcW w:w="1069" w:type="dxa"/>
            <w:tcBorders>
              <w:bottom w:val="single" w:sz="12" w:space="0" w:color="auto"/>
            </w:tcBorders>
            <w:shd w:val="clear" w:color="auto" w:fill="auto"/>
          </w:tcPr>
          <w:p w:rsidR="002B57DA" w:rsidRPr="00F05FF9" w:rsidRDefault="002B57DA" w:rsidP="003C725A">
            <w:pPr>
              <w:spacing w:before="40" w:after="80" w:line="220" w:lineRule="exact"/>
              <w:ind w:right="72"/>
              <w:rPr>
                <w:sz w:val="18"/>
                <w:szCs w:val="18"/>
                <w:lang w:val="fr-CH"/>
              </w:rPr>
            </w:pPr>
            <w:r w:rsidRPr="00F05FF9">
              <w:rPr>
                <w:sz w:val="18"/>
                <w:szCs w:val="18"/>
                <w:lang w:val="fr-CH"/>
              </w:rPr>
              <w:t>Version électronique</w:t>
            </w:r>
          </w:p>
        </w:tc>
        <w:tc>
          <w:tcPr>
            <w:tcW w:w="521" w:type="dxa"/>
            <w:tcBorders>
              <w:bottom w:val="single" w:sz="12" w:space="0" w:color="auto"/>
            </w:tcBorders>
            <w:shd w:val="clear" w:color="auto" w:fill="auto"/>
          </w:tcPr>
          <w:p w:rsidR="002B57DA" w:rsidRPr="00F05FF9" w:rsidRDefault="002B57DA" w:rsidP="003C725A">
            <w:pPr>
              <w:spacing w:before="40" w:after="80" w:line="220" w:lineRule="exact"/>
              <w:ind w:right="115"/>
              <w:rPr>
                <w:iCs/>
                <w:sz w:val="18"/>
                <w:szCs w:val="18"/>
                <w:lang w:val="fr-CH"/>
              </w:rPr>
            </w:pPr>
            <w:r w:rsidRPr="00F05FF9">
              <w:rPr>
                <w:sz w:val="18"/>
                <w:szCs w:val="18"/>
                <w:lang w:val="fr-CH"/>
              </w:rPr>
              <w:t>A4</w:t>
            </w:r>
          </w:p>
        </w:tc>
        <w:tc>
          <w:tcPr>
            <w:tcW w:w="1060" w:type="dxa"/>
            <w:tcBorders>
              <w:bottom w:val="single" w:sz="12" w:space="0" w:color="auto"/>
            </w:tcBorders>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150</w:t>
            </w:r>
          </w:p>
        </w:tc>
        <w:tc>
          <w:tcPr>
            <w:tcW w:w="869" w:type="dxa"/>
            <w:tcBorders>
              <w:bottom w:val="single" w:sz="12" w:space="0" w:color="auto"/>
            </w:tcBorders>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E</w:t>
            </w:r>
          </w:p>
        </w:tc>
        <w:tc>
          <w:tcPr>
            <w:tcW w:w="918" w:type="dxa"/>
            <w:tcBorders>
              <w:bottom w:val="single" w:sz="12" w:space="0" w:color="auto"/>
            </w:tcBorders>
            <w:shd w:val="clear" w:color="auto" w:fill="auto"/>
          </w:tcPr>
          <w:p w:rsidR="002B57DA" w:rsidRPr="00F05FF9" w:rsidRDefault="002B57DA" w:rsidP="003C725A">
            <w:pPr>
              <w:spacing w:before="40" w:after="80" w:line="220" w:lineRule="exact"/>
              <w:ind w:right="115"/>
              <w:rPr>
                <w:sz w:val="18"/>
                <w:szCs w:val="18"/>
                <w:lang w:val="fr-CH"/>
              </w:rPr>
            </w:pPr>
            <w:r w:rsidRPr="00F05FF9">
              <w:rPr>
                <w:sz w:val="18"/>
                <w:szCs w:val="18"/>
                <w:lang w:val="fr-CH"/>
              </w:rPr>
              <w:t>F, R</w:t>
            </w:r>
          </w:p>
        </w:tc>
        <w:tc>
          <w:tcPr>
            <w:tcW w:w="918" w:type="dxa"/>
            <w:tcBorders>
              <w:bottom w:val="single" w:sz="12" w:space="0" w:color="auto"/>
            </w:tcBorders>
            <w:shd w:val="clear" w:color="auto" w:fill="auto"/>
          </w:tcPr>
          <w:p w:rsidR="002B57DA" w:rsidRPr="00F05FF9" w:rsidRDefault="002B57DA" w:rsidP="003C725A">
            <w:pPr>
              <w:spacing w:before="40" w:after="80" w:line="220" w:lineRule="exact"/>
              <w:ind w:right="115"/>
              <w:rPr>
                <w:sz w:val="18"/>
                <w:szCs w:val="18"/>
                <w:lang w:val="fr-CH"/>
              </w:rPr>
            </w:pPr>
          </w:p>
        </w:tc>
      </w:tr>
    </w:tbl>
    <w:p w:rsidR="00C93121" w:rsidRPr="00F05FF9" w:rsidRDefault="00C93121" w:rsidP="002B57DA">
      <w:pPr>
        <w:pStyle w:val="SingleTxt"/>
        <w:spacing w:after="0" w:line="120" w:lineRule="exact"/>
        <w:rPr>
          <w:sz w:val="10"/>
          <w:lang w:val="fr-CH"/>
        </w:rPr>
      </w:pPr>
    </w:p>
    <w:p w:rsidR="002B57DA" w:rsidRPr="00F05FF9" w:rsidRDefault="002B57DA" w:rsidP="002B57DA">
      <w:pPr>
        <w:pStyle w:val="FootnoteText"/>
        <w:tabs>
          <w:tab w:val="right" w:pos="1476"/>
          <w:tab w:val="left" w:pos="1548"/>
          <w:tab w:val="right" w:pos="1836"/>
          <w:tab w:val="left" w:pos="1908"/>
        </w:tabs>
        <w:ind w:left="1548" w:hanging="288"/>
        <w:rPr>
          <w:lang w:val="fr-CH"/>
        </w:rPr>
      </w:pPr>
      <w:r w:rsidRPr="00F05FF9">
        <w:rPr>
          <w:vertAlign w:val="superscript"/>
          <w:lang w:val="fr-CH"/>
        </w:rPr>
        <w:tab/>
      </w:r>
      <w:r w:rsidRPr="00F05FF9">
        <w:rPr>
          <w:i/>
          <w:vertAlign w:val="superscript"/>
          <w:lang w:val="fr-CH"/>
        </w:rPr>
        <w:t>1</w:t>
      </w:r>
      <w:r w:rsidRPr="00F05FF9">
        <w:rPr>
          <w:lang w:val="fr-CH"/>
        </w:rPr>
        <w:tab/>
        <w:t xml:space="preserve">Langues : </w:t>
      </w:r>
      <w:r w:rsidR="00907643" w:rsidRPr="00F05FF9">
        <w:rPr>
          <w:lang w:val="fr-CH"/>
        </w:rPr>
        <w:t>a</w:t>
      </w:r>
      <w:r w:rsidRPr="00F05FF9">
        <w:rPr>
          <w:lang w:val="fr-CH"/>
        </w:rPr>
        <w:t>nglais</w:t>
      </w:r>
      <w:r w:rsidR="00B212F0">
        <w:rPr>
          <w:lang w:val="fr-CH"/>
        </w:rPr>
        <w:t xml:space="preserve"> </w:t>
      </w:r>
      <w:r w:rsidRPr="00F05FF9">
        <w:rPr>
          <w:lang w:val="fr-CH"/>
        </w:rPr>
        <w:t xml:space="preserve">= E; </w:t>
      </w:r>
      <w:r w:rsidR="00907643" w:rsidRPr="00F05FF9">
        <w:rPr>
          <w:lang w:val="fr-CH"/>
        </w:rPr>
        <w:t>a</w:t>
      </w:r>
      <w:r w:rsidRPr="00F05FF9">
        <w:rPr>
          <w:lang w:val="fr-CH"/>
        </w:rPr>
        <w:t>rabe = A</w:t>
      </w:r>
      <w:r w:rsidR="00DB6EF1" w:rsidRPr="00F05FF9">
        <w:rPr>
          <w:lang w:val="fr-CH"/>
        </w:rPr>
        <w:t>;</w:t>
      </w:r>
      <w:r w:rsidRPr="00F05FF9">
        <w:rPr>
          <w:lang w:val="fr-CH"/>
        </w:rPr>
        <w:t xml:space="preserve"> </w:t>
      </w:r>
      <w:r w:rsidR="00907643" w:rsidRPr="00F05FF9">
        <w:rPr>
          <w:lang w:val="fr-CH"/>
        </w:rPr>
        <w:t>c</w:t>
      </w:r>
      <w:r w:rsidRPr="00F05FF9">
        <w:rPr>
          <w:lang w:val="fr-CH"/>
        </w:rPr>
        <w:t xml:space="preserve">hinois = C; </w:t>
      </w:r>
      <w:r w:rsidR="00907643" w:rsidRPr="00F05FF9">
        <w:rPr>
          <w:lang w:val="fr-CH"/>
        </w:rPr>
        <w:t>e</w:t>
      </w:r>
      <w:r w:rsidRPr="00F05FF9">
        <w:rPr>
          <w:lang w:val="fr-CH"/>
        </w:rPr>
        <w:t xml:space="preserve">spagnol = S; </w:t>
      </w:r>
      <w:r w:rsidR="00907643" w:rsidRPr="00F05FF9">
        <w:rPr>
          <w:lang w:val="fr-CH"/>
        </w:rPr>
        <w:t>f</w:t>
      </w:r>
      <w:r w:rsidRPr="00F05FF9">
        <w:rPr>
          <w:lang w:val="fr-CH"/>
        </w:rPr>
        <w:t xml:space="preserve">rançais = F; </w:t>
      </w:r>
      <w:r w:rsidR="00907643" w:rsidRPr="00F05FF9">
        <w:rPr>
          <w:lang w:val="fr-CH"/>
        </w:rPr>
        <w:t>r</w:t>
      </w:r>
      <w:r w:rsidRPr="00F05FF9">
        <w:rPr>
          <w:lang w:val="fr-CH"/>
        </w:rPr>
        <w:t>usse = R.</w:t>
      </w:r>
    </w:p>
    <w:p w:rsidR="002B57DA" w:rsidRPr="00F05FF9" w:rsidRDefault="002B57DA">
      <w:pPr>
        <w:spacing w:line="240" w:lineRule="auto"/>
        <w:rPr>
          <w:sz w:val="17"/>
          <w:szCs w:val="20"/>
          <w:lang w:val="fr-CH"/>
        </w:rPr>
      </w:pPr>
      <w:r w:rsidRPr="00F05FF9">
        <w:rPr>
          <w:lang w:val="fr-CH"/>
        </w:rPr>
        <w:br w:type="page"/>
      </w:r>
    </w:p>
    <w:p w:rsidR="00753F14" w:rsidRPr="00F05FF9" w:rsidRDefault="00753F14" w:rsidP="0090764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C.</w:t>
      </w:r>
      <w:r w:rsidRPr="00F05FF9">
        <w:rPr>
          <w:lang w:val="fr-CH"/>
        </w:rPr>
        <w:tab/>
      </w:r>
      <w:r w:rsidR="00907643" w:rsidRPr="00F05FF9">
        <w:rPr>
          <w:lang w:val="fr-CH"/>
        </w:rPr>
        <w:t>Supports promotionnels</w:t>
      </w:r>
    </w:p>
    <w:p w:rsidR="00907643" w:rsidRPr="00F05FF9" w:rsidRDefault="00907643" w:rsidP="00907643">
      <w:pPr>
        <w:keepNext/>
        <w:spacing w:line="120" w:lineRule="exact"/>
        <w:rPr>
          <w:b/>
          <w:sz w:val="10"/>
          <w:lang w:val="fr-CH"/>
        </w:rPr>
      </w:pPr>
    </w:p>
    <w:p w:rsidR="00907643" w:rsidRPr="00F05FF9" w:rsidRDefault="00907643" w:rsidP="00907643">
      <w:pPr>
        <w:keepNext/>
        <w:spacing w:line="120" w:lineRule="exact"/>
        <w:rPr>
          <w:b/>
          <w:sz w:val="10"/>
          <w:lang w:val="fr-CH"/>
        </w:rPr>
      </w:pPr>
    </w:p>
    <w:tbl>
      <w:tblPr>
        <w:tblW w:w="8782" w:type="dxa"/>
        <w:tblInd w:w="1262" w:type="dxa"/>
        <w:tblLayout w:type="fixed"/>
        <w:tblCellMar>
          <w:left w:w="0" w:type="dxa"/>
          <w:right w:w="0" w:type="dxa"/>
        </w:tblCellMar>
        <w:tblLook w:val="0000" w:firstRow="0" w:lastRow="0" w:firstColumn="0" w:lastColumn="0" w:noHBand="0" w:noVBand="0"/>
      </w:tblPr>
      <w:tblGrid>
        <w:gridCol w:w="369"/>
        <w:gridCol w:w="7"/>
        <w:gridCol w:w="1512"/>
        <w:gridCol w:w="1537"/>
        <w:gridCol w:w="1068"/>
        <w:gridCol w:w="522"/>
        <w:gridCol w:w="1062"/>
        <w:gridCol w:w="868"/>
        <w:gridCol w:w="917"/>
        <w:gridCol w:w="920"/>
      </w:tblGrid>
      <w:tr w:rsidR="009243A5" w:rsidRPr="00F05FF9" w:rsidTr="0039420B">
        <w:trPr>
          <w:tblHeader/>
        </w:trPr>
        <w:tc>
          <w:tcPr>
            <w:tcW w:w="376" w:type="dxa"/>
            <w:gridSpan w:val="2"/>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0"/>
              <w:rPr>
                <w:i/>
                <w:sz w:val="14"/>
                <w:lang w:val="fr-CH"/>
              </w:rPr>
            </w:pPr>
            <w:r w:rsidRPr="00F05FF9">
              <w:rPr>
                <w:i/>
                <w:sz w:val="14"/>
                <w:lang w:val="fr-CH"/>
              </w:rPr>
              <w:t>N</w:t>
            </w:r>
            <w:r w:rsidRPr="00F05FF9">
              <w:rPr>
                <w:i/>
                <w:sz w:val="14"/>
                <w:vertAlign w:val="superscript"/>
                <w:lang w:val="fr-CH"/>
              </w:rPr>
              <w:t>o</w:t>
            </w:r>
          </w:p>
        </w:tc>
        <w:tc>
          <w:tcPr>
            <w:tcW w:w="1512"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Titre de la publication</w:t>
            </w:r>
          </w:p>
        </w:tc>
        <w:tc>
          <w:tcPr>
            <w:tcW w:w="1537"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Mandat</w:t>
            </w:r>
          </w:p>
        </w:tc>
        <w:tc>
          <w:tcPr>
            <w:tcW w:w="1068"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 xml:space="preserve">Version </w:t>
            </w:r>
            <w:r w:rsidRPr="00F05FF9">
              <w:rPr>
                <w:i/>
                <w:sz w:val="14"/>
                <w:lang w:val="fr-CH"/>
              </w:rPr>
              <w:br/>
              <w:t>papier et/ou électronique</w:t>
            </w:r>
          </w:p>
        </w:tc>
        <w:tc>
          <w:tcPr>
            <w:tcW w:w="522"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Format</w:t>
            </w:r>
          </w:p>
        </w:tc>
        <w:tc>
          <w:tcPr>
            <w:tcW w:w="1062"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 xml:space="preserve">Nombre </w:t>
            </w:r>
            <w:r w:rsidRPr="00F05FF9">
              <w:rPr>
                <w:i/>
                <w:sz w:val="14"/>
                <w:lang w:val="fr-CH"/>
              </w:rPr>
              <w:br/>
              <w:t>de pages</w:t>
            </w:r>
          </w:p>
        </w:tc>
        <w:tc>
          <w:tcPr>
            <w:tcW w:w="868"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Langue(s) originale(s)</w:t>
            </w:r>
            <w:r w:rsidRPr="00F05FF9">
              <w:rPr>
                <w:i/>
                <w:sz w:val="14"/>
                <w:vertAlign w:val="superscript"/>
                <w:lang w:val="fr-CH"/>
              </w:rPr>
              <w:t>1</w:t>
            </w:r>
          </w:p>
        </w:tc>
        <w:tc>
          <w:tcPr>
            <w:tcW w:w="917"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jc w:val="both"/>
              <w:rPr>
                <w:i/>
                <w:spacing w:val="3"/>
                <w:sz w:val="14"/>
                <w:lang w:val="fr-CH"/>
              </w:rPr>
            </w:pPr>
            <w:r w:rsidRPr="00F05FF9">
              <w:rPr>
                <w:i/>
                <w:spacing w:val="3"/>
                <w:sz w:val="14"/>
                <w:lang w:val="fr-CH"/>
              </w:rPr>
              <w:t>Traduction(s)</w:t>
            </w:r>
            <w:r w:rsidRPr="00F05FF9">
              <w:rPr>
                <w:i/>
                <w:spacing w:val="3"/>
                <w:sz w:val="14"/>
                <w:vertAlign w:val="superscript"/>
                <w:lang w:val="fr-CH"/>
              </w:rPr>
              <w:t>1</w:t>
            </w:r>
          </w:p>
        </w:tc>
        <w:tc>
          <w:tcPr>
            <w:tcW w:w="920" w:type="dxa"/>
            <w:tcBorders>
              <w:top w:val="single" w:sz="4" w:space="0" w:color="auto"/>
              <w:bottom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80" w:after="80" w:line="160" w:lineRule="exact"/>
              <w:ind w:right="43"/>
              <w:rPr>
                <w:i/>
                <w:sz w:val="14"/>
                <w:lang w:val="fr-CH"/>
              </w:rPr>
            </w:pPr>
            <w:r w:rsidRPr="00F05FF9">
              <w:rPr>
                <w:i/>
                <w:sz w:val="14"/>
                <w:lang w:val="fr-CH"/>
              </w:rPr>
              <w:t>Nombre d’exemplaires et langue(s)</w:t>
            </w:r>
          </w:p>
        </w:tc>
      </w:tr>
      <w:tr w:rsidR="009243A5" w:rsidRPr="00F05FF9" w:rsidTr="0039420B">
        <w:trPr>
          <w:trHeight w:hRule="exact" w:val="115"/>
          <w:tblHeader/>
        </w:trPr>
        <w:tc>
          <w:tcPr>
            <w:tcW w:w="376" w:type="dxa"/>
            <w:gridSpan w:val="2"/>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40"/>
              <w:rPr>
                <w:lang w:val="fr-CH"/>
              </w:rPr>
            </w:pPr>
          </w:p>
        </w:tc>
        <w:tc>
          <w:tcPr>
            <w:tcW w:w="1512"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1537"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1068"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522"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1062"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868"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917"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c>
          <w:tcPr>
            <w:tcW w:w="920" w:type="dxa"/>
            <w:tcBorders>
              <w:top w:val="single" w:sz="12" w:space="0" w:color="auto"/>
            </w:tcBorders>
            <w:shd w:val="clear" w:color="auto" w:fill="auto"/>
            <w:vAlign w:val="bottom"/>
          </w:tcPr>
          <w:p w:rsidR="00907643" w:rsidRPr="00F05FF9" w:rsidRDefault="00907643" w:rsidP="00294D7A">
            <w:pPr>
              <w:tabs>
                <w:tab w:val="left" w:pos="288"/>
                <w:tab w:val="left" w:pos="576"/>
                <w:tab w:val="left" w:pos="864"/>
                <w:tab w:val="left" w:pos="1152"/>
              </w:tabs>
              <w:suppressAutoHyphens/>
              <w:spacing w:before="40" w:after="80"/>
              <w:ind w:right="397"/>
              <w:rPr>
                <w:lang w:val="fr-CH"/>
              </w:rPr>
            </w:pPr>
          </w:p>
        </w:tc>
      </w:tr>
      <w:tr w:rsidR="0039420B" w:rsidRPr="00F05FF9" w:rsidTr="0039420B">
        <w:tc>
          <w:tcPr>
            <w:tcW w:w="369"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1</w:t>
            </w:r>
          </w:p>
        </w:tc>
        <w:tc>
          <w:tcPr>
            <w:tcW w:w="1519" w:type="dxa"/>
            <w:gridSpan w:val="2"/>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Documents d’information tels que le répertoire du Comité des transports intérieurs (6)</w:t>
            </w:r>
          </w:p>
        </w:tc>
        <w:tc>
          <w:tcPr>
            <w:tcW w:w="1537" w:type="dxa"/>
            <w:shd w:val="clear" w:color="auto" w:fill="auto"/>
          </w:tcPr>
          <w:p w:rsidR="0039420B" w:rsidRPr="00F05FF9" w:rsidRDefault="0039420B" w:rsidP="00E145D6">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A/70/6 </w:t>
            </w:r>
            <w:r w:rsidRPr="00F05FF9">
              <w:rPr>
                <w:sz w:val="18"/>
                <w:szCs w:val="18"/>
                <w:lang w:val="fr-CH"/>
              </w:rPr>
              <w:br/>
              <w:t>(</w:t>
            </w:r>
            <w:r w:rsidR="00E145D6">
              <w:rPr>
                <w:sz w:val="18"/>
                <w:szCs w:val="18"/>
                <w:lang w:val="fr-CH"/>
              </w:rPr>
              <w:t>s</w:t>
            </w:r>
            <w:r w:rsidRPr="00F05FF9">
              <w:rPr>
                <w:sz w:val="18"/>
                <w:szCs w:val="18"/>
                <w:lang w:val="fr-CH"/>
              </w:rPr>
              <w:t>ect. 20)</w:t>
            </w:r>
          </w:p>
        </w:tc>
        <w:tc>
          <w:tcPr>
            <w:tcW w:w="1068" w:type="dxa"/>
            <w:shd w:val="clear" w:color="auto" w:fill="auto"/>
          </w:tcPr>
          <w:p w:rsidR="0039420B" w:rsidRPr="00F05FF9" w:rsidRDefault="0039420B" w:rsidP="0039420B">
            <w:pPr>
              <w:tabs>
                <w:tab w:val="left" w:pos="288"/>
                <w:tab w:val="left" w:pos="576"/>
                <w:tab w:val="left" w:pos="864"/>
                <w:tab w:val="left" w:pos="1152"/>
              </w:tabs>
              <w:suppressAutoHyphens/>
              <w:spacing w:before="40" w:after="80" w:line="220" w:lineRule="exact"/>
              <w:ind w:right="72"/>
              <w:rPr>
                <w:sz w:val="18"/>
                <w:szCs w:val="18"/>
                <w:lang w:val="fr-CH"/>
              </w:rPr>
            </w:pPr>
            <w:r w:rsidRPr="00F05FF9">
              <w:rPr>
                <w:sz w:val="18"/>
                <w:szCs w:val="18"/>
                <w:lang w:val="fr-CH"/>
              </w:rPr>
              <w:t>Versions papier et électronique</w:t>
            </w:r>
          </w:p>
        </w:tc>
        <w:tc>
          <w:tcPr>
            <w:tcW w:w="522"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A4</w:t>
            </w:r>
          </w:p>
        </w:tc>
        <w:tc>
          <w:tcPr>
            <w:tcW w:w="1062"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20</w:t>
            </w:r>
          </w:p>
        </w:tc>
        <w:tc>
          <w:tcPr>
            <w:tcW w:w="868"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E</w:t>
            </w:r>
          </w:p>
        </w:tc>
        <w:tc>
          <w:tcPr>
            <w:tcW w:w="917"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F, R</w:t>
            </w:r>
          </w:p>
        </w:tc>
        <w:tc>
          <w:tcPr>
            <w:tcW w:w="920"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E-200, </w:t>
            </w:r>
            <w:r w:rsidRPr="00F05FF9">
              <w:rPr>
                <w:sz w:val="18"/>
                <w:szCs w:val="18"/>
                <w:lang w:val="fr-CH"/>
              </w:rPr>
              <w:br/>
              <w:t xml:space="preserve">F-100, </w:t>
            </w:r>
            <w:r w:rsidRPr="00F05FF9">
              <w:rPr>
                <w:sz w:val="18"/>
                <w:szCs w:val="18"/>
                <w:lang w:val="fr-CH"/>
              </w:rPr>
              <w:br/>
              <w:t>R-100</w:t>
            </w:r>
          </w:p>
        </w:tc>
      </w:tr>
      <w:tr w:rsidR="0039420B" w:rsidRPr="00F05FF9" w:rsidTr="0039420B">
        <w:tc>
          <w:tcPr>
            <w:tcW w:w="369"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2</w:t>
            </w:r>
          </w:p>
        </w:tc>
        <w:tc>
          <w:tcPr>
            <w:tcW w:w="1519" w:type="dxa"/>
            <w:gridSpan w:val="2"/>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Informations sur les activités de la CEE dans les domaines de la facilitation du franchissement des frontières et des transports (1)</w:t>
            </w:r>
          </w:p>
        </w:tc>
        <w:tc>
          <w:tcPr>
            <w:tcW w:w="1537" w:type="dxa"/>
            <w:shd w:val="clear" w:color="auto" w:fill="auto"/>
          </w:tcPr>
          <w:p w:rsidR="0039420B" w:rsidRPr="00F05FF9" w:rsidRDefault="0039420B" w:rsidP="00E145D6">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A/70/6 </w:t>
            </w:r>
            <w:r w:rsidRPr="00F05FF9">
              <w:rPr>
                <w:sz w:val="18"/>
                <w:szCs w:val="18"/>
                <w:lang w:val="fr-CH"/>
              </w:rPr>
              <w:br/>
              <w:t>(</w:t>
            </w:r>
            <w:r w:rsidR="00E145D6">
              <w:rPr>
                <w:sz w:val="18"/>
                <w:szCs w:val="18"/>
                <w:lang w:val="fr-CH"/>
              </w:rPr>
              <w:t>s</w:t>
            </w:r>
            <w:r w:rsidRPr="00F05FF9">
              <w:rPr>
                <w:sz w:val="18"/>
                <w:szCs w:val="18"/>
                <w:lang w:val="fr-CH"/>
              </w:rPr>
              <w:t>ect. 20)</w:t>
            </w:r>
          </w:p>
        </w:tc>
        <w:tc>
          <w:tcPr>
            <w:tcW w:w="1068" w:type="dxa"/>
            <w:shd w:val="clear" w:color="auto" w:fill="auto"/>
          </w:tcPr>
          <w:p w:rsidR="0039420B" w:rsidRPr="00F05FF9" w:rsidRDefault="0039420B" w:rsidP="0039420B">
            <w:pPr>
              <w:tabs>
                <w:tab w:val="left" w:pos="288"/>
                <w:tab w:val="left" w:pos="576"/>
                <w:tab w:val="left" w:pos="864"/>
                <w:tab w:val="left" w:pos="1152"/>
              </w:tabs>
              <w:suppressAutoHyphens/>
              <w:spacing w:before="40" w:after="80" w:line="220" w:lineRule="exact"/>
              <w:ind w:right="72"/>
              <w:rPr>
                <w:sz w:val="18"/>
                <w:szCs w:val="18"/>
                <w:lang w:val="fr-CH"/>
              </w:rPr>
            </w:pPr>
            <w:r w:rsidRPr="00F05FF9">
              <w:rPr>
                <w:sz w:val="18"/>
                <w:szCs w:val="18"/>
                <w:lang w:val="fr-CH"/>
              </w:rPr>
              <w:t>Versions papier et électronique</w:t>
            </w:r>
          </w:p>
        </w:tc>
        <w:tc>
          <w:tcPr>
            <w:tcW w:w="522"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A4</w:t>
            </w:r>
          </w:p>
        </w:tc>
        <w:tc>
          <w:tcPr>
            <w:tcW w:w="1062"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20</w:t>
            </w:r>
          </w:p>
        </w:tc>
        <w:tc>
          <w:tcPr>
            <w:tcW w:w="868"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E</w:t>
            </w:r>
          </w:p>
        </w:tc>
        <w:tc>
          <w:tcPr>
            <w:tcW w:w="917"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F, R</w:t>
            </w:r>
          </w:p>
        </w:tc>
        <w:tc>
          <w:tcPr>
            <w:tcW w:w="920"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E-200, </w:t>
            </w:r>
            <w:r w:rsidRPr="00F05FF9">
              <w:rPr>
                <w:sz w:val="18"/>
                <w:szCs w:val="18"/>
                <w:lang w:val="fr-CH"/>
              </w:rPr>
              <w:br/>
              <w:t xml:space="preserve">F-100, </w:t>
            </w:r>
            <w:r w:rsidRPr="00F05FF9">
              <w:rPr>
                <w:sz w:val="18"/>
                <w:szCs w:val="18"/>
                <w:lang w:val="fr-CH"/>
              </w:rPr>
              <w:br/>
              <w:t>R-100</w:t>
            </w:r>
          </w:p>
        </w:tc>
      </w:tr>
      <w:tr w:rsidR="0039420B" w:rsidRPr="00F05FF9" w:rsidTr="0039420B">
        <w:tc>
          <w:tcPr>
            <w:tcW w:w="369"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3</w:t>
            </w:r>
          </w:p>
        </w:tc>
        <w:tc>
          <w:tcPr>
            <w:tcW w:w="1519" w:type="dxa"/>
            <w:gridSpan w:val="2"/>
            <w:shd w:val="clear" w:color="auto" w:fill="auto"/>
          </w:tcPr>
          <w:p w:rsidR="0039420B" w:rsidRPr="00F05FF9" w:rsidRDefault="0039420B" w:rsidP="0039420B">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Informations sur les activités du Comité des transports intérieurs au bénéfice de l’environnement (1)</w:t>
            </w:r>
          </w:p>
        </w:tc>
        <w:tc>
          <w:tcPr>
            <w:tcW w:w="1537" w:type="dxa"/>
            <w:shd w:val="clear" w:color="auto" w:fill="auto"/>
          </w:tcPr>
          <w:p w:rsidR="0039420B" w:rsidRPr="00F05FF9" w:rsidRDefault="0039420B" w:rsidP="00E145D6">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A/70/6 </w:t>
            </w:r>
            <w:r w:rsidRPr="00F05FF9">
              <w:rPr>
                <w:sz w:val="18"/>
                <w:szCs w:val="18"/>
                <w:lang w:val="fr-CH"/>
              </w:rPr>
              <w:br/>
              <w:t>(</w:t>
            </w:r>
            <w:r w:rsidR="00E145D6">
              <w:rPr>
                <w:sz w:val="18"/>
                <w:szCs w:val="18"/>
                <w:lang w:val="fr-CH"/>
              </w:rPr>
              <w:t>s</w:t>
            </w:r>
            <w:r w:rsidRPr="00F05FF9">
              <w:rPr>
                <w:sz w:val="18"/>
                <w:szCs w:val="18"/>
                <w:lang w:val="fr-CH"/>
              </w:rPr>
              <w:t>ect. 20)</w:t>
            </w:r>
          </w:p>
        </w:tc>
        <w:tc>
          <w:tcPr>
            <w:tcW w:w="1068" w:type="dxa"/>
            <w:shd w:val="clear" w:color="auto" w:fill="auto"/>
          </w:tcPr>
          <w:p w:rsidR="0039420B" w:rsidRPr="00F05FF9" w:rsidRDefault="0039420B" w:rsidP="0039420B">
            <w:pPr>
              <w:tabs>
                <w:tab w:val="left" w:pos="288"/>
                <w:tab w:val="left" w:pos="576"/>
                <w:tab w:val="left" w:pos="864"/>
                <w:tab w:val="left" w:pos="1152"/>
              </w:tabs>
              <w:suppressAutoHyphens/>
              <w:spacing w:before="40" w:after="80" w:line="220" w:lineRule="exact"/>
              <w:ind w:right="72"/>
              <w:rPr>
                <w:sz w:val="18"/>
                <w:szCs w:val="18"/>
                <w:lang w:val="fr-CH"/>
              </w:rPr>
            </w:pPr>
            <w:r w:rsidRPr="00F05FF9">
              <w:rPr>
                <w:sz w:val="18"/>
                <w:szCs w:val="18"/>
                <w:lang w:val="fr-CH"/>
              </w:rPr>
              <w:t>Versions papier et électronique</w:t>
            </w:r>
          </w:p>
        </w:tc>
        <w:tc>
          <w:tcPr>
            <w:tcW w:w="522"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A4</w:t>
            </w:r>
          </w:p>
        </w:tc>
        <w:tc>
          <w:tcPr>
            <w:tcW w:w="1062"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20</w:t>
            </w:r>
          </w:p>
        </w:tc>
        <w:tc>
          <w:tcPr>
            <w:tcW w:w="868"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E</w:t>
            </w:r>
          </w:p>
        </w:tc>
        <w:tc>
          <w:tcPr>
            <w:tcW w:w="917"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F, R</w:t>
            </w:r>
          </w:p>
        </w:tc>
        <w:tc>
          <w:tcPr>
            <w:tcW w:w="920" w:type="dxa"/>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E-200, </w:t>
            </w:r>
            <w:r w:rsidR="00E145D6">
              <w:rPr>
                <w:sz w:val="18"/>
                <w:szCs w:val="18"/>
                <w:lang w:val="fr-CH"/>
              </w:rPr>
              <w:br/>
            </w:r>
            <w:r w:rsidRPr="00F05FF9">
              <w:rPr>
                <w:sz w:val="18"/>
                <w:szCs w:val="18"/>
                <w:lang w:val="fr-CH"/>
              </w:rPr>
              <w:t xml:space="preserve">F-100, </w:t>
            </w:r>
            <w:r w:rsidR="00E145D6">
              <w:rPr>
                <w:sz w:val="18"/>
                <w:szCs w:val="18"/>
                <w:lang w:val="fr-CH"/>
              </w:rPr>
              <w:br/>
            </w:r>
            <w:r w:rsidRPr="00F05FF9">
              <w:rPr>
                <w:sz w:val="18"/>
                <w:szCs w:val="18"/>
                <w:lang w:val="fr-CH"/>
              </w:rPr>
              <w:t>R-100</w:t>
            </w:r>
          </w:p>
        </w:tc>
      </w:tr>
      <w:tr w:rsidR="0039420B" w:rsidRPr="00F05FF9" w:rsidTr="0039420B">
        <w:tc>
          <w:tcPr>
            <w:tcW w:w="369" w:type="dxa"/>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43"/>
              <w:rPr>
                <w:sz w:val="18"/>
                <w:szCs w:val="18"/>
                <w:lang w:val="fr-CH"/>
              </w:rPr>
            </w:pPr>
            <w:r w:rsidRPr="00F05FF9">
              <w:rPr>
                <w:sz w:val="18"/>
                <w:szCs w:val="18"/>
                <w:lang w:val="fr-CH"/>
              </w:rPr>
              <w:t>4</w:t>
            </w:r>
          </w:p>
        </w:tc>
        <w:tc>
          <w:tcPr>
            <w:tcW w:w="1519" w:type="dxa"/>
            <w:gridSpan w:val="2"/>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Fiche d’information sur les gains de sécurité apportés par les systèmes de retenue pour enfants (1)</w:t>
            </w:r>
          </w:p>
        </w:tc>
        <w:tc>
          <w:tcPr>
            <w:tcW w:w="1537" w:type="dxa"/>
            <w:tcBorders>
              <w:bottom w:val="single" w:sz="12" w:space="0" w:color="auto"/>
            </w:tcBorders>
            <w:shd w:val="clear" w:color="auto" w:fill="auto"/>
          </w:tcPr>
          <w:p w:rsidR="0039420B" w:rsidRPr="00F05FF9" w:rsidRDefault="0039420B" w:rsidP="00E145D6">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A/70/6 </w:t>
            </w:r>
            <w:r w:rsidRPr="00F05FF9">
              <w:rPr>
                <w:sz w:val="18"/>
                <w:szCs w:val="18"/>
                <w:lang w:val="fr-CH"/>
              </w:rPr>
              <w:br/>
              <w:t>(</w:t>
            </w:r>
            <w:r w:rsidR="00E145D6">
              <w:rPr>
                <w:sz w:val="18"/>
                <w:szCs w:val="18"/>
                <w:lang w:val="fr-CH"/>
              </w:rPr>
              <w:t>s</w:t>
            </w:r>
            <w:r w:rsidRPr="00F05FF9">
              <w:rPr>
                <w:sz w:val="18"/>
                <w:szCs w:val="18"/>
                <w:lang w:val="fr-CH"/>
              </w:rPr>
              <w:t>ect. 20)</w:t>
            </w:r>
          </w:p>
        </w:tc>
        <w:tc>
          <w:tcPr>
            <w:tcW w:w="1068" w:type="dxa"/>
            <w:tcBorders>
              <w:bottom w:val="single" w:sz="12" w:space="0" w:color="auto"/>
            </w:tcBorders>
            <w:shd w:val="clear" w:color="auto" w:fill="auto"/>
          </w:tcPr>
          <w:p w:rsidR="0039420B" w:rsidRPr="00F05FF9" w:rsidRDefault="0039420B" w:rsidP="0039420B">
            <w:pPr>
              <w:tabs>
                <w:tab w:val="left" w:pos="288"/>
                <w:tab w:val="left" w:pos="576"/>
                <w:tab w:val="left" w:pos="864"/>
                <w:tab w:val="left" w:pos="1152"/>
              </w:tabs>
              <w:suppressAutoHyphens/>
              <w:spacing w:before="40" w:after="80" w:line="220" w:lineRule="exact"/>
              <w:ind w:right="72"/>
              <w:rPr>
                <w:sz w:val="18"/>
                <w:szCs w:val="18"/>
                <w:lang w:val="fr-CH"/>
              </w:rPr>
            </w:pPr>
            <w:r w:rsidRPr="00F05FF9">
              <w:rPr>
                <w:sz w:val="18"/>
                <w:szCs w:val="18"/>
                <w:lang w:val="fr-CH"/>
              </w:rPr>
              <w:t>Versions papier et électronique</w:t>
            </w:r>
          </w:p>
        </w:tc>
        <w:tc>
          <w:tcPr>
            <w:tcW w:w="522" w:type="dxa"/>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A4</w:t>
            </w:r>
          </w:p>
        </w:tc>
        <w:tc>
          <w:tcPr>
            <w:tcW w:w="1062" w:type="dxa"/>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20</w:t>
            </w:r>
          </w:p>
        </w:tc>
        <w:tc>
          <w:tcPr>
            <w:tcW w:w="868" w:type="dxa"/>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E</w:t>
            </w:r>
          </w:p>
        </w:tc>
        <w:tc>
          <w:tcPr>
            <w:tcW w:w="917" w:type="dxa"/>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F, R</w:t>
            </w:r>
          </w:p>
        </w:tc>
        <w:tc>
          <w:tcPr>
            <w:tcW w:w="920" w:type="dxa"/>
            <w:tcBorders>
              <w:bottom w:val="single" w:sz="12" w:space="0" w:color="auto"/>
            </w:tcBorders>
            <w:shd w:val="clear" w:color="auto" w:fill="auto"/>
          </w:tcPr>
          <w:p w:rsidR="0039420B" w:rsidRPr="00F05FF9" w:rsidRDefault="0039420B" w:rsidP="00294D7A">
            <w:pPr>
              <w:tabs>
                <w:tab w:val="left" w:pos="288"/>
                <w:tab w:val="left" w:pos="576"/>
                <w:tab w:val="left" w:pos="864"/>
                <w:tab w:val="left" w:pos="1152"/>
              </w:tabs>
              <w:suppressAutoHyphens/>
              <w:spacing w:before="40" w:after="80" w:line="220" w:lineRule="exact"/>
              <w:ind w:right="115"/>
              <w:rPr>
                <w:sz w:val="18"/>
                <w:szCs w:val="18"/>
                <w:lang w:val="fr-CH"/>
              </w:rPr>
            </w:pPr>
            <w:r w:rsidRPr="00F05FF9">
              <w:rPr>
                <w:sz w:val="18"/>
                <w:szCs w:val="18"/>
                <w:lang w:val="fr-CH"/>
              </w:rPr>
              <w:t xml:space="preserve">E-200, </w:t>
            </w:r>
            <w:r w:rsidRPr="00F05FF9">
              <w:rPr>
                <w:sz w:val="18"/>
                <w:szCs w:val="18"/>
                <w:lang w:val="fr-CH"/>
              </w:rPr>
              <w:br/>
              <w:t xml:space="preserve">F-100, </w:t>
            </w:r>
            <w:r w:rsidRPr="00F05FF9">
              <w:rPr>
                <w:sz w:val="18"/>
                <w:szCs w:val="18"/>
                <w:lang w:val="fr-CH"/>
              </w:rPr>
              <w:br/>
              <w:t>R-100</w:t>
            </w:r>
          </w:p>
        </w:tc>
      </w:tr>
    </w:tbl>
    <w:p w:rsidR="008377E1" w:rsidRPr="00F05FF9" w:rsidRDefault="008377E1" w:rsidP="008377E1">
      <w:pPr>
        <w:spacing w:line="120" w:lineRule="exact"/>
        <w:rPr>
          <w:sz w:val="10"/>
          <w:vertAlign w:val="superscript"/>
          <w:lang w:val="fr-CH"/>
        </w:rPr>
      </w:pPr>
    </w:p>
    <w:p w:rsidR="00753F14" w:rsidRPr="00F05FF9" w:rsidRDefault="008377E1" w:rsidP="008377E1">
      <w:pPr>
        <w:pStyle w:val="FootnoteText"/>
        <w:tabs>
          <w:tab w:val="right" w:pos="1476"/>
          <w:tab w:val="left" w:pos="1548"/>
          <w:tab w:val="right" w:pos="1836"/>
          <w:tab w:val="left" w:pos="1908"/>
        </w:tabs>
        <w:ind w:left="1548" w:hanging="288"/>
        <w:rPr>
          <w:lang w:val="fr-CH"/>
        </w:rPr>
      </w:pPr>
      <w:r w:rsidRPr="00F05FF9">
        <w:rPr>
          <w:vertAlign w:val="superscript"/>
          <w:lang w:val="fr-CH"/>
        </w:rPr>
        <w:tab/>
      </w:r>
      <w:r w:rsidR="00753F14" w:rsidRPr="00F05FF9">
        <w:rPr>
          <w:i/>
          <w:vertAlign w:val="superscript"/>
          <w:lang w:val="fr-CH"/>
        </w:rPr>
        <w:t>1</w:t>
      </w:r>
      <w:r w:rsidRPr="00F05FF9">
        <w:rPr>
          <w:lang w:val="fr-CH"/>
        </w:rPr>
        <w:tab/>
      </w:r>
      <w:r w:rsidR="00753F14" w:rsidRPr="00F05FF9">
        <w:rPr>
          <w:lang w:val="fr-CH"/>
        </w:rPr>
        <w:t>Langues</w:t>
      </w:r>
      <w:r w:rsidR="00BF6259" w:rsidRPr="00F05FF9">
        <w:rPr>
          <w:lang w:val="fr-CH"/>
        </w:rPr>
        <w:t> :</w:t>
      </w:r>
      <w:r w:rsidR="00753F14" w:rsidRPr="00F05FF9">
        <w:rPr>
          <w:lang w:val="fr-CH"/>
        </w:rPr>
        <w:t xml:space="preserve"> </w:t>
      </w:r>
      <w:r w:rsidRPr="00F05FF9">
        <w:rPr>
          <w:lang w:val="fr-CH"/>
        </w:rPr>
        <w:t>a</w:t>
      </w:r>
      <w:r w:rsidR="00753F14" w:rsidRPr="00F05FF9">
        <w:rPr>
          <w:lang w:val="fr-CH"/>
        </w:rPr>
        <w:t>nglais</w:t>
      </w:r>
      <w:r w:rsidR="00B212F0">
        <w:rPr>
          <w:lang w:val="fr-CH"/>
        </w:rPr>
        <w:t xml:space="preserve"> </w:t>
      </w:r>
      <w:r w:rsidR="00753F14" w:rsidRPr="00F05FF9">
        <w:rPr>
          <w:lang w:val="fr-CH"/>
        </w:rPr>
        <w:t xml:space="preserve">= E; </w:t>
      </w:r>
      <w:r w:rsidRPr="00F05FF9">
        <w:rPr>
          <w:lang w:val="fr-CH"/>
        </w:rPr>
        <w:t>a</w:t>
      </w:r>
      <w:r w:rsidR="00753F14" w:rsidRPr="00F05FF9">
        <w:rPr>
          <w:lang w:val="fr-CH"/>
        </w:rPr>
        <w:t xml:space="preserve">rabe = A, </w:t>
      </w:r>
      <w:r w:rsidRPr="00F05FF9">
        <w:rPr>
          <w:lang w:val="fr-CH"/>
        </w:rPr>
        <w:t>c</w:t>
      </w:r>
      <w:r w:rsidR="00753F14" w:rsidRPr="00F05FF9">
        <w:rPr>
          <w:lang w:val="fr-CH"/>
        </w:rPr>
        <w:t xml:space="preserve">hinois = C; </w:t>
      </w:r>
      <w:r w:rsidRPr="00F05FF9">
        <w:rPr>
          <w:lang w:val="fr-CH"/>
        </w:rPr>
        <w:t>e</w:t>
      </w:r>
      <w:r w:rsidR="00753F14" w:rsidRPr="00F05FF9">
        <w:rPr>
          <w:lang w:val="fr-CH"/>
        </w:rPr>
        <w:t xml:space="preserve">spagnol = S; </w:t>
      </w:r>
      <w:r w:rsidRPr="00F05FF9">
        <w:rPr>
          <w:lang w:val="fr-CH"/>
        </w:rPr>
        <w:t>f</w:t>
      </w:r>
      <w:r w:rsidR="00753F14" w:rsidRPr="00F05FF9">
        <w:rPr>
          <w:lang w:val="fr-CH"/>
        </w:rPr>
        <w:t xml:space="preserve">rançais = F; </w:t>
      </w:r>
      <w:r w:rsidRPr="00F05FF9">
        <w:rPr>
          <w:lang w:val="fr-CH"/>
        </w:rPr>
        <w:t>r</w:t>
      </w:r>
      <w:r w:rsidR="00753F14" w:rsidRPr="00F05FF9">
        <w:rPr>
          <w:lang w:val="fr-CH"/>
        </w:rPr>
        <w:t>usse = R.</w:t>
      </w:r>
    </w:p>
    <w:p w:rsidR="00753F14" w:rsidRPr="00F05FF9" w:rsidRDefault="00753F14">
      <w:pPr>
        <w:spacing w:line="240" w:lineRule="auto"/>
        <w:rPr>
          <w:lang w:val="fr-CH"/>
        </w:rPr>
      </w:pPr>
      <w:r w:rsidRPr="00F05FF9">
        <w:rPr>
          <w:lang w:val="fr-CH"/>
        </w:rPr>
        <w:br w:type="page"/>
      </w:r>
    </w:p>
    <w:p w:rsidR="00753F14" w:rsidRPr="00F05FF9" w:rsidRDefault="00753F14" w:rsidP="004E615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Annexe III</w:t>
      </w:r>
    </w:p>
    <w:p w:rsidR="004E6157" w:rsidRPr="00F05FF9" w:rsidRDefault="004E6157" w:rsidP="004E6157">
      <w:pPr>
        <w:spacing w:line="120" w:lineRule="exact"/>
        <w:rPr>
          <w:sz w:val="10"/>
          <w:lang w:val="fr-CH"/>
        </w:rPr>
      </w:pPr>
    </w:p>
    <w:p w:rsidR="004E6157" w:rsidRPr="00F05FF9" w:rsidRDefault="004E6157" w:rsidP="004E6157">
      <w:pPr>
        <w:spacing w:line="120" w:lineRule="exact"/>
        <w:rPr>
          <w:sz w:val="10"/>
          <w:lang w:val="fr-CH"/>
        </w:rPr>
      </w:pPr>
    </w:p>
    <w:p w:rsidR="00753F14" w:rsidRPr="00F05FF9" w:rsidRDefault="00753F14" w:rsidP="004E615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r>
      <w:r w:rsidRPr="00F05FF9">
        <w:rPr>
          <w:lang w:val="fr-CH"/>
        </w:rPr>
        <w:tab/>
        <w:t>Textes portant autorisation</w:t>
      </w:r>
    </w:p>
    <w:p w:rsidR="004E6157" w:rsidRPr="00F05FF9" w:rsidRDefault="004E6157" w:rsidP="004E6157">
      <w:pPr>
        <w:spacing w:line="120" w:lineRule="exact"/>
        <w:rPr>
          <w:sz w:val="10"/>
          <w:lang w:val="fr-CH"/>
        </w:rPr>
      </w:pPr>
    </w:p>
    <w:p w:rsidR="004E6157" w:rsidRPr="00F05FF9" w:rsidRDefault="004E6157" w:rsidP="004E6157">
      <w:pPr>
        <w:spacing w:line="120" w:lineRule="exact"/>
        <w:rPr>
          <w:sz w:val="10"/>
          <w:lang w:val="fr-CH"/>
        </w:rPr>
      </w:pPr>
    </w:p>
    <w:p w:rsidR="00753F14" w:rsidRPr="00F05FF9" w:rsidRDefault="00753F14" w:rsidP="004E615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F05FF9">
        <w:rPr>
          <w:lang w:val="fr-CH"/>
        </w:rPr>
        <w:tab/>
        <w:t>A.</w:t>
      </w:r>
      <w:r w:rsidRPr="00F05FF9">
        <w:rPr>
          <w:lang w:val="fr-CH"/>
        </w:rPr>
        <w:tab/>
        <w:t xml:space="preserve">Textes généraux émanant des organes délibérants </w:t>
      </w:r>
      <w:r w:rsidR="004E6157" w:rsidRPr="00F05FF9">
        <w:rPr>
          <w:lang w:val="fr-CH"/>
        </w:rPr>
        <w:br/>
      </w:r>
      <w:r w:rsidRPr="00F05FF9">
        <w:rPr>
          <w:lang w:val="fr-CH"/>
        </w:rPr>
        <w:t xml:space="preserve">et concernant la CEE </w:t>
      </w:r>
    </w:p>
    <w:p w:rsidR="004E6157" w:rsidRPr="00F05FF9" w:rsidRDefault="004E6157" w:rsidP="004E6157">
      <w:pPr>
        <w:spacing w:line="120" w:lineRule="exact"/>
        <w:rPr>
          <w:sz w:val="10"/>
          <w:lang w:val="fr-CH"/>
        </w:rPr>
      </w:pPr>
    </w:p>
    <w:p w:rsidR="004E6157" w:rsidRPr="00F05FF9" w:rsidRDefault="004E6157" w:rsidP="004E6157">
      <w:pPr>
        <w:spacing w:line="120" w:lineRule="exact"/>
        <w:rPr>
          <w:sz w:val="10"/>
          <w:lang w:val="fr-CH"/>
        </w:rPr>
      </w:pPr>
    </w:p>
    <w:p w:rsidR="00753F14" w:rsidRPr="00F05FF9" w:rsidRDefault="00753F14" w:rsidP="004E615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1.</w:t>
      </w:r>
      <w:r w:rsidRPr="00F05FF9">
        <w:rPr>
          <w:lang w:val="fr-CH"/>
        </w:rPr>
        <w:tab/>
        <w:t>Résolutions de l</w:t>
      </w:r>
      <w:r w:rsidR="00B164F7" w:rsidRPr="00F05FF9">
        <w:rPr>
          <w:lang w:val="fr-CH"/>
        </w:rPr>
        <w:t>’</w:t>
      </w:r>
      <w:r w:rsidRPr="00F05FF9">
        <w:rPr>
          <w:lang w:val="fr-CH"/>
        </w:rPr>
        <w:t>Assemblée générale</w:t>
      </w:r>
    </w:p>
    <w:p w:rsidR="004E6157" w:rsidRPr="00F05FF9" w:rsidRDefault="004E6157" w:rsidP="004E6157">
      <w:pPr>
        <w:spacing w:line="120" w:lineRule="exact"/>
        <w:rPr>
          <w:sz w:val="10"/>
          <w:lang w:val="fr-CH"/>
        </w:rPr>
      </w:pPr>
    </w:p>
    <w:p w:rsidR="004E6157" w:rsidRPr="00F05FF9" w:rsidRDefault="004E6157" w:rsidP="004E6157">
      <w:pPr>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3214B3" w:rsidRPr="00F05FF9" w:rsidTr="00D36AA6">
        <w:trPr>
          <w:tblHeader/>
        </w:trPr>
        <w:tc>
          <w:tcPr>
            <w:tcW w:w="1253" w:type="dxa"/>
            <w:tcBorders>
              <w:top w:val="single" w:sz="4" w:space="0" w:color="auto"/>
              <w:bottom w:val="single" w:sz="12" w:space="0" w:color="auto"/>
            </w:tcBorders>
            <w:shd w:val="clear" w:color="auto" w:fill="auto"/>
            <w:vAlign w:val="bottom"/>
          </w:tcPr>
          <w:p w:rsidR="003214B3" w:rsidRPr="00F05FF9" w:rsidRDefault="003214B3" w:rsidP="003214B3">
            <w:pPr>
              <w:suppressAutoHyphens/>
              <w:spacing w:before="80" w:after="80" w:line="160" w:lineRule="exact"/>
              <w:ind w:right="40"/>
              <w:rPr>
                <w:i/>
                <w:sz w:val="14"/>
                <w:lang w:val="fr-CH"/>
              </w:rPr>
            </w:pPr>
            <w:r w:rsidRPr="00F05FF9">
              <w:rPr>
                <w:i/>
                <w:sz w:val="14"/>
                <w:lang w:val="fr-CH"/>
              </w:rPr>
              <w:t>Résolution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3214B3" w:rsidRPr="00F05FF9" w:rsidRDefault="003214B3" w:rsidP="003214B3">
            <w:pPr>
              <w:suppressAutoHyphens/>
              <w:spacing w:before="80" w:after="80" w:line="160" w:lineRule="exact"/>
              <w:ind w:right="397"/>
              <w:rPr>
                <w:i/>
                <w:sz w:val="14"/>
                <w:lang w:val="fr-CH"/>
              </w:rPr>
            </w:pPr>
            <w:r w:rsidRPr="00F05FF9">
              <w:rPr>
                <w:i/>
                <w:sz w:val="14"/>
                <w:lang w:val="fr-CH"/>
              </w:rPr>
              <w:t>Titre</w:t>
            </w:r>
          </w:p>
        </w:tc>
      </w:tr>
      <w:tr w:rsidR="003214B3" w:rsidRPr="00F05FF9" w:rsidTr="00D36AA6">
        <w:trPr>
          <w:trHeight w:hRule="exact" w:val="115"/>
          <w:tblHeader/>
        </w:trPr>
        <w:tc>
          <w:tcPr>
            <w:tcW w:w="1253" w:type="dxa"/>
            <w:tcBorders>
              <w:top w:val="single" w:sz="12" w:space="0" w:color="auto"/>
            </w:tcBorders>
            <w:shd w:val="clear" w:color="auto" w:fill="auto"/>
            <w:vAlign w:val="bottom"/>
          </w:tcPr>
          <w:p w:rsidR="003214B3" w:rsidRPr="00F05FF9" w:rsidRDefault="003214B3" w:rsidP="003214B3">
            <w:pPr>
              <w:suppressAutoHyphens/>
              <w:spacing w:before="40" w:after="80"/>
              <w:ind w:right="40"/>
              <w:rPr>
                <w:lang w:val="fr-CH"/>
              </w:rPr>
            </w:pPr>
          </w:p>
        </w:tc>
        <w:tc>
          <w:tcPr>
            <w:tcW w:w="7506" w:type="dxa"/>
            <w:tcBorders>
              <w:top w:val="single" w:sz="12" w:space="0" w:color="auto"/>
            </w:tcBorders>
            <w:shd w:val="clear" w:color="auto" w:fill="auto"/>
            <w:vAlign w:val="bottom"/>
          </w:tcPr>
          <w:p w:rsidR="003214B3" w:rsidRPr="00F05FF9" w:rsidRDefault="003214B3" w:rsidP="003214B3">
            <w:pPr>
              <w:suppressAutoHyphens/>
              <w:spacing w:before="40" w:after="80"/>
              <w:ind w:right="397"/>
              <w:rPr>
                <w:lang w:val="fr-CH"/>
              </w:rPr>
            </w:pP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16">
              <w:r w:rsidR="00D36AA6" w:rsidRPr="00F05FF9">
                <w:rPr>
                  <w:lang w:val="fr-CH"/>
                </w:rPr>
                <w:t>55/2</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Déclaration du Millénaire des Nations Unies</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17">
              <w:r w:rsidR="00D36AA6" w:rsidRPr="00F05FF9">
                <w:rPr>
                  <w:lang w:val="fr-CH"/>
                </w:rPr>
                <w:t>57/144</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Suite à donner aux textes issus du Sommet du Millénaire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18">
              <w:r w:rsidR="00D36AA6" w:rsidRPr="00F05FF9">
                <w:rPr>
                  <w:lang w:val="fr-CH"/>
                </w:rPr>
                <w:t>57/253</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Sommet mondial pour le développement durable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19">
              <w:r w:rsidR="00D36AA6" w:rsidRPr="00F05FF9">
                <w:rPr>
                  <w:lang w:val="fr-CH"/>
                </w:rPr>
                <w:t>57/270</w:t>
              </w:r>
            </w:hyperlink>
            <w:r w:rsidR="00D36AA6" w:rsidRPr="00F05FF9">
              <w:rPr>
                <w:lang w:val="fr-CH"/>
              </w:rPr>
              <w:t xml:space="preserve"> B</w:t>
            </w:r>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Application et suivi intégrés et coordonnés des textes issus des grandes conférences et réunions au sommet organisées sous l’égide de l’Organisation des Nations Unies dans les domaines économique et social</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0">
              <w:r w:rsidR="00D36AA6" w:rsidRPr="00F05FF9">
                <w:rPr>
                  <w:lang w:val="fr-CH"/>
                </w:rPr>
                <w:t>60/248</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Questions spéciales touchant le projet de budget-programme pour l’exercice biennal 2006-2007 </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1">
              <w:r w:rsidR="00D36AA6" w:rsidRPr="00F05FF9">
                <w:rPr>
                  <w:lang w:val="fr-CH"/>
                </w:rPr>
                <w:t>65/185</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Suite donnée au Sommet mondial pour le développement social et à la vingt-quatrième session extraordinaire de l’Assemblée générale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2">
              <w:r w:rsidR="00D36AA6" w:rsidRPr="00F05FF9">
                <w:rPr>
                  <w:lang w:val="fr-CH"/>
                </w:rPr>
                <w:t>68/222</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pour le développement des pays à revenu intermédiaire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3">
              <w:r w:rsidR="00D36AA6" w:rsidRPr="00F05FF9">
                <w:rPr>
                  <w:lang w:val="fr-CH"/>
                </w:rPr>
                <w:t>66/288</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L’avenir que nous voulons </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4">
              <w:r w:rsidR="00D36AA6" w:rsidRPr="00F05FF9">
                <w:rPr>
                  <w:lang w:val="fr-CH"/>
                </w:rPr>
                <w:t>67/10</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entre l’Organisation des Nations Unies et la Communauté économique eurasienne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5">
              <w:r w:rsidR="00D36AA6" w:rsidRPr="00F05FF9">
                <w:rPr>
                  <w:lang w:val="fr-CH"/>
                </w:rPr>
                <w:t>67/13</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entre l’Organisation des Nations Unies et l’Organisation de coopération économique de la mer Noire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6">
              <w:r w:rsidR="00D36AA6" w:rsidRPr="00F05FF9">
                <w:rPr>
                  <w:lang w:val="fr-CH"/>
                </w:rPr>
                <w:t>67/14</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entre l’Organisation des Nations Unies et l’Organisation de coopération économique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7">
              <w:r w:rsidR="00D36AA6" w:rsidRPr="00F05FF9">
                <w:rPr>
                  <w:lang w:val="fr-CH"/>
                </w:rPr>
                <w:t>67/15</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entre l’Organisation des Nations Unies et l’Organisation de Shanghai pour la coopération</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8">
              <w:r w:rsidR="00D36AA6" w:rsidRPr="00F05FF9">
                <w:rPr>
                  <w:lang w:val="fr-CH"/>
                </w:rPr>
                <w:t>67/83</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entre l’Organisation des Nations Unies et le Conseil de l’Europe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29">
              <w:r w:rsidR="00D36AA6" w:rsidRPr="00F05FF9">
                <w:rPr>
                  <w:lang w:val="fr-CH"/>
                </w:rPr>
                <w:t>67/148</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Suite donnée à la quatrième Conférence mondiale sur les femmes et application intégrale de la Déclaration et du Programme d’action de Beijing et des textes issus de la vingt-troisième session extraordinaire de l’Assemblée générale</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30">
              <w:r w:rsidR="00D36AA6" w:rsidRPr="00F05FF9">
                <w:rPr>
                  <w:lang w:val="fr-CH"/>
                </w:rPr>
                <w:t>68/204</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Suivi de la Conférence internationale sur le financement </w:t>
            </w:r>
            <w:r w:rsidRPr="00F05FF9">
              <w:rPr>
                <w:lang w:val="fr-CH"/>
              </w:rPr>
              <w:br/>
              <w:t>du développement</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31">
              <w:r w:rsidR="00D36AA6" w:rsidRPr="00F05FF9">
                <w:rPr>
                  <w:lang w:val="fr-CH"/>
                </w:rPr>
                <w:t>68/212</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Sauvegarde du climat mondial pour les générations présentes et futures</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32">
              <w:r w:rsidR="00D36AA6" w:rsidRPr="00F05FF9">
                <w:rPr>
                  <w:lang w:val="fr-CH"/>
                </w:rPr>
                <w:t>68/225</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Mesures spécifiques répondant aux besoins et problèmes particuliers des pays en développement sans littoral : résultats de la Conférence ministérielle internationale des pays en développement sans littoral et de transit, des pays donateurs et des organismes internationaux de financement et de développement sur la coopération en matière de transport en transit</w:t>
            </w:r>
          </w:p>
        </w:tc>
      </w:tr>
      <w:tr w:rsidR="00D36AA6" w:rsidRPr="00F05FF9" w:rsidTr="00D36AA6">
        <w:tc>
          <w:tcPr>
            <w:tcW w:w="1253" w:type="dxa"/>
            <w:shd w:val="clear" w:color="auto" w:fill="auto"/>
          </w:tcPr>
          <w:p w:rsidR="00D36AA6" w:rsidRPr="00F05FF9" w:rsidRDefault="00BB204C" w:rsidP="00294D7A">
            <w:pPr>
              <w:tabs>
                <w:tab w:val="left" w:pos="288"/>
                <w:tab w:val="left" w:pos="576"/>
                <w:tab w:val="left" w:pos="864"/>
                <w:tab w:val="left" w:pos="1152"/>
              </w:tabs>
              <w:suppressAutoHyphens/>
              <w:spacing w:before="40" w:after="80"/>
              <w:ind w:right="40"/>
              <w:rPr>
                <w:lang w:val="fr-CH"/>
              </w:rPr>
            </w:pPr>
            <w:hyperlink r:id="rId33">
              <w:r w:rsidR="00D36AA6" w:rsidRPr="00F05FF9">
                <w:rPr>
                  <w:lang w:val="fr-CH"/>
                </w:rPr>
                <w:t>67/226</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Examen quadriennal complet des activités opérationnelles de développement du système des Nations Unies</w:t>
            </w:r>
          </w:p>
        </w:tc>
      </w:tr>
      <w:tr w:rsidR="00D36AA6" w:rsidRPr="00F05FF9" w:rsidTr="00D36AA6">
        <w:tc>
          <w:tcPr>
            <w:tcW w:w="1253" w:type="dxa"/>
            <w:shd w:val="clear" w:color="auto" w:fill="auto"/>
          </w:tcPr>
          <w:p w:rsidR="00D36AA6" w:rsidRPr="00F05FF9" w:rsidRDefault="00BB204C" w:rsidP="00FF02CA">
            <w:pPr>
              <w:tabs>
                <w:tab w:val="left" w:pos="288"/>
                <w:tab w:val="left" w:pos="576"/>
                <w:tab w:val="left" w:pos="864"/>
                <w:tab w:val="left" w:pos="1152"/>
              </w:tabs>
              <w:suppressAutoHyphens/>
              <w:spacing w:before="40" w:after="80"/>
              <w:ind w:right="40"/>
              <w:rPr>
                <w:lang w:val="fr-CH"/>
              </w:rPr>
            </w:pPr>
            <w:hyperlink r:id="rId34">
              <w:r w:rsidR="00FF02CA">
                <w:rPr>
                  <w:lang w:val="fr-CH"/>
                </w:rPr>
                <w:t>68/230</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Coopération Sud-Sud</w:t>
            </w:r>
          </w:p>
        </w:tc>
      </w:tr>
      <w:tr w:rsidR="00D36AA6" w:rsidRPr="00F05FF9" w:rsidTr="00D36AA6">
        <w:tc>
          <w:tcPr>
            <w:tcW w:w="1253" w:type="dxa"/>
            <w:shd w:val="clear" w:color="auto" w:fill="auto"/>
          </w:tcPr>
          <w:p w:rsidR="00D36AA6" w:rsidRPr="00F05FF9" w:rsidRDefault="00BB204C" w:rsidP="00FF02CA">
            <w:pPr>
              <w:tabs>
                <w:tab w:val="left" w:pos="288"/>
                <w:tab w:val="left" w:pos="576"/>
                <w:tab w:val="left" w:pos="864"/>
                <w:tab w:val="left" w:pos="1152"/>
              </w:tabs>
              <w:suppressAutoHyphens/>
              <w:spacing w:before="40" w:after="80"/>
              <w:ind w:right="40"/>
              <w:rPr>
                <w:lang w:val="fr-CH"/>
              </w:rPr>
            </w:pPr>
            <w:hyperlink r:id="rId35">
              <w:r w:rsidR="00FF02CA">
                <w:rPr>
                  <w:lang w:val="fr-CH"/>
                </w:rPr>
                <w:t>67/264</w:t>
              </w:r>
            </w:hyperlink>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Coopération entre l’Organisation des Nations Unies et l’Organisation </w:t>
            </w:r>
            <w:r w:rsidRPr="00F05FF9">
              <w:rPr>
                <w:lang w:val="fr-CH"/>
              </w:rPr>
              <w:br/>
              <w:t>de la coopération islamique</w:t>
            </w:r>
          </w:p>
        </w:tc>
      </w:tr>
      <w:tr w:rsidR="00D36AA6" w:rsidRPr="00F05FF9" w:rsidTr="00D36AA6">
        <w:tc>
          <w:tcPr>
            <w:tcW w:w="1253" w:type="dxa"/>
            <w:shd w:val="clear" w:color="auto" w:fill="auto"/>
          </w:tcPr>
          <w:p w:rsidR="00D36AA6" w:rsidRPr="00F05FF9" w:rsidRDefault="00BB204C" w:rsidP="00FF02CA">
            <w:pPr>
              <w:tabs>
                <w:tab w:val="left" w:pos="288"/>
                <w:tab w:val="left" w:pos="576"/>
                <w:tab w:val="left" w:pos="864"/>
                <w:tab w:val="left" w:pos="1152"/>
              </w:tabs>
              <w:suppressAutoHyphens/>
              <w:spacing w:before="40" w:after="80"/>
              <w:ind w:right="40"/>
              <w:rPr>
                <w:lang w:val="fr-CH"/>
              </w:rPr>
            </w:pPr>
            <w:hyperlink r:id="rId36">
              <w:r w:rsidR="00FF02CA">
                <w:rPr>
                  <w:lang w:val="fr-CH"/>
                </w:rPr>
                <w:t>67/290</w:t>
              </w:r>
            </w:hyperlink>
          </w:p>
        </w:tc>
        <w:tc>
          <w:tcPr>
            <w:tcW w:w="7506" w:type="dxa"/>
            <w:shd w:val="clear" w:color="auto" w:fill="auto"/>
          </w:tcPr>
          <w:p w:rsidR="00D36AA6" w:rsidRPr="00F05FF9" w:rsidRDefault="00FF02CA" w:rsidP="00FF02CA">
            <w:pPr>
              <w:tabs>
                <w:tab w:val="left" w:pos="288"/>
                <w:tab w:val="left" w:pos="576"/>
                <w:tab w:val="left" w:pos="864"/>
                <w:tab w:val="left" w:pos="1152"/>
              </w:tabs>
              <w:suppressAutoHyphens/>
              <w:spacing w:before="40" w:after="80"/>
              <w:ind w:right="397"/>
              <w:rPr>
                <w:lang w:val="fr-CH"/>
              </w:rPr>
            </w:pPr>
            <w:r>
              <w:t xml:space="preserve">Structure et modalités de fonctionnement du forum politique de haut niveau pour le développement </w:t>
            </w:r>
            <w:r w:rsidR="009173A5">
              <w:t>durable</w:t>
            </w:r>
          </w:p>
        </w:tc>
      </w:tr>
      <w:tr w:rsidR="00D36AA6" w:rsidRPr="00F05FF9" w:rsidTr="00D36AA6">
        <w:tc>
          <w:tcPr>
            <w:tcW w:w="1253" w:type="dxa"/>
            <w:tcBorders>
              <w:bottom w:val="single" w:sz="12" w:space="0" w:color="auto"/>
            </w:tcBorders>
            <w:shd w:val="clear" w:color="auto" w:fill="auto"/>
          </w:tcPr>
          <w:p w:rsidR="00D36AA6" w:rsidRPr="00F05FF9" w:rsidRDefault="00FF02CA" w:rsidP="00294D7A">
            <w:pPr>
              <w:tabs>
                <w:tab w:val="left" w:pos="288"/>
                <w:tab w:val="left" w:pos="576"/>
                <w:tab w:val="left" w:pos="864"/>
                <w:tab w:val="left" w:pos="1152"/>
              </w:tabs>
              <w:suppressAutoHyphens/>
              <w:spacing w:before="40" w:after="80"/>
              <w:ind w:right="40"/>
              <w:rPr>
                <w:lang w:val="fr-CH"/>
              </w:rPr>
            </w:pPr>
            <w:r>
              <w:rPr>
                <w:lang w:val="fr-CH"/>
              </w:rPr>
              <w:t>68/6</w:t>
            </w:r>
          </w:p>
        </w:tc>
        <w:tc>
          <w:tcPr>
            <w:tcW w:w="7506" w:type="dxa"/>
            <w:tcBorders>
              <w:bottom w:val="single" w:sz="12" w:space="0" w:color="auto"/>
            </w:tcBorders>
            <w:shd w:val="clear" w:color="auto" w:fill="auto"/>
          </w:tcPr>
          <w:p w:rsidR="00D36AA6" w:rsidRPr="00F05FF9" w:rsidRDefault="00FF02CA" w:rsidP="00294D7A">
            <w:pPr>
              <w:tabs>
                <w:tab w:val="left" w:pos="288"/>
                <w:tab w:val="left" w:pos="576"/>
                <w:tab w:val="left" w:pos="864"/>
                <w:tab w:val="left" w:pos="1152"/>
              </w:tabs>
              <w:suppressAutoHyphens/>
              <w:spacing w:before="40" w:after="80"/>
              <w:ind w:right="397"/>
              <w:rPr>
                <w:lang w:val="fr-CH"/>
              </w:rPr>
            </w:pPr>
            <w:r>
              <w:t>Document final de la manifestation spéciale consacrée au bilan de l’action entreprise pour atteindre les objectifs du Millénaire pour le développement</w:t>
            </w:r>
          </w:p>
        </w:tc>
      </w:tr>
    </w:tbl>
    <w:p w:rsidR="003214B3" w:rsidRPr="00F05FF9" w:rsidRDefault="003214B3" w:rsidP="00D36AA6">
      <w:pPr>
        <w:pStyle w:val="SingleTxt"/>
        <w:spacing w:after="0" w:line="120" w:lineRule="exact"/>
        <w:rPr>
          <w:sz w:val="10"/>
          <w:lang w:val="fr-CH"/>
        </w:rPr>
      </w:pPr>
    </w:p>
    <w:p w:rsidR="00D36AA6" w:rsidRPr="00F05FF9" w:rsidRDefault="00D36AA6" w:rsidP="00D36AA6">
      <w:pPr>
        <w:pStyle w:val="SingleTxt"/>
        <w:spacing w:after="0" w:line="120" w:lineRule="exact"/>
        <w:rPr>
          <w:sz w:val="10"/>
          <w:lang w:val="fr-CH"/>
        </w:rPr>
      </w:pPr>
    </w:p>
    <w:p w:rsidR="00D36AA6" w:rsidRPr="00F05FF9" w:rsidRDefault="00D36AA6" w:rsidP="00D36AA6">
      <w:pPr>
        <w:pStyle w:val="SingleTxt"/>
        <w:spacing w:after="0" w:line="120" w:lineRule="exact"/>
        <w:rPr>
          <w:sz w:val="10"/>
          <w:lang w:val="fr-CH"/>
        </w:rPr>
      </w:pPr>
    </w:p>
    <w:p w:rsidR="00753F14" w:rsidRPr="00F05FF9" w:rsidRDefault="00753F14" w:rsidP="00D36A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2.</w:t>
      </w:r>
      <w:r w:rsidRPr="00F05FF9">
        <w:rPr>
          <w:lang w:val="fr-CH"/>
        </w:rPr>
        <w:tab/>
        <w:t>Résolution</w:t>
      </w:r>
      <w:r w:rsidR="00D36AA6" w:rsidRPr="00F05FF9">
        <w:rPr>
          <w:lang w:val="fr-CH"/>
        </w:rPr>
        <w:t>s</w:t>
      </w:r>
      <w:r w:rsidRPr="00F05FF9">
        <w:rPr>
          <w:lang w:val="fr-CH"/>
        </w:rPr>
        <w:t xml:space="preserve"> </w:t>
      </w:r>
      <w:r w:rsidR="00D36AA6" w:rsidRPr="00F05FF9">
        <w:rPr>
          <w:lang w:val="fr-CH"/>
        </w:rPr>
        <w:t>du Conseil économique et social</w:t>
      </w:r>
    </w:p>
    <w:p w:rsidR="00D36AA6" w:rsidRPr="00F05FF9" w:rsidRDefault="00D36AA6" w:rsidP="00D36AA6">
      <w:pPr>
        <w:spacing w:line="120" w:lineRule="exact"/>
        <w:rPr>
          <w:sz w:val="10"/>
          <w:lang w:val="fr-CH"/>
        </w:rPr>
      </w:pPr>
    </w:p>
    <w:p w:rsidR="00D36AA6" w:rsidRPr="00F05FF9" w:rsidRDefault="00D36AA6" w:rsidP="00D36AA6">
      <w:pPr>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F05FF9" w:rsidRPr="00F05FF9" w:rsidTr="00294D7A">
        <w:trPr>
          <w:tblHeader/>
        </w:trPr>
        <w:tc>
          <w:tcPr>
            <w:tcW w:w="1253" w:type="dxa"/>
            <w:tcBorders>
              <w:top w:val="single" w:sz="4" w:space="0" w:color="auto"/>
              <w:bottom w:val="single" w:sz="12" w:space="0" w:color="auto"/>
            </w:tcBorders>
            <w:shd w:val="clear" w:color="auto" w:fill="auto"/>
            <w:vAlign w:val="bottom"/>
          </w:tcPr>
          <w:p w:rsidR="00D36AA6" w:rsidRPr="00F05FF9" w:rsidRDefault="00D36AA6" w:rsidP="00294D7A">
            <w:pPr>
              <w:suppressAutoHyphens/>
              <w:spacing w:before="80" w:after="80" w:line="160" w:lineRule="exact"/>
              <w:ind w:right="40"/>
              <w:rPr>
                <w:i/>
                <w:sz w:val="14"/>
                <w:lang w:val="fr-CH"/>
              </w:rPr>
            </w:pPr>
            <w:r w:rsidRPr="00F05FF9">
              <w:rPr>
                <w:i/>
                <w:sz w:val="14"/>
                <w:lang w:val="fr-CH"/>
              </w:rPr>
              <w:t>Résolution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D36AA6" w:rsidRPr="00F05FF9" w:rsidRDefault="00D36AA6" w:rsidP="00294D7A">
            <w:pPr>
              <w:suppressAutoHyphens/>
              <w:spacing w:before="80" w:after="80" w:line="160" w:lineRule="exact"/>
              <w:ind w:right="397"/>
              <w:rPr>
                <w:i/>
                <w:sz w:val="14"/>
                <w:lang w:val="fr-CH"/>
              </w:rPr>
            </w:pPr>
            <w:r w:rsidRPr="00F05FF9">
              <w:rPr>
                <w:i/>
                <w:sz w:val="14"/>
                <w:lang w:val="fr-CH"/>
              </w:rPr>
              <w:t>Titre</w:t>
            </w:r>
          </w:p>
        </w:tc>
      </w:tr>
      <w:tr w:rsidR="00D36AA6" w:rsidRPr="00F05FF9" w:rsidTr="00294D7A">
        <w:trPr>
          <w:trHeight w:hRule="exact" w:val="115"/>
          <w:tblHeader/>
        </w:trPr>
        <w:tc>
          <w:tcPr>
            <w:tcW w:w="1253" w:type="dxa"/>
            <w:tcBorders>
              <w:top w:val="single" w:sz="12" w:space="0" w:color="auto"/>
            </w:tcBorders>
            <w:shd w:val="clear" w:color="auto" w:fill="auto"/>
            <w:vAlign w:val="bottom"/>
          </w:tcPr>
          <w:p w:rsidR="00D36AA6" w:rsidRPr="00F05FF9" w:rsidRDefault="00D36AA6" w:rsidP="00294D7A">
            <w:pPr>
              <w:suppressAutoHyphens/>
              <w:spacing w:before="40" w:after="80"/>
              <w:ind w:right="40"/>
              <w:rPr>
                <w:lang w:val="fr-CH"/>
              </w:rPr>
            </w:pPr>
          </w:p>
        </w:tc>
        <w:tc>
          <w:tcPr>
            <w:tcW w:w="7506" w:type="dxa"/>
            <w:tcBorders>
              <w:top w:val="single" w:sz="12" w:space="0" w:color="auto"/>
            </w:tcBorders>
            <w:shd w:val="clear" w:color="auto" w:fill="auto"/>
            <w:vAlign w:val="bottom"/>
          </w:tcPr>
          <w:p w:rsidR="00D36AA6" w:rsidRPr="00F05FF9" w:rsidRDefault="00D36AA6" w:rsidP="00294D7A">
            <w:pPr>
              <w:suppressAutoHyphens/>
              <w:spacing w:before="40" w:after="80"/>
              <w:ind w:right="397"/>
              <w:rPr>
                <w:lang w:val="fr-CH"/>
              </w:rPr>
            </w:pPr>
          </w:p>
        </w:tc>
      </w:tr>
      <w:tr w:rsidR="00D36AA6" w:rsidRPr="00F05FF9" w:rsidTr="00294D7A">
        <w:tc>
          <w:tcPr>
            <w:tcW w:w="1253"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40"/>
              <w:rPr>
                <w:lang w:val="fr-CH"/>
              </w:rPr>
            </w:pPr>
            <w:r w:rsidRPr="00F05FF9">
              <w:rPr>
                <w:lang w:val="fr-CH"/>
              </w:rPr>
              <w:t>2006/38</w:t>
            </w:r>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Plan de travail pour la réforme de la Commission économique pour l’Europe et mandat révisé de la Commission</w:t>
            </w:r>
          </w:p>
        </w:tc>
      </w:tr>
      <w:tr w:rsidR="00D36AA6" w:rsidRPr="00F05FF9" w:rsidTr="00294D7A">
        <w:tc>
          <w:tcPr>
            <w:tcW w:w="1253"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40"/>
              <w:rPr>
                <w:lang w:val="fr-CH"/>
              </w:rPr>
            </w:pPr>
            <w:r w:rsidRPr="00F05FF9">
              <w:rPr>
                <w:lang w:val="fr-CH"/>
              </w:rPr>
              <w:t>2012/30</w:t>
            </w:r>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Le rôle du Conseil économique et social dans l’application et le suivi intégrés </w:t>
            </w:r>
            <w:r w:rsidRPr="00F05FF9">
              <w:rPr>
                <w:lang w:val="fr-CH"/>
              </w:rPr>
              <w:br/>
              <w:t xml:space="preserve">et coordonnés des textes issus des grandes conférences et réunions au sommet organisées sous l’égide des Nations Unies, compte tenu des dispositions des résolutions pertinentes de l’Assemblée générale, notamment la résolution </w:t>
            </w:r>
            <w:hyperlink r:id="rId37">
              <w:r w:rsidRPr="00F05FF9">
                <w:rPr>
                  <w:lang w:val="fr-CH"/>
                </w:rPr>
                <w:t>61/16</w:t>
              </w:r>
            </w:hyperlink>
          </w:p>
        </w:tc>
      </w:tr>
      <w:tr w:rsidR="00D36AA6" w:rsidRPr="00F05FF9" w:rsidTr="00D36AA6">
        <w:tc>
          <w:tcPr>
            <w:tcW w:w="1253"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40"/>
              <w:rPr>
                <w:lang w:val="fr-CH"/>
              </w:rPr>
            </w:pPr>
            <w:r w:rsidRPr="00F05FF9">
              <w:rPr>
                <w:lang w:val="fr-CH"/>
              </w:rPr>
              <w:t>2013/1</w:t>
            </w:r>
          </w:p>
        </w:tc>
        <w:tc>
          <w:tcPr>
            <w:tcW w:w="7506" w:type="dxa"/>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Résultat de l’examen de la réforme de 2005 de la Commission économique </w:t>
            </w:r>
            <w:r w:rsidRPr="00F05FF9">
              <w:rPr>
                <w:lang w:val="fr-CH"/>
              </w:rPr>
              <w:br/>
              <w:t>pour l’Europe</w:t>
            </w:r>
          </w:p>
        </w:tc>
      </w:tr>
      <w:tr w:rsidR="00D36AA6" w:rsidRPr="00F05FF9" w:rsidTr="00D36AA6">
        <w:tc>
          <w:tcPr>
            <w:tcW w:w="1253" w:type="dxa"/>
            <w:tcBorders>
              <w:bottom w:val="single" w:sz="12" w:space="0" w:color="auto"/>
            </w:tcBorders>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40"/>
              <w:rPr>
                <w:lang w:val="fr-CH"/>
              </w:rPr>
            </w:pPr>
            <w:r w:rsidRPr="00F05FF9">
              <w:rPr>
                <w:lang w:val="fr-CH"/>
              </w:rPr>
              <w:t>2013/16</w:t>
            </w:r>
          </w:p>
        </w:tc>
        <w:tc>
          <w:tcPr>
            <w:tcW w:w="7506" w:type="dxa"/>
            <w:tcBorders>
              <w:bottom w:val="single" w:sz="12" w:space="0" w:color="auto"/>
            </w:tcBorders>
            <w:shd w:val="clear" w:color="auto" w:fill="auto"/>
          </w:tcPr>
          <w:p w:rsidR="00D36AA6" w:rsidRPr="00F05FF9" w:rsidRDefault="00D36AA6" w:rsidP="00294D7A">
            <w:pPr>
              <w:tabs>
                <w:tab w:val="left" w:pos="288"/>
                <w:tab w:val="left" w:pos="576"/>
                <w:tab w:val="left" w:pos="864"/>
                <w:tab w:val="left" w:pos="1152"/>
              </w:tabs>
              <w:suppressAutoHyphens/>
              <w:spacing w:before="40" w:after="80"/>
              <w:ind w:right="397"/>
              <w:rPr>
                <w:lang w:val="fr-CH"/>
              </w:rPr>
            </w:pPr>
            <w:r w:rsidRPr="00F05FF9">
              <w:rPr>
                <w:lang w:val="fr-CH"/>
              </w:rPr>
              <w:t>Transversalisation de la problématique hommes-femmes dans toutes les politiques et tous les programmes du système des Nations Unies</w:t>
            </w:r>
          </w:p>
        </w:tc>
      </w:tr>
    </w:tbl>
    <w:p w:rsidR="00D36AA6" w:rsidRPr="00F05FF9" w:rsidRDefault="00D36AA6" w:rsidP="00D36AA6">
      <w:pPr>
        <w:spacing w:line="120" w:lineRule="exact"/>
        <w:rPr>
          <w:sz w:val="10"/>
          <w:lang w:val="fr-CH"/>
        </w:rPr>
      </w:pPr>
    </w:p>
    <w:p w:rsidR="00D36AA6" w:rsidRPr="00F05FF9" w:rsidRDefault="00D36AA6" w:rsidP="00D36AA6">
      <w:pPr>
        <w:spacing w:line="120" w:lineRule="exact"/>
        <w:rPr>
          <w:sz w:val="10"/>
          <w:lang w:val="fr-CH"/>
        </w:rPr>
      </w:pPr>
    </w:p>
    <w:p w:rsidR="00D36AA6" w:rsidRPr="00F05FF9" w:rsidRDefault="00D36AA6" w:rsidP="00D36AA6">
      <w:pPr>
        <w:spacing w:line="120" w:lineRule="exact"/>
        <w:rPr>
          <w:sz w:val="10"/>
          <w:lang w:val="fr-CH"/>
        </w:rPr>
      </w:pPr>
    </w:p>
    <w:p w:rsidR="00753F14" w:rsidRPr="00F05FF9" w:rsidRDefault="00753F14" w:rsidP="00D36A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3.</w:t>
      </w:r>
      <w:r w:rsidRPr="00F05FF9">
        <w:rPr>
          <w:lang w:val="fr-CH"/>
        </w:rPr>
        <w:tab/>
        <w:t>Décision du Conseil économique et social</w:t>
      </w:r>
    </w:p>
    <w:p w:rsidR="00D36AA6" w:rsidRPr="00F05FF9" w:rsidRDefault="00D36AA6" w:rsidP="00D36AA6">
      <w:pPr>
        <w:spacing w:line="120" w:lineRule="exact"/>
        <w:rPr>
          <w:sz w:val="10"/>
          <w:lang w:val="fr-CH"/>
        </w:rPr>
      </w:pPr>
    </w:p>
    <w:p w:rsidR="00D36AA6" w:rsidRPr="00F05FF9" w:rsidRDefault="00D36AA6" w:rsidP="00D36AA6">
      <w:pPr>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F05FF9" w:rsidRPr="00F05FF9" w:rsidTr="00294D7A">
        <w:trPr>
          <w:tblHeader/>
        </w:trPr>
        <w:tc>
          <w:tcPr>
            <w:tcW w:w="1253" w:type="dxa"/>
            <w:tcBorders>
              <w:top w:val="single" w:sz="4" w:space="0" w:color="auto"/>
              <w:bottom w:val="single" w:sz="12" w:space="0" w:color="auto"/>
            </w:tcBorders>
            <w:shd w:val="clear" w:color="auto" w:fill="auto"/>
            <w:vAlign w:val="bottom"/>
          </w:tcPr>
          <w:p w:rsidR="00D36AA6" w:rsidRPr="00F05FF9" w:rsidRDefault="00D36AA6" w:rsidP="00294D7A">
            <w:pPr>
              <w:suppressAutoHyphens/>
              <w:spacing w:before="80" w:after="80" w:line="160" w:lineRule="exact"/>
              <w:ind w:right="40"/>
              <w:rPr>
                <w:i/>
                <w:sz w:val="14"/>
                <w:lang w:val="fr-CH"/>
              </w:rPr>
            </w:pPr>
            <w:r w:rsidRPr="00F05FF9">
              <w:rPr>
                <w:i/>
                <w:sz w:val="14"/>
                <w:lang w:val="fr-CH"/>
              </w:rPr>
              <w:t>Décision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D36AA6" w:rsidRPr="00F05FF9" w:rsidRDefault="00D36AA6" w:rsidP="00294D7A">
            <w:pPr>
              <w:suppressAutoHyphens/>
              <w:spacing w:before="80" w:after="80" w:line="160" w:lineRule="exact"/>
              <w:ind w:right="397"/>
              <w:rPr>
                <w:i/>
                <w:sz w:val="14"/>
                <w:lang w:val="fr-CH"/>
              </w:rPr>
            </w:pPr>
            <w:r w:rsidRPr="00F05FF9">
              <w:rPr>
                <w:i/>
                <w:sz w:val="14"/>
                <w:lang w:val="fr-CH"/>
              </w:rPr>
              <w:t>Titre</w:t>
            </w:r>
          </w:p>
        </w:tc>
      </w:tr>
      <w:tr w:rsidR="00D36AA6" w:rsidRPr="00F05FF9" w:rsidTr="003609BB">
        <w:trPr>
          <w:trHeight w:hRule="exact" w:val="115"/>
          <w:tblHeader/>
        </w:trPr>
        <w:tc>
          <w:tcPr>
            <w:tcW w:w="1253" w:type="dxa"/>
            <w:tcBorders>
              <w:top w:val="single" w:sz="12" w:space="0" w:color="auto"/>
            </w:tcBorders>
            <w:shd w:val="clear" w:color="auto" w:fill="auto"/>
            <w:vAlign w:val="bottom"/>
          </w:tcPr>
          <w:p w:rsidR="00D36AA6" w:rsidRPr="00F05FF9" w:rsidRDefault="00D36AA6" w:rsidP="00294D7A">
            <w:pPr>
              <w:suppressAutoHyphens/>
              <w:spacing w:before="40" w:after="80"/>
              <w:ind w:right="40"/>
              <w:rPr>
                <w:lang w:val="fr-CH"/>
              </w:rPr>
            </w:pPr>
          </w:p>
        </w:tc>
        <w:tc>
          <w:tcPr>
            <w:tcW w:w="7506" w:type="dxa"/>
            <w:tcBorders>
              <w:top w:val="single" w:sz="12" w:space="0" w:color="auto"/>
            </w:tcBorders>
            <w:shd w:val="clear" w:color="auto" w:fill="auto"/>
            <w:vAlign w:val="bottom"/>
          </w:tcPr>
          <w:p w:rsidR="00D36AA6" w:rsidRPr="00F05FF9" w:rsidRDefault="00D36AA6" w:rsidP="00294D7A">
            <w:pPr>
              <w:suppressAutoHyphens/>
              <w:spacing w:before="40" w:after="80"/>
              <w:ind w:right="397"/>
              <w:rPr>
                <w:lang w:val="fr-CH"/>
              </w:rPr>
            </w:pPr>
          </w:p>
        </w:tc>
      </w:tr>
      <w:tr w:rsidR="003609BB" w:rsidRPr="00F05FF9" w:rsidTr="003609BB">
        <w:tc>
          <w:tcPr>
            <w:tcW w:w="1253" w:type="dxa"/>
            <w:tcBorders>
              <w:bottom w:val="single" w:sz="12" w:space="0" w:color="auto"/>
            </w:tcBorders>
            <w:shd w:val="clear" w:color="auto" w:fill="auto"/>
          </w:tcPr>
          <w:p w:rsidR="00D36AA6" w:rsidRPr="00F05FF9" w:rsidRDefault="003609BB" w:rsidP="00294D7A">
            <w:pPr>
              <w:tabs>
                <w:tab w:val="left" w:pos="288"/>
                <w:tab w:val="left" w:pos="576"/>
                <w:tab w:val="left" w:pos="864"/>
                <w:tab w:val="left" w:pos="1152"/>
              </w:tabs>
              <w:suppressAutoHyphens/>
              <w:spacing w:before="40" w:after="80"/>
              <w:ind w:right="40"/>
              <w:rPr>
                <w:lang w:val="fr-CH"/>
              </w:rPr>
            </w:pPr>
            <w:r w:rsidRPr="00F05FF9">
              <w:rPr>
                <w:lang w:val="fr-CH"/>
              </w:rPr>
              <w:t>2011/247</w:t>
            </w:r>
          </w:p>
        </w:tc>
        <w:tc>
          <w:tcPr>
            <w:tcW w:w="7506" w:type="dxa"/>
            <w:tcBorders>
              <w:bottom w:val="single" w:sz="12" w:space="0" w:color="auto"/>
            </w:tcBorders>
            <w:shd w:val="clear" w:color="auto" w:fill="auto"/>
          </w:tcPr>
          <w:p w:rsidR="00D36AA6"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Rapport de la Commission de la population et du développement sur les travaux de sa quarante-quatrième session et ordre du jour provisoire et documentation de sa quarante-cinquième session</w:t>
            </w:r>
          </w:p>
        </w:tc>
      </w:tr>
    </w:tbl>
    <w:p w:rsidR="00D36AA6" w:rsidRPr="00F05FF9" w:rsidRDefault="00D36AA6" w:rsidP="00D36AA6">
      <w:pPr>
        <w:spacing w:line="120" w:lineRule="exact"/>
        <w:rPr>
          <w:sz w:val="10"/>
          <w:lang w:val="fr-CH"/>
        </w:rPr>
      </w:pPr>
    </w:p>
    <w:p w:rsidR="00D36AA6" w:rsidRPr="00F05FF9" w:rsidRDefault="00D36AA6" w:rsidP="00D36AA6">
      <w:pPr>
        <w:spacing w:line="120" w:lineRule="exact"/>
        <w:rPr>
          <w:sz w:val="10"/>
          <w:lang w:val="fr-CH"/>
        </w:rPr>
      </w:pPr>
    </w:p>
    <w:p w:rsidR="003609BB" w:rsidRPr="00F05FF9" w:rsidRDefault="003609BB" w:rsidP="003609BB">
      <w:pPr>
        <w:spacing w:line="120" w:lineRule="exact"/>
        <w:rPr>
          <w:sz w:val="10"/>
          <w:lang w:val="fr-CH"/>
        </w:rPr>
      </w:pPr>
    </w:p>
    <w:p w:rsidR="00753F14" w:rsidRPr="00F05FF9" w:rsidRDefault="00753F14" w:rsidP="003609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4.</w:t>
      </w:r>
      <w:r w:rsidRPr="00F05FF9">
        <w:rPr>
          <w:lang w:val="fr-CH"/>
        </w:rPr>
        <w:tab/>
        <w:t>Décisions de la Commission économique pour l</w:t>
      </w:r>
      <w:r w:rsidR="00B164F7" w:rsidRPr="00F05FF9">
        <w:rPr>
          <w:lang w:val="fr-CH"/>
        </w:rPr>
        <w:t>’</w:t>
      </w:r>
      <w:r w:rsidRPr="00F05FF9">
        <w:rPr>
          <w:lang w:val="fr-CH"/>
        </w:rPr>
        <w:t>Europe</w:t>
      </w:r>
    </w:p>
    <w:p w:rsidR="003609BB" w:rsidRPr="00F05FF9" w:rsidRDefault="003609BB" w:rsidP="003609BB">
      <w:pPr>
        <w:spacing w:line="120" w:lineRule="exact"/>
        <w:rPr>
          <w:sz w:val="10"/>
          <w:lang w:val="fr-CH"/>
        </w:rPr>
      </w:pPr>
    </w:p>
    <w:p w:rsidR="003609BB" w:rsidRPr="00F05FF9" w:rsidRDefault="003609BB" w:rsidP="003609BB">
      <w:pPr>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F05FF9" w:rsidRPr="00F05FF9" w:rsidTr="00294D7A">
        <w:trPr>
          <w:tblHeader/>
        </w:trPr>
        <w:tc>
          <w:tcPr>
            <w:tcW w:w="1253" w:type="dxa"/>
            <w:tcBorders>
              <w:top w:val="single" w:sz="4" w:space="0" w:color="auto"/>
              <w:bottom w:val="single" w:sz="12" w:space="0" w:color="auto"/>
            </w:tcBorders>
            <w:shd w:val="clear" w:color="auto" w:fill="auto"/>
            <w:vAlign w:val="bottom"/>
          </w:tcPr>
          <w:p w:rsidR="003609BB" w:rsidRPr="00F05FF9" w:rsidRDefault="003609BB" w:rsidP="00294D7A">
            <w:pPr>
              <w:suppressAutoHyphens/>
              <w:spacing w:before="80" w:after="80" w:line="160" w:lineRule="exact"/>
              <w:ind w:right="40"/>
              <w:rPr>
                <w:i/>
                <w:sz w:val="14"/>
                <w:lang w:val="fr-CH"/>
              </w:rPr>
            </w:pPr>
            <w:r w:rsidRPr="00F05FF9">
              <w:rPr>
                <w:i/>
                <w:sz w:val="14"/>
                <w:lang w:val="fr-CH"/>
              </w:rPr>
              <w:t>D</w:t>
            </w:r>
            <w:r w:rsidR="00B212F0">
              <w:rPr>
                <w:i/>
                <w:sz w:val="14"/>
                <w:lang w:val="fr-CH"/>
              </w:rPr>
              <w:t>écision</w:t>
            </w:r>
            <w:r w:rsidRPr="00F05FF9">
              <w:rPr>
                <w:i/>
                <w:sz w:val="14"/>
                <w:lang w:val="fr-CH"/>
              </w:rPr>
              <w:t xml:space="preserve">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3609BB" w:rsidRPr="00F05FF9" w:rsidRDefault="003609BB" w:rsidP="00294D7A">
            <w:pPr>
              <w:suppressAutoHyphens/>
              <w:spacing w:before="80" w:after="80" w:line="160" w:lineRule="exact"/>
              <w:ind w:right="397"/>
              <w:rPr>
                <w:i/>
                <w:sz w:val="14"/>
                <w:lang w:val="fr-CH"/>
              </w:rPr>
            </w:pPr>
            <w:r w:rsidRPr="00F05FF9">
              <w:rPr>
                <w:i/>
                <w:sz w:val="14"/>
                <w:lang w:val="fr-CH"/>
              </w:rPr>
              <w:t>Titre</w:t>
            </w:r>
          </w:p>
        </w:tc>
      </w:tr>
      <w:tr w:rsidR="003609BB" w:rsidRPr="00F05FF9" w:rsidTr="00294D7A">
        <w:trPr>
          <w:trHeight w:hRule="exact" w:val="115"/>
          <w:tblHeader/>
        </w:trPr>
        <w:tc>
          <w:tcPr>
            <w:tcW w:w="1253" w:type="dxa"/>
            <w:tcBorders>
              <w:top w:val="single" w:sz="12" w:space="0" w:color="auto"/>
            </w:tcBorders>
            <w:shd w:val="clear" w:color="auto" w:fill="auto"/>
            <w:vAlign w:val="bottom"/>
          </w:tcPr>
          <w:p w:rsidR="003609BB" w:rsidRPr="00F05FF9" w:rsidRDefault="003609BB" w:rsidP="00294D7A">
            <w:pPr>
              <w:suppressAutoHyphens/>
              <w:spacing w:before="40" w:after="80"/>
              <w:ind w:right="40"/>
              <w:rPr>
                <w:lang w:val="fr-CH"/>
              </w:rPr>
            </w:pPr>
          </w:p>
        </w:tc>
        <w:tc>
          <w:tcPr>
            <w:tcW w:w="7506" w:type="dxa"/>
            <w:tcBorders>
              <w:top w:val="single" w:sz="12" w:space="0" w:color="auto"/>
            </w:tcBorders>
            <w:shd w:val="clear" w:color="auto" w:fill="auto"/>
            <w:vAlign w:val="bottom"/>
          </w:tcPr>
          <w:p w:rsidR="003609BB" w:rsidRPr="00F05FF9" w:rsidRDefault="003609BB" w:rsidP="00294D7A">
            <w:pPr>
              <w:suppressAutoHyphens/>
              <w:spacing w:before="40" w:after="80"/>
              <w:ind w:right="397"/>
              <w:rPr>
                <w:lang w:val="fr-CH"/>
              </w:rPr>
            </w:pPr>
          </w:p>
        </w:tc>
      </w:tr>
      <w:tr w:rsidR="003609BB" w:rsidRPr="00F05FF9" w:rsidTr="003609BB">
        <w:tc>
          <w:tcPr>
            <w:tcW w:w="1253" w:type="dxa"/>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40"/>
              <w:rPr>
                <w:lang w:val="fr-CH"/>
              </w:rPr>
            </w:pPr>
            <w:r w:rsidRPr="00F05FF9">
              <w:rPr>
                <w:lang w:val="fr-CH"/>
              </w:rPr>
              <w:t>ECE/AC.21/</w:t>
            </w:r>
            <w:r w:rsidRPr="00F05FF9">
              <w:rPr>
                <w:lang w:val="fr-CH"/>
              </w:rPr>
              <w:br/>
              <w:t>2002/8</w:t>
            </w:r>
          </w:p>
        </w:tc>
        <w:tc>
          <w:tcPr>
            <w:tcW w:w="7506" w:type="dxa"/>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Déclaration relative à la mise au point du Programme paneuropéen sur les transports, la santé et l’environnement (PPE-TSE), adoptée à la deuxième réunion de haut niveau sur les transports, l’environnement et la santé</w:t>
            </w:r>
          </w:p>
        </w:tc>
      </w:tr>
      <w:tr w:rsidR="003609BB" w:rsidRPr="00F05FF9" w:rsidTr="003609BB">
        <w:tc>
          <w:tcPr>
            <w:tcW w:w="1253" w:type="dxa"/>
            <w:tcBorders>
              <w:bottom w:val="single" w:sz="12" w:space="0" w:color="auto"/>
            </w:tcBorders>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40"/>
              <w:rPr>
                <w:lang w:val="fr-CH"/>
              </w:rPr>
            </w:pPr>
            <w:r w:rsidRPr="00F05FF9">
              <w:rPr>
                <w:lang w:val="fr-CH"/>
              </w:rPr>
              <w:t>A (64)</w:t>
            </w:r>
          </w:p>
        </w:tc>
        <w:tc>
          <w:tcPr>
            <w:tcW w:w="7506" w:type="dxa"/>
            <w:tcBorders>
              <w:bottom w:val="single" w:sz="12" w:space="0" w:color="auto"/>
            </w:tcBorders>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Les travaux de la Commission économique pour l’Europe</w:t>
            </w:r>
          </w:p>
        </w:tc>
      </w:tr>
    </w:tbl>
    <w:p w:rsidR="003609BB" w:rsidRPr="00F05FF9" w:rsidRDefault="003609BB" w:rsidP="003609BB">
      <w:pPr>
        <w:spacing w:line="120" w:lineRule="exact"/>
        <w:rPr>
          <w:sz w:val="10"/>
          <w:lang w:val="fr-CH"/>
        </w:rPr>
      </w:pPr>
    </w:p>
    <w:p w:rsidR="003609BB" w:rsidRPr="00F05FF9" w:rsidRDefault="003609BB" w:rsidP="003609BB">
      <w:pPr>
        <w:spacing w:line="120" w:lineRule="exact"/>
        <w:rPr>
          <w:sz w:val="10"/>
          <w:lang w:val="fr-CH"/>
        </w:rPr>
      </w:pPr>
    </w:p>
    <w:p w:rsidR="003609BB" w:rsidRPr="00F05FF9" w:rsidRDefault="003609BB" w:rsidP="003609BB">
      <w:pPr>
        <w:spacing w:line="120" w:lineRule="exact"/>
        <w:rPr>
          <w:sz w:val="10"/>
          <w:lang w:val="fr-CH"/>
        </w:rPr>
      </w:pPr>
    </w:p>
    <w:p w:rsidR="00753F14" w:rsidRPr="00F05FF9" w:rsidRDefault="00753F14" w:rsidP="003609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B.</w:t>
      </w:r>
      <w:r w:rsidRPr="00F05FF9">
        <w:rPr>
          <w:lang w:val="fr-CH"/>
        </w:rPr>
        <w:tab/>
        <w:t>Textes relatifs au sous-programme</w:t>
      </w:r>
    </w:p>
    <w:p w:rsidR="003609BB" w:rsidRPr="00F05FF9" w:rsidRDefault="003609BB" w:rsidP="003609BB">
      <w:pPr>
        <w:keepNext/>
        <w:spacing w:line="120" w:lineRule="exact"/>
        <w:rPr>
          <w:sz w:val="10"/>
          <w:lang w:val="fr-CH"/>
        </w:rPr>
      </w:pPr>
    </w:p>
    <w:p w:rsidR="003609BB" w:rsidRPr="00F05FF9" w:rsidRDefault="003609BB" w:rsidP="003609BB">
      <w:pPr>
        <w:keepNext/>
        <w:spacing w:line="120" w:lineRule="exact"/>
        <w:rPr>
          <w:sz w:val="10"/>
          <w:lang w:val="fr-CH"/>
        </w:rPr>
      </w:pPr>
    </w:p>
    <w:p w:rsidR="00753F14" w:rsidRPr="00F05FF9" w:rsidRDefault="00753F14" w:rsidP="003609B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1.</w:t>
      </w:r>
      <w:r w:rsidRPr="00F05FF9">
        <w:rPr>
          <w:lang w:val="fr-CH"/>
        </w:rPr>
        <w:tab/>
        <w:t>Résolutions de l</w:t>
      </w:r>
      <w:r w:rsidR="00B164F7" w:rsidRPr="00F05FF9">
        <w:rPr>
          <w:lang w:val="fr-CH"/>
        </w:rPr>
        <w:t>’</w:t>
      </w:r>
      <w:r w:rsidRPr="00F05FF9">
        <w:rPr>
          <w:lang w:val="fr-CH"/>
        </w:rPr>
        <w:t>Assemblée générale</w:t>
      </w:r>
    </w:p>
    <w:p w:rsidR="003609BB" w:rsidRPr="00F05FF9" w:rsidRDefault="003609BB" w:rsidP="003609BB">
      <w:pPr>
        <w:keepNext/>
        <w:spacing w:line="120" w:lineRule="exact"/>
        <w:rPr>
          <w:sz w:val="10"/>
          <w:lang w:val="fr-CH"/>
        </w:rPr>
      </w:pPr>
    </w:p>
    <w:p w:rsidR="003609BB" w:rsidRPr="00F05FF9" w:rsidRDefault="003609BB" w:rsidP="003609BB">
      <w:pPr>
        <w:keepNext/>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A016E8" w:rsidRPr="00F05FF9" w:rsidTr="00294D7A">
        <w:trPr>
          <w:tblHeader/>
        </w:trPr>
        <w:tc>
          <w:tcPr>
            <w:tcW w:w="1253" w:type="dxa"/>
            <w:tcBorders>
              <w:top w:val="single" w:sz="4" w:space="0" w:color="auto"/>
              <w:bottom w:val="single" w:sz="12" w:space="0" w:color="auto"/>
            </w:tcBorders>
            <w:shd w:val="clear" w:color="auto" w:fill="auto"/>
            <w:vAlign w:val="bottom"/>
          </w:tcPr>
          <w:p w:rsidR="003609BB" w:rsidRPr="00F05FF9" w:rsidRDefault="003609BB" w:rsidP="00A016E8">
            <w:pPr>
              <w:keepNext/>
              <w:suppressAutoHyphens/>
              <w:spacing w:before="80" w:after="80" w:line="160" w:lineRule="exact"/>
              <w:ind w:right="40"/>
              <w:rPr>
                <w:i/>
                <w:sz w:val="14"/>
                <w:lang w:val="fr-CH"/>
              </w:rPr>
            </w:pPr>
            <w:r w:rsidRPr="00F05FF9">
              <w:rPr>
                <w:i/>
                <w:sz w:val="14"/>
                <w:lang w:val="fr-CH"/>
              </w:rPr>
              <w:t>Résolution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3609BB" w:rsidRPr="00F05FF9" w:rsidRDefault="003609BB" w:rsidP="00A016E8">
            <w:pPr>
              <w:keepNext/>
              <w:suppressAutoHyphens/>
              <w:spacing w:before="80" w:after="80" w:line="160" w:lineRule="exact"/>
              <w:ind w:right="397"/>
              <w:rPr>
                <w:i/>
                <w:sz w:val="14"/>
                <w:lang w:val="fr-CH"/>
              </w:rPr>
            </w:pPr>
            <w:r w:rsidRPr="00F05FF9">
              <w:rPr>
                <w:i/>
                <w:sz w:val="14"/>
                <w:lang w:val="fr-CH"/>
              </w:rPr>
              <w:t>Titre</w:t>
            </w:r>
          </w:p>
        </w:tc>
      </w:tr>
      <w:tr w:rsidR="003609BB" w:rsidRPr="00F05FF9" w:rsidTr="00294D7A">
        <w:trPr>
          <w:trHeight w:hRule="exact" w:val="115"/>
          <w:tblHeader/>
        </w:trPr>
        <w:tc>
          <w:tcPr>
            <w:tcW w:w="1253" w:type="dxa"/>
            <w:tcBorders>
              <w:top w:val="single" w:sz="12" w:space="0" w:color="auto"/>
            </w:tcBorders>
            <w:shd w:val="clear" w:color="auto" w:fill="auto"/>
            <w:vAlign w:val="bottom"/>
          </w:tcPr>
          <w:p w:rsidR="003609BB" w:rsidRPr="00F05FF9" w:rsidRDefault="003609BB" w:rsidP="00A016E8">
            <w:pPr>
              <w:keepNext/>
              <w:suppressAutoHyphens/>
              <w:spacing w:before="40" w:after="80"/>
              <w:ind w:right="40"/>
              <w:rPr>
                <w:lang w:val="fr-CH"/>
              </w:rPr>
            </w:pPr>
          </w:p>
        </w:tc>
        <w:tc>
          <w:tcPr>
            <w:tcW w:w="7506" w:type="dxa"/>
            <w:tcBorders>
              <w:top w:val="single" w:sz="12" w:space="0" w:color="auto"/>
            </w:tcBorders>
            <w:shd w:val="clear" w:color="auto" w:fill="auto"/>
            <w:vAlign w:val="bottom"/>
          </w:tcPr>
          <w:p w:rsidR="003609BB" w:rsidRPr="00F05FF9" w:rsidRDefault="003609BB" w:rsidP="00A016E8">
            <w:pPr>
              <w:keepNext/>
              <w:suppressAutoHyphens/>
              <w:spacing w:before="40" w:after="80"/>
              <w:ind w:right="397"/>
              <w:rPr>
                <w:lang w:val="fr-CH"/>
              </w:rPr>
            </w:pPr>
          </w:p>
        </w:tc>
      </w:tr>
      <w:tr w:rsidR="00A016E8" w:rsidRPr="00F05FF9" w:rsidTr="00294D7A">
        <w:tc>
          <w:tcPr>
            <w:tcW w:w="1253" w:type="dxa"/>
            <w:shd w:val="clear" w:color="auto" w:fill="auto"/>
          </w:tcPr>
          <w:p w:rsidR="003609BB" w:rsidRPr="00F05FF9" w:rsidRDefault="00BB204C" w:rsidP="00A016E8">
            <w:pPr>
              <w:keepNext/>
              <w:tabs>
                <w:tab w:val="left" w:pos="288"/>
                <w:tab w:val="left" w:pos="576"/>
                <w:tab w:val="left" w:pos="864"/>
                <w:tab w:val="left" w:pos="1152"/>
              </w:tabs>
              <w:suppressAutoHyphens/>
              <w:spacing w:before="40" w:after="80"/>
              <w:ind w:right="40"/>
              <w:rPr>
                <w:lang w:val="fr-CH"/>
              </w:rPr>
            </w:pPr>
            <w:hyperlink r:id="rId38">
              <w:r w:rsidR="003609BB" w:rsidRPr="00F05FF9">
                <w:rPr>
                  <w:lang w:val="fr-CH"/>
                </w:rPr>
                <w:t>58/9</w:t>
              </w:r>
            </w:hyperlink>
          </w:p>
        </w:tc>
        <w:tc>
          <w:tcPr>
            <w:tcW w:w="7506" w:type="dxa"/>
            <w:shd w:val="clear" w:color="auto" w:fill="auto"/>
          </w:tcPr>
          <w:p w:rsidR="003609BB" w:rsidRPr="00F05FF9" w:rsidRDefault="003609BB" w:rsidP="00A016E8">
            <w:pPr>
              <w:keepNext/>
              <w:tabs>
                <w:tab w:val="left" w:pos="288"/>
                <w:tab w:val="left" w:pos="576"/>
                <w:tab w:val="left" w:pos="864"/>
                <w:tab w:val="left" w:pos="1152"/>
              </w:tabs>
              <w:suppressAutoHyphens/>
              <w:spacing w:before="40" w:after="80"/>
              <w:ind w:right="397"/>
              <w:rPr>
                <w:lang w:val="fr-CH"/>
              </w:rPr>
            </w:pPr>
            <w:r w:rsidRPr="00F05FF9">
              <w:rPr>
                <w:lang w:val="fr-CH"/>
              </w:rPr>
              <w:t>Crise mondiale de la sécurité routière</w:t>
            </w:r>
          </w:p>
        </w:tc>
      </w:tr>
      <w:tr w:rsidR="003609BB" w:rsidRPr="00F05FF9" w:rsidTr="00294D7A">
        <w:tc>
          <w:tcPr>
            <w:tcW w:w="1253" w:type="dxa"/>
            <w:shd w:val="clear" w:color="auto" w:fill="auto"/>
          </w:tcPr>
          <w:p w:rsidR="003609BB" w:rsidRPr="00F05FF9" w:rsidRDefault="00BB204C" w:rsidP="00294D7A">
            <w:pPr>
              <w:tabs>
                <w:tab w:val="left" w:pos="288"/>
                <w:tab w:val="left" w:pos="576"/>
                <w:tab w:val="left" w:pos="864"/>
                <w:tab w:val="left" w:pos="1152"/>
              </w:tabs>
              <w:suppressAutoHyphens/>
              <w:spacing w:before="40" w:after="80"/>
              <w:ind w:right="40"/>
              <w:rPr>
                <w:lang w:val="fr-CH"/>
              </w:rPr>
            </w:pPr>
            <w:hyperlink r:id="rId39">
              <w:r w:rsidR="003609BB" w:rsidRPr="00F05FF9">
                <w:rPr>
                  <w:lang w:val="fr-CH"/>
                </w:rPr>
                <w:t>58/201</w:t>
              </w:r>
            </w:hyperlink>
          </w:p>
        </w:tc>
        <w:tc>
          <w:tcPr>
            <w:tcW w:w="7506" w:type="dxa"/>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Programme d’action d’Almaty : partenariats conçus pour répondre aux besoins particuliers des pays en développement sans littoral et créer un nouveau cadre mondial pour la coopération en matière de transport en transit entre les pays en développement sans littoral et de transit</w:t>
            </w:r>
          </w:p>
        </w:tc>
      </w:tr>
      <w:tr w:rsidR="003609BB" w:rsidRPr="00F05FF9" w:rsidTr="00294D7A">
        <w:tc>
          <w:tcPr>
            <w:tcW w:w="1253" w:type="dxa"/>
            <w:shd w:val="clear" w:color="auto" w:fill="auto"/>
          </w:tcPr>
          <w:p w:rsidR="003609BB" w:rsidRPr="00F05FF9" w:rsidRDefault="00BB204C" w:rsidP="00294D7A">
            <w:pPr>
              <w:tabs>
                <w:tab w:val="left" w:pos="288"/>
                <w:tab w:val="left" w:pos="576"/>
                <w:tab w:val="left" w:pos="864"/>
                <w:tab w:val="left" w:pos="1152"/>
              </w:tabs>
              <w:suppressAutoHyphens/>
              <w:spacing w:before="40" w:after="80"/>
              <w:ind w:right="40"/>
              <w:rPr>
                <w:lang w:val="fr-CH"/>
              </w:rPr>
            </w:pPr>
            <w:hyperlink r:id="rId40">
              <w:r w:rsidR="003609BB" w:rsidRPr="00F05FF9">
                <w:rPr>
                  <w:lang w:val="fr-CH"/>
                </w:rPr>
                <w:t>63/2</w:t>
              </w:r>
            </w:hyperlink>
          </w:p>
        </w:tc>
        <w:tc>
          <w:tcPr>
            <w:tcW w:w="7506" w:type="dxa"/>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Document final de l’examen à mi-parcours du Programme </w:t>
            </w:r>
            <w:r w:rsidRPr="00F05FF9">
              <w:rPr>
                <w:lang w:val="fr-CH"/>
              </w:rPr>
              <w:br/>
              <w:t>d’action d’Almaty : répondre aux besoins particuliers des pays en développement sans littoral et créer un nouveau cadre mondial pour la coopération en matière de transport en transit entre les pays en développement sans littoral et de transit</w:t>
            </w:r>
          </w:p>
        </w:tc>
      </w:tr>
      <w:tr w:rsidR="003609BB" w:rsidRPr="00F05FF9" w:rsidTr="00294D7A">
        <w:tc>
          <w:tcPr>
            <w:tcW w:w="1253" w:type="dxa"/>
            <w:shd w:val="clear" w:color="auto" w:fill="auto"/>
          </w:tcPr>
          <w:p w:rsidR="003609BB" w:rsidRPr="00F05FF9" w:rsidRDefault="00BB204C" w:rsidP="00294D7A">
            <w:pPr>
              <w:tabs>
                <w:tab w:val="left" w:pos="288"/>
                <w:tab w:val="left" w:pos="576"/>
                <w:tab w:val="left" w:pos="864"/>
                <w:tab w:val="left" w:pos="1152"/>
              </w:tabs>
              <w:suppressAutoHyphens/>
              <w:spacing w:before="40" w:after="80"/>
              <w:ind w:right="40"/>
              <w:rPr>
                <w:lang w:val="fr-CH"/>
              </w:rPr>
            </w:pPr>
            <w:hyperlink r:id="rId41">
              <w:r w:rsidR="003609BB" w:rsidRPr="00F05FF9">
                <w:rPr>
                  <w:lang w:val="fr-CH"/>
                </w:rPr>
                <w:t>67/13</w:t>
              </w:r>
            </w:hyperlink>
          </w:p>
        </w:tc>
        <w:tc>
          <w:tcPr>
            <w:tcW w:w="7506" w:type="dxa"/>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Coopération entre l’Organisation des Nations Unies et l’Organisation de coopération économique de la mer Noire</w:t>
            </w:r>
          </w:p>
        </w:tc>
      </w:tr>
      <w:tr w:rsidR="003609BB" w:rsidRPr="00F05FF9" w:rsidTr="00294D7A">
        <w:tc>
          <w:tcPr>
            <w:tcW w:w="1253" w:type="dxa"/>
            <w:shd w:val="clear" w:color="auto" w:fill="auto"/>
          </w:tcPr>
          <w:p w:rsidR="003609BB" w:rsidRPr="00F05FF9" w:rsidRDefault="00BB204C" w:rsidP="00294D7A">
            <w:pPr>
              <w:tabs>
                <w:tab w:val="left" w:pos="288"/>
                <w:tab w:val="left" w:pos="576"/>
                <w:tab w:val="left" w:pos="864"/>
                <w:tab w:val="left" w:pos="1152"/>
              </w:tabs>
              <w:suppressAutoHyphens/>
              <w:spacing w:before="40" w:after="80"/>
              <w:ind w:right="40"/>
              <w:rPr>
                <w:lang w:val="fr-CH"/>
              </w:rPr>
            </w:pPr>
            <w:hyperlink r:id="rId42">
              <w:r w:rsidR="003609BB" w:rsidRPr="00F05FF9">
                <w:rPr>
                  <w:lang w:val="fr-CH"/>
                </w:rPr>
                <w:t>64/255</w:t>
              </w:r>
            </w:hyperlink>
          </w:p>
        </w:tc>
        <w:tc>
          <w:tcPr>
            <w:tcW w:w="7506" w:type="dxa"/>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Amélioration de la sécurité routière mondiale </w:t>
            </w:r>
          </w:p>
        </w:tc>
      </w:tr>
      <w:tr w:rsidR="003609BB" w:rsidRPr="00F05FF9" w:rsidTr="00294D7A">
        <w:tc>
          <w:tcPr>
            <w:tcW w:w="1253" w:type="dxa"/>
            <w:tcBorders>
              <w:bottom w:val="single" w:sz="12" w:space="0" w:color="auto"/>
            </w:tcBorders>
            <w:shd w:val="clear" w:color="auto" w:fill="auto"/>
          </w:tcPr>
          <w:p w:rsidR="003609BB" w:rsidRPr="00F05FF9" w:rsidRDefault="00BB204C" w:rsidP="00294D7A">
            <w:pPr>
              <w:tabs>
                <w:tab w:val="left" w:pos="288"/>
                <w:tab w:val="left" w:pos="576"/>
                <w:tab w:val="left" w:pos="864"/>
                <w:tab w:val="left" w:pos="1152"/>
              </w:tabs>
              <w:suppressAutoHyphens/>
              <w:spacing w:before="40" w:after="80"/>
              <w:ind w:right="40"/>
              <w:rPr>
                <w:lang w:val="fr-CH"/>
              </w:rPr>
            </w:pPr>
            <w:hyperlink r:id="rId43">
              <w:r w:rsidR="003609BB" w:rsidRPr="00F05FF9">
                <w:rPr>
                  <w:lang w:val="fr-CH"/>
                </w:rPr>
                <w:t>66/260</w:t>
              </w:r>
            </w:hyperlink>
          </w:p>
        </w:tc>
        <w:tc>
          <w:tcPr>
            <w:tcW w:w="7506" w:type="dxa"/>
            <w:tcBorders>
              <w:bottom w:val="single" w:sz="12" w:space="0" w:color="auto"/>
            </w:tcBorders>
            <w:shd w:val="clear" w:color="auto" w:fill="auto"/>
          </w:tcPr>
          <w:p w:rsidR="003609BB" w:rsidRPr="00F05FF9" w:rsidRDefault="003609BB" w:rsidP="00294D7A">
            <w:pPr>
              <w:tabs>
                <w:tab w:val="left" w:pos="288"/>
                <w:tab w:val="left" w:pos="576"/>
                <w:tab w:val="left" w:pos="864"/>
                <w:tab w:val="left" w:pos="1152"/>
              </w:tabs>
              <w:suppressAutoHyphens/>
              <w:spacing w:before="40" w:after="80"/>
              <w:ind w:right="397"/>
              <w:rPr>
                <w:lang w:val="fr-CH"/>
              </w:rPr>
            </w:pPr>
            <w:r w:rsidRPr="00F05FF9">
              <w:rPr>
                <w:lang w:val="fr-CH"/>
              </w:rPr>
              <w:t>Amélioration de la sécurité routière mondiale</w:t>
            </w:r>
          </w:p>
        </w:tc>
      </w:tr>
    </w:tbl>
    <w:p w:rsidR="003609BB" w:rsidRPr="00F05FF9" w:rsidRDefault="003609BB" w:rsidP="003609BB">
      <w:pPr>
        <w:keepNext/>
        <w:spacing w:line="120" w:lineRule="exact"/>
        <w:rPr>
          <w:sz w:val="10"/>
          <w:lang w:val="fr-CH"/>
        </w:rPr>
      </w:pPr>
    </w:p>
    <w:p w:rsidR="003609BB" w:rsidRPr="00F05FF9" w:rsidRDefault="003609BB" w:rsidP="003609BB">
      <w:pPr>
        <w:keepNext/>
        <w:spacing w:line="120" w:lineRule="exact"/>
        <w:rPr>
          <w:sz w:val="10"/>
          <w:lang w:val="fr-CH"/>
        </w:rPr>
      </w:pPr>
    </w:p>
    <w:p w:rsidR="00607A84" w:rsidRPr="00F05FF9" w:rsidRDefault="00607A84" w:rsidP="00607A84">
      <w:pPr>
        <w:spacing w:line="120" w:lineRule="exact"/>
        <w:rPr>
          <w:sz w:val="10"/>
          <w:lang w:val="fr-CH"/>
        </w:rPr>
      </w:pPr>
    </w:p>
    <w:p w:rsidR="00753F14" w:rsidRPr="00F05FF9" w:rsidRDefault="00753F14" w:rsidP="00607A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2.</w:t>
      </w:r>
      <w:r w:rsidRPr="00F05FF9">
        <w:rPr>
          <w:lang w:val="fr-CH"/>
        </w:rPr>
        <w:tab/>
        <w:t>Résolutions du Conseil économique et social</w:t>
      </w:r>
    </w:p>
    <w:p w:rsidR="00607A84" w:rsidRPr="00F05FF9" w:rsidRDefault="00607A84" w:rsidP="00607A84">
      <w:pPr>
        <w:spacing w:line="120" w:lineRule="exact"/>
        <w:rPr>
          <w:sz w:val="10"/>
          <w:lang w:val="fr-CH"/>
        </w:rPr>
      </w:pPr>
    </w:p>
    <w:p w:rsidR="00607A84" w:rsidRPr="00F05FF9" w:rsidRDefault="00607A84" w:rsidP="00607A84">
      <w:pPr>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F05FF9" w:rsidRPr="00F05FF9" w:rsidTr="00294D7A">
        <w:trPr>
          <w:tblHeader/>
        </w:trPr>
        <w:tc>
          <w:tcPr>
            <w:tcW w:w="1253" w:type="dxa"/>
            <w:tcBorders>
              <w:top w:val="single" w:sz="4" w:space="0" w:color="auto"/>
              <w:bottom w:val="single" w:sz="12" w:space="0" w:color="auto"/>
            </w:tcBorders>
            <w:shd w:val="clear" w:color="auto" w:fill="auto"/>
            <w:vAlign w:val="bottom"/>
          </w:tcPr>
          <w:p w:rsidR="00607A84" w:rsidRPr="00F05FF9" w:rsidRDefault="00607A84" w:rsidP="00294D7A">
            <w:pPr>
              <w:suppressAutoHyphens/>
              <w:spacing w:before="80" w:after="80" w:line="160" w:lineRule="exact"/>
              <w:ind w:right="40"/>
              <w:rPr>
                <w:i/>
                <w:sz w:val="14"/>
                <w:lang w:val="fr-CH"/>
              </w:rPr>
            </w:pPr>
            <w:r w:rsidRPr="00F05FF9">
              <w:rPr>
                <w:i/>
                <w:sz w:val="14"/>
                <w:lang w:val="fr-CH"/>
              </w:rPr>
              <w:t>Résolution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607A84" w:rsidRPr="00F05FF9" w:rsidRDefault="00607A84" w:rsidP="00294D7A">
            <w:pPr>
              <w:suppressAutoHyphens/>
              <w:spacing w:before="80" w:after="80" w:line="160" w:lineRule="exact"/>
              <w:ind w:right="397"/>
              <w:rPr>
                <w:i/>
                <w:sz w:val="14"/>
                <w:lang w:val="fr-CH"/>
              </w:rPr>
            </w:pPr>
            <w:r w:rsidRPr="00F05FF9">
              <w:rPr>
                <w:i/>
                <w:sz w:val="14"/>
                <w:lang w:val="fr-CH"/>
              </w:rPr>
              <w:t>Titre</w:t>
            </w:r>
          </w:p>
        </w:tc>
      </w:tr>
      <w:tr w:rsidR="00607A84" w:rsidRPr="00F05FF9" w:rsidTr="00294D7A">
        <w:trPr>
          <w:trHeight w:hRule="exact" w:val="115"/>
          <w:tblHeader/>
        </w:trPr>
        <w:tc>
          <w:tcPr>
            <w:tcW w:w="1253" w:type="dxa"/>
            <w:tcBorders>
              <w:top w:val="single" w:sz="12" w:space="0" w:color="auto"/>
            </w:tcBorders>
            <w:shd w:val="clear" w:color="auto" w:fill="auto"/>
            <w:vAlign w:val="bottom"/>
          </w:tcPr>
          <w:p w:rsidR="00607A84" w:rsidRPr="00F05FF9" w:rsidRDefault="00607A84" w:rsidP="00294D7A">
            <w:pPr>
              <w:suppressAutoHyphens/>
              <w:spacing w:before="40" w:after="80"/>
              <w:ind w:right="40"/>
              <w:rPr>
                <w:lang w:val="fr-CH"/>
              </w:rPr>
            </w:pPr>
          </w:p>
        </w:tc>
        <w:tc>
          <w:tcPr>
            <w:tcW w:w="7506" w:type="dxa"/>
            <w:tcBorders>
              <w:top w:val="single" w:sz="12" w:space="0" w:color="auto"/>
            </w:tcBorders>
            <w:shd w:val="clear" w:color="auto" w:fill="auto"/>
            <w:vAlign w:val="bottom"/>
          </w:tcPr>
          <w:p w:rsidR="00607A84" w:rsidRPr="00F05FF9" w:rsidRDefault="00607A84" w:rsidP="00294D7A">
            <w:pPr>
              <w:suppressAutoHyphens/>
              <w:spacing w:before="40" w:after="80"/>
              <w:ind w:right="397"/>
              <w:rPr>
                <w:lang w:val="fr-CH"/>
              </w:rPr>
            </w:pPr>
          </w:p>
        </w:tc>
      </w:tr>
      <w:tr w:rsidR="00607A84" w:rsidRPr="00F05FF9" w:rsidTr="00294D7A">
        <w:tc>
          <w:tcPr>
            <w:tcW w:w="1253" w:type="dxa"/>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40"/>
              <w:rPr>
                <w:lang w:val="fr-CH"/>
              </w:rPr>
            </w:pPr>
            <w:r w:rsidRPr="00F05FF9">
              <w:rPr>
                <w:lang w:val="fr-CH"/>
              </w:rPr>
              <w:t>1999/65</w:t>
            </w:r>
          </w:p>
        </w:tc>
        <w:tc>
          <w:tcPr>
            <w:tcW w:w="7506" w:type="dxa"/>
            <w:shd w:val="clear" w:color="auto" w:fill="auto"/>
          </w:tcPr>
          <w:p w:rsidR="00607A84" w:rsidRPr="00F05FF9" w:rsidRDefault="00607A84" w:rsidP="00B212F0">
            <w:pPr>
              <w:tabs>
                <w:tab w:val="left" w:pos="288"/>
                <w:tab w:val="left" w:pos="576"/>
                <w:tab w:val="left" w:pos="864"/>
                <w:tab w:val="left" w:pos="1152"/>
              </w:tabs>
              <w:suppressAutoHyphens/>
              <w:spacing w:before="40" w:after="80"/>
              <w:ind w:right="397"/>
              <w:rPr>
                <w:lang w:val="fr-CH"/>
              </w:rPr>
            </w:pPr>
            <w:r w:rsidRPr="00F05FF9">
              <w:rPr>
                <w:lang w:val="fr-CH"/>
              </w:rPr>
              <w:t xml:space="preserve">Transformation du Comité d’experts en matière de transport des marchandises dangereuses en Comité d’experts du transport des marchandises dangereuses et du </w:t>
            </w:r>
            <w:r w:rsidR="00B212F0">
              <w:rPr>
                <w:lang w:val="fr-CH"/>
              </w:rPr>
              <w:t>S</w:t>
            </w:r>
            <w:r w:rsidRPr="00F05FF9">
              <w:rPr>
                <w:lang w:val="fr-CH"/>
              </w:rPr>
              <w:t>ystème harmonisé à l’échelle mondiale de classement et d’étiquetage des produits chimiques</w:t>
            </w:r>
          </w:p>
        </w:tc>
      </w:tr>
      <w:tr w:rsidR="00607A84" w:rsidRPr="00F05FF9" w:rsidTr="00294D7A">
        <w:tc>
          <w:tcPr>
            <w:tcW w:w="1253" w:type="dxa"/>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40"/>
              <w:rPr>
                <w:lang w:val="fr-CH"/>
              </w:rPr>
            </w:pPr>
            <w:r w:rsidRPr="00F05FF9">
              <w:rPr>
                <w:lang w:val="fr-CH"/>
              </w:rPr>
              <w:t>2011/25</w:t>
            </w:r>
          </w:p>
        </w:tc>
        <w:tc>
          <w:tcPr>
            <w:tcW w:w="7506" w:type="dxa"/>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397"/>
              <w:rPr>
                <w:lang w:val="fr-CH"/>
              </w:rPr>
            </w:pPr>
            <w:r w:rsidRPr="00F05FF9">
              <w:rPr>
                <w:lang w:val="fr-CH"/>
              </w:rPr>
              <w:t>Travaux du Comité d’experts du transport des marchandises dangereuses et du Système général harmonisé de classification et d’étiquetage des produits chimiques</w:t>
            </w:r>
          </w:p>
        </w:tc>
      </w:tr>
      <w:tr w:rsidR="00607A84" w:rsidRPr="00F05FF9" w:rsidTr="00294D7A">
        <w:tc>
          <w:tcPr>
            <w:tcW w:w="1253" w:type="dxa"/>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40"/>
              <w:rPr>
                <w:lang w:val="fr-CH"/>
              </w:rPr>
            </w:pPr>
            <w:r w:rsidRPr="00F05FF9">
              <w:rPr>
                <w:lang w:val="fr-CH"/>
              </w:rPr>
              <w:t>2013/7</w:t>
            </w:r>
          </w:p>
        </w:tc>
        <w:tc>
          <w:tcPr>
            <w:tcW w:w="7506" w:type="dxa"/>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397"/>
              <w:rPr>
                <w:lang w:val="fr-CH"/>
              </w:rPr>
            </w:pPr>
            <w:r w:rsidRPr="00F05FF9">
              <w:rPr>
                <w:lang w:val="fr-CH"/>
              </w:rPr>
              <w:t>Liaison fixe Europe-Afrique à travers le détroit de Gibraltar</w:t>
            </w:r>
          </w:p>
        </w:tc>
      </w:tr>
      <w:tr w:rsidR="00607A84" w:rsidRPr="00F05FF9" w:rsidTr="00294D7A">
        <w:tc>
          <w:tcPr>
            <w:tcW w:w="1253" w:type="dxa"/>
            <w:tcBorders>
              <w:bottom w:val="single" w:sz="12" w:space="0" w:color="auto"/>
            </w:tcBorders>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40"/>
              <w:rPr>
                <w:lang w:val="fr-CH"/>
              </w:rPr>
            </w:pPr>
            <w:r w:rsidRPr="00F05FF9">
              <w:rPr>
                <w:lang w:val="fr-CH"/>
              </w:rPr>
              <w:t>2013/25</w:t>
            </w:r>
          </w:p>
        </w:tc>
        <w:tc>
          <w:tcPr>
            <w:tcW w:w="7506" w:type="dxa"/>
            <w:tcBorders>
              <w:bottom w:val="single" w:sz="12" w:space="0" w:color="auto"/>
            </w:tcBorders>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397"/>
              <w:rPr>
                <w:lang w:val="fr-CH"/>
              </w:rPr>
            </w:pPr>
            <w:r w:rsidRPr="00F05FF9">
              <w:rPr>
                <w:lang w:val="fr-CH"/>
              </w:rPr>
              <w:t>Travaux du Comité d’experts du transport des marchandises dangereuses et du Système général harmonisé de classification et d’étiquetage des produits chimiques</w:t>
            </w:r>
          </w:p>
        </w:tc>
      </w:tr>
    </w:tbl>
    <w:p w:rsidR="00607A84" w:rsidRPr="00F05FF9" w:rsidRDefault="00607A84" w:rsidP="00607A84">
      <w:pPr>
        <w:spacing w:line="120" w:lineRule="exact"/>
        <w:rPr>
          <w:sz w:val="10"/>
          <w:lang w:val="fr-CH"/>
        </w:rPr>
      </w:pPr>
    </w:p>
    <w:p w:rsidR="00607A84" w:rsidRPr="00F05FF9" w:rsidRDefault="00607A84" w:rsidP="00607A84">
      <w:pPr>
        <w:spacing w:line="120" w:lineRule="exact"/>
        <w:rPr>
          <w:sz w:val="10"/>
          <w:lang w:val="fr-CH"/>
        </w:rPr>
      </w:pPr>
    </w:p>
    <w:p w:rsidR="00607A84" w:rsidRPr="00F05FF9" w:rsidRDefault="00607A84" w:rsidP="00607A84">
      <w:pPr>
        <w:spacing w:line="120" w:lineRule="exact"/>
        <w:rPr>
          <w:sz w:val="10"/>
          <w:lang w:val="fr-CH"/>
        </w:rPr>
      </w:pPr>
    </w:p>
    <w:p w:rsidR="00753F14" w:rsidRPr="00F05FF9" w:rsidRDefault="00753F14" w:rsidP="00607A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05FF9">
        <w:rPr>
          <w:lang w:val="fr-CH"/>
        </w:rPr>
        <w:tab/>
        <w:t>3.</w:t>
      </w:r>
      <w:r w:rsidRPr="00F05FF9">
        <w:rPr>
          <w:lang w:val="fr-CH"/>
        </w:rPr>
        <w:tab/>
        <w:t>Décision de la Commission économique pour l</w:t>
      </w:r>
      <w:r w:rsidR="00B164F7" w:rsidRPr="00F05FF9">
        <w:rPr>
          <w:lang w:val="fr-CH"/>
        </w:rPr>
        <w:t>’</w:t>
      </w:r>
      <w:r w:rsidRPr="00F05FF9">
        <w:rPr>
          <w:lang w:val="fr-CH"/>
        </w:rPr>
        <w:t>Europe</w:t>
      </w:r>
    </w:p>
    <w:p w:rsidR="00607A84" w:rsidRPr="00F05FF9" w:rsidRDefault="00607A84" w:rsidP="00607A84">
      <w:pPr>
        <w:spacing w:line="120" w:lineRule="exact"/>
        <w:rPr>
          <w:sz w:val="10"/>
          <w:lang w:val="fr-CH"/>
        </w:rPr>
      </w:pPr>
    </w:p>
    <w:p w:rsidR="00607A84" w:rsidRPr="00F05FF9" w:rsidRDefault="00607A84" w:rsidP="00607A84">
      <w:pPr>
        <w:spacing w:line="120" w:lineRule="exact"/>
        <w:rPr>
          <w:sz w:val="10"/>
          <w:lang w:val="fr-CH"/>
        </w:rPr>
      </w:pPr>
    </w:p>
    <w:tbl>
      <w:tblPr>
        <w:tblW w:w="8759" w:type="dxa"/>
        <w:tblInd w:w="1267" w:type="dxa"/>
        <w:tblLayout w:type="fixed"/>
        <w:tblCellMar>
          <w:left w:w="0" w:type="dxa"/>
          <w:right w:w="0" w:type="dxa"/>
        </w:tblCellMar>
        <w:tblLook w:val="0000" w:firstRow="0" w:lastRow="0" w:firstColumn="0" w:lastColumn="0" w:noHBand="0" w:noVBand="0"/>
      </w:tblPr>
      <w:tblGrid>
        <w:gridCol w:w="1253"/>
        <w:gridCol w:w="7506"/>
      </w:tblGrid>
      <w:tr w:rsidR="00F05FF9" w:rsidRPr="00F05FF9" w:rsidTr="00294D7A">
        <w:trPr>
          <w:tblHeader/>
        </w:trPr>
        <w:tc>
          <w:tcPr>
            <w:tcW w:w="1253" w:type="dxa"/>
            <w:tcBorders>
              <w:top w:val="single" w:sz="4" w:space="0" w:color="auto"/>
              <w:bottom w:val="single" w:sz="12" w:space="0" w:color="auto"/>
            </w:tcBorders>
            <w:shd w:val="clear" w:color="auto" w:fill="auto"/>
            <w:vAlign w:val="bottom"/>
          </w:tcPr>
          <w:p w:rsidR="00607A84" w:rsidRPr="00F05FF9" w:rsidRDefault="00607A84" w:rsidP="00294D7A">
            <w:pPr>
              <w:suppressAutoHyphens/>
              <w:spacing w:before="80" w:after="80" w:line="160" w:lineRule="exact"/>
              <w:ind w:right="40"/>
              <w:rPr>
                <w:i/>
                <w:sz w:val="14"/>
                <w:lang w:val="fr-CH"/>
              </w:rPr>
            </w:pPr>
            <w:r w:rsidRPr="00F05FF9">
              <w:rPr>
                <w:i/>
                <w:sz w:val="14"/>
                <w:lang w:val="fr-CH"/>
              </w:rPr>
              <w:t>Décision n</w:t>
            </w:r>
            <w:r w:rsidRPr="00F05FF9">
              <w:rPr>
                <w:i/>
                <w:sz w:val="14"/>
                <w:vertAlign w:val="superscript"/>
                <w:lang w:val="fr-CH"/>
              </w:rPr>
              <w:t>o</w:t>
            </w:r>
            <w:r w:rsidRPr="00F05FF9">
              <w:rPr>
                <w:i/>
                <w:sz w:val="14"/>
                <w:lang w:val="fr-CH"/>
              </w:rPr>
              <w:t> </w:t>
            </w:r>
          </w:p>
        </w:tc>
        <w:tc>
          <w:tcPr>
            <w:tcW w:w="7506" w:type="dxa"/>
            <w:tcBorders>
              <w:top w:val="single" w:sz="4" w:space="0" w:color="auto"/>
              <w:bottom w:val="single" w:sz="12" w:space="0" w:color="auto"/>
            </w:tcBorders>
            <w:shd w:val="clear" w:color="auto" w:fill="auto"/>
            <w:vAlign w:val="bottom"/>
          </w:tcPr>
          <w:p w:rsidR="00607A84" w:rsidRPr="00F05FF9" w:rsidRDefault="00607A84" w:rsidP="00294D7A">
            <w:pPr>
              <w:suppressAutoHyphens/>
              <w:spacing w:before="80" w:after="80" w:line="160" w:lineRule="exact"/>
              <w:ind w:right="397"/>
              <w:rPr>
                <w:i/>
                <w:sz w:val="14"/>
                <w:lang w:val="fr-CH"/>
              </w:rPr>
            </w:pPr>
            <w:r w:rsidRPr="00F05FF9">
              <w:rPr>
                <w:i/>
                <w:sz w:val="14"/>
                <w:lang w:val="fr-CH"/>
              </w:rPr>
              <w:t>Titre</w:t>
            </w:r>
          </w:p>
        </w:tc>
      </w:tr>
      <w:tr w:rsidR="00607A84" w:rsidRPr="00F05FF9" w:rsidTr="00294D7A">
        <w:trPr>
          <w:trHeight w:hRule="exact" w:val="115"/>
          <w:tblHeader/>
        </w:trPr>
        <w:tc>
          <w:tcPr>
            <w:tcW w:w="1253" w:type="dxa"/>
            <w:tcBorders>
              <w:top w:val="single" w:sz="12" w:space="0" w:color="auto"/>
            </w:tcBorders>
            <w:shd w:val="clear" w:color="auto" w:fill="auto"/>
            <w:vAlign w:val="bottom"/>
          </w:tcPr>
          <w:p w:rsidR="00607A84" w:rsidRPr="00F05FF9" w:rsidRDefault="00607A84" w:rsidP="00294D7A">
            <w:pPr>
              <w:suppressAutoHyphens/>
              <w:spacing w:before="40" w:after="80"/>
              <w:ind w:right="40"/>
              <w:rPr>
                <w:lang w:val="fr-CH"/>
              </w:rPr>
            </w:pPr>
          </w:p>
        </w:tc>
        <w:tc>
          <w:tcPr>
            <w:tcW w:w="7506" w:type="dxa"/>
            <w:tcBorders>
              <w:top w:val="single" w:sz="12" w:space="0" w:color="auto"/>
            </w:tcBorders>
            <w:shd w:val="clear" w:color="auto" w:fill="auto"/>
            <w:vAlign w:val="bottom"/>
          </w:tcPr>
          <w:p w:rsidR="00607A84" w:rsidRPr="00F05FF9" w:rsidRDefault="00607A84" w:rsidP="00294D7A">
            <w:pPr>
              <w:suppressAutoHyphens/>
              <w:spacing w:before="40" w:after="80"/>
              <w:ind w:right="397"/>
              <w:rPr>
                <w:lang w:val="fr-CH"/>
              </w:rPr>
            </w:pPr>
          </w:p>
        </w:tc>
      </w:tr>
      <w:tr w:rsidR="00607A84" w:rsidRPr="00F05FF9" w:rsidTr="00294D7A">
        <w:tc>
          <w:tcPr>
            <w:tcW w:w="1253" w:type="dxa"/>
            <w:tcBorders>
              <w:bottom w:val="single" w:sz="12" w:space="0" w:color="auto"/>
            </w:tcBorders>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40"/>
              <w:rPr>
                <w:lang w:val="fr-CH"/>
              </w:rPr>
            </w:pPr>
            <w:r w:rsidRPr="00F05FF9">
              <w:rPr>
                <w:lang w:val="fr-CH"/>
              </w:rPr>
              <w:t>ECE/AC.21/</w:t>
            </w:r>
            <w:r w:rsidRPr="00F05FF9">
              <w:rPr>
                <w:lang w:val="fr-CH"/>
              </w:rPr>
              <w:br/>
              <w:t>2009/2</w:t>
            </w:r>
          </w:p>
        </w:tc>
        <w:tc>
          <w:tcPr>
            <w:tcW w:w="7506" w:type="dxa"/>
            <w:tcBorders>
              <w:bottom w:val="single" w:sz="12" w:space="0" w:color="auto"/>
            </w:tcBorders>
            <w:shd w:val="clear" w:color="auto" w:fill="auto"/>
          </w:tcPr>
          <w:p w:rsidR="00607A84" w:rsidRPr="00F05FF9" w:rsidRDefault="00607A84" w:rsidP="00294D7A">
            <w:pPr>
              <w:tabs>
                <w:tab w:val="left" w:pos="288"/>
                <w:tab w:val="left" w:pos="576"/>
                <w:tab w:val="left" w:pos="864"/>
                <w:tab w:val="left" w:pos="1152"/>
              </w:tabs>
              <w:suppressAutoHyphens/>
              <w:spacing w:before="40" w:after="80"/>
              <w:ind w:right="397"/>
              <w:rPr>
                <w:lang w:val="fr-CH"/>
              </w:rPr>
            </w:pPr>
            <w:r w:rsidRPr="00F05FF9">
              <w:rPr>
                <w:lang w:val="fr-CH"/>
              </w:rPr>
              <w:t xml:space="preserve">Rapport de la réunion de haut niveau sur les transports, la santé </w:t>
            </w:r>
            <w:r w:rsidRPr="00F05FF9">
              <w:rPr>
                <w:lang w:val="fr-CH"/>
              </w:rPr>
              <w:br/>
              <w:t>et l’environnement sur sa troisième session</w:t>
            </w:r>
          </w:p>
        </w:tc>
      </w:tr>
    </w:tbl>
    <w:p w:rsidR="00753F14" w:rsidRPr="00F05FF9" w:rsidRDefault="00753F14" w:rsidP="00753F14">
      <w:pPr>
        <w:pStyle w:val="SingleTxt"/>
        <w:spacing w:after="0" w:line="240" w:lineRule="auto"/>
        <w:rPr>
          <w:lang w:val="fr-CH"/>
        </w:rPr>
      </w:pPr>
      <w:r w:rsidRPr="00F05FF9">
        <w:rPr>
          <w:noProof/>
          <w:w w:val="100"/>
          <w:lang w:val="en-US"/>
        </w:rPr>
        <mc:AlternateContent>
          <mc:Choice Requires="wps">
            <w:drawing>
              <wp:anchor distT="0" distB="0" distL="114300" distR="114300" simplePos="0" relativeHeight="251659264" behindDoc="0" locked="0" layoutInCell="1" allowOverlap="1" wp14:anchorId="08ACD8E5" wp14:editId="6A097D9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53F14" w:rsidRPr="00F05FF9" w:rsidSect="00C8713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2T11:05:00Z" w:initials="Start">
    <w:p w:rsidR="00F80D89" w:rsidRDefault="00F80D8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NO&gt;&gt;N1528468F&lt;&lt;ODS JOB NO&gt;&gt;</w:t>
      </w:r>
    </w:p>
    <w:p w:rsidR="00F80D89" w:rsidRDefault="00F80D89">
      <w:pPr>
        <w:pStyle w:val="CommentText"/>
      </w:pPr>
      <w:r>
        <w:t>&lt;&lt;ODS DOC SYMBOL1&gt;&gt;ECE/TRANS/2016/28&lt;&lt;ODS DOC SYMBOL1&gt;&gt;</w:t>
      </w:r>
    </w:p>
    <w:p w:rsidR="00F80D89" w:rsidRDefault="00F80D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89" w:rsidRDefault="00F80D89" w:rsidP="00F3330B">
      <w:pPr>
        <w:spacing w:line="240" w:lineRule="auto"/>
      </w:pPr>
      <w:r>
        <w:separator/>
      </w:r>
    </w:p>
  </w:endnote>
  <w:endnote w:type="continuationSeparator" w:id="0">
    <w:p w:rsidR="00F80D89" w:rsidRDefault="00F80D8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0D89" w:rsidTr="00C87138">
      <w:trPr>
        <w:jc w:val="center"/>
      </w:trPr>
      <w:tc>
        <w:tcPr>
          <w:tcW w:w="5126" w:type="dxa"/>
          <w:shd w:val="clear" w:color="auto" w:fill="auto"/>
        </w:tcPr>
        <w:p w:rsidR="00F80D89" w:rsidRPr="00C87138" w:rsidRDefault="00F80D89" w:rsidP="00C871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03AD">
            <w:rPr>
              <w:b w:val="0"/>
              <w:w w:val="103"/>
              <w:sz w:val="14"/>
            </w:rPr>
            <w:t>GE.15-22015</w:t>
          </w:r>
          <w:r>
            <w:rPr>
              <w:b w:val="0"/>
              <w:w w:val="103"/>
              <w:sz w:val="14"/>
            </w:rPr>
            <w:fldChar w:fldCharType="end"/>
          </w:r>
        </w:p>
      </w:tc>
      <w:tc>
        <w:tcPr>
          <w:tcW w:w="5127" w:type="dxa"/>
          <w:shd w:val="clear" w:color="auto" w:fill="auto"/>
        </w:tcPr>
        <w:p w:rsidR="00F80D89" w:rsidRPr="00C87138" w:rsidRDefault="00F80D89" w:rsidP="00C87138">
          <w:pPr>
            <w:pStyle w:val="Footer"/>
            <w:rPr>
              <w:w w:val="103"/>
            </w:rPr>
          </w:pPr>
          <w:r>
            <w:rPr>
              <w:w w:val="103"/>
            </w:rPr>
            <w:fldChar w:fldCharType="begin"/>
          </w:r>
          <w:r>
            <w:rPr>
              <w:w w:val="103"/>
            </w:rPr>
            <w:instrText xml:space="preserve"> PAGE  \* Arabic  \* MERGEFORMAT </w:instrText>
          </w:r>
          <w:r>
            <w:rPr>
              <w:w w:val="103"/>
            </w:rPr>
            <w:fldChar w:fldCharType="separate"/>
          </w:r>
          <w:r w:rsidR="00BB204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204C">
            <w:rPr>
              <w:noProof/>
              <w:w w:val="103"/>
            </w:rPr>
            <w:t>2</w:t>
          </w:r>
          <w:r>
            <w:rPr>
              <w:w w:val="103"/>
            </w:rPr>
            <w:fldChar w:fldCharType="end"/>
          </w:r>
        </w:p>
      </w:tc>
    </w:tr>
  </w:tbl>
  <w:p w:rsidR="00F80D89" w:rsidRPr="00C87138" w:rsidRDefault="00F80D89" w:rsidP="00C87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0D89" w:rsidTr="00C87138">
      <w:trPr>
        <w:jc w:val="center"/>
      </w:trPr>
      <w:tc>
        <w:tcPr>
          <w:tcW w:w="5126" w:type="dxa"/>
          <w:shd w:val="clear" w:color="auto" w:fill="auto"/>
        </w:tcPr>
        <w:p w:rsidR="00F80D89" w:rsidRPr="00C87138" w:rsidRDefault="00F80D89" w:rsidP="00C8713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203AD">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03AD">
            <w:rPr>
              <w:noProof/>
              <w:w w:val="103"/>
            </w:rPr>
            <w:t>20</w:t>
          </w:r>
          <w:r>
            <w:rPr>
              <w:w w:val="103"/>
            </w:rPr>
            <w:fldChar w:fldCharType="end"/>
          </w:r>
        </w:p>
      </w:tc>
      <w:tc>
        <w:tcPr>
          <w:tcW w:w="5127" w:type="dxa"/>
          <w:shd w:val="clear" w:color="auto" w:fill="auto"/>
        </w:tcPr>
        <w:p w:rsidR="00F80D89" w:rsidRPr="00C87138" w:rsidRDefault="00F80D89" w:rsidP="00C871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03AD">
            <w:rPr>
              <w:b w:val="0"/>
              <w:w w:val="103"/>
              <w:sz w:val="14"/>
            </w:rPr>
            <w:t>GE.15-22015</w:t>
          </w:r>
          <w:r>
            <w:rPr>
              <w:b w:val="0"/>
              <w:w w:val="103"/>
              <w:sz w:val="14"/>
            </w:rPr>
            <w:fldChar w:fldCharType="end"/>
          </w:r>
        </w:p>
      </w:tc>
    </w:tr>
  </w:tbl>
  <w:p w:rsidR="00F80D89" w:rsidRPr="00C87138" w:rsidRDefault="00F80D89" w:rsidP="00C87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89" w:rsidRDefault="00F80D89">
    <w:pPr>
      <w:pStyle w:val="Footer"/>
    </w:pPr>
    <w:r>
      <w:rPr>
        <w:noProof/>
      </w:rPr>
      <w:drawing>
        <wp:anchor distT="0" distB="0" distL="114300" distR="114300" simplePos="0" relativeHeight="251658240" behindDoc="0" locked="0" layoutInCell="1" allowOverlap="1" wp14:anchorId="114B47CE" wp14:editId="100E5EB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80D89" w:rsidTr="00C87138">
      <w:tc>
        <w:tcPr>
          <w:tcW w:w="3859" w:type="dxa"/>
        </w:tcPr>
        <w:p w:rsidR="00F80D89" w:rsidRDefault="00F80D89" w:rsidP="00C8713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203AD">
            <w:rPr>
              <w:b w:val="0"/>
              <w:sz w:val="20"/>
            </w:rPr>
            <w:t>GE.15-22015 (F)</w:t>
          </w:r>
          <w:r>
            <w:rPr>
              <w:b w:val="0"/>
              <w:sz w:val="20"/>
            </w:rPr>
            <w:fldChar w:fldCharType="end"/>
          </w:r>
          <w:r>
            <w:rPr>
              <w:b w:val="0"/>
              <w:sz w:val="20"/>
            </w:rPr>
            <w:t xml:space="preserve">    220116    250116</w:t>
          </w:r>
        </w:p>
        <w:p w:rsidR="00F80D89" w:rsidRPr="00C87138" w:rsidRDefault="00F80D89" w:rsidP="00C8713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203AD">
            <w:rPr>
              <w:rFonts w:ascii="Barcode 3 of 9 by request" w:hAnsi="Barcode 3 of 9 by request"/>
              <w:b w:val="0"/>
              <w:spacing w:val="0"/>
              <w:w w:val="100"/>
              <w:sz w:val="24"/>
            </w:rPr>
            <w:t>*1522015*</w:t>
          </w:r>
          <w:r>
            <w:rPr>
              <w:rFonts w:ascii="Barcode 3 of 9 by request" w:hAnsi="Barcode 3 of 9 by request"/>
              <w:b w:val="0"/>
              <w:spacing w:val="0"/>
              <w:w w:val="100"/>
              <w:sz w:val="24"/>
            </w:rPr>
            <w:fldChar w:fldCharType="end"/>
          </w:r>
        </w:p>
      </w:tc>
      <w:tc>
        <w:tcPr>
          <w:tcW w:w="5127" w:type="dxa"/>
        </w:tcPr>
        <w:p w:rsidR="00F80D89" w:rsidRDefault="00F80D89" w:rsidP="00C87138">
          <w:pPr>
            <w:pStyle w:val="Footer"/>
            <w:spacing w:line="240" w:lineRule="atLeast"/>
            <w:jc w:val="right"/>
            <w:rPr>
              <w:b w:val="0"/>
              <w:sz w:val="20"/>
            </w:rPr>
          </w:pPr>
          <w:r>
            <w:rPr>
              <w:b w:val="0"/>
              <w:noProof/>
              <w:sz w:val="20"/>
            </w:rPr>
            <w:drawing>
              <wp:inline distT="0" distB="0" distL="0" distR="0" wp14:anchorId="12553548" wp14:editId="69E9BC9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80D89" w:rsidRPr="00C87138" w:rsidRDefault="00F80D89" w:rsidP="00C8713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89" w:rsidRPr="003E47D8" w:rsidRDefault="00F80D89" w:rsidP="003E47D8">
      <w:pPr>
        <w:pStyle w:val="Footer"/>
        <w:spacing w:after="80"/>
        <w:rPr>
          <w:sz w:val="16"/>
        </w:rPr>
      </w:pPr>
      <w:r w:rsidRPr="003E47D8">
        <w:rPr>
          <w:sz w:val="16"/>
        </w:rPr>
        <w:t>__________________</w:t>
      </w:r>
    </w:p>
  </w:footnote>
  <w:footnote w:type="continuationSeparator" w:id="0">
    <w:p w:rsidR="00F80D89" w:rsidRPr="003E47D8" w:rsidRDefault="00F80D89"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0D89" w:rsidTr="00C87138">
      <w:trPr>
        <w:trHeight w:hRule="exact" w:val="864"/>
        <w:jc w:val="center"/>
      </w:trPr>
      <w:tc>
        <w:tcPr>
          <w:tcW w:w="4882" w:type="dxa"/>
          <w:shd w:val="clear" w:color="auto" w:fill="auto"/>
          <w:vAlign w:val="bottom"/>
        </w:tcPr>
        <w:p w:rsidR="00F80D89" w:rsidRPr="00C87138" w:rsidRDefault="00F80D89" w:rsidP="00C8713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203AD">
            <w:rPr>
              <w:b/>
              <w:color w:val="000000"/>
            </w:rPr>
            <w:t>ECE/TRANS/2016/28</w:t>
          </w:r>
          <w:r>
            <w:rPr>
              <w:b/>
              <w:color w:val="000000"/>
            </w:rPr>
            <w:fldChar w:fldCharType="end"/>
          </w:r>
        </w:p>
      </w:tc>
      <w:tc>
        <w:tcPr>
          <w:tcW w:w="5127" w:type="dxa"/>
          <w:shd w:val="clear" w:color="auto" w:fill="auto"/>
          <w:vAlign w:val="bottom"/>
        </w:tcPr>
        <w:p w:rsidR="00F80D89" w:rsidRDefault="00F80D89" w:rsidP="00C87138">
          <w:pPr>
            <w:pStyle w:val="Header"/>
          </w:pPr>
        </w:p>
      </w:tc>
    </w:tr>
  </w:tbl>
  <w:p w:rsidR="00F80D89" w:rsidRPr="00C87138" w:rsidRDefault="00F80D89" w:rsidP="00C8713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0D89" w:rsidTr="00C87138">
      <w:trPr>
        <w:trHeight w:hRule="exact" w:val="864"/>
        <w:jc w:val="center"/>
      </w:trPr>
      <w:tc>
        <w:tcPr>
          <w:tcW w:w="4882" w:type="dxa"/>
          <w:shd w:val="clear" w:color="auto" w:fill="auto"/>
          <w:vAlign w:val="bottom"/>
        </w:tcPr>
        <w:p w:rsidR="00F80D89" w:rsidRDefault="00F80D89" w:rsidP="00C87138">
          <w:pPr>
            <w:pStyle w:val="Header"/>
          </w:pPr>
        </w:p>
      </w:tc>
      <w:tc>
        <w:tcPr>
          <w:tcW w:w="5127" w:type="dxa"/>
          <w:shd w:val="clear" w:color="auto" w:fill="auto"/>
          <w:vAlign w:val="bottom"/>
        </w:tcPr>
        <w:p w:rsidR="00F80D89" w:rsidRPr="00C87138" w:rsidRDefault="00F80D89" w:rsidP="00C8713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203AD">
            <w:rPr>
              <w:b/>
              <w:color w:val="000000"/>
            </w:rPr>
            <w:t>ECE/TRANS/2016/28</w:t>
          </w:r>
          <w:r>
            <w:rPr>
              <w:b/>
              <w:color w:val="000000"/>
            </w:rPr>
            <w:fldChar w:fldCharType="end"/>
          </w:r>
        </w:p>
      </w:tc>
    </w:tr>
  </w:tbl>
  <w:p w:rsidR="00F80D89" w:rsidRPr="00C87138" w:rsidRDefault="00F80D89" w:rsidP="00C8713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80D89" w:rsidTr="00C87138">
      <w:trPr>
        <w:trHeight w:hRule="exact" w:val="864"/>
      </w:trPr>
      <w:tc>
        <w:tcPr>
          <w:tcW w:w="1267" w:type="dxa"/>
          <w:tcBorders>
            <w:bottom w:val="single" w:sz="4" w:space="0" w:color="auto"/>
          </w:tcBorders>
          <w:shd w:val="clear" w:color="auto" w:fill="auto"/>
          <w:vAlign w:val="bottom"/>
        </w:tcPr>
        <w:p w:rsidR="00F80D89" w:rsidRDefault="00F80D89" w:rsidP="00C87138">
          <w:pPr>
            <w:pStyle w:val="Header"/>
            <w:spacing w:after="120"/>
          </w:pPr>
        </w:p>
      </w:tc>
      <w:tc>
        <w:tcPr>
          <w:tcW w:w="2059" w:type="dxa"/>
          <w:tcBorders>
            <w:bottom w:val="single" w:sz="4" w:space="0" w:color="auto"/>
          </w:tcBorders>
          <w:shd w:val="clear" w:color="auto" w:fill="auto"/>
          <w:vAlign w:val="bottom"/>
        </w:tcPr>
        <w:p w:rsidR="00F80D89" w:rsidRPr="00C87138" w:rsidRDefault="00F80D89" w:rsidP="00C8713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80D89" w:rsidRDefault="00F80D89" w:rsidP="00C87138">
          <w:pPr>
            <w:pStyle w:val="Header"/>
            <w:spacing w:after="120"/>
          </w:pPr>
        </w:p>
      </w:tc>
      <w:tc>
        <w:tcPr>
          <w:tcW w:w="6653" w:type="dxa"/>
          <w:gridSpan w:val="4"/>
          <w:tcBorders>
            <w:bottom w:val="single" w:sz="4" w:space="0" w:color="auto"/>
          </w:tcBorders>
          <w:shd w:val="clear" w:color="auto" w:fill="auto"/>
          <w:vAlign w:val="bottom"/>
        </w:tcPr>
        <w:p w:rsidR="00F80D89" w:rsidRPr="00C87138" w:rsidRDefault="00F80D89" w:rsidP="00C87138">
          <w:pPr>
            <w:spacing w:after="80" w:line="240" w:lineRule="auto"/>
            <w:jc w:val="right"/>
            <w:rPr>
              <w:position w:val="-4"/>
            </w:rPr>
          </w:pPr>
          <w:r>
            <w:rPr>
              <w:position w:val="-4"/>
              <w:sz w:val="40"/>
            </w:rPr>
            <w:t>ECE</w:t>
          </w:r>
          <w:r>
            <w:rPr>
              <w:position w:val="-4"/>
            </w:rPr>
            <w:t>/TRANS/2016/28</w:t>
          </w:r>
        </w:p>
      </w:tc>
    </w:tr>
    <w:tr w:rsidR="00F80D89" w:rsidRPr="00C87138" w:rsidTr="00C87138">
      <w:trPr>
        <w:gridAfter w:val="1"/>
        <w:wAfter w:w="18" w:type="dxa"/>
        <w:trHeight w:hRule="exact" w:val="2880"/>
      </w:trPr>
      <w:tc>
        <w:tcPr>
          <w:tcW w:w="1267" w:type="dxa"/>
          <w:tcBorders>
            <w:top w:val="single" w:sz="4" w:space="0" w:color="auto"/>
            <w:bottom w:val="single" w:sz="12" w:space="0" w:color="auto"/>
          </w:tcBorders>
          <w:shd w:val="clear" w:color="auto" w:fill="auto"/>
        </w:tcPr>
        <w:p w:rsidR="00F80D89" w:rsidRPr="00C87138" w:rsidRDefault="00F80D89" w:rsidP="00C87138">
          <w:pPr>
            <w:pStyle w:val="Header"/>
            <w:spacing w:before="120" w:line="240" w:lineRule="auto"/>
            <w:ind w:left="-72"/>
            <w:jc w:val="center"/>
          </w:pPr>
          <w:r>
            <w:t xml:space="preserve">  </w:t>
          </w:r>
          <w:r>
            <w:rPr>
              <w:noProof/>
            </w:rPr>
            <w:drawing>
              <wp:inline distT="0" distB="0" distL="0" distR="0" wp14:anchorId="5A2CFC62" wp14:editId="0ADB11E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80D89" w:rsidRPr="00C87138" w:rsidRDefault="00F80D89" w:rsidP="00C8713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80D89" w:rsidRPr="00C87138" w:rsidRDefault="00F80D89" w:rsidP="00C87138">
          <w:pPr>
            <w:pStyle w:val="Header"/>
            <w:spacing w:before="109"/>
          </w:pPr>
        </w:p>
      </w:tc>
      <w:tc>
        <w:tcPr>
          <w:tcW w:w="3280" w:type="dxa"/>
          <w:tcBorders>
            <w:top w:val="single" w:sz="4" w:space="0" w:color="auto"/>
            <w:bottom w:val="single" w:sz="12" w:space="0" w:color="auto"/>
          </w:tcBorders>
          <w:shd w:val="clear" w:color="auto" w:fill="auto"/>
        </w:tcPr>
        <w:p w:rsidR="00F80D89" w:rsidRDefault="00F80D89" w:rsidP="00C87138">
          <w:pPr>
            <w:pStyle w:val="Distribution"/>
            <w:rPr>
              <w:color w:val="000000"/>
            </w:rPr>
          </w:pPr>
          <w:r>
            <w:rPr>
              <w:color w:val="000000"/>
            </w:rPr>
            <w:t>Distr. générale</w:t>
          </w:r>
        </w:p>
        <w:p w:rsidR="00F80D89" w:rsidRDefault="00F80D89" w:rsidP="00C87138">
          <w:pPr>
            <w:pStyle w:val="Publication"/>
            <w:rPr>
              <w:color w:val="000000"/>
            </w:rPr>
          </w:pPr>
          <w:r>
            <w:rPr>
              <w:color w:val="000000"/>
            </w:rPr>
            <w:t>15 décembre 2015</w:t>
          </w:r>
        </w:p>
        <w:p w:rsidR="00F80D89" w:rsidRDefault="00F80D89" w:rsidP="00C87138">
          <w:pPr>
            <w:rPr>
              <w:lang w:val="en-US"/>
            </w:rPr>
          </w:pPr>
          <w:r>
            <w:rPr>
              <w:lang w:val="en-US"/>
            </w:rPr>
            <w:t>Français</w:t>
          </w:r>
        </w:p>
        <w:p w:rsidR="00F80D89" w:rsidRPr="00C87138" w:rsidRDefault="00F80D89" w:rsidP="00C87138">
          <w:pPr>
            <w:pStyle w:val="Original"/>
            <w:rPr>
              <w:color w:val="000000"/>
            </w:rPr>
          </w:pPr>
          <w:r>
            <w:rPr>
              <w:color w:val="000000"/>
            </w:rPr>
            <w:t>Original : anglais</w:t>
          </w:r>
        </w:p>
      </w:tc>
    </w:tr>
  </w:tbl>
  <w:p w:rsidR="00F80D89" w:rsidRPr="00C87138" w:rsidRDefault="00F80D89" w:rsidP="00C8713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72E3E"/>
    <w:multiLevelType w:val="singleLevel"/>
    <w:tmpl w:val="2822F4C6"/>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015*"/>
    <w:docVar w:name="CreationDt" w:val="1/22/2016 11:05 AM"/>
    <w:docVar w:name="DocCategory" w:val="Doc"/>
    <w:docVar w:name="DocType" w:val="Final"/>
    <w:docVar w:name="DutyStation" w:val="Geneva"/>
    <w:docVar w:name="FooterJN" w:val="GE.15-22015"/>
    <w:docVar w:name="jobn" w:val="GE.15-22015 (F)"/>
    <w:docVar w:name="jobnDT" w:val="GE.15-22015 (F)   220116"/>
    <w:docVar w:name="jobnDTDT" w:val="GE.15-22015 (F)   220116   220116"/>
    <w:docVar w:name="JobNo" w:val="GE.1522015F"/>
    <w:docVar w:name="JobNo2" w:val="GE.1528468F"/>
    <w:docVar w:name="LocalDrive" w:val="0"/>
    <w:docVar w:name="OandT" w:val="VIGNY"/>
    <w:docVar w:name="PaperSize" w:val="A4"/>
    <w:docVar w:name="sss1" w:val="ECE/TRANS/2016/28"/>
    <w:docVar w:name="sss2" w:val="-"/>
    <w:docVar w:name="Symbol1" w:val="ECE/TRANS/2016/28"/>
    <w:docVar w:name="Symbol2" w:val="-"/>
  </w:docVars>
  <w:rsids>
    <w:rsidRoot w:val="00F5609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21B2"/>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5B97"/>
    <w:rsid w:val="000F04A8"/>
    <w:rsid w:val="000F058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27E8"/>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6885"/>
    <w:rsid w:val="00207655"/>
    <w:rsid w:val="00207CAA"/>
    <w:rsid w:val="0021168F"/>
    <w:rsid w:val="002178A7"/>
    <w:rsid w:val="002220FF"/>
    <w:rsid w:val="00237D01"/>
    <w:rsid w:val="00240F64"/>
    <w:rsid w:val="002410E3"/>
    <w:rsid w:val="00241F29"/>
    <w:rsid w:val="00243D1C"/>
    <w:rsid w:val="00245B48"/>
    <w:rsid w:val="00246425"/>
    <w:rsid w:val="002515C7"/>
    <w:rsid w:val="0025201F"/>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7DA"/>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44EE"/>
    <w:rsid w:val="002F5482"/>
    <w:rsid w:val="002F5972"/>
    <w:rsid w:val="00303A3C"/>
    <w:rsid w:val="00303D82"/>
    <w:rsid w:val="00303E4E"/>
    <w:rsid w:val="003047D2"/>
    <w:rsid w:val="00306DE1"/>
    <w:rsid w:val="0030788D"/>
    <w:rsid w:val="00316628"/>
    <w:rsid w:val="00316B58"/>
    <w:rsid w:val="003214B3"/>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09BB"/>
    <w:rsid w:val="003616BD"/>
    <w:rsid w:val="00362737"/>
    <w:rsid w:val="00362F57"/>
    <w:rsid w:val="003640A0"/>
    <w:rsid w:val="00365932"/>
    <w:rsid w:val="003738C0"/>
    <w:rsid w:val="003810FF"/>
    <w:rsid w:val="003824F9"/>
    <w:rsid w:val="00384511"/>
    <w:rsid w:val="00385D78"/>
    <w:rsid w:val="003864EE"/>
    <w:rsid w:val="00386953"/>
    <w:rsid w:val="003909DD"/>
    <w:rsid w:val="00390C30"/>
    <w:rsid w:val="00391295"/>
    <w:rsid w:val="00391342"/>
    <w:rsid w:val="00392934"/>
    <w:rsid w:val="00393A67"/>
    <w:rsid w:val="00393C9F"/>
    <w:rsid w:val="0039420B"/>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8C2"/>
    <w:rsid w:val="003C6DDA"/>
    <w:rsid w:val="003C725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6C8F"/>
    <w:rsid w:val="00401219"/>
    <w:rsid w:val="004039C7"/>
    <w:rsid w:val="004065B7"/>
    <w:rsid w:val="004066EB"/>
    <w:rsid w:val="00406E1E"/>
    <w:rsid w:val="00414C9D"/>
    <w:rsid w:val="00415A2B"/>
    <w:rsid w:val="00416293"/>
    <w:rsid w:val="004203AD"/>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4FB0"/>
    <w:rsid w:val="004C5C41"/>
    <w:rsid w:val="004D13C8"/>
    <w:rsid w:val="004D4F44"/>
    <w:rsid w:val="004D5D20"/>
    <w:rsid w:val="004D6212"/>
    <w:rsid w:val="004D789D"/>
    <w:rsid w:val="004E0FB8"/>
    <w:rsid w:val="004E1E53"/>
    <w:rsid w:val="004E272F"/>
    <w:rsid w:val="004E2B64"/>
    <w:rsid w:val="004E4258"/>
    <w:rsid w:val="004E47A4"/>
    <w:rsid w:val="004E6157"/>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23B"/>
    <w:rsid w:val="00527615"/>
    <w:rsid w:val="00527DD0"/>
    <w:rsid w:val="00533905"/>
    <w:rsid w:val="005372C0"/>
    <w:rsid w:val="00541630"/>
    <w:rsid w:val="0054168D"/>
    <w:rsid w:val="00542357"/>
    <w:rsid w:val="00551176"/>
    <w:rsid w:val="0055133C"/>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5C2"/>
    <w:rsid w:val="005A1E12"/>
    <w:rsid w:val="005A305D"/>
    <w:rsid w:val="005A6A6E"/>
    <w:rsid w:val="005A6D92"/>
    <w:rsid w:val="005A6DD6"/>
    <w:rsid w:val="005A7976"/>
    <w:rsid w:val="005B33A4"/>
    <w:rsid w:val="005B3C4C"/>
    <w:rsid w:val="005B5D99"/>
    <w:rsid w:val="005B74B8"/>
    <w:rsid w:val="005C0C80"/>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07A84"/>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227C"/>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3F14"/>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30F"/>
    <w:rsid w:val="007A345A"/>
    <w:rsid w:val="007A3D35"/>
    <w:rsid w:val="007A78C2"/>
    <w:rsid w:val="007B05E9"/>
    <w:rsid w:val="007B148E"/>
    <w:rsid w:val="007B1E17"/>
    <w:rsid w:val="007B4C73"/>
    <w:rsid w:val="007C0C1F"/>
    <w:rsid w:val="007C1F58"/>
    <w:rsid w:val="007C206E"/>
    <w:rsid w:val="007C2936"/>
    <w:rsid w:val="007C4A36"/>
    <w:rsid w:val="007C662A"/>
    <w:rsid w:val="007C7900"/>
    <w:rsid w:val="007C7D7F"/>
    <w:rsid w:val="007D33BA"/>
    <w:rsid w:val="007D385A"/>
    <w:rsid w:val="007D6FCB"/>
    <w:rsid w:val="007D7FD4"/>
    <w:rsid w:val="007E2FEB"/>
    <w:rsid w:val="007E3CF9"/>
    <w:rsid w:val="007E74E9"/>
    <w:rsid w:val="007F0ED6"/>
    <w:rsid w:val="007F1AB9"/>
    <w:rsid w:val="007F3DCC"/>
    <w:rsid w:val="007F425D"/>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377E1"/>
    <w:rsid w:val="008415FE"/>
    <w:rsid w:val="00842319"/>
    <w:rsid w:val="008435C2"/>
    <w:rsid w:val="008439AA"/>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B85"/>
    <w:rsid w:val="008F3DAE"/>
    <w:rsid w:val="008F6630"/>
    <w:rsid w:val="008F7622"/>
    <w:rsid w:val="0090311E"/>
    <w:rsid w:val="0090438E"/>
    <w:rsid w:val="00906110"/>
    <w:rsid w:val="0090704E"/>
    <w:rsid w:val="00907643"/>
    <w:rsid w:val="0091108F"/>
    <w:rsid w:val="009133F5"/>
    <w:rsid w:val="00914786"/>
    <w:rsid w:val="00915680"/>
    <w:rsid w:val="00915FB9"/>
    <w:rsid w:val="0091610E"/>
    <w:rsid w:val="00916373"/>
    <w:rsid w:val="00916548"/>
    <w:rsid w:val="00916A77"/>
    <w:rsid w:val="009173A5"/>
    <w:rsid w:val="00921BE8"/>
    <w:rsid w:val="00922E3D"/>
    <w:rsid w:val="009243A5"/>
    <w:rsid w:val="009316DC"/>
    <w:rsid w:val="00931752"/>
    <w:rsid w:val="00931AE8"/>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602C"/>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16E8"/>
    <w:rsid w:val="00A02426"/>
    <w:rsid w:val="00A032FF"/>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50A"/>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0034"/>
    <w:rsid w:val="00B01631"/>
    <w:rsid w:val="00B01D80"/>
    <w:rsid w:val="00B05198"/>
    <w:rsid w:val="00B0544B"/>
    <w:rsid w:val="00B06C4C"/>
    <w:rsid w:val="00B078C6"/>
    <w:rsid w:val="00B07B56"/>
    <w:rsid w:val="00B10BF5"/>
    <w:rsid w:val="00B145B5"/>
    <w:rsid w:val="00B152AC"/>
    <w:rsid w:val="00B164F7"/>
    <w:rsid w:val="00B16C8B"/>
    <w:rsid w:val="00B20969"/>
    <w:rsid w:val="00B212F0"/>
    <w:rsid w:val="00B22BE8"/>
    <w:rsid w:val="00B2331A"/>
    <w:rsid w:val="00B2356B"/>
    <w:rsid w:val="00B249F3"/>
    <w:rsid w:val="00B25B74"/>
    <w:rsid w:val="00B26B93"/>
    <w:rsid w:val="00B26C0B"/>
    <w:rsid w:val="00B27126"/>
    <w:rsid w:val="00B27CA5"/>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00F0"/>
    <w:rsid w:val="00B913B0"/>
    <w:rsid w:val="00B932C8"/>
    <w:rsid w:val="00B93B31"/>
    <w:rsid w:val="00B9457F"/>
    <w:rsid w:val="00B965BF"/>
    <w:rsid w:val="00BA06B1"/>
    <w:rsid w:val="00BA3125"/>
    <w:rsid w:val="00BA3654"/>
    <w:rsid w:val="00BA600B"/>
    <w:rsid w:val="00BB204C"/>
    <w:rsid w:val="00BC05C8"/>
    <w:rsid w:val="00BC0F9A"/>
    <w:rsid w:val="00BC3D5F"/>
    <w:rsid w:val="00BC43E2"/>
    <w:rsid w:val="00BD0917"/>
    <w:rsid w:val="00BD1607"/>
    <w:rsid w:val="00BD45A0"/>
    <w:rsid w:val="00BD45BA"/>
    <w:rsid w:val="00BE0B88"/>
    <w:rsid w:val="00BE1D55"/>
    <w:rsid w:val="00BE2F51"/>
    <w:rsid w:val="00BE3214"/>
    <w:rsid w:val="00BE5325"/>
    <w:rsid w:val="00BE5439"/>
    <w:rsid w:val="00BE62DB"/>
    <w:rsid w:val="00BE7E1A"/>
    <w:rsid w:val="00BF041C"/>
    <w:rsid w:val="00BF055A"/>
    <w:rsid w:val="00BF0B13"/>
    <w:rsid w:val="00BF4E69"/>
    <w:rsid w:val="00BF625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775A0"/>
    <w:rsid w:val="00C865D9"/>
    <w:rsid w:val="00C87110"/>
    <w:rsid w:val="00C87138"/>
    <w:rsid w:val="00C90813"/>
    <w:rsid w:val="00C90C2B"/>
    <w:rsid w:val="00C93121"/>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1203"/>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36AA6"/>
    <w:rsid w:val="00D42F04"/>
    <w:rsid w:val="00D447E5"/>
    <w:rsid w:val="00D457D0"/>
    <w:rsid w:val="00D463A4"/>
    <w:rsid w:val="00D4699C"/>
    <w:rsid w:val="00D47877"/>
    <w:rsid w:val="00D513A1"/>
    <w:rsid w:val="00D57D07"/>
    <w:rsid w:val="00D618E7"/>
    <w:rsid w:val="00D619A2"/>
    <w:rsid w:val="00D6375A"/>
    <w:rsid w:val="00D64A77"/>
    <w:rsid w:val="00D65790"/>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B6EF1"/>
    <w:rsid w:val="00DC23FE"/>
    <w:rsid w:val="00DC38B9"/>
    <w:rsid w:val="00DC5B37"/>
    <w:rsid w:val="00DC5DDD"/>
    <w:rsid w:val="00DD309E"/>
    <w:rsid w:val="00DD7C73"/>
    <w:rsid w:val="00DE01B6"/>
    <w:rsid w:val="00DE0B88"/>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45D6"/>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1AF3"/>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5FF9"/>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23AB"/>
    <w:rsid w:val="00F4328A"/>
    <w:rsid w:val="00F44706"/>
    <w:rsid w:val="00F44A91"/>
    <w:rsid w:val="00F45420"/>
    <w:rsid w:val="00F503F3"/>
    <w:rsid w:val="00F51EF7"/>
    <w:rsid w:val="00F5253C"/>
    <w:rsid w:val="00F52A72"/>
    <w:rsid w:val="00F52EDF"/>
    <w:rsid w:val="00F54C59"/>
    <w:rsid w:val="00F56092"/>
    <w:rsid w:val="00F6067A"/>
    <w:rsid w:val="00F609CB"/>
    <w:rsid w:val="00F60FB9"/>
    <w:rsid w:val="00F64004"/>
    <w:rsid w:val="00F642D3"/>
    <w:rsid w:val="00F64DDA"/>
    <w:rsid w:val="00F65F73"/>
    <w:rsid w:val="00F6631A"/>
    <w:rsid w:val="00F66E3F"/>
    <w:rsid w:val="00F70436"/>
    <w:rsid w:val="00F709E1"/>
    <w:rsid w:val="00F713DB"/>
    <w:rsid w:val="00F730A9"/>
    <w:rsid w:val="00F735FC"/>
    <w:rsid w:val="00F738D2"/>
    <w:rsid w:val="00F73A7C"/>
    <w:rsid w:val="00F75136"/>
    <w:rsid w:val="00F75F3B"/>
    <w:rsid w:val="00F77CB4"/>
    <w:rsid w:val="00F80D89"/>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E7A01"/>
    <w:rsid w:val="00FF02CA"/>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87138"/>
    <w:rPr>
      <w:sz w:val="16"/>
      <w:szCs w:val="16"/>
    </w:rPr>
  </w:style>
  <w:style w:type="paragraph" w:styleId="CommentText">
    <w:name w:val="annotation text"/>
    <w:basedOn w:val="Normal"/>
    <w:link w:val="CommentTextChar"/>
    <w:uiPriority w:val="99"/>
    <w:semiHidden/>
    <w:unhideWhenUsed/>
    <w:rsid w:val="00C87138"/>
    <w:pPr>
      <w:spacing w:line="240" w:lineRule="auto"/>
    </w:pPr>
    <w:rPr>
      <w:szCs w:val="20"/>
    </w:rPr>
  </w:style>
  <w:style w:type="character" w:customStyle="1" w:styleId="CommentTextChar">
    <w:name w:val="Comment Text Char"/>
    <w:basedOn w:val="DefaultParagraphFont"/>
    <w:link w:val="CommentText"/>
    <w:uiPriority w:val="99"/>
    <w:semiHidden/>
    <w:rsid w:val="00C8713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87138"/>
    <w:rPr>
      <w:b/>
      <w:bCs/>
    </w:rPr>
  </w:style>
  <w:style w:type="character" w:customStyle="1" w:styleId="CommentSubjectChar">
    <w:name w:val="Comment Subject Char"/>
    <w:basedOn w:val="CommentTextChar"/>
    <w:link w:val="CommentSubject"/>
    <w:uiPriority w:val="99"/>
    <w:semiHidden/>
    <w:rsid w:val="00C87138"/>
    <w:rPr>
      <w:rFonts w:ascii="Times New Roman" w:hAnsi="Times New Roman"/>
      <w:b/>
      <w:bCs/>
      <w:spacing w:val="4"/>
      <w:w w:val="103"/>
      <w:kern w:val="14"/>
      <w:lang w:val="fr-CA"/>
    </w:rPr>
  </w:style>
  <w:style w:type="character" w:styleId="Hyperlink">
    <w:name w:val="Hyperlink"/>
    <w:rsid w:val="00753F14"/>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87138"/>
    <w:rPr>
      <w:sz w:val="16"/>
      <w:szCs w:val="16"/>
    </w:rPr>
  </w:style>
  <w:style w:type="paragraph" w:styleId="CommentText">
    <w:name w:val="annotation text"/>
    <w:basedOn w:val="Normal"/>
    <w:link w:val="CommentTextChar"/>
    <w:uiPriority w:val="99"/>
    <w:semiHidden/>
    <w:unhideWhenUsed/>
    <w:rsid w:val="00C87138"/>
    <w:pPr>
      <w:spacing w:line="240" w:lineRule="auto"/>
    </w:pPr>
    <w:rPr>
      <w:szCs w:val="20"/>
    </w:rPr>
  </w:style>
  <w:style w:type="character" w:customStyle="1" w:styleId="CommentTextChar">
    <w:name w:val="Comment Text Char"/>
    <w:basedOn w:val="DefaultParagraphFont"/>
    <w:link w:val="CommentText"/>
    <w:uiPriority w:val="99"/>
    <w:semiHidden/>
    <w:rsid w:val="00C8713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87138"/>
    <w:rPr>
      <w:b/>
      <w:bCs/>
    </w:rPr>
  </w:style>
  <w:style w:type="character" w:customStyle="1" w:styleId="CommentSubjectChar">
    <w:name w:val="Comment Subject Char"/>
    <w:basedOn w:val="CommentTextChar"/>
    <w:link w:val="CommentSubject"/>
    <w:uiPriority w:val="99"/>
    <w:semiHidden/>
    <w:rsid w:val="00C87138"/>
    <w:rPr>
      <w:rFonts w:ascii="Times New Roman" w:hAnsi="Times New Roman"/>
      <w:b/>
      <w:bCs/>
      <w:spacing w:val="4"/>
      <w:w w:val="103"/>
      <w:kern w:val="14"/>
      <w:lang w:val="fr-CA"/>
    </w:rPr>
  </w:style>
  <w:style w:type="character" w:styleId="Hyperlink">
    <w:name w:val="Hyperlink"/>
    <w:rsid w:val="00753F1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A/RES/57/253" TargetMode="External"/><Relationship Id="rId26" Type="http://schemas.openxmlformats.org/officeDocument/2006/relationships/hyperlink" Target="http://undocs.org/A/RES/67/14" TargetMode="External"/><Relationship Id="rId39" Type="http://schemas.openxmlformats.org/officeDocument/2006/relationships/hyperlink" Target="http://undocs.org/A/RES/58/201" TargetMode="External"/><Relationship Id="rId21" Type="http://schemas.openxmlformats.org/officeDocument/2006/relationships/hyperlink" Target="http://undocs.org/A/RES/65/185" TargetMode="External"/><Relationship Id="rId34" Type="http://schemas.openxmlformats.org/officeDocument/2006/relationships/hyperlink" Target="http://undocs.org/A/RES/55/2" TargetMode="External"/><Relationship Id="rId42" Type="http://schemas.openxmlformats.org/officeDocument/2006/relationships/hyperlink" Target="http://undocs.org/A/RES/64/25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A/RES/55/2" TargetMode="External"/><Relationship Id="rId29" Type="http://schemas.openxmlformats.org/officeDocument/2006/relationships/hyperlink" Target="http://undocs.org/A/RES/67/1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RES/67/10" TargetMode="External"/><Relationship Id="rId32" Type="http://schemas.openxmlformats.org/officeDocument/2006/relationships/hyperlink" Target="http://undocs.org/A/RES/68/225" TargetMode="External"/><Relationship Id="rId37" Type="http://schemas.openxmlformats.org/officeDocument/2006/relationships/hyperlink" Target="http://undocs.org/A/RES/61/16" TargetMode="External"/><Relationship Id="rId40" Type="http://schemas.openxmlformats.org/officeDocument/2006/relationships/hyperlink" Target="http://undocs.org/A/RES/63/2"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ES/66/288" TargetMode="External"/><Relationship Id="rId28" Type="http://schemas.openxmlformats.org/officeDocument/2006/relationships/hyperlink" Target="http://undocs.org/A/RES/67/83" TargetMode="External"/><Relationship Id="rId36" Type="http://schemas.openxmlformats.org/officeDocument/2006/relationships/hyperlink" Target="http://undocs.org/A/RES/57/253" TargetMode="External"/><Relationship Id="rId10" Type="http://schemas.openxmlformats.org/officeDocument/2006/relationships/header" Target="header2.xml"/><Relationship Id="rId19" Type="http://schemas.openxmlformats.org/officeDocument/2006/relationships/hyperlink" Target="http://undocs.org/A/RES/57/270" TargetMode="External"/><Relationship Id="rId31" Type="http://schemas.openxmlformats.org/officeDocument/2006/relationships/hyperlink" Target="http://undocs.org/A/RES/68/21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ES/68/222" TargetMode="External"/><Relationship Id="rId27" Type="http://schemas.openxmlformats.org/officeDocument/2006/relationships/hyperlink" Target="http://undocs.org/A/RES/67/15" TargetMode="External"/><Relationship Id="rId30" Type="http://schemas.openxmlformats.org/officeDocument/2006/relationships/hyperlink" Target="http://undocs.org/A/RES/68/204" TargetMode="External"/><Relationship Id="rId35" Type="http://schemas.openxmlformats.org/officeDocument/2006/relationships/hyperlink" Target="http://undocs.org/A/RES/57/144" TargetMode="External"/><Relationship Id="rId43" Type="http://schemas.openxmlformats.org/officeDocument/2006/relationships/hyperlink" Target="http://undocs.org/A/RES/66/26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A/RES/57/144" TargetMode="External"/><Relationship Id="rId25" Type="http://schemas.openxmlformats.org/officeDocument/2006/relationships/hyperlink" Target="http://undocs.org/A/RES/67/13" TargetMode="External"/><Relationship Id="rId33" Type="http://schemas.openxmlformats.org/officeDocument/2006/relationships/hyperlink" Target="http://undocs.org/A/RES/67/226" TargetMode="External"/><Relationship Id="rId38" Type="http://schemas.openxmlformats.org/officeDocument/2006/relationships/hyperlink" Target="http://undocs.org/A/RES/58/9" TargetMode="External"/><Relationship Id="rId20" Type="http://schemas.openxmlformats.org/officeDocument/2006/relationships/hyperlink" Target="http://undocs.org/A/RES/60/248" TargetMode="External"/><Relationship Id="rId41" Type="http://schemas.openxmlformats.org/officeDocument/2006/relationships/hyperlink" Target="http://undocs.org/A/RES/67/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3E85-C9C3-4E20-8A7F-B18E920E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7029</Words>
  <Characters>40066</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Vigny</dc:creator>
  <cp:lastModifiedBy>Anastasia Barinova</cp:lastModifiedBy>
  <cp:revision>2</cp:revision>
  <cp:lastPrinted>2016-01-25T11:13:00Z</cp:lastPrinted>
  <dcterms:created xsi:type="dcterms:W3CDTF">2016-01-27T15:41:00Z</dcterms:created>
  <dcterms:modified xsi:type="dcterms:W3CDTF">2016-01-27T15:41:00Z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1522015F</vt:lpwstr>
  </property>
  <property fmtid="{D5CDD505-2E9C-101B-9397-08002B2CF9AE}" pid="3" name="ODSRefJobNo">
    <vt:lpwstr>1528468F</vt:lpwstr>
  </property>
  <property fmtid="{D5CDD505-2E9C-101B-9397-08002B2CF9AE}" pid="4" name="Symbol1">
    <vt:lpwstr>ECE/TRANS/2016/28</vt:lpwstr>
  </property>
  <property fmtid="{D5CDD505-2E9C-101B-9397-08002B2CF9AE}" pid="5" name="Symbol2">
    <vt:lpwstr/>
  </property>
  <property fmtid="{D5CDD505-2E9C-101B-9397-08002B2CF9AE}" pid="6" name="Translator">
    <vt:lpwstr/>
  </property>
  <property fmtid="{D5CDD505-2E9C-101B-9397-08002B2CF9AE}" pid="7" name="Operator">
    <vt:lpwstr>VIGNY</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220116</vt:lpwstr>
  </property>
</Properties>
</file>