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3A" w:rsidRPr="00FC17DF" w:rsidRDefault="00C9743A" w:rsidP="00C9743A">
      <w:pPr>
        <w:spacing w:line="240" w:lineRule="auto"/>
        <w:rPr>
          <w:sz w:val="2"/>
          <w:lang w:val="fr-CH"/>
        </w:rPr>
        <w:sectPr w:rsidR="00C9743A" w:rsidRPr="00FC17DF" w:rsidSect="00C9743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FC17DF">
        <w:rPr>
          <w:rStyle w:val="CommentReference"/>
          <w:lang w:val="fr-CH"/>
        </w:rPr>
        <w:commentReference w:id="0"/>
      </w:r>
      <w:bookmarkStart w:id="1" w:name="_GoBack"/>
      <w:bookmarkEnd w:id="1"/>
    </w:p>
    <w:p w:rsidR="00C9743A" w:rsidRPr="00FC17DF" w:rsidRDefault="00C9743A" w:rsidP="00C9743A">
      <w:pPr>
        <w:pStyle w:val="H1"/>
        <w:spacing w:after="120"/>
        <w:rPr>
          <w:sz w:val="28"/>
          <w:lang w:val="fr-CH"/>
        </w:rPr>
      </w:pPr>
      <w:r w:rsidRPr="00FC17DF">
        <w:rPr>
          <w:sz w:val="28"/>
          <w:lang w:val="fr-CH"/>
        </w:rPr>
        <w:lastRenderedPageBreak/>
        <w:t>Commission économique pour l’Europe</w:t>
      </w:r>
    </w:p>
    <w:p w:rsidR="00C9743A" w:rsidRPr="00FC17DF" w:rsidRDefault="00C9743A" w:rsidP="00C9743A">
      <w:pPr>
        <w:pStyle w:val="H1"/>
        <w:spacing w:after="120" w:line="300" w:lineRule="exact"/>
        <w:rPr>
          <w:b w:val="0"/>
          <w:sz w:val="28"/>
          <w:lang w:val="fr-CH"/>
        </w:rPr>
      </w:pPr>
      <w:r w:rsidRPr="00FC17DF">
        <w:rPr>
          <w:b w:val="0"/>
          <w:sz w:val="28"/>
          <w:lang w:val="fr-CH"/>
        </w:rPr>
        <w:t>Comité des transports intérieurs</w:t>
      </w:r>
    </w:p>
    <w:p w:rsidR="00FC17DF" w:rsidRPr="00FC17DF" w:rsidRDefault="00FC17DF" w:rsidP="00FC17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bookmarkStart w:id="2" w:name="insstart"/>
      <w:r w:rsidRPr="00FC17DF">
        <w:rPr>
          <w:lang w:val="fr-CH"/>
        </w:rPr>
        <w:t>Soixante-dix-huitième session</w:t>
      </w:r>
    </w:p>
    <w:p w:rsidR="00FC17DF" w:rsidRPr="00FC17DF" w:rsidRDefault="00FC17DF" w:rsidP="00FC17D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C17DF">
        <w:rPr>
          <w:lang w:val="fr-CH"/>
        </w:rPr>
        <w:t>Genève, 23-26 février 2016</w:t>
      </w:r>
    </w:p>
    <w:p w:rsidR="00FC17DF" w:rsidRPr="00FC17DF" w:rsidRDefault="00FC17DF" w:rsidP="00FC17DF">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C17DF">
        <w:rPr>
          <w:lang w:val="fr-CH"/>
        </w:rPr>
        <w:t>Point 5 b) de l’ordre du jour provisoire</w:t>
      </w:r>
    </w:p>
    <w:p w:rsidR="00FC17DF" w:rsidRPr="00FC17DF" w:rsidRDefault="00FC17DF" w:rsidP="00FC17D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bCs/>
          <w:lang w:val="fr-CH"/>
        </w:rPr>
      </w:pPr>
      <w:r w:rsidRPr="00FC17DF">
        <w:rPr>
          <w:lang w:val="fr-CH"/>
        </w:rPr>
        <w:t xml:space="preserve">Questions stratégiques à caractère modal et thématique : </w:t>
      </w:r>
      <w:r w:rsidRPr="00FC17DF">
        <w:rPr>
          <w:lang w:val="fr-CH"/>
        </w:rPr>
        <w:br/>
        <w:t xml:space="preserve">harmonisation des règlements concernant les véhicules </w:t>
      </w:r>
    </w:p>
    <w:p w:rsidR="00FC17DF" w:rsidRPr="00FC17DF" w:rsidRDefault="00FC17DF" w:rsidP="00FC17DF">
      <w:pPr>
        <w:pStyle w:val="SingleTxt"/>
        <w:spacing w:after="0" w:line="120" w:lineRule="exact"/>
        <w:rPr>
          <w:b/>
          <w:sz w:val="10"/>
          <w:lang w:val="fr-CH"/>
        </w:rPr>
      </w:pPr>
    </w:p>
    <w:p w:rsidR="00FC17DF" w:rsidRPr="00FC17DF" w:rsidRDefault="00FC17DF" w:rsidP="00FC17DF">
      <w:pPr>
        <w:pStyle w:val="SingleTxt"/>
        <w:spacing w:after="0" w:line="120" w:lineRule="exact"/>
        <w:rPr>
          <w:b/>
          <w:sz w:val="10"/>
          <w:lang w:val="fr-CH"/>
        </w:rPr>
      </w:pPr>
    </w:p>
    <w:p w:rsidR="00FC17DF" w:rsidRPr="00FC17DF" w:rsidRDefault="00FC17DF" w:rsidP="00FC17DF">
      <w:pPr>
        <w:pStyle w:val="SingleTxt"/>
        <w:spacing w:after="0" w:line="120" w:lineRule="exact"/>
        <w:rPr>
          <w:b/>
          <w:sz w:val="10"/>
          <w:lang w:val="fr-CH"/>
        </w:rPr>
      </w:pPr>
    </w:p>
    <w:p w:rsidR="00FC17DF" w:rsidRPr="00FC17DF" w:rsidRDefault="00FC17DF" w:rsidP="00FC17D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C17DF">
        <w:rPr>
          <w:lang w:val="fr-CH"/>
        </w:rPr>
        <w:tab/>
      </w:r>
      <w:r w:rsidRPr="00FC17DF">
        <w:rPr>
          <w:lang w:val="fr-CH"/>
        </w:rPr>
        <w:tab/>
        <w:t xml:space="preserve">Faits nouveaux les plus récents en matière de Règlements concernant les véhicules </w:t>
      </w:r>
    </w:p>
    <w:p w:rsidR="00FC17DF" w:rsidRPr="00FC17DF" w:rsidRDefault="00FC17DF" w:rsidP="00FC17DF">
      <w:pPr>
        <w:pStyle w:val="SingleTxt"/>
        <w:spacing w:after="0" w:line="120" w:lineRule="exact"/>
        <w:rPr>
          <w:b/>
          <w:sz w:val="10"/>
          <w:lang w:val="fr-CH"/>
        </w:rPr>
      </w:pPr>
    </w:p>
    <w:p w:rsidR="00FC17DF" w:rsidRPr="00FC17DF" w:rsidRDefault="00FC17DF" w:rsidP="00FC17DF">
      <w:pPr>
        <w:pStyle w:val="SingleTxt"/>
        <w:spacing w:after="0" w:line="120" w:lineRule="exact"/>
        <w:rPr>
          <w:b/>
          <w:sz w:val="10"/>
          <w:lang w:val="fr-CH"/>
        </w:rPr>
      </w:pPr>
    </w:p>
    <w:p w:rsidR="00FC17DF" w:rsidRPr="00FC17DF" w:rsidRDefault="00FC17DF" w:rsidP="00FC17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C17DF">
        <w:rPr>
          <w:lang w:val="fr-CH"/>
        </w:rPr>
        <w:tab/>
      </w:r>
      <w:r w:rsidRPr="00FC17DF">
        <w:rPr>
          <w:lang w:val="fr-CH"/>
        </w:rPr>
        <w:tab/>
        <w:t>Note du secrétariat</w:t>
      </w:r>
    </w:p>
    <w:p w:rsidR="00FC17DF" w:rsidRPr="00FC17DF" w:rsidRDefault="00FC17DF" w:rsidP="00FC17DF">
      <w:pPr>
        <w:pStyle w:val="SingleTxt"/>
        <w:spacing w:after="0" w:line="120" w:lineRule="exact"/>
        <w:rPr>
          <w:sz w:val="10"/>
          <w:lang w:val="fr-CH"/>
        </w:rPr>
      </w:pPr>
    </w:p>
    <w:p w:rsidR="00FC17DF" w:rsidRPr="00FC17DF" w:rsidRDefault="00FC17DF" w:rsidP="00FC17DF">
      <w:pPr>
        <w:pStyle w:val="SingleTxt"/>
        <w:spacing w:after="0" w:line="120" w:lineRule="exact"/>
        <w:rPr>
          <w:sz w:val="10"/>
          <w:lang w:val="fr-CH"/>
        </w:rPr>
      </w:pPr>
    </w:p>
    <w:p w:rsidR="00FC17DF" w:rsidRPr="00FC17DF" w:rsidRDefault="00FC17DF" w:rsidP="00FC17DF">
      <w:pPr>
        <w:pStyle w:val="SingleTxt"/>
        <w:numPr>
          <w:ilvl w:val="0"/>
          <w:numId w:val="6"/>
        </w:numPr>
        <w:tabs>
          <w:tab w:val="clear" w:pos="475"/>
          <w:tab w:val="num" w:pos="1742"/>
        </w:tabs>
        <w:ind w:left="1267"/>
        <w:rPr>
          <w:lang w:val="fr-CH"/>
        </w:rPr>
      </w:pPr>
      <w:r w:rsidRPr="00FC17DF">
        <w:rPr>
          <w:lang w:val="fr-CH"/>
        </w:rPr>
        <w:t>En 2015, deux nouveaux Règlements de l’ONU concernant les véhicules et visant à améliorer leur sécurité et leur performance environnementale ont été annexés à l’Accord de 1958</w:t>
      </w:r>
      <w:r w:rsidRPr="00FC17DF">
        <w:rPr>
          <w:rStyle w:val="FootnoteReference"/>
          <w:lang w:val="fr-CH"/>
        </w:rPr>
        <w:footnoteReference w:id="1"/>
      </w:r>
      <w:r w:rsidRPr="00FC17DF">
        <w:rPr>
          <w:lang w:val="fr-CH"/>
        </w:rPr>
        <w:t xml:space="preserve"> et sont entrés en vigueur :</w:t>
      </w:r>
    </w:p>
    <w:p w:rsidR="00FC17DF" w:rsidRPr="00FC17DF" w:rsidRDefault="00FC17DF" w:rsidP="00FC17DF">
      <w:pPr>
        <w:pStyle w:val="Bullet1"/>
        <w:rPr>
          <w:lang w:val="fr-CH"/>
        </w:rPr>
      </w:pPr>
      <w:r w:rsidRPr="00FC17DF">
        <w:rPr>
          <w:lang w:val="fr-CH"/>
        </w:rPr>
        <w:t>Le nouveau Règlement n</w:t>
      </w:r>
      <w:r w:rsidRPr="00FC17DF">
        <w:rPr>
          <w:vertAlign w:val="superscript"/>
          <w:lang w:val="fr-CH"/>
        </w:rPr>
        <w:t>o</w:t>
      </w:r>
      <w:r w:rsidRPr="00FC17DF">
        <w:rPr>
          <w:lang w:val="fr-CH"/>
        </w:rPr>
        <w:t> 134 sur les prescriptions de sécurité des véhicules fonctionnant à l’hydrogène énonce les exigences de sécurité applicables à ces véhicules en ce qui concerne leurs systèmes de stockage de l’hydrogène comprimé;</w:t>
      </w:r>
    </w:p>
    <w:p w:rsidR="00FC17DF" w:rsidRPr="00FC17DF" w:rsidRDefault="00FC17DF" w:rsidP="00FC17DF">
      <w:pPr>
        <w:pStyle w:val="Bullet1"/>
        <w:rPr>
          <w:lang w:val="fr-CH"/>
        </w:rPr>
      </w:pPr>
      <w:r w:rsidRPr="00FC17DF">
        <w:rPr>
          <w:lang w:val="fr-CH"/>
        </w:rPr>
        <w:t>Le nouveau Règlement n</w:t>
      </w:r>
      <w:r w:rsidRPr="00FC17DF">
        <w:rPr>
          <w:vertAlign w:val="superscript"/>
          <w:lang w:val="fr-CH"/>
        </w:rPr>
        <w:t>o</w:t>
      </w:r>
      <w:r w:rsidRPr="00FC17DF">
        <w:rPr>
          <w:lang w:val="fr-CH"/>
        </w:rPr>
        <w:t xml:space="preserve"> 135 concernant le comportement des véhicules lors des essais de choc latéral contre un poteau </w:t>
      </w:r>
      <w:proofErr w:type="gramStart"/>
      <w:r w:rsidRPr="00FC17DF">
        <w:rPr>
          <w:lang w:val="fr-CH"/>
        </w:rPr>
        <w:t>renforce</w:t>
      </w:r>
      <w:proofErr w:type="gramEnd"/>
      <w:r w:rsidRPr="00FC17DF">
        <w:rPr>
          <w:lang w:val="fr-CH"/>
        </w:rPr>
        <w:t xml:space="preserve"> les exigences de sécurité applicables aux véhicules en cas de choc latéral contre un poteau.</w:t>
      </w:r>
    </w:p>
    <w:p w:rsidR="00FC17DF" w:rsidRPr="00FC17DF" w:rsidRDefault="00FC17DF" w:rsidP="00FC17DF">
      <w:pPr>
        <w:pStyle w:val="SingleTxt"/>
        <w:numPr>
          <w:ilvl w:val="0"/>
          <w:numId w:val="6"/>
        </w:numPr>
        <w:tabs>
          <w:tab w:val="clear" w:pos="475"/>
          <w:tab w:val="num" w:pos="1742"/>
        </w:tabs>
        <w:ind w:left="1267"/>
        <w:rPr>
          <w:lang w:val="fr-CH"/>
        </w:rPr>
      </w:pPr>
      <w:r w:rsidRPr="00FC17DF">
        <w:rPr>
          <w:lang w:val="fr-CH"/>
        </w:rPr>
        <w:t>En 2015, deux nouveaux Règlements de l’ONU à annexer à l’Accord de 1958 ont été adoptés, à savoir :</w:t>
      </w:r>
    </w:p>
    <w:p w:rsidR="00FC17DF" w:rsidRPr="00FC17DF" w:rsidRDefault="00FC17DF" w:rsidP="00FC17DF">
      <w:pPr>
        <w:pStyle w:val="Bullet1"/>
        <w:rPr>
          <w:lang w:val="fr-CH"/>
        </w:rPr>
      </w:pPr>
      <w:r w:rsidRPr="00FC17DF">
        <w:rPr>
          <w:lang w:val="fr-CH"/>
        </w:rPr>
        <w:t xml:space="preserve">Le nouveau Règlement de l’ONU </w:t>
      </w:r>
      <w:r w:rsidRPr="00FC17DF">
        <w:rPr>
          <w:bCs/>
          <w:lang w:val="fr-CH"/>
        </w:rPr>
        <w:t>sur les véhicules à deux roues à moteur électrique, « Véhicules électriques de la catégorie L (VE-L) »</w:t>
      </w:r>
      <w:r w:rsidRPr="00FC17DF">
        <w:rPr>
          <w:lang w:val="fr-CH"/>
        </w:rPr>
        <w:t>, adopté à la session de juin 2015 du Forum mondial de l’harmonisation des Règlements concernant les véhicules (WP.29), qui définit les exigences de sécurité applicables à ces véhicules en ce qui concerne les systèmes de stockage de l’énergie électrique;</w:t>
      </w:r>
      <w:bookmarkStart w:id="3" w:name="hit31"/>
      <w:bookmarkStart w:id="4" w:name="hit32"/>
      <w:bookmarkEnd w:id="3"/>
      <w:bookmarkEnd w:id="4"/>
    </w:p>
    <w:p w:rsidR="00FC17DF" w:rsidRPr="00FC17DF" w:rsidRDefault="00FC17DF" w:rsidP="00FC17DF">
      <w:pPr>
        <w:pStyle w:val="Bullet1"/>
        <w:rPr>
          <w:lang w:val="fr-CH"/>
        </w:rPr>
      </w:pPr>
      <w:r w:rsidRPr="00FC17DF">
        <w:rPr>
          <w:lang w:val="fr-CH"/>
        </w:rPr>
        <w:lastRenderedPageBreak/>
        <w:t xml:space="preserve">Le nouveau Règlement sur le choc avant, l’accent étant mis sur les dispositifs de retenue, adopté à la session de novembre 2015 du WP.29, qui renforce les exigences de sécurité applicables aux véhicules en cas de </w:t>
      </w:r>
      <w:r w:rsidRPr="00FC17DF">
        <w:rPr>
          <w:bCs/>
          <w:lang w:val="fr-CH"/>
        </w:rPr>
        <w:t>choc frontal de tout l’avant du véhicule contre une barrière d’arrêt.</w:t>
      </w:r>
    </w:p>
    <w:p w:rsidR="00FC17DF" w:rsidRPr="00FC17DF" w:rsidRDefault="00FC17DF" w:rsidP="007A35B2">
      <w:pPr>
        <w:pStyle w:val="SingleTxt"/>
        <w:numPr>
          <w:ilvl w:val="0"/>
          <w:numId w:val="6"/>
        </w:numPr>
        <w:tabs>
          <w:tab w:val="clear" w:pos="475"/>
          <w:tab w:val="num" w:pos="1742"/>
        </w:tabs>
        <w:ind w:left="1267"/>
        <w:rPr>
          <w:lang w:val="fr-CH"/>
        </w:rPr>
      </w:pPr>
      <w:r w:rsidRPr="00FC17DF">
        <w:rPr>
          <w:lang w:val="fr-CH"/>
        </w:rPr>
        <w:t xml:space="preserve">Des règlements de l’ONU existants </w:t>
      </w:r>
      <w:r w:rsidR="007A35B2">
        <w:rPr>
          <w:lang w:val="fr-CH"/>
        </w:rPr>
        <w:t>ont aussi été actualisés par 90 </w:t>
      </w:r>
      <w:r w:rsidRPr="00FC17DF">
        <w:rPr>
          <w:lang w:val="fr-CH"/>
        </w:rPr>
        <w:t>amendements destinés à les adapter aux innovations technologiques les plus récentes et à y introduire des limites plus strictes pour à la fois améliorer la sécurité des véhicules et les rendre moins polluants. Le WP.29 a par exemple adopté en juin 2015 un amendement au Règlement ONU n</w:t>
      </w:r>
      <w:r w:rsidRPr="00FC17DF">
        <w:rPr>
          <w:vertAlign w:val="superscript"/>
          <w:lang w:val="fr-CH"/>
        </w:rPr>
        <w:t>o</w:t>
      </w:r>
      <w:r w:rsidRPr="007A35B2">
        <w:rPr>
          <w:lang w:val="fr-CH"/>
        </w:rPr>
        <w:t> </w:t>
      </w:r>
      <w:r w:rsidRPr="00FC17DF">
        <w:rPr>
          <w:lang w:val="fr-CH"/>
        </w:rPr>
        <w:t>51 (Bruit émis par les véhicules des catégories M et N) annexé à l’Accord de 1958,</w:t>
      </w:r>
      <w:r w:rsidRPr="00FC17DF">
        <w:rPr>
          <w:bCs/>
          <w:lang w:val="fr-CH"/>
        </w:rPr>
        <w:t xml:space="preserve"> qui impose des prescriptions d’essai plus strictes pour les mesures du bruit </w:t>
      </w:r>
      <w:r w:rsidRPr="00FC17DF">
        <w:rPr>
          <w:lang w:val="fr-CH"/>
        </w:rPr>
        <w:t>et permet ainsi de mieux prendre en compte les conditions réelles d’utilisation des véhicules.</w:t>
      </w:r>
    </w:p>
    <w:p w:rsidR="00FC17DF" w:rsidRPr="00FC17DF" w:rsidRDefault="00FC17DF" w:rsidP="007A35B2">
      <w:pPr>
        <w:pStyle w:val="SingleTxt"/>
        <w:numPr>
          <w:ilvl w:val="0"/>
          <w:numId w:val="6"/>
        </w:numPr>
        <w:tabs>
          <w:tab w:val="clear" w:pos="475"/>
          <w:tab w:val="num" w:pos="1742"/>
        </w:tabs>
        <w:ind w:left="1267"/>
        <w:rPr>
          <w:lang w:val="fr-CH"/>
        </w:rPr>
      </w:pPr>
      <w:r w:rsidRPr="00FC17DF">
        <w:rPr>
          <w:lang w:val="fr-CH"/>
        </w:rPr>
        <w:t>Le WP.29 a également poursuivi en 2015 ses activités en vue d’élaborer des prescriptions applicables aux systèmes intelligents pour véhicules et aux systèmes d’aide à la conduite pour les véhicules automatisés et, partant, pour ouvrir la voie aux futurs véhicules autonomes. C’est dans cette perspective que le WP.29 a réorienté certaines des ressources qu’il déploie dans le cadre des travaux du Groupe de travail informel des</w:t>
      </w:r>
      <w:r w:rsidRPr="00FC17DF">
        <w:rPr>
          <w:bCs/>
          <w:lang w:val="fr-CH"/>
        </w:rPr>
        <w:t xml:space="preserve"> systèmes de transport intelligents et des systèmes de conduite autonome</w:t>
      </w:r>
      <w:r w:rsidRPr="00FC17DF">
        <w:rPr>
          <w:lang w:val="fr-CH"/>
        </w:rPr>
        <w:t xml:space="preserve"> afin de tenir compte de l’évolution des techniques dans ce domaine et d’y répondre efficacement. Lors de sa session de mars 2015, le WP.29 a approuvé le programme de travail de ce groupe de travail, qui porte sur les problèmes soulevés par l’automatisation des véhicules.</w:t>
      </w:r>
    </w:p>
    <w:p w:rsidR="00FC17DF" w:rsidRPr="00FC17DF" w:rsidRDefault="00FC17DF" w:rsidP="007A35B2">
      <w:pPr>
        <w:pStyle w:val="SingleTxt"/>
        <w:numPr>
          <w:ilvl w:val="0"/>
          <w:numId w:val="6"/>
        </w:numPr>
        <w:tabs>
          <w:tab w:val="clear" w:pos="475"/>
          <w:tab w:val="num" w:pos="1742"/>
        </w:tabs>
        <w:ind w:left="1267"/>
        <w:rPr>
          <w:lang w:val="fr-CH"/>
        </w:rPr>
      </w:pPr>
      <w:r w:rsidRPr="00FC17DF">
        <w:rPr>
          <w:lang w:val="fr-CH"/>
        </w:rPr>
        <w:t xml:space="preserve">Le Groupe de travail en matière de roulement et de freinage (GRRF), organe subsidiaire du WP.29 s’occupant de la sécurité active, se penche actuellement sur les modifications qu’il convient d’apporter aux Règlements de l’ONU et sur les nouveaux besoins résultant des fonctions de conduite automatisée, qu’il s’agisse de manœuvres à faible vitesse telles que le </w:t>
      </w:r>
      <w:r w:rsidR="007A35B2">
        <w:rPr>
          <w:lang w:val="fr-CH"/>
        </w:rPr>
        <w:t>« </w:t>
      </w:r>
      <w:r w:rsidRPr="00FC17DF">
        <w:rPr>
          <w:lang w:val="fr-CH"/>
        </w:rPr>
        <w:t>stationnement automatique</w:t>
      </w:r>
      <w:r w:rsidR="007A35B2">
        <w:rPr>
          <w:lang w:val="fr-CH"/>
        </w:rPr>
        <w:t> »</w:t>
      </w:r>
      <w:r w:rsidRPr="00FC17DF">
        <w:rPr>
          <w:lang w:val="fr-CH"/>
        </w:rPr>
        <w:t xml:space="preserve"> et le </w:t>
      </w:r>
      <w:r w:rsidR="007A35B2">
        <w:rPr>
          <w:lang w:val="fr-CH"/>
        </w:rPr>
        <w:t>« </w:t>
      </w:r>
      <w:r w:rsidRPr="00FC17DF">
        <w:rPr>
          <w:lang w:val="fr-CH"/>
        </w:rPr>
        <w:t>pilotage automatique en embouteillage</w:t>
      </w:r>
      <w:r w:rsidR="007A35B2">
        <w:rPr>
          <w:lang w:val="fr-CH"/>
        </w:rPr>
        <w:t> »</w:t>
      </w:r>
      <w:r w:rsidRPr="00FC17DF">
        <w:rPr>
          <w:lang w:val="fr-CH"/>
        </w:rPr>
        <w:t xml:space="preserve"> ou du pilotage automatique des véhicules sur route ou sur autoroute.</w:t>
      </w:r>
      <w:bookmarkStart w:id="5" w:name="hit3"/>
      <w:bookmarkEnd w:id="5"/>
    </w:p>
    <w:p w:rsidR="007A35B2" w:rsidRDefault="00FC17DF" w:rsidP="007A35B2">
      <w:pPr>
        <w:pStyle w:val="SingleTxt"/>
        <w:numPr>
          <w:ilvl w:val="0"/>
          <w:numId w:val="6"/>
        </w:numPr>
        <w:tabs>
          <w:tab w:val="clear" w:pos="475"/>
          <w:tab w:val="num" w:pos="1742"/>
        </w:tabs>
        <w:ind w:left="1267"/>
        <w:rPr>
          <w:lang w:val="fr-CH"/>
        </w:rPr>
      </w:pPr>
      <w:r w:rsidRPr="00FC17DF">
        <w:rPr>
          <w:lang w:val="fr-CH"/>
        </w:rPr>
        <w:t>Au mois de mars 2015, l’adoption des amendements apportés aux Règlements technique mondiaux n</w:t>
      </w:r>
      <w:r w:rsidRPr="00FC17DF">
        <w:rPr>
          <w:vertAlign w:val="superscript"/>
          <w:lang w:val="fr-CH"/>
        </w:rPr>
        <w:t>os</w:t>
      </w:r>
      <w:r w:rsidRPr="00FC17DF">
        <w:rPr>
          <w:lang w:val="fr-CH"/>
        </w:rPr>
        <w:t> 3 (Systèmes de freinage des motocycles) et 4 (Cycle d’essai mondial harmonisé pour les véhicules utilitaires lourds en ce qui concerne les émissions) a conclu les années de travail que leur avait consacré le WP.29.</w:t>
      </w:r>
    </w:p>
    <w:p w:rsidR="00FC17DF" w:rsidRPr="007A35B2" w:rsidRDefault="00FC17DF" w:rsidP="007A35B2">
      <w:pPr>
        <w:pStyle w:val="SingleTxt"/>
        <w:numPr>
          <w:ilvl w:val="0"/>
          <w:numId w:val="6"/>
        </w:numPr>
        <w:tabs>
          <w:tab w:val="clear" w:pos="475"/>
          <w:tab w:val="num" w:pos="1742"/>
        </w:tabs>
        <w:ind w:left="1267"/>
        <w:rPr>
          <w:lang w:val="fr-CH"/>
        </w:rPr>
      </w:pPr>
      <w:r w:rsidRPr="007A35B2">
        <w:rPr>
          <w:lang w:val="fr-CH"/>
        </w:rPr>
        <w:t xml:space="preserve">Des progrès ont été effectués dans le cadre des débats menés par le Forum mondial au sujet de la </w:t>
      </w:r>
      <w:r w:rsidRPr="007A35B2">
        <w:rPr>
          <w:bCs/>
          <w:lang w:val="fr-CH"/>
        </w:rPr>
        <w:t>révision 3 de l’Accord de 1958 sur les homologations de type des véhicules et des pièces et composant</w:t>
      </w:r>
      <w:r w:rsidRPr="007A35B2">
        <w:rPr>
          <w:lang w:val="fr-CH"/>
        </w:rPr>
        <w:t xml:space="preserve">s, et les Parties contractantes pourraient parvenir à un consensus lors de la session du WP.29 du mois de mars 2016. La présente révision prévoit, entre autres, la mise en place d’un régime </w:t>
      </w:r>
      <w:r w:rsidRPr="007A35B2">
        <w:rPr>
          <w:bCs/>
          <w:lang w:val="fr-CH"/>
        </w:rPr>
        <w:t>d’homologation de type internationale de l’ensemble du véhicule</w:t>
      </w:r>
      <w:r w:rsidRPr="007A35B2">
        <w:rPr>
          <w:lang w:val="fr-CH"/>
        </w:rPr>
        <w:t xml:space="preserve"> et l’établissement, au niveau de la CEE, de la base de données DETA relative aux homologations de type. Le secrétariat a informé les Parties contractantes que la gestion de ce service nécessiterait des ressources supplémentaires, qui pourraient par exemple être financées au moyen de fonds extrabudgétaires. Les Parties contractantes ont émis le souhait que ce financement soit plutôt assuré à partir du budget ordinaire de l’ONU.</w:t>
      </w:r>
      <w:bookmarkEnd w:id="2"/>
      <w:r w:rsidRPr="007A35B2">
        <w:rPr>
          <w:spacing w:val="0"/>
          <w:w w:val="100"/>
          <w:kern w:val="0"/>
          <w:sz w:val="24"/>
          <w:szCs w:val="24"/>
          <w:lang w:val="fr-CH"/>
        </w:rPr>
        <w:t xml:space="preserve"> </w:t>
      </w:r>
    </w:p>
    <w:p w:rsidR="00C9743A" w:rsidRPr="007A35B2" w:rsidRDefault="007A35B2" w:rsidP="007A35B2">
      <w:pPr>
        <w:pStyle w:val="SingleTxt"/>
        <w:spacing w:after="0" w:line="240" w:lineRule="auto"/>
        <w:rPr>
          <w:lang w:val="fr-CH"/>
        </w:rPr>
      </w:pPr>
      <w:r>
        <w:rPr>
          <w:noProof/>
          <w:w w:val="100"/>
          <w:lang w:val="en-US"/>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9743A" w:rsidRPr="007A35B2" w:rsidSect="00C9743A">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5T07:17:00Z" w:initials="Start">
    <w:p w:rsidR="00C9743A" w:rsidRDefault="00C974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NO&gt;&gt;N1528401F&lt;&lt;ODS JOB NO&gt;&gt;</w:t>
      </w:r>
    </w:p>
    <w:p w:rsidR="00C9743A" w:rsidRDefault="00C9743A">
      <w:pPr>
        <w:pStyle w:val="CommentText"/>
      </w:pPr>
      <w:r>
        <w:t>&lt;&lt;ODS DOC SYMBOL1&gt;&gt;ECE/TRANS/2016/12&lt;&lt;ODS DOC SYMBOL1&gt;&gt;</w:t>
      </w:r>
    </w:p>
    <w:p w:rsidR="00C9743A" w:rsidRDefault="00C9743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21" w:rsidRDefault="00CA4621" w:rsidP="00F3330B">
      <w:pPr>
        <w:spacing w:line="240" w:lineRule="auto"/>
      </w:pPr>
      <w:r>
        <w:separator/>
      </w:r>
    </w:p>
  </w:endnote>
  <w:endnote w:type="continuationSeparator" w:id="0">
    <w:p w:rsidR="00CA4621" w:rsidRDefault="00CA462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9743A" w:rsidTr="00C9743A">
      <w:trPr>
        <w:jc w:val="center"/>
      </w:trPr>
      <w:tc>
        <w:tcPr>
          <w:tcW w:w="5126" w:type="dxa"/>
          <w:shd w:val="clear" w:color="auto" w:fill="auto"/>
        </w:tcPr>
        <w:p w:rsidR="00C9743A" w:rsidRPr="00C9743A" w:rsidRDefault="00C9743A" w:rsidP="00C974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6A7B">
            <w:rPr>
              <w:b w:val="0"/>
              <w:w w:val="103"/>
              <w:sz w:val="14"/>
            </w:rPr>
            <w:t>GE.15-21952</w:t>
          </w:r>
          <w:r>
            <w:rPr>
              <w:b w:val="0"/>
              <w:w w:val="103"/>
              <w:sz w:val="14"/>
            </w:rPr>
            <w:fldChar w:fldCharType="end"/>
          </w:r>
        </w:p>
      </w:tc>
      <w:tc>
        <w:tcPr>
          <w:tcW w:w="5127" w:type="dxa"/>
          <w:shd w:val="clear" w:color="auto" w:fill="auto"/>
        </w:tcPr>
        <w:p w:rsidR="00C9743A" w:rsidRPr="00C9743A" w:rsidRDefault="00C9743A" w:rsidP="00C9743A">
          <w:pPr>
            <w:pStyle w:val="Footer"/>
            <w:rPr>
              <w:w w:val="103"/>
            </w:rPr>
          </w:pPr>
          <w:r>
            <w:rPr>
              <w:w w:val="103"/>
            </w:rPr>
            <w:fldChar w:fldCharType="begin"/>
          </w:r>
          <w:r>
            <w:rPr>
              <w:w w:val="103"/>
            </w:rPr>
            <w:instrText xml:space="preserve"> PAGE  \* Arabic  \* MERGEFORMAT </w:instrText>
          </w:r>
          <w:r>
            <w:rPr>
              <w:w w:val="103"/>
            </w:rPr>
            <w:fldChar w:fldCharType="separate"/>
          </w:r>
          <w:r w:rsidR="00C9303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93032">
            <w:rPr>
              <w:noProof/>
              <w:w w:val="103"/>
            </w:rPr>
            <w:t>2</w:t>
          </w:r>
          <w:r>
            <w:rPr>
              <w:w w:val="103"/>
            </w:rPr>
            <w:fldChar w:fldCharType="end"/>
          </w:r>
        </w:p>
      </w:tc>
    </w:tr>
  </w:tbl>
  <w:p w:rsidR="00C9743A" w:rsidRPr="00C9743A" w:rsidRDefault="00C9743A" w:rsidP="00C97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9743A" w:rsidTr="00C9743A">
      <w:trPr>
        <w:jc w:val="center"/>
      </w:trPr>
      <w:tc>
        <w:tcPr>
          <w:tcW w:w="5126" w:type="dxa"/>
          <w:shd w:val="clear" w:color="auto" w:fill="auto"/>
        </w:tcPr>
        <w:p w:rsidR="00C9743A" w:rsidRPr="00C9743A" w:rsidRDefault="00C9743A" w:rsidP="00C9743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F6A7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F6A7B">
            <w:rPr>
              <w:noProof/>
              <w:w w:val="103"/>
            </w:rPr>
            <w:t>2</w:t>
          </w:r>
          <w:r>
            <w:rPr>
              <w:w w:val="103"/>
            </w:rPr>
            <w:fldChar w:fldCharType="end"/>
          </w:r>
        </w:p>
      </w:tc>
      <w:tc>
        <w:tcPr>
          <w:tcW w:w="5127" w:type="dxa"/>
          <w:shd w:val="clear" w:color="auto" w:fill="auto"/>
        </w:tcPr>
        <w:p w:rsidR="00C9743A" w:rsidRPr="00C9743A" w:rsidRDefault="00C9743A" w:rsidP="00C974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F6A7B">
            <w:rPr>
              <w:b w:val="0"/>
              <w:w w:val="103"/>
              <w:sz w:val="14"/>
            </w:rPr>
            <w:t>GE.15-21952</w:t>
          </w:r>
          <w:r>
            <w:rPr>
              <w:b w:val="0"/>
              <w:w w:val="103"/>
              <w:sz w:val="14"/>
            </w:rPr>
            <w:fldChar w:fldCharType="end"/>
          </w:r>
        </w:p>
      </w:tc>
    </w:tr>
  </w:tbl>
  <w:p w:rsidR="00C9743A" w:rsidRPr="00C9743A" w:rsidRDefault="00C9743A" w:rsidP="00C97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3A" w:rsidRDefault="00C9743A">
    <w:pPr>
      <w:pStyle w:val="Footer"/>
    </w:pPr>
    <w:r>
      <w:rPr>
        <w:noProof/>
      </w:rPr>
      <w:drawing>
        <wp:anchor distT="0" distB="0" distL="114300" distR="114300" simplePos="0" relativeHeight="251658240" behindDoc="0" locked="0" layoutInCell="1" allowOverlap="1" wp14:anchorId="37F498EA" wp14:editId="3D9B204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9743A" w:rsidTr="00C9743A">
      <w:tc>
        <w:tcPr>
          <w:tcW w:w="3859" w:type="dxa"/>
        </w:tcPr>
        <w:p w:rsidR="00C9743A" w:rsidRDefault="00C9743A" w:rsidP="00C9743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F6A7B">
            <w:rPr>
              <w:b w:val="0"/>
              <w:sz w:val="20"/>
            </w:rPr>
            <w:t>GE.15-21952 (F)</w:t>
          </w:r>
          <w:r>
            <w:rPr>
              <w:b w:val="0"/>
              <w:sz w:val="20"/>
            </w:rPr>
            <w:fldChar w:fldCharType="end"/>
          </w:r>
          <w:r>
            <w:rPr>
              <w:b w:val="0"/>
              <w:sz w:val="20"/>
            </w:rPr>
            <w:t xml:space="preserve">    2</w:t>
          </w:r>
          <w:r w:rsidR="00FC17DF">
            <w:rPr>
              <w:b w:val="0"/>
              <w:sz w:val="20"/>
            </w:rPr>
            <w:t>2</w:t>
          </w:r>
          <w:r>
            <w:rPr>
              <w:b w:val="0"/>
              <w:sz w:val="20"/>
            </w:rPr>
            <w:t>0116    250116</w:t>
          </w:r>
        </w:p>
        <w:p w:rsidR="00C9743A" w:rsidRPr="00C9743A" w:rsidRDefault="00C9743A" w:rsidP="00C9743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F6A7B">
            <w:rPr>
              <w:rFonts w:ascii="Barcode 3 of 9 by request" w:hAnsi="Barcode 3 of 9 by request"/>
              <w:b w:val="0"/>
              <w:spacing w:val="0"/>
              <w:w w:val="100"/>
              <w:sz w:val="24"/>
            </w:rPr>
            <w:t>*1521952*</w:t>
          </w:r>
          <w:r>
            <w:rPr>
              <w:rFonts w:ascii="Barcode 3 of 9 by request" w:hAnsi="Barcode 3 of 9 by request"/>
              <w:b w:val="0"/>
              <w:spacing w:val="0"/>
              <w:w w:val="100"/>
              <w:sz w:val="24"/>
            </w:rPr>
            <w:fldChar w:fldCharType="end"/>
          </w:r>
        </w:p>
      </w:tc>
      <w:tc>
        <w:tcPr>
          <w:tcW w:w="5127" w:type="dxa"/>
        </w:tcPr>
        <w:p w:rsidR="00C9743A" w:rsidRDefault="00C9743A" w:rsidP="00C9743A">
          <w:pPr>
            <w:pStyle w:val="Footer"/>
            <w:spacing w:line="240" w:lineRule="atLeast"/>
            <w:jc w:val="right"/>
            <w:rPr>
              <w:b w:val="0"/>
              <w:sz w:val="20"/>
            </w:rPr>
          </w:pPr>
          <w:r>
            <w:rPr>
              <w:b w:val="0"/>
              <w:noProof/>
              <w:sz w:val="20"/>
            </w:rPr>
            <w:drawing>
              <wp:inline distT="0" distB="0" distL="0" distR="0" wp14:anchorId="0332F4E8" wp14:editId="54EA0DF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9743A" w:rsidRPr="00C9743A" w:rsidRDefault="00C9743A" w:rsidP="00C9743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21" w:rsidRPr="00FC17DF" w:rsidRDefault="00FC17DF" w:rsidP="00FC17DF">
      <w:pPr>
        <w:pStyle w:val="Footer"/>
        <w:spacing w:after="80"/>
        <w:ind w:left="792"/>
        <w:rPr>
          <w:sz w:val="16"/>
        </w:rPr>
      </w:pPr>
      <w:r w:rsidRPr="00FC17DF">
        <w:rPr>
          <w:sz w:val="16"/>
        </w:rPr>
        <w:t>__________________</w:t>
      </w:r>
    </w:p>
  </w:footnote>
  <w:footnote w:type="continuationSeparator" w:id="0">
    <w:p w:rsidR="00CA4621" w:rsidRPr="00FC17DF" w:rsidRDefault="00FC17DF" w:rsidP="00FC17DF">
      <w:pPr>
        <w:pStyle w:val="Footer"/>
        <w:spacing w:after="80"/>
        <w:ind w:left="792"/>
        <w:rPr>
          <w:sz w:val="16"/>
        </w:rPr>
      </w:pPr>
      <w:r w:rsidRPr="00FC17DF">
        <w:rPr>
          <w:sz w:val="16"/>
        </w:rPr>
        <w:t>__________________</w:t>
      </w:r>
    </w:p>
  </w:footnote>
  <w:footnote w:id="1">
    <w:p w:rsidR="00FC17DF" w:rsidRPr="00FC17DF" w:rsidRDefault="00FC17DF" w:rsidP="00FC17DF">
      <w:pPr>
        <w:pStyle w:val="FootnoteText"/>
        <w:tabs>
          <w:tab w:val="right" w:pos="1195"/>
          <w:tab w:val="left" w:pos="1267"/>
          <w:tab w:val="left" w:pos="1742"/>
          <w:tab w:val="left" w:pos="2218"/>
          <w:tab w:val="left" w:pos="2693"/>
        </w:tabs>
        <w:ind w:left="1267" w:right="1260" w:hanging="432"/>
      </w:pPr>
      <w:r>
        <w:rPr>
          <w:spacing w:val="5"/>
          <w:w w:val="104"/>
          <w:lang w:val="fr-FR"/>
        </w:rPr>
        <w:tab/>
      </w:r>
      <w:r w:rsidRPr="00FC17DF">
        <w:rPr>
          <w:rStyle w:val="FootnoteReference"/>
          <w:spacing w:val="4"/>
          <w:lang w:val="fr-FR"/>
        </w:rPr>
        <w:footnoteRef/>
      </w:r>
      <w:r w:rsidR="00DE285F">
        <w:rPr>
          <w:lang w:val="fr-FR"/>
        </w:rPr>
        <w:tab/>
        <w:t>Accord concernant l’</w:t>
      </w:r>
      <w:r w:rsidRPr="00FC17DF">
        <w:rPr>
          <w:lang w:val="fr-FR"/>
        </w:rPr>
        <w:t>adoption de prescriptions techniques uniformes applicables aux véhicules à roues, aux équipemen</w:t>
      </w:r>
      <w:r w:rsidR="00911C34">
        <w:rPr>
          <w:lang w:val="fr-FR"/>
        </w:rPr>
        <w:t>ts et aux pièces susceptibles d’</w:t>
      </w:r>
      <w:r w:rsidRPr="00FC17DF">
        <w:rPr>
          <w:lang w:val="fr-FR"/>
        </w:rPr>
        <w:t xml:space="preserve">être montés ou utilisés sur un véhicule à roues </w:t>
      </w:r>
      <w:r>
        <w:rPr>
          <w:lang w:val="fr-FR"/>
        </w:rPr>
        <w:br/>
      </w:r>
      <w:r w:rsidRPr="00FC17DF">
        <w:rPr>
          <w:lang w:val="fr-FR"/>
        </w:rPr>
        <w:t>et les conditions de reconnaissance réciproque des homologations délivrées conformément à ces prescrip</w:t>
      </w:r>
      <w:r w:rsidR="007A35B2">
        <w:rPr>
          <w:lang w:val="fr-FR"/>
        </w:rPr>
        <w:t>tions. Ancien titre de l’Accord :</w:t>
      </w:r>
      <w:r w:rsidRPr="00FC17DF">
        <w:rPr>
          <w:lang w:val="fr-FR"/>
        </w:rPr>
        <w:t xml:space="preserve"> Accord concernant l’adoption de conditions</w:t>
      </w:r>
      <w:r w:rsidR="007A35B2">
        <w:rPr>
          <w:lang w:val="fr-FR"/>
        </w:rPr>
        <w:t xml:space="preserve"> uniformes d’homologation et la </w:t>
      </w:r>
      <w:r w:rsidRPr="00FC17DF">
        <w:rPr>
          <w:lang w:val="fr-FR"/>
        </w:rPr>
        <w:t>reconnaissance réciproque de l’homologation des équipements et p</w:t>
      </w:r>
      <w:r w:rsidR="007A35B2">
        <w:rPr>
          <w:lang w:val="fr-FR"/>
        </w:rPr>
        <w:t xml:space="preserve">ièces de véhicules à moteur, en </w:t>
      </w:r>
      <w:r w:rsidRPr="00FC17DF">
        <w:rPr>
          <w:lang w:val="fr-FR"/>
        </w:rPr>
        <w:t xml:space="preserve">date, à </w:t>
      </w:r>
      <w:r w:rsidR="007A35B2">
        <w:rPr>
          <w:lang w:val="fr-FR"/>
        </w:rPr>
        <w:t>Genève, du 20 </w:t>
      </w:r>
      <w:r w:rsidRPr="00FC17DF">
        <w:rPr>
          <w:lang w:val="fr-FR"/>
        </w:rPr>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9743A" w:rsidTr="00C9743A">
      <w:trPr>
        <w:trHeight w:hRule="exact" w:val="864"/>
        <w:jc w:val="center"/>
      </w:trPr>
      <w:tc>
        <w:tcPr>
          <w:tcW w:w="4882" w:type="dxa"/>
          <w:shd w:val="clear" w:color="auto" w:fill="auto"/>
          <w:vAlign w:val="bottom"/>
        </w:tcPr>
        <w:p w:rsidR="00C9743A" w:rsidRPr="00C9743A" w:rsidRDefault="00C9743A" w:rsidP="00C9743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A7B">
            <w:rPr>
              <w:b/>
              <w:color w:val="000000"/>
            </w:rPr>
            <w:t>ECE/TRANS/2016/12</w:t>
          </w:r>
          <w:r>
            <w:rPr>
              <w:b/>
              <w:color w:val="000000"/>
            </w:rPr>
            <w:fldChar w:fldCharType="end"/>
          </w:r>
        </w:p>
      </w:tc>
      <w:tc>
        <w:tcPr>
          <w:tcW w:w="5127" w:type="dxa"/>
          <w:shd w:val="clear" w:color="auto" w:fill="auto"/>
          <w:vAlign w:val="bottom"/>
        </w:tcPr>
        <w:p w:rsidR="00C9743A" w:rsidRDefault="00C9743A" w:rsidP="00C9743A">
          <w:pPr>
            <w:pStyle w:val="Header"/>
          </w:pPr>
        </w:p>
      </w:tc>
    </w:tr>
  </w:tbl>
  <w:p w:rsidR="00C9743A" w:rsidRPr="00C9743A" w:rsidRDefault="00C9743A" w:rsidP="00C9743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9743A" w:rsidTr="00C9743A">
      <w:trPr>
        <w:trHeight w:hRule="exact" w:val="864"/>
        <w:jc w:val="center"/>
      </w:trPr>
      <w:tc>
        <w:tcPr>
          <w:tcW w:w="4882" w:type="dxa"/>
          <w:shd w:val="clear" w:color="auto" w:fill="auto"/>
          <w:vAlign w:val="bottom"/>
        </w:tcPr>
        <w:p w:rsidR="00C9743A" w:rsidRDefault="00C9743A" w:rsidP="00C9743A">
          <w:pPr>
            <w:pStyle w:val="Header"/>
          </w:pPr>
        </w:p>
      </w:tc>
      <w:tc>
        <w:tcPr>
          <w:tcW w:w="5127" w:type="dxa"/>
          <w:shd w:val="clear" w:color="auto" w:fill="auto"/>
          <w:vAlign w:val="bottom"/>
        </w:tcPr>
        <w:p w:rsidR="00C9743A" w:rsidRPr="00C9743A" w:rsidRDefault="00C9743A" w:rsidP="00C9743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F6A7B">
            <w:rPr>
              <w:b/>
              <w:color w:val="000000"/>
            </w:rPr>
            <w:t>ECE/TRANS/2016/12</w:t>
          </w:r>
          <w:r>
            <w:rPr>
              <w:b/>
              <w:color w:val="000000"/>
            </w:rPr>
            <w:fldChar w:fldCharType="end"/>
          </w:r>
        </w:p>
      </w:tc>
    </w:tr>
  </w:tbl>
  <w:p w:rsidR="00C9743A" w:rsidRPr="00C9743A" w:rsidRDefault="00C9743A" w:rsidP="00C9743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9743A" w:rsidTr="00C9743A">
      <w:trPr>
        <w:trHeight w:hRule="exact" w:val="864"/>
      </w:trPr>
      <w:tc>
        <w:tcPr>
          <w:tcW w:w="1267" w:type="dxa"/>
          <w:tcBorders>
            <w:bottom w:val="single" w:sz="4" w:space="0" w:color="auto"/>
          </w:tcBorders>
          <w:shd w:val="clear" w:color="auto" w:fill="auto"/>
          <w:vAlign w:val="bottom"/>
        </w:tcPr>
        <w:p w:rsidR="00C9743A" w:rsidRDefault="00C9743A" w:rsidP="00C9743A">
          <w:pPr>
            <w:pStyle w:val="Header"/>
            <w:spacing w:after="120"/>
          </w:pPr>
        </w:p>
      </w:tc>
      <w:tc>
        <w:tcPr>
          <w:tcW w:w="2059" w:type="dxa"/>
          <w:tcBorders>
            <w:bottom w:val="single" w:sz="4" w:space="0" w:color="auto"/>
          </w:tcBorders>
          <w:shd w:val="clear" w:color="auto" w:fill="auto"/>
          <w:vAlign w:val="bottom"/>
        </w:tcPr>
        <w:p w:rsidR="00C9743A" w:rsidRPr="00C9743A" w:rsidRDefault="00C9743A" w:rsidP="00C9743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9743A" w:rsidRDefault="00C9743A" w:rsidP="00C9743A">
          <w:pPr>
            <w:pStyle w:val="Header"/>
            <w:spacing w:after="120"/>
          </w:pPr>
        </w:p>
      </w:tc>
      <w:tc>
        <w:tcPr>
          <w:tcW w:w="6653" w:type="dxa"/>
          <w:gridSpan w:val="4"/>
          <w:tcBorders>
            <w:bottom w:val="single" w:sz="4" w:space="0" w:color="auto"/>
          </w:tcBorders>
          <w:shd w:val="clear" w:color="auto" w:fill="auto"/>
          <w:vAlign w:val="bottom"/>
        </w:tcPr>
        <w:p w:rsidR="00C9743A" w:rsidRPr="00C9743A" w:rsidRDefault="00C9743A" w:rsidP="00C9743A">
          <w:pPr>
            <w:spacing w:after="80" w:line="240" w:lineRule="auto"/>
            <w:jc w:val="right"/>
            <w:rPr>
              <w:position w:val="-4"/>
            </w:rPr>
          </w:pPr>
          <w:r>
            <w:rPr>
              <w:position w:val="-4"/>
              <w:sz w:val="40"/>
            </w:rPr>
            <w:t>ECE</w:t>
          </w:r>
          <w:r>
            <w:rPr>
              <w:position w:val="-4"/>
            </w:rPr>
            <w:t>/TRANS/2016/12</w:t>
          </w:r>
        </w:p>
      </w:tc>
    </w:tr>
    <w:tr w:rsidR="00C9743A" w:rsidRPr="00C9743A" w:rsidTr="00C9743A">
      <w:trPr>
        <w:gridAfter w:val="1"/>
        <w:wAfter w:w="18" w:type="dxa"/>
        <w:trHeight w:hRule="exact" w:val="2880"/>
      </w:trPr>
      <w:tc>
        <w:tcPr>
          <w:tcW w:w="1267" w:type="dxa"/>
          <w:tcBorders>
            <w:top w:val="single" w:sz="4" w:space="0" w:color="auto"/>
            <w:bottom w:val="single" w:sz="12" w:space="0" w:color="auto"/>
          </w:tcBorders>
          <w:shd w:val="clear" w:color="auto" w:fill="auto"/>
        </w:tcPr>
        <w:p w:rsidR="00C9743A" w:rsidRPr="00C9743A" w:rsidRDefault="00C9743A" w:rsidP="00C9743A">
          <w:pPr>
            <w:pStyle w:val="Header"/>
            <w:spacing w:before="120" w:line="240" w:lineRule="auto"/>
            <w:ind w:left="-72"/>
            <w:jc w:val="center"/>
          </w:pPr>
          <w:r>
            <w:t xml:space="preserve">  </w:t>
          </w:r>
          <w:r>
            <w:rPr>
              <w:noProof/>
            </w:rPr>
            <w:drawing>
              <wp:inline distT="0" distB="0" distL="0" distR="0" wp14:anchorId="59ED3826" wp14:editId="7C8FE94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9743A" w:rsidRPr="00C9743A" w:rsidRDefault="00C9743A" w:rsidP="00C9743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C9743A" w:rsidRPr="00C9743A" w:rsidRDefault="00C9743A" w:rsidP="00C9743A">
          <w:pPr>
            <w:pStyle w:val="Header"/>
            <w:spacing w:before="109"/>
          </w:pPr>
        </w:p>
      </w:tc>
      <w:tc>
        <w:tcPr>
          <w:tcW w:w="3280" w:type="dxa"/>
          <w:tcBorders>
            <w:top w:val="single" w:sz="4" w:space="0" w:color="auto"/>
            <w:bottom w:val="single" w:sz="12" w:space="0" w:color="auto"/>
          </w:tcBorders>
          <w:shd w:val="clear" w:color="auto" w:fill="auto"/>
        </w:tcPr>
        <w:p w:rsidR="00C9743A" w:rsidRDefault="00C9743A" w:rsidP="00C9743A">
          <w:pPr>
            <w:pStyle w:val="Distribution"/>
            <w:rPr>
              <w:color w:val="000000"/>
            </w:rPr>
          </w:pPr>
          <w:r>
            <w:rPr>
              <w:color w:val="000000"/>
            </w:rPr>
            <w:t xml:space="preserve">Distr. </w:t>
          </w:r>
          <w:proofErr w:type="spellStart"/>
          <w:r>
            <w:rPr>
              <w:color w:val="000000"/>
            </w:rPr>
            <w:t>générale</w:t>
          </w:r>
          <w:proofErr w:type="spellEnd"/>
        </w:p>
        <w:p w:rsidR="00C9743A" w:rsidRDefault="00C9743A" w:rsidP="00C9743A">
          <w:pPr>
            <w:pStyle w:val="Publication"/>
            <w:rPr>
              <w:color w:val="000000"/>
            </w:rPr>
          </w:pPr>
          <w:r>
            <w:rPr>
              <w:color w:val="000000"/>
            </w:rPr>
            <w:t xml:space="preserve">15 </w:t>
          </w:r>
          <w:proofErr w:type="spellStart"/>
          <w:r>
            <w:rPr>
              <w:color w:val="000000"/>
            </w:rPr>
            <w:t>décembre</w:t>
          </w:r>
          <w:proofErr w:type="spellEnd"/>
          <w:r>
            <w:rPr>
              <w:color w:val="000000"/>
            </w:rPr>
            <w:t xml:space="preserve"> 2015</w:t>
          </w:r>
        </w:p>
        <w:p w:rsidR="00C9743A" w:rsidRDefault="00C9743A" w:rsidP="00C9743A">
          <w:pPr>
            <w:rPr>
              <w:lang w:val="en-US"/>
            </w:rPr>
          </w:pPr>
          <w:proofErr w:type="spellStart"/>
          <w:r>
            <w:rPr>
              <w:lang w:val="en-US"/>
            </w:rPr>
            <w:t>Français</w:t>
          </w:r>
          <w:proofErr w:type="spellEnd"/>
        </w:p>
        <w:p w:rsidR="00C9743A" w:rsidRPr="00C9743A" w:rsidRDefault="00C9743A" w:rsidP="00C9743A">
          <w:pPr>
            <w:pStyle w:val="Original"/>
            <w:rPr>
              <w:color w:val="000000"/>
            </w:rPr>
          </w:pPr>
          <w:r>
            <w:rPr>
              <w:color w:val="000000"/>
            </w:rPr>
            <w:t xml:space="preserve">Original : </w:t>
          </w:r>
          <w:proofErr w:type="spellStart"/>
          <w:r>
            <w:rPr>
              <w:color w:val="000000"/>
            </w:rPr>
            <w:t>anglais</w:t>
          </w:r>
          <w:proofErr w:type="spellEnd"/>
        </w:p>
      </w:tc>
    </w:tr>
  </w:tbl>
  <w:p w:rsidR="00C9743A" w:rsidRPr="00C9743A" w:rsidRDefault="00C9743A" w:rsidP="00C9743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E34F6"/>
    <w:multiLevelType w:val="singleLevel"/>
    <w:tmpl w:val="2822F4C6"/>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952*"/>
    <w:docVar w:name="CreationDt" w:val="1/25/2016 7:17: AM"/>
    <w:docVar w:name="DocCategory" w:val="Doc"/>
    <w:docVar w:name="DocType" w:val="Final"/>
    <w:docVar w:name="DutyStation" w:val="Geneva"/>
    <w:docVar w:name="FooterJN" w:val="GE.15-21952"/>
    <w:docVar w:name="jobn" w:val="GE.15-21952 (F)"/>
    <w:docVar w:name="jobnDT" w:val="GE.15-21952 (F)   250116"/>
    <w:docVar w:name="jobnDTDT" w:val="GE.15-21952 (F)   250116   250116"/>
    <w:docVar w:name="JobNo" w:val="GE.1521952F"/>
    <w:docVar w:name="JobNo2" w:val="GE.1528401F"/>
    <w:docVar w:name="LocalDrive" w:val="0"/>
    <w:docVar w:name="OandT" w:val="Nath V."/>
    <w:docVar w:name="PaperSize" w:val="A4"/>
    <w:docVar w:name="sss1" w:val="ECE/TRANS/2016/12"/>
    <w:docVar w:name="sss2" w:val="-"/>
    <w:docVar w:name="Symbol1" w:val="ECE/TRANS/2016/12"/>
    <w:docVar w:name="Symbol2" w:val="-"/>
  </w:docVars>
  <w:rsids>
    <w:rsidRoot w:val="00CA4621"/>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A7B"/>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5B2"/>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1C34"/>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05A6"/>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3032"/>
    <w:rsid w:val="00C9582B"/>
    <w:rsid w:val="00C9743A"/>
    <w:rsid w:val="00C978FA"/>
    <w:rsid w:val="00CA13F9"/>
    <w:rsid w:val="00CA2B14"/>
    <w:rsid w:val="00CA2D2A"/>
    <w:rsid w:val="00CA40E0"/>
    <w:rsid w:val="00CA4621"/>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285F"/>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7DF"/>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743A"/>
    <w:rPr>
      <w:sz w:val="16"/>
      <w:szCs w:val="16"/>
    </w:rPr>
  </w:style>
  <w:style w:type="paragraph" w:styleId="CommentText">
    <w:name w:val="annotation text"/>
    <w:basedOn w:val="Normal"/>
    <w:link w:val="CommentTextChar"/>
    <w:uiPriority w:val="99"/>
    <w:semiHidden/>
    <w:unhideWhenUsed/>
    <w:rsid w:val="00C9743A"/>
    <w:pPr>
      <w:spacing w:line="240" w:lineRule="auto"/>
    </w:pPr>
    <w:rPr>
      <w:szCs w:val="20"/>
    </w:rPr>
  </w:style>
  <w:style w:type="character" w:customStyle="1" w:styleId="CommentTextChar">
    <w:name w:val="Comment Text Char"/>
    <w:basedOn w:val="DefaultParagraphFont"/>
    <w:link w:val="CommentText"/>
    <w:uiPriority w:val="99"/>
    <w:semiHidden/>
    <w:rsid w:val="00C9743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743A"/>
    <w:rPr>
      <w:b/>
      <w:bCs/>
    </w:rPr>
  </w:style>
  <w:style w:type="character" w:customStyle="1" w:styleId="CommentSubjectChar">
    <w:name w:val="Comment Subject Char"/>
    <w:basedOn w:val="CommentTextChar"/>
    <w:link w:val="CommentSubject"/>
    <w:uiPriority w:val="99"/>
    <w:semiHidden/>
    <w:rsid w:val="00C9743A"/>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9743A"/>
    <w:rPr>
      <w:sz w:val="16"/>
      <w:szCs w:val="16"/>
    </w:rPr>
  </w:style>
  <w:style w:type="paragraph" w:styleId="CommentText">
    <w:name w:val="annotation text"/>
    <w:basedOn w:val="Normal"/>
    <w:link w:val="CommentTextChar"/>
    <w:uiPriority w:val="99"/>
    <w:semiHidden/>
    <w:unhideWhenUsed/>
    <w:rsid w:val="00C9743A"/>
    <w:pPr>
      <w:spacing w:line="240" w:lineRule="auto"/>
    </w:pPr>
    <w:rPr>
      <w:szCs w:val="20"/>
    </w:rPr>
  </w:style>
  <w:style w:type="character" w:customStyle="1" w:styleId="CommentTextChar">
    <w:name w:val="Comment Text Char"/>
    <w:basedOn w:val="DefaultParagraphFont"/>
    <w:link w:val="CommentText"/>
    <w:uiPriority w:val="99"/>
    <w:semiHidden/>
    <w:rsid w:val="00C9743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9743A"/>
    <w:rPr>
      <w:b/>
      <w:bCs/>
    </w:rPr>
  </w:style>
  <w:style w:type="character" w:customStyle="1" w:styleId="CommentSubjectChar">
    <w:name w:val="Comment Subject Char"/>
    <w:basedOn w:val="CommentTextChar"/>
    <w:link w:val="CommentSubject"/>
    <w:uiPriority w:val="99"/>
    <w:semiHidden/>
    <w:rsid w:val="00C9743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F485-5EF9-4D6F-B183-AAF5BA5B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Anastasia Barinova</cp:lastModifiedBy>
  <cp:revision>2</cp:revision>
  <cp:lastPrinted>2016-01-25T06:55:00Z</cp:lastPrinted>
  <dcterms:created xsi:type="dcterms:W3CDTF">2016-01-25T10:16:00Z</dcterms:created>
  <dcterms:modified xsi:type="dcterms:W3CDTF">2016-01-25T10:16:00Z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1521952F</vt:lpwstr>
  </property>
  <property fmtid="{D5CDD505-2E9C-101B-9397-08002B2CF9AE}" pid="3" name="ODSRefJobNo">
    <vt:lpwstr>1528401F</vt:lpwstr>
  </property>
  <property fmtid="{D5CDD505-2E9C-101B-9397-08002B2CF9AE}" pid="4" name="Symbol1">
    <vt:lpwstr>ECE/TRANS/2016/12</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250116</vt:lpwstr>
  </property>
</Properties>
</file>