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2D550A" w:rsidRDefault="00EE1D86" w:rsidP="00EE1D86">
      <w:pPr>
        <w:suppressAutoHyphens w:val="0"/>
        <w:spacing w:line="240" w:lineRule="auto"/>
        <w:ind w:left="5387" w:right="-286"/>
        <w:outlineLvl w:val="0"/>
        <w:rPr>
          <w:rFonts w:ascii="Arial" w:hAnsi="Arial"/>
          <w:lang w:val="fr-FR" w:bidi="fr-FR"/>
        </w:rPr>
      </w:pPr>
      <w:bookmarkStart w:id="0" w:name="_GoBack"/>
      <w:bookmarkEnd w:id="0"/>
      <w:r w:rsidRPr="002D550A">
        <w:rPr>
          <w:noProof/>
          <w:snapToGrid/>
          <w:lang w:val="en-US" w:eastAsia="en-US"/>
        </w:rPr>
        <w:drawing>
          <wp:anchor distT="0" distB="0" distL="114300" distR="114300" simplePos="0" relativeHeight="251661312" behindDoc="0" locked="0" layoutInCell="1" allowOverlap="1" wp14:anchorId="2518224A" wp14:editId="29E830F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550A">
        <w:rPr>
          <w:rFonts w:ascii="Arial" w:eastAsia="Arial" w:hAnsi="Arial" w:cs="Arial"/>
          <w:bCs/>
          <w:snapToGrid/>
          <w:szCs w:val="24"/>
          <w:lang w:val="fr-FR" w:eastAsia="de-DE"/>
        </w:rPr>
        <w:t>CCNR-ZKR/ADN/WP.15/AC.2/2016/</w:t>
      </w:r>
      <w:r w:rsidR="005712C9">
        <w:rPr>
          <w:rFonts w:ascii="Arial" w:eastAsia="Arial" w:hAnsi="Arial" w:cs="Arial"/>
          <w:bCs/>
          <w:snapToGrid/>
          <w:szCs w:val="24"/>
          <w:lang w:val="fr-FR" w:eastAsia="de-DE"/>
        </w:rPr>
        <w:t>36</w:t>
      </w:r>
    </w:p>
    <w:p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rsidR="00EE1D86" w:rsidRPr="002D550A" w:rsidRDefault="00FD5786"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w:t>
      </w:r>
      <w:r w:rsidR="00EE1D86" w:rsidRPr="002D550A">
        <w:rPr>
          <w:rFonts w:ascii="Arial" w:eastAsia="Arial" w:hAnsi="Arial" w:cs="Arial"/>
          <w:snapToGrid/>
          <w:szCs w:val="24"/>
          <w:lang w:val="de-DE" w:eastAsia="de-DE"/>
        </w:rPr>
        <w:t xml:space="preserve">. </w:t>
      </w:r>
      <w:r w:rsidR="005712C9">
        <w:rPr>
          <w:rFonts w:ascii="Arial" w:eastAsia="Arial" w:hAnsi="Arial" w:cs="Arial"/>
          <w:snapToGrid/>
          <w:szCs w:val="24"/>
          <w:lang w:val="de-DE" w:eastAsia="de-DE"/>
        </w:rPr>
        <w:t>Juni</w:t>
      </w:r>
      <w:r w:rsidR="00EE1D86" w:rsidRPr="002D550A">
        <w:rPr>
          <w:rFonts w:ascii="Arial" w:eastAsia="Arial" w:hAnsi="Arial" w:cs="Arial"/>
          <w:snapToGrid/>
          <w:szCs w:val="24"/>
          <w:lang w:val="de-DE" w:eastAsia="de-DE"/>
        </w:rPr>
        <w:t xml:space="preserve"> 2016</w:t>
      </w:r>
    </w:p>
    <w:p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0A">
        <w:rPr>
          <w:rFonts w:ascii="Arial" w:eastAsia="Arial" w:hAnsi="Arial" w:cs="Arial"/>
          <w:snapToGrid/>
          <w:sz w:val="16"/>
          <w:szCs w:val="24"/>
          <w:lang w:val="de-DE" w:eastAsia="de-DE"/>
        </w:rPr>
        <w:t>Or. DEUTSCH</w:t>
      </w: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BINNENWASSERSTRASSEN</w:t>
      </w:r>
    </w:p>
    <w:p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 xml:space="preserve">(29. </w:t>
      </w:r>
      <w:r w:rsidRPr="002D550A">
        <w:rPr>
          <w:rFonts w:ascii="Arial" w:hAnsi="Arial"/>
          <w:noProof/>
          <w:sz w:val="16"/>
          <w:szCs w:val="24"/>
          <w:lang w:val="de-DE"/>
        </w:rPr>
        <w:t>Tagung, Genf, 22. bis 26. August 2016)</w:t>
      </w:r>
    </w:p>
    <w:p w:rsidR="00EE1D86" w:rsidRPr="002D550A"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2D550A">
        <w:rPr>
          <w:rFonts w:ascii="Arial" w:hAnsi="Arial" w:cs="Arial"/>
          <w:snapToGrid/>
          <w:sz w:val="16"/>
          <w:szCs w:val="16"/>
          <w:lang w:val="de-DE" w:eastAsia="en-US"/>
        </w:rPr>
        <w:t xml:space="preserve">Punkt </w:t>
      </w:r>
      <w:r w:rsidR="005712C9">
        <w:rPr>
          <w:rFonts w:ascii="Arial" w:hAnsi="Arial" w:cs="Arial"/>
          <w:snapToGrid/>
          <w:sz w:val="16"/>
          <w:szCs w:val="16"/>
          <w:lang w:val="de-DE" w:eastAsia="en-US"/>
        </w:rPr>
        <w:t>3 c)</w:t>
      </w:r>
      <w:r w:rsidRPr="002D550A">
        <w:rPr>
          <w:rFonts w:ascii="Arial" w:hAnsi="Arial" w:cs="Arial"/>
          <w:snapToGrid/>
          <w:sz w:val="16"/>
          <w:szCs w:val="16"/>
          <w:lang w:val="de-DE" w:eastAsia="en-US"/>
        </w:rPr>
        <w:t xml:space="preserve"> zur vorläufigen Tagesordnung</w:t>
      </w:r>
    </w:p>
    <w:p w:rsidR="00EE1D86" w:rsidRPr="002D550A" w:rsidRDefault="00EE1D86" w:rsidP="00EE1D86">
      <w:pPr>
        <w:tabs>
          <w:tab w:val="left" w:pos="2977"/>
        </w:tabs>
        <w:suppressAutoHyphens w:val="0"/>
        <w:spacing w:line="240" w:lineRule="auto"/>
        <w:ind w:left="3960"/>
        <w:rPr>
          <w:rFonts w:ascii="Arial" w:hAnsi="Arial" w:cs="Arial"/>
          <w:b/>
          <w:snapToGrid/>
          <w:sz w:val="16"/>
          <w:szCs w:val="16"/>
          <w:lang w:val="de-DE" w:eastAsia="en-US"/>
        </w:rPr>
      </w:pPr>
      <w:r w:rsidRPr="002D550A">
        <w:rPr>
          <w:rFonts w:ascii="Arial" w:hAnsi="Arial" w:cs="Arial"/>
          <w:b/>
          <w:snapToGrid/>
          <w:sz w:val="16"/>
          <w:szCs w:val="16"/>
          <w:lang w:val="de-DE" w:eastAsia="en-US"/>
        </w:rPr>
        <w:t>Durchführung des Europäischen Übereinkommens über die internationale Beförderung von gefährlichen Gütern auf Binnenwasserstraßen (ADN):</w:t>
      </w:r>
    </w:p>
    <w:p w:rsidR="00EE1D86" w:rsidRPr="002D550A" w:rsidRDefault="00EE1D86" w:rsidP="00EE1D86">
      <w:pPr>
        <w:tabs>
          <w:tab w:val="left" w:pos="2977"/>
        </w:tabs>
        <w:suppressAutoHyphens w:val="0"/>
        <w:spacing w:line="240" w:lineRule="auto"/>
        <w:ind w:left="3960"/>
        <w:rPr>
          <w:rFonts w:ascii="Arial" w:hAnsi="Arial" w:cs="Arial"/>
          <w:b/>
          <w:snapToGrid/>
          <w:sz w:val="16"/>
          <w:szCs w:val="16"/>
          <w:lang w:val="de-DE" w:eastAsia="en-US"/>
        </w:rPr>
      </w:pPr>
      <w:r w:rsidRPr="002D550A">
        <w:rPr>
          <w:rFonts w:ascii="Arial" w:hAnsi="Arial" w:cs="Arial"/>
          <w:b/>
          <w:snapToGrid/>
          <w:sz w:val="16"/>
          <w:szCs w:val="16"/>
          <w:lang w:val="de-DE" w:eastAsia="en-US"/>
        </w:rPr>
        <w:t>Auslegung der dem ADN beigefügten Verordnung</w:t>
      </w:r>
    </w:p>
    <w:p w:rsidR="00EE1D86" w:rsidRPr="002D550A" w:rsidRDefault="00EE1D86" w:rsidP="00EE1D86">
      <w:pPr>
        <w:tabs>
          <w:tab w:val="left" w:pos="2977"/>
        </w:tabs>
        <w:suppressAutoHyphens w:val="0"/>
        <w:spacing w:line="240" w:lineRule="auto"/>
        <w:ind w:left="3960"/>
        <w:rPr>
          <w:rFonts w:ascii="Arial" w:hAnsi="Arial" w:cs="Arial"/>
          <w:b/>
          <w:snapToGrid/>
          <w:sz w:val="16"/>
          <w:szCs w:val="16"/>
          <w:lang w:val="de-DE" w:eastAsia="en-US"/>
        </w:rPr>
      </w:pPr>
    </w:p>
    <w:p w:rsidR="009F0D42" w:rsidRPr="00453575"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snapToGrid/>
          <w:color w:val="000000"/>
          <w:sz w:val="22"/>
          <w:lang w:val="de-DE"/>
        </w:rPr>
      </w:pPr>
    </w:p>
    <w:p w:rsidR="008623E4" w:rsidRPr="002D550A" w:rsidRDefault="009F0D42" w:rsidP="008623E4">
      <w:pPr>
        <w:tabs>
          <w:tab w:val="right" w:pos="851"/>
        </w:tabs>
        <w:snapToGrid w:val="0"/>
        <w:spacing w:line="300" w:lineRule="exact"/>
        <w:ind w:left="1134" w:right="1134" w:hanging="1134"/>
        <w:jc w:val="both"/>
        <w:rPr>
          <w:b/>
          <w:bCs/>
          <w:snapToGrid/>
          <w:sz w:val="28"/>
          <w:szCs w:val="24"/>
          <w:lang w:val="de-DE"/>
        </w:rPr>
      </w:pPr>
      <w:r w:rsidRPr="00453575">
        <w:rPr>
          <w:b/>
          <w:bCs/>
          <w:snapToGrid/>
          <w:sz w:val="28"/>
          <w:szCs w:val="24"/>
          <w:lang w:val="de-DE"/>
        </w:rPr>
        <w:tab/>
      </w:r>
      <w:r w:rsidRPr="00453575">
        <w:rPr>
          <w:b/>
          <w:bCs/>
          <w:snapToGrid/>
          <w:sz w:val="28"/>
          <w:szCs w:val="24"/>
          <w:lang w:val="de-DE"/>
        </w:rPr>
        <w:tab/>
      </w:r>
      <w:r w:rsidR="00FD5786" w:rsidRPr="00FD5786">
        <w:rPr>
          <w:b/>
          <w:bCs/>
          <w:snapToGrid/>
          <w:sz w:val="28"/>
          <w:szCs w:val="24"/>
          <w:lang w:val="de-DE"/>
        </w:rPr>
        <w:t>Unterabschnitt 3.2.3.1 ADN, Erläuterungen zur Tabelle C</w:t>
      </w:r>
    </w:p>
    <w:p w:rsidR="00EE1D86" w:rsidRPr="002D550A" w:rsidRDefault="009F0D42" w:rsidP="00EE1D86">
      <w:pPr>
        <w:keepNext/>
        <w:keepLines/>
        <w:tabs>
          <w:tab w:val="right" w:pos="851"/>
        </w:tabs>
        <w:spacing w:before="360" w:after="240" w:line="270" w:lineRule="exact"/>
        <w:ind w:left="1134" w:right="567" w:hanging="1134"/>
        <w:rPr>
          <w:b/>
          <w:snapToGrid/>
          <w:sz w:val="24"/>
          <w:lang w:val="fr-FR"/>
        </w:rPr>
      </w:pPr>
      <w:r w:rsidRPr="002D550A">
        <w:rPr>
          <w:b/>
          <w:snapToGrid/>
          <w:sz w:val="24"/>
          <w:lang w:val="de-DE"/>
        </w:rPr>
        <w:tab/>
      </w:r>
      <w:r w:rsidRPr="002D550A">
        <w:rPr>
          <w:b/>
          <w:snapToGrid/>
          <w:sz w:val="24"/>
          <w:lang w:val="de-DE"/>
        </w:rPr>
        <w:tab/>
      </w:r>
      <w:r w:rsidR="00EE1D86" w:rsidRPr="002D550A">
        <w:rPr>
          <w:b/>
          <w:snapToGrid/>
          <w:sz w:val="24"/>
          <w:lang w:val="fr-FR"/>
        </w:rPr>
        <w:t>Vorgelegt von Deutschland</w:t>
      </w:r>
      <w:r w:rsidR="00EE1D86" w:rsidRPr="00FF2FF5">
        <w:rPr>
          <w:b/>
          <w:noProof/>
          <w:sz w:val="18"/>
          <w:szCs w:val="24"/>
          <w:vertAlign w:val="superscript"/>
          <w:lang w:val="de-DE"/>
        </w:rPr>
        <w:footnoteReference w:id="2"/>
      </w:r>
      <w:r w:rsidR="00FF2FF5" w:rsidRPr="00FF2FF5">
        <w:rPr>
          <w:b/>
          <w:noProof/>
          <w:sz w:val="18"/>
          <w:szCs w:val="24"/>
          <w:vertAlign w:val="superscript"/>
          <w:lang w:val="de-DE"/>
        </w:rPr>
        <w:t>,</w:t>
      </w:r>
      <w:r w:rsidR="00FF2FF5" w:rsidRPr="00FF2FF5">
        <w:rPr>
          <w:b/>
          <w:noProof/>
          <w:sz w:val="18"/>
          <w:szCs w:val="24"/>
          <w:vertAlign w:val="superscript"/>
          <w:lang w:val="de-DE"/>
        </w:rPr>
        <w:footnoteReference w:id="3"/>
      </w:r>
    </w:p>
    <w:p w:rsidR="00FD5786" w:rsidRPr="00FD5786" w:rsidRDefault="00FD5786" w:rsidP="00FD5786">
      <w:pPr>
        <w:widowControl w:val="0"/>
        <w:suppressAutoHyphens w:val="0"/>
        <w:overflowPunct w:val="0"/>
        <w:autoSpaceDE w:val="0"/>
        <w:autoSpaceDN w:val="0"/>
        <w:adjustRightInd w:val="0"/>
        <w:spacing w:before="180" w:line="360" w:lineRule="auto"/>
        <w:ind w:right="567"/>
        <w:jc w:val="both"/>
        <w:textAlignment w:val="baseline"/>
        <w:rPr>
          <w:bCs/>
          <w:snapToGrid/>
          <w:sz w:val="22"/>
          <w:szCs w:val="18"/>
          <w:lang w:val="de-DE"/>
        </w:rPr>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32"/>
        <w:gridCol w:w="6307"/>
      </w:tblGrid>
      <w:tr w:rsidR="00FD5786" w:rsidRPr="00FD5786" w:rsidTr="00804A4E">
        <w:trPr>
          <w:jc w:val="center"/>
        </w:trPr>
        <w:tc>
          <w:tcPr>
            <w:tcW w:w="3332" w:type="dxa"/>
          </w:tcPr>
          <w:p w:rsidR="00FD5786" w:rsidRPr="00FD5786" w:rsidRDefault="00FD5786" w:rsidP="00FD5786">
            <w:pPr>
              <w:widowControl w:val="0"/>
              <w:tabs>
                <w:tab w:val="left" w:pos="284"/>
              </w:tabs>
              <w:suppressAutoHyphens w:val="0"/>
              <w:overflowPunct w:val="0"/>
              <w:autoSpaceDE w:val="0"/>
              <w:autoSpaceDN w:val="0"/>
              <w:adjustRightInd w:val="0"/>
              <w:ind w:right="567"/>
              <w:jc w:val="both"/>
              <w:textAlignment w:val="baseline"/>
              <w:rPr>
                <w:snapToGrid/>
                <w:color w:val="000000"/>
                <w:lang w:val="de-DE" w:eastAsia="en-US"/>
              </w:rPr>
            </w:pPr>
            <w:r w:rsidRPr="00FD5786">
              <w:rPr>
                <w:rFonts w:eastAsia="Arial"/>
                <w:i/>
                <w:snapToGrid/>
                <w:color w:val="000000"/>
                <w:lang w:val="de-DE" w:eastAsia="en-US"/>
              </w:rPr>
              <w:t>Zusammenfassung</w:t>
            </w:r>
          </w:p>
        </w:tc>
        <w:tc>
          <w:tcPr>
            <w:tcW w:w="6307" w:type="dxa"/>
          </w:tcPr>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color w:val="000000"/>
                <w:lang w:val="de-DE" w:eastAsia="en-US"/>
              </w:rPr>
            </w:pPr>
          </w:p>
        </w:tc>
      </w:tr>
      <w:tr w:rsidR="00FD5786" w:rsidRPr="005712C9" w:rsidTr="00804A4E">
        <w:trPr>
          <w:jc w:val="center"/>
        </w:trPr>
        <w:tc>
          <w:tcPr>
            <w:tcW w:w="3332" w:type="dxa"/>
          </w:tcPr>
          <w:p w:rsidR="00FD5786" w:rsidRPr="00FD5786" w:rsidRDefault="00FD5786" w:rsidP="00FD5786">
            <w:pPr>
              <w:widowControl w:val="0"/>
              <w:tabs>
                <w:tab w:val="left" w:pos="284"/>
              </w:tabs>
              <w:suppressAutoHyphens w:val="0"/>
              <w:overflowPunct w:val="0"/>
              <w:autoSpaceDE w:val="0"/>
              <w:autoSpaceDN w:val="0"/>
              <w:adjustRightInd w:val="0"/>
              <w:spacing w:before="120"/>
              <w:ind w:right="567"/>
              <w:textAlignment w:val="baseline"/>
              <w:rPr>
                <w:b/>
                <w:snapToGrid/>
                <w:color w:val="000000"/>
                <w:lang w:val="de-DE" w:eastAsia="en-US"/>
              </w:rPr>
            </w:pPr>
            <w:r w:rsidRPr="00FD5786">
              <w:rPr>
                <w:b/>
                <w:snapToGrid/>
                <w:color w:val="000000"/>
                <w:lang w:val="de-DE" w:eastAsia="en-US"/>
              </w:rPr>
              <w:t>Analytische</w:t>
            </w:r>
          </w:p>
          <w:p w:rsidR="00FD5786" w:rsidRPr="00FD5786" w:rsidRDefault="00FD5786" w:rsidP="00FD5786">
            <w:pPr>
              <w:widowControl w:val="0"/>
              <w:tabs>
                <w:tab w:val="left" w:pos="284"/>
              </w:tabs>
              <w:suppressAutoHyphens w:val="0"/>
              <w:overflowPunct w:val="0"/>
              <w:autoSpaceDE w:val="0"/>
              <w:autoSpaceDN w:val="0"/>
              <w:adjustRightInd w:val="0"/>
              <w:ind w:right="567"/>
              <w:textAlignment w:val="baseline"/>
              <w:rPr>
                <w:snapToGrid/>
                <w:color w:val="000000"/>
                <w:lang w:val="de-DE" w:eastAsia="en-US"/>
              </w:rPr>
            </w:pPr>
            <w:r w:rsidRPr="00FD5786">
              <w:rPr>
                <w:b/>
                <w:snapToGrid/>
                <w:color w:val="000000"/>
                <w:lang w:val="de-DE" w:eastAsia="en-US"/>
              </w:rPr>
              <w:t>Zusammenfassung:</w:t>
            </w:r>
          </w:p>
        </w:tc>
        <w:tc>
          <w:tcPr>
            <w:tcW w:w="6307" w:type="dxa"/>
          </w:tcPr>
          <w:p w:rsidR="00FD5786" w:rsidRPr="00FD5786" w:rsidRDefault="00FD5786" w:rsidP="00FD5786">
            <w:pPr>
              <w:widowControl w:val="0"/>
              <w:suppressAutoHyphens w:val="0"/>
              <w:overflowPunct w:val="0"/>
              <w:autoSpaceDE w:val="0"/>
              <w:autoSpaceDN w:val="0"/>
              <w:adjustRightInd w:val="0"/>
              <w:spacing w:before="120"/>
              <w:ind w:right="567"/>
              <w:jc w:val="both"/>
              <w:textAlignment w:val="baseline"/>
              <w:rPr>
                <w:bCs/>
                <w:snapToGrid/>
                <w:color w:val="000000"/>
                <w:lang w:val="de-DE"/>
              </w:rPr>
            </w:pPr>
            <w:r w:rsidRPr="00FD5786">
              <w:rPr>
                <w:bCs/>
                <w:snapToGrid/>
                <w:color w:val="000000"/>
                <w:lang w:val="de-DE"/>
              </w:rPr>
              <w:t>Unterabschnitt 3.2.3.1 ADN, Erläuterungen zur Tabelle C enthält eine Erläuternde Bemerkung zu Spalte (5) Gefahren.</w:t>
            </w:r>
          </w:p>
          <w:p w:rsidR="00FD5786" w:rsidRPr="00FD5786" w:rsidRDefault="00FD5786" w:rsidP="00FD5786">
            <w:pPr>
              <w:widowControl w:val="0"/>
              <w:suppressAutoHyphens w:val="0"/>
              <w:overflowPunct w:val="0"/>
              <w:autoSpaceDE w:val="0"/>
              <w:autoSpaceDN w:val="0"/>
              <w:adjustRightInd w:val="0"/>
              <w:ind w:right="567"/>
              <w:jc w:val="both"/>
              <w:textAlignment w:val="baseline"/>
              <w:rPr>
                <w:bCs/>
                <w:snapToGrid/>
                <w:color w:val="000000"/>
                <w:lang w:val="de-DE"/>
              </w:rPr>
            </w:pPr>
            <w:r w:rsidRPr="00FD5786">
              <w:rPr>
                <w:bCs/>
                <w:snapToGrid/>
                <w:color w:val="000000"/>
                <w:lang w:val="de-DE"/>
              </w:rPr>
              <w:t>Der 4. Absatz dieser Bemerkung sieht für Stoffe oder Mischungen mit CMR-Eigenschaften den Code „CMR“ vor.</w:t>
            </w:r>
          </w:p>
          <w:p w:rsidR="00FD5786" w:rsidRPr="00FD5786" w:rsidRDefault="00FD5786" w:rsidP="00FD5786">
            <w:pPr>
              <w:widowControl w:val="0"/>
              <w:suppressAutoHyphens w:val="0"/>
              <w:overflowPunct w:val="0"/>
              <w:autoSpaceDE w:val="0"/>
              <w:autoSpaceDN w:val="0"/>
              <w:adjustRightInd w:val="0"/>
              <w:ind w:right="567"/>
              <w:jc w:val="both"/>
              <w:textAlignment w:val="baseline"/>
              <w:rPr>
                <w:bCs/>
                <w:snapToGrid/>
                <w:color w:val="000000"/>
                <w:lang w:val="de-DE"/>
              </w:rPr>
            </w:pPr>
            <w:r w:rsidRPr="00FD5786">
              <w:rPr>
                <w:bCs/>
                <w:snapToGrid/>
                <w:color w:val="000000"/>
                <w:lang w:val="de-DE"/>
              </w:rPr>
              <w:t>CMR-Eigenschaften werden in die Kategorien 1A, 1B und 2 unterschieden.</w:t>
            </w:r>
          </w:p>
          <w:p w:rsidR="00FD5786" w:rsidRPr="00FD5786" w:rsidRDefault="00FD5786" w:rsidP="00FD5786">
            <w:pPr>
              <w:widowControl w:val="0"/>
              <w:suppressAutoHyphens w:val="0"/>
              <w:overflowPunct w:val="0"/>
              <w:autoSpaceDE w:val="0"/>
              <w:autoSpaceDN w:val="0"/>
              <w:adjustRightInd w:val="0"/>
              <w:spacing w:after="120"/>
              <w:ind w:right="567"/>
              <w:jc w:val="both"/>
              <w:textAlignment w:val="baseline"/>
              <w:rPr>
                <w:snapToGrid/>
                <w:color w:val="000000"/>
                <w:lang w:val="de-DE" w:eastAsia="en-US"/>
              </w:rPr>
            </w:pPr>
            <w:r w:rsidRPr="00FD5786">
              <w:rPr>
                <w:bCs/>
                <w:snapToGrid/>
                <w:color w:val="000000"/>
                <w:lang w:val="de-DE"/>
              </w:rPr>
              <w:t>Es ist nicht klar, ob in Spalte (5) auch Stoffe oder Mischungen, die die CMR-Kategorie 2 aufweisen, gekennzeichnet werden sollen.</w:t>
            </w:r>
          </w:p>
        </w:tc>
      </w:tr>
      <w:tr w:rsidR="00FD5786" w:rsidRPr="00FD5786" w:rsidTr="00804A4E">
        <w:trPr>
          <w:jc w:val="center"/>
        </w:trPr>
        <w:tc>
          <w:tcPr>
            <w:tcW w:w="3332" w:type="dxa"/>
          </w:tcPr>
          <w:p w:rsidR="00FD5786" w:rsidRPr="00FD5786" w:rsidRDefault="00FD5786" w:rsidP="00FD5786">
            <w:pPr>
              <w:widowControl w:val="0"/>
              <w:tabs>
                <w:tab w:val="left" w:pos="284"/>
              </w:tabs>
              <w:suppressAutoHyphens w:val="0"/>
              <w:overflowPunct w:val="0"/>
              <w:autoSpaceDE w:val="0"/>
              <w:autoSpaceDN w:val="0"/>
              <w:adjustRightInd w:val="0"/>
              <w:spacing w:before="120"/>
              <w:ind w:right="567"/>
              <w:textAlignment w:val="baseline"/>
              <w:rPr>
                <w:b/>
                <w:snapToGrid/>
                <w:color w:val="000000"/>
                <w:lang w:val="de-DE" w:eastAsia="en-US"/>
              </w:rPr>
            </w:pPr>
            <w:r w:rsidRPr="00FD5786">
              <w:rPr>
                <w:b/>
                <w:snapToGrid/>
                <w:color w:val="000000"/>
                <w:lang w:val="de-DE" w:eastAsia="en-US"/>
              </w:rPr>
              <w:t>Zu ergreifende</w:t>
            </w:r>
          </w:p>
          <w:p w:rsidR="00FD5786" w:rsidRPr="00FD5786" w:rsidRDefault="00FD5786" w:rsidP="00FD5786">
            <w:pPr>
              <w:widowControl w:val="0"/>
              <w:tabs>
                <w:tab w:val="left" w:pos="284"/>
              </w:tabs>
              <w:suppressAutoHyphens w:val="0"/>
              <w:overflowPunct w:val="0"/>
              <w:autoSpaceDE w:val="0"/>
              <w:autoSpaceDN w:val="0"/>
              <w:adjustRightInd w:val="0"/>
              <w:spacing w:after="120"/>
              <w:ind w:right="567"/>
              <w:textAlignment w:val="baseline"/>
              <w:rPr>
                <w:b/>
                <w:snapToGrid/>
                <w:color w:val="000000"/>
                <w:lang w:val="de-DE" w:eastAsia="en-US"/>
              </w:rPr>
            </w:pPr>
            <w:r w:rsidRPr="00FD5786">
              <w:rPr>
                <w:b/>
                <w:snapToGrid/>
                <w:color w:val="000000"/>
                <w:lang w:val="de-DE" w:eastAsia="en-US"/>
              </w:rPr>
              <w:t>Maßnahme:</w:t>
            </w:r>
          </w:p>
        </w:tc>
        <w:tc>
          <w:tcPr>
            <w:tcW w:w="6307" w:type="dxa"/>
          </w:tcPr>
          <w:p w:rsidR="00FD5786" w:rsidRPr="00FD5786" w:rsidRDefault="00FD5786" w:rsidP="00FD5786">
            <w:pPr>
              <w:widowControl w:val="0"/>
              <w:suppressAutoHyphens w:val="0"/>
              <w:overflowPunct w:val="0"/>
              <w:autoSpaceDE w:val="0"/>
              <w:autoSpaceDN w:val="0"/>
              <w:adjustRightInd w:val="0"/>
              <w:spacing w:before="120" w:after="120"/>
              <w:ind w:right="567"/>
              <w:jc w:val="both"/>
              <w:textAlignment w:val="baseline"/>
              <w:rPr>
                <w:snapToGrid/>
                <w:color w:val="000000"/>
                <w:lang w:val="de-DE" w:eastAsia="en-US"/>
              </w:rPr>
            </w:pPr>
            <w:r w:rsidRPr="00FD5786">
              <w:rPr>
                <w:bCs/>
                <w:snapToGrid/>
                <w:color w:val="000000"/>
                <w:lang w:val="de-DE"/>
              </w:rPr>
              <w:t>Beratung im ADN-Sicherheitsausschuss.</w:t>
            </w:r>
          </w:p>
        </w:tc>
      </w:tr>
      <w:tr w:rsidR="00FD5786" w:rsidRPr="00FD5786" w:rsidTr="00804A4E">
        <w:trPr>
          <w:jc w:val="center"/>
        </w:trPr>
        <w:tc>
          <w:tcPr>
            <w:tcW w:w="3332" w:type="dxa"/>
          </w:tcPr>
          <w:p w:rsidR="00FD5786" w:rsidRPr="00FD5786" w:rsidRDefault="00FD5786" w:rsidP="00FD5786">
            <w:pPr>
              <w:widowControl w:val="0"/>
              <w:tabs>
                <w:tab w:val="left" w:pos="284"/>
              </w:tabs>
              <w:suppressAutoHyphens w:val="0"/>
              <w:overflowPunct w:val="0"/>
              <w:autoSpaceDE w:val="0"/>
              <w:autoSpaceDN w:val="0"/>
              <w:adjustRightInd w:val="0"/>
              <w:spacing w:before="120" w:after="120"/>
              <w:ind w:right="567"/>
              <w:textAlignment w:val="baseline"/>
              <w:rPr>
                <w:b/>
                <w:snapToGrid/>
                <w:color w:val="000000"/>
                <w:lang w:val="de-DE" w:eastAsia="en-US"/>
              </w:rPr>
            </w:pPr>
            <w:r w:rsidRPr="00FD5786">
              <w:rPr>
                <w:b/>
                <w:snapToGrid/>
                <w:color w:val="000000"/>
                <w:lang w:val="de-DE" w:eastAsia="en-US"/>
              </w:rPr>
              <w:t>Verbundene Dokumente:</w:t>
            </w:r>
          </w:p>
        </w:tc>
        <w:tc>
          <w:tcPr>
            <w:tcW w:w="6307" w:type="dxa"/>
          </w:tcPr>
          <w:p w:rsidR="00FD5786" w:rsidRPr="00FD5786" w:rsidRDefault="00FD5786" w:rsidP="00FD5786">
            <w:pPr>
              <w:widowControl w:val="0"/>
              <w:suppressAutoHyphens w:val="0"/>
              <w:overflowPunct w:val="0"/>
              <w:autoSpaceDE w:val="0"/>
              <w:autoSpaceDN w:val="0"/>
              <w:adjustRightInd w:val="0"/>
              <w:spacing w:before="120" w:after="120"/>
              <w:ind w:right="567"/>
              <w:jc w:val="both"/>
              <w:textAlignment w:val="baseline"/>
              <w:rPr>
                <w:snapToGrid/>
                <w:color w:val="000000"/>
                <w:lang w:val="de-DE" w:eastAsia="en-US"/>
              </w:rPr>
            </w:pPr>
            <w:r w:rsidRPr="00FD5786">
              <w:rPr>
                <w:bCs/>
                <w:snapToGrid/>
                <w:color w:val="000000"/>
                <w:lang w:val="de-DE"/>
              </w:rPr>
              <w:t>keine</w:t>
            </w:r>
          </w:p>
        </w:tc>
      </w:tr>
    </w:tbl>
    <w:p w:rsidR="00FD5786" w:rsidRDefault="00FD5786" w:rsidP="00FD5786">
      <w:pPr>
        <w:widowControl w:val="0"/>
        <w:suppressAutoHyphens w:val="0"/>
        <w:overflowPunct w:val="0"/>
        <w:autoSpaceDE w:val="0"/>
        <w:autoSpaceDN w:val="0"/>
        <w:adjustRightInd w:val="0"/>
        <w:ind w:right="567"/>
        <w:jc w:val="both"/>
        <w:textAlignment w:val="baseline"/>
        <w:rPr>
          <w:b/>
          <w:bCs/>
          <w:snapToGrid/>
          <w:lang w:val="de-DE"/>
        </w:rPr>
      </w:pPr>
    </w:p>
    <w:p w:rsidR="00B83204" w:rsidRPr="00FD5786" w:rsidRDefault="00B83204" w:rsidP="00FD5786">
      <w:pPr>
        <w:widowControl w:val="0"/>
        <w:suppressAutoHyphens w:val="0"/>
        <w:overflowPunct w:val="0"/>
        <w:autoSpaceDE w:val="0"/>
        <w:autoSpaceDN w:val="0"/>
        <w:adjustRightInd w:val="0"/>
        <w:ind w:right="567"/>
        <w:jc w:val="both"/>
        <w:textAlignment w:val="baseline"/>
        <w:rPr>
          <w:b/>
          <w:bCs/>
          <w:snapToGrid/>
          <w:lang w:val="de-DE"/>
        </w:rPr>
      </w:pPr>
    </w:p>
    <w:p w:rsidR="00FF2FF5" w:rsidRDefault="00FF2FF5">
      <w:pPr>
        <w:suppressAutoHyphens w:val="0"/>
        <w:spacing w:line="240" w:lineRule="auto"/>
        <w:rPr>
          <w:b/>
          <w:bCs/>
          <w:snapToGrid/>
          <w:sz w:val="24"/>
          <w:szCs w:val="24"/>
          <w:lang w:val="de-DE"/>
        </w:rPr>
      </w:pPr>
      <w:r>
        <w:rPr>
          <w:b/>
          <w:bCs/>
          <w:snapToGrid/>
          <w:sz w:val="24"/>
          <w:szCs w:val="24"/>
          <w:lang w:val="de-DE"/>
        </w:rPr>
        <w:br w:type="page"/>
      </w:r>
    </w:p>
    <w:p w:rsidR="00FD5786" w:rsidRPr="00827320" w:rsidRDefault="00B83204" w:rsidP="00FD5786">
      <w:pPr>
        <w:widowControl w:val="0"/>
        <w:suppressAutoHyphens w:val="0"/>
        <w:overflowPunct w:val="0"/>
        <w:autoSpaceDE w:val="0"/>
        <w:autoSpaceDN w:val="0"/>
        <w:adjustRightInd w:val="0"/>
        <w:ind w:right="567"/>
        <w:jc w:val="both"/>
        <w:textAlignment w:val="baseline"/>
        <w:rPr>
          <w:b/>
          <w:bCs/>
          <w:snapToGrid/>
          <w:sz w:val="24"/>
          <w:szCs w:val="24"/>
          <w:lang w:val="de-DE"/>
        </w:rPr>
      </w:pPr>
      <w:r w:rsidRPr="00827320">
        <w:rPr>
          <w:b/>
          <w:bCs/>
          <w:snapToGrid/>
          <w:sz w:val="24"/>
          <w:szCs w:val="24"/>
          <w:lang w:val="de-DE"/>
        </w:rPr>
        <w:lastRenderedPageBreak/>
        <w:t>I.</w:t>
      </w:r>
      <w:r w:rsidRPr="00827320">
        <w:rPr>
          <w:b/>
          <w:bCs/>
          <w:snapToGrid/>
          <w:sz w:val="24"/>
          <w:szCs w:val="24"/>
          <w:lang w:val="de-DE"/>
        </w:rPr>
        <w:tab/>
      </w:r>
      <w:r w:rsidR="00FD5786" w:rsidRPr="00827320">
        <w:rPr>
          <w:b/>
          <w:bCs/>
          <w:snapToGrid/>
          <w:sz w:val="24"/>
          <w:szCs w:val="24"/>
          <w:lang w:val="de-DE"/>
        </w:rPr>
        <w:t>Einleitung</w:t>
      </w:r>
    </w:p>
    <w:p w:rsidR="00FD5786" w:rsidRPr="00FD5786" w:rsidRDefault="00FD5786" w:rsidP="00FD5786">
      <w:pPr>
        <w:widowControl w:val="0"/>
        <w:suppressAutoHyphens w:val="0"/>
        <w:overflowPunct w:val="0"/>
        <w:autoSpaceDE w:val="0"/>
        <w:autoSpaceDN w:val="0"/>
        <w:adjustRightInd w:val="0"/>
        <w:ind w:right="567"/>
        <w:jc w:val="both"/>
        <w:textAlignment w:val="baseline"/>
        <w:rPr>
          <w:b/>
          <w:bCs/>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1.</w:t>
      </w:r>
      <w:r w:rsidRPr="00FD5786">
        <w:rPr>
          <w:snapToGrid/>
          <w:lang w:val="de-DE"/>
        </w:rPr>
        <w:tab/>
        <w:t>Auslöser für die folgende Diskussion ist Ziffer 1 der Multilateralen Vereinbarung ADN/M 005, wonach UN</w:t>
      </w:r>
      <w:r>
        <w:rPr>
          <w:snapToGrid/>
          <w:lang w:val="de-DE"/>
        </w:rPr>
        <w:t> </w:t>
      </w:r>
      <w:r w:rsidRPr="00FD5786">
        <w:rPr>
          <w:snapToGrid/>
          <w:lang w:val="de-DE"/>
        </w:rPr>
        <w:t>3082 (Schweres Heizöl) bis 31.12.2014 dann in Schiffen des Typs N offen befördert werden durfte, wenn der Stoff keine CMR-Eigenschaften aufweist. Dabei wurde davon ausgegangen, dass sich die Forderung nach einem geschlossenen Ladetank aus der CMR-Eigenschaft eines Stoffes oder einer Mischung ergibt.</w:t>
      </w:r>
    </w:p>
    <w:p w:rsidR="00FD5786" w:rsidRPr="00FD5786" w:rsidRDefault="00FD5786" w:rsidP="00FD5786">
      <w:pPr>
        <w:widowControl w:val="0"/>
        <w:suppressAutoHyphens w:val="0"/>
        <w:overflowPunct w:val="0"/>
        <w:autoSpaceDE w:val="0"/>
        <w:autoSpaceDN w:val="0"/>
        <w:adjustRightInd w:val="0"/>
        <w:ind w:right="567"/>
        <w:jc w:val="both"/>
        <w:textAlignment w:val="baseline"/>
        <w:rPr>
          <w:bCs/>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 xml:space="preserve">2. </w:t>
      </w:r>
      <w:r w:rsidRPr="00FD5786">
        <w:rPr>
          <w:snapToGrid/>
          <w:lang w:val="de-DE"/>
        </w:rPr>
        <w:tab/>
        <w:t>Nach Informationen aus den Reihen der Mineralölwirtschaft wurde davon ausgegangen, dass es kein der UN-Nummer 3082 zuzuordnendes Schweres Heizöl ohne CMR-Eigenschaften auf dem Markt gibt. Daher wurde die vorgenannte Vereinbarung nicht verlängert.</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3.</w:t>
      </w:r>
      <w:r w:rsidRPr="00FD5786">
        <w:rPr>
          <w:snapToGrid/>
          <w:lang w:val="de-DE"/>
        </w:rPr>
        <w:tab/>
        <w:t>Es sind verschiedene Sicherheitsdatenblätter für Schweres Heizöl im Internet verfügbar, in denen teils die CMR-Kategorie 1B, teils die Kategorie 2 angegeben wird.</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4.</w:t>
      </w:r>
      <w:r w:rsidRPr="00FD5786">
        <w:rPr>
          <w:snapToGrid/>
          <w:lang w:val="de-DE"/>
        </w:rPr>
        <w:tab/>
        <w:t>Nach dem GHS werden die CMR-Eigenschaften eines Stoffes oder einer Mischung in drei Kategorien unterteilt:</w:t>
      </w:r>
    </w:p>
    <w:p w:rsidR="00FD5786" w:rsidRPr="00FD5786" w:rsidRDefault="00FD5786" w:rsidP="00827320">
      <w:pPr>
        <w:widowControl w:val="0"/>
        <w:suppressAutoHyphens w:val="0"/>
        <w:overflowPunct w:val="0"/>
        <w:autoSpaceDE w:val="0"/>
        <w:autoSpaceDN w:val="0"/>
        <w:adjustRightInd w:val="0"/>
        <w:ind w:left="567" w:right="567"/>
        <w:jc w:val="both"/>
        <w:textAlignment w:val="baseline"/>
        <w:rPr>
          <w:snapToGrid/>
          <w:lang w:val="de-DE"/>
        </w:rPr>
      </w:pPr>
      <w:r w:rsidRPr="00FD5786">
        <w:rPr>
          <w:snapToGrid/>
          <w:u w:val="single"/>
          <w:lang w:val="de-DE"/>
        </w:rPr>
        <w:t>Kategorie 1A:</w:t>
      </w:r>
      <w:r w:rsidRPr="00FD5786">
        <w:rPr>
          <w:snapToGrid/>
          <w:lang w:val="de-DE"/>
        </w:rPr>
        <w:t xml:space="preserve"> Wirken beim Menschen bekanntermaßen CMR-erzeugend</w:t>
      </w:r>
    </w:p>
    <w:p w:rsidR="00FD5786" w:rsidRPr="00FD5786" w:rsidRDefault="00FD5786" w:rsidP="00827320">
      <w:pPr>
        <w:widowControl w:val="0"/>
        <w:suppressAutoHyphens w:val="0"/>
        <w:overflowPunct w:val="0"/>
        <w:autoSpaceDE w:val="0"/>
        <w:autoSpaceDN w:val="0"/>
        <w:adjustRightInd w:val="0"/>
        <w:ind w:left="567" w:right="567"/>
        <w:jc w:val="both"/>
        <w:textAlignment w:val="baseline"/>
        <w:rPr>
          <w:snapToGrid/>
          <w:lang w:val="de-DE"/>
        </w:rPr>
      </w:pPr>
      <w:r w:rsidRPr="00FD5786">
        <w:rPr>
          <w:snapToGrid/>
          <w:u w:val="single"/>
          <w:lang w:val="de-DE"/>
        </w:rPr>
        <w:t>Kategorie 1B:</w:t>
      </w:r>
      <w:r w:rsidRPr="00FD5786">
        <w:rPr>
          <w:snapToGrid/>
          <w:lang w:val="de-DE"/>
        </w:rPr>
        <w:t xml:space="preserve"> Es existieren hinreichende Anhaltspunkte für CMR-Eigenschaften</w:t>
      </w:r>
    </w:p>
    <w:p w:rsidR="00FD5786" w:rsidRPr="00FD5786" w:rsidRDefault="00FD5786" w:rsidP="00827320">
      <w:pPr>
        <w:widowControl w:val="0"/>
        <w:suppressAutoHyphens w:val="0"/>
        <w:overflowPunct w:val="0"/>
        <w:autoSpaceDE w:val="0"/>
        <w:autoSpaceDN w:val="0"/>
        <w:adjustRightInd w:val="0"/>
        <w:ind w:left="567" w:right="567"/>
        <w:jc w:val="both"/>
        <w:textAlignment w:val="baseline"/>
        <w:rPr>
          <w:b/>
          <w:bCs/>
          <w:snapToGrid/>
          <w:lang w:val="de-DE"/>
        </w:rPr>
      </w:pPr>
      <w:r w:rsidRPr="00FD5786">
        <w:rPr>
          <w:snapToGrid/>
          <w:u w:val="single"/>
          <w:lang w:val="de-DE"/>
        </w:rPr>
        <w:t>Kategorie 2:</w:t>
      </w:r>
      <w:r w:rsidRPr="00FD5786">
        <w:rPr>
          <w:snapToGrid/>
          <w:lang w:val="de-DE"/>
        </w:rPr>
        <w:t xml:space="preserve"> CMR-Verdachtsstoffe; es existieren Hinweise, aber keine ausreichenden Anhaltspunkte</w:t>
      </w:r>
    </w:p>
    <w:p w:rsidR="00FD5786" w:rsidRPr="00FD5786" w:rsidRDefault="00FD5786" w:rsidP="00827320">
      <w:pPr>
        <w:widowControl w:val="0"/>
        <w:suppressAutoHyphens w:val="0"/>
        <w:overflowPunct w:val="0"/>
        <w:autoSpaceDE w:val="0"/>
        <w:autoSpaceDN w:val="0"/>
        <w:adjustRightInd w:val="0"/>
        <w:ind w:left="567" w:right="567"/>
        <w:textAlignment w:val="baseline"/>
        <w:rPr>
          <w:snapToGrid/>
          <w:color w:val="000000"/>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5.</w:t>
      </w:r>
      <w:r w:rsidRPr="00FD5786">
        <w:rPr>
          <w:snapToGrid/>
          <w:lang w:val="de-DE"/>
        </w:rPr>
        <w:tab/>
        <w:t xml:space="preserve">Nach dem Entscheidungsdiagramm in 3.2.3.3 ADN benötigt man nur dann ein Schiff </w:t>
      </w:r>
      <w:r w:rsidRPr="00FD5786">
        <w:rPr>
          <w:i/>
          <w:snapToGrid/>
          <w:lang w:val="de-DE"/>
        </w:rPr>
        <w:t>„N-Schiff, geschlossen“</w:t>
      </w:r>
      <w:r w:rsidRPr="00FD5786">
        <w:rPr>
          <w:snapToGrid/>
          <w:lang w:val="de-DE"/>
        </w:rPr>
        <w:t>, wenn ein Stoff CMR-Eigenschaften der Kategorien 1A und 1B aufweist. (3. Kasten).</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6.</w:t>
      </w:r>
      <w:r w:rsidRPr="00FD5786">
        <w:rPr>
          <w:snapToGrid/>
          <w:lang w:val="de-DE"/>
        </w:rPr>
        <w:tab/>
        <w:t>Abschnitt 3.2.4 ADN „Modalitäten für die Anwendung des Abschnitts 1.5.2 bezüglich Ausnahmegenehmigungen für die Beförderung in Tankschiffen“ enthält einen Unterabschnitt 3.2.4.2 „Antragsvordruck für Ausnahmegenehmigungen nach Abschnitt 1.5.2. Dort wird unter Nummer 4 „Physiologische Gefahren“ auch folgendes abgefragt:</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„CMR-Eigenschaften gemäß Kategorien 1A und 1B der Kapitel 3.5, 3.6 und 3.7 des GHS:“.</w:t>
      </w:r>
    </w:p>
    <w:p w:rsidR="00FD5786" w:rsidRPr="00FD5786" w:rsidRDefault="00FD5786" w:rsidP="00FD5786">
      <w:pPr>
        <w:widowControl w:val="0"/>
        <w:suppressAutoHyphens w:val="0"/>
        <w:overflowPunct w:val="0"/>
        <w:autoSpaceDE w:val="0"/>
        <w:autoSpaceDN w:val="0"/>
        <w:adjustRightInd w:val="0"/>
        <w:ind w:right="567"/>
        <w:textAlignment w:val="baseline"/>
        <w:rPr>
          <w:snapToGrid/>
          <w:color w:val="000000"/>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7.</w:t>
      </w:r>
      <w:r w:rsidRPr="00FD5786">
        <w:rPr>
          <w:snapToGrid/>
          <w:lang w:val="de-DE"/>
        </w:rPr>
        <w:tab/>
        <w:t>Die Erläuternde Bemerkung zu Spalte (5) Gefahren in Unterabschnitt 3.2.3.1 ADN enthält keine Angabe, welche Kategorien der CMR-Eigenschaften den Eintrag des Codes „CMR“ veranlassen sollen.</w:t>
      </w:r>
    </w:p>
    <w:p w:rsid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3151F1" w:rsidRPr="00FD5786" w:rsidRDefault="003151F1"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3151F1" w:rsidP="00FD5786">
      <w:pPr>
        <w:widowControl w:val="0"/>
        <w:suppressAutoHyphens w:val="0"/>
        <w:overflowPunct w:val="0"/>
        <w:autoSpaceDE w:val="0"/>
        <w:autoSpaceDN w:val="0"/>
        <w:adjustRightInd w:val="0"/>
        <w:ind w:right="567"/>
        <w:jc w:val="both"/>
        <w:textAlignment w:val="baseline"/>
        <w:rPr>
          <w:b/>
          <w:snapToGrid/>
          <w:sz w:val="24"/>
          <w:szCs w:val="24"/>
          <w:lang w:val="de-DE"/>
        </w:rPr>
      </w:pPr>
      <w:r w:rsidRPr="00827320">
        <w:rPr>
          <w:b/>
          <w:snapToGrid/>
          <w:sz w:val="24"/>
          <w:szCs w:val="24"/>
          <w:lang w:val="de-DE"/>
        </w:rPr>
        <w:t>II.</w:t>
      </w:r>
      <w:r w:rsidRPr="00827320">
        <w:rPr>
          <w:b/>
          <w:snapToGrid/>
          <w:sz w:val="24"/>
          <w:szCs w:val="24"/>
          <w:lang w:val="de-DE"/>
        </w:rPr>
        <w:tab/>
      </w:r>
      <w:r w:rsidR="00FD5786" w:rsidRPr="00FD5786">
        <w:rPr>
          <w:b/>
          <w:snapToGrid/>
          <w:sz w:val="24"/>
          <w:szCs w:val="24"/>
          <w:lang w:val="de-DE"/>
        </w:rPr>
        <w:t>Auslegungsfrage</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8.</w:t>
      </w:r>
      <w:r w:rsidRPr="00FD5786">
        <w:rPr>
          <w:snapToGrid/>
          <w:lang w:val="de-DE"/>
        </w:rPr>
        <w:tab/>
        <w:t xml:space="preserve">Die unter 2. und 3. genannten Vorschriften lassen den Schluss zu, dass im ADN insgesamt und somit auch bei den Angaben in der Tabelle C bei der Frage nach den CMR-Eigenschaften eines Stoffes oder einer Mischung nur die Kategorien 1A und 1B von Interesse sind. </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9.</w:t>
      </w:r>
      <w:r w:rsidRPr="00FD5786">
        <w:rPr>
          <w:snapToGrid/>
          <w:lang w:val="de-DE"/>
        </w:rPr>
        <w:tab/>
        <w:t>Deutschland bittet den Sicherheitsausschuss, diese Frage zu beraten und über die richtige Auslegung von Unterabschnitt 3.2.3.1 ADN zu entscheiden.</w:t>
      </w:r>
    </w:p>
    <w:p w:rsidR="003151F1" w:rsidRDefault="003151F1" w:rsidP="00FD5786">
      <w:pPr>
        <w:widowControl w:val="0"/>
        <w:suppressAutoHyphens w:val="0"/>
        <w:overflowPunct w:val="0"/>
        <w:autoSpaceDE w:val="0"/>
        <w:autoSpaceDN w:val="0"/>
        <w:adjustRightInd w:val="0"/>
        <w:ind w:right="567"/>
        <w:jc w:val="both"/>
        <w:textAlignment w:val="baseline"/>
        <w:rPr>
          <w:snapToGrid/>
          <w:lang w:val="de-DE"/>
        </w:rPr>
      </w:pPr>
    </w:p>
    <w:p w:rsidR="003151F1" w:rsidRPr="00FD5786" w:rsidRDefault="003151F1"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3151F1" w:rsidP="00FD5786">
      <w:pPr>
        <w:widowControl w:val="0"/>
        <w:suppressAutoHyphens w:val="0"/>
        <w:overflowPunct w:val="0"/>
        <w:autoSpaceDE w:val="0"/>
        <w:autoSpaceDN w:val="0"/>
        <w:adjustRightInd w:val="0"/>
        <w:ind w:right="567"/>
        <w:jc w:val="both"/>
        <w:textAlignment w:val="baseline"/>
        <w:rPr>
          <w:b/>
          <w:snapToGrid/>
          <w:sz w:val="24"/>
          <w:szCs w:val="24"/>
          <w:lang w:val="de-DE"/>
        </w:rPr>
      </w:pPr>
      <w:r w:rsidRPr="00827320">
        <w:rPr>
          <w:b/>
          <w:snapToGrid/>
          <w:sz w:val="24"/>
          <w:szCs w:val="24"/>
          <w:lang w:val="de-DE"/>
        </w:rPr>
        <w:t>III.</w:t>
      </w:r>
      <w:r w:rsidRPr="00827320">
        <w:rPr>
          <w:b/>
          <w:snapToGrid/>
          <w:sz w:val="24"/>
          <w:szCs w:val="24"/>
          <w:lang w:val="de-DE"/>
        </w:rPr>
        <w:tab/>
      </w:r>
      <w:r w:rsidR="00FD5786" w:rsidRPr="00FD5786">
        <w:rPr>
          <w:b/>
          <w:snapToGrid/>
          <w:sz w:val="24"/>
          <w:szCs w:val="24"/>
          <w:lang w:val="de-DE"/>
        </w:rPr>
        <w:t>Vorläufige Schlussfolgerungen</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10.</w:t>
      </w:r>
      <w:r w:rsidRPr="00FD5786">
        <w:rPr>
          <w:snapToGrid/>
          <w:lang w:val="de-DE"/>
        </w:rPr>
        <w:tab/>
        <w:t xml:space="preserve">Stoffe oder Mischungen mit dem Eintrag „CMR“ in Spalte (5) verlangen entweder den Ladetankzustand „1 Drucktank“ oder „2 Ladetank, geschlossen“, oder diese Entscheidung ist nach Durchlaufen des Entscheidungsdiagramms in Unterabschnitt 3.2.3.2 ADN zu treffen. </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11.</w:t>
      </w:r>
      <w:r w:rsidRPr="00FD5786">
        <w:rPr>
          <w:snapToGrid/>
          <w:lang w:val="de-DE"/>
        </w:rPr>
        <w:tab/>
        <w:t xml:space="preserve">Nur bei einem Stoff, bei dem in Spalte (5) der Code CMR eingetragen ist, ist auch ein Ladetankzustand „3 Ladetank, offen mit Flammendurchschlagsicherung“ ausreichend: </w:t>
      </w:r>
    </w:p>
    <w:p w:rsidR="00FD5786" w:rsidRPr="00FD5786" w:rsidRDefault="00FD5786" w:rsidP="00FD5786">
      <w:pPr>
        <w:widowControl w:val="0"/>
        <w:suppressAutoHyphens w:val="0"/>
        <w:overflowPunct w:val="0"/>
        <w:autoSpaceDE w:val="0"/>
        <w:autoSpaceDN w:val="0"/>
        <w:adjustRightInd w:val="0"/>
        <w:ind w:right="567"/>
        <w:jc w:val="both"/>
        <w:textAlignment w:val="baseline"/>
        <w:rPr>
          <w:i/>
          <w:snapToGrid/>
          <w:lang w:val="de-DE"/>
        </w:rPr>
      </w:pPr>
      <w:r w:rsidRPr="00FD5786">
        <w:rPr>
          <w:i/>
          <w:snapToGrid/>
          <w:lang w:val="de-DE"/>
        </w:rPr>
        <w:t>UN 3256 ERWÄRMTER FLÜSSIGER STOFF, ENTZÜNDBAR, N.A.G., mit einem Flammpunkt über 60 °C, bei oder über seinem Flammpunkt.</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3151F1" w:rsidRDefault="003151F1">
      <w:pPr>
        <w:suppressAutoHyphens w:val="0"/>
        <w:spacing w:line="240" w:lineRule="auto"/>
        <w:rPr>
          <w:snapToGrid/>
          <w:lang w:val="de-DE"/>
        </w:rPr>
      </w:pPr>
      <w:r>
        <w:rPr>
          <w:snapToGrid/>
          <w:lang w:val="de-DE"/>
        </w:rPr>
        <w:br w:type="page"/>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lastRenderedPageBreak/>
        <w:t>12.</w:t>
      </w:r>
      <w:r w:rsidRPr="00FD5786">
        <w:rPr>
          <w:snapToGrid/>
          <w:lang w:val="de-DE"/>
        </w:rPr>
        <w:tab/>
        <w:t xml:space="preserve">Andererseits kann ein </w:t>
      </w:r>
      <w:r w:rsidRPr="00FD5786">
        <w:rPr>
          <w:i/>
          <w:snapToGrid/>
          <w:lang w:val="de-DE"/>
        </w:rPr>
        <w:t>Drucktank</w:t>
      </w:r>
      <w:r w:rsidRPr="00FD5786">
        <w:rPr>
          <w:snapToGrid/>
          <w:lang w:val="de-DE"/>
        </w:rPr>
        <w:t xml:space="preserve"> oder ein </w:t>
      </w:r>
      <w:r w:rsidRPr="00FD5786">
        <w:rPr>
          <w:i/>
          <w:snapToGrid/>
          <w:lang w:val="de-DE"/>
        </w:rPr>
        <w:t>Ladetank, geschlossen</w:t>
      </w:r>
      <w:r w:rsidRPr="00FD5786">
        <w:rPr>
          <w:snapToGrid/>
          <w:lang w:val="de-DE"/>
        </w:rPr>
        <w:t xml:space="preserve"> auch erforderlich sein, wenn ein Stoff oder eine Mischung </w:t>
      </w:r>
      <w:r w:rsidRPr="00FD5786">
        <w:rPr>
          <w:b/>
          <w:snapToGrid/>
          <w:lang w:val="de-DE"/>
        </w:rPr>
        <w:t>keine</w:t>
      </w:r>
      <w:r w:rsidRPr="00FD5786">
        <w:rPr>
          <w:snapToGrid/>
          <w:lang w:val="de-DE"/>
        </w:rPr>
        <w:t xml:space="preserve"> CMR-Gefahr aufweist auch </w:t>
      </w:r>
      <w:r w:rsidRPr="00FD5786">
        <w:rPr>
          <w:b/>
          <w:snapToGrid/>
          <w:lang w:val="de-DE"/>
        </w:rPr>
        <w:t>keine</w:t>
      </w:r>
      <w:r w:rsidRPr="00FD5786">
        <w:rPr>
          <w:snapToGrid/>
          <w:lang w:val="de-DE"/>
        </w:rPr>
        <w:t xml:space="preserve"> Umweltgefahr (N1 – N3) vermerkt ist:</w:t>
      </w:r>
    </w:p>
    <w:p w:rsidR="00FD5786" w:rsidRPr="00FD5786" w:rsidRDefault="00FD5786" w:rsidP="00FD5786">
      <w:pPr>
        <w:widowControl w:val="0"/>
        <w:suppressAutoHyphens w:val="0"/>
        <w:overflowPunct w:val="0"/>
        <w:autoSpaceDE w:val="0"/>
        <w:autoSpaceDN w:val="0"/>
        <w:adjustRightInd w:val="0"/>
        <w:jc w:val="both"/>
        <w:textAlignment w:val="baseline"/>
        <w:rPr>
          <w:snapToGrid/>
          <w:lang w:val="de-DE"/>
        </w:rPr>
      </w:pPr>
    </w:p>
    <w:tbl>
      <w:tblPr>
        <w:tblW w:w="8875" w:type="dxa"/>
        <w:tblInd w:w="55" w:type="dxa"/>
        <w:tblCellMar>
          <w:left w:w="70" w:type="dxa"/>
          <w:right w:w="70" w:type="dxa"/>
        </w:tblCellMar>
        <w:tblLook w:val="04A0" w:firstRow="1" w:lastRow="0" w:firstColumn="1" w:lastColumn="0" w:noHBand="0" w:noVBand="1"/>
      </w:tblPr>
      <w:tblGrid>
        <w:gridCol w:w="706"/>
        <w:gridCol w:w="4815"/>
        <w:gridCol w:w="466"/>
        <w:gridCol w:w="469"/>
        <w:gridCol w:w="466"/>
        <w:gridCol w:w="1021"/>
        <w:gridCol w:w="466"/>
        <w:gridCol w:w="466"/>
      </w:tblGrid>
      <w:tr w:rsidR="00FD5786" w:rsidRPr="00E65FE7" w:rsidTr="00E65FE7">
        <w:trPr>
          <w:trHeight w:val="260"/>
          <w:tblHeader/>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(3a)</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(3b)</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(4)</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sz w:val="16"/>
                <w:szCs w:val="16"/>
                <w:lang w:val="de-DE" w:eastAsia="de-DE"/>
              </w:rPr>
            </w:pPr>
            <w:r w:rsidRPr="00E65FE7">
              <w:rPr>
                <w:rFonts w:ascii="Arial" w:hAnsi="Arial" w:cs="Arial"/>
                <w:snapToGrid/>
                <w:sz w:val="16"/>
                <w:szCs w:val="16"/>
                <w:lang w:val="de-DE" w:eastAsia="de-DE"/>
              </w:rPr>
              <w:t>(5)</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(7)</w:t>
            </w:r>
          </w:p>
        </w:tc>
      </w:tr>
      <w:tr w:rsidR="00FD5786" w:rsidRPr="00E65FE7" w:rsidTr="00E65FE7">
        <w:trPr>
          <w:trHeight w:val="1897"/>
          <w:tblHeader/>
        </w:trPr>
        <w:tc>
          <w:tcPr>
            <w:tcW w:w="524" w:type="dxa"/>
            <w:tcBorders>
              <w:top w:val="nil"/>
              <w:left w:val="single" w:sz="4" w:space="0" w:color="auto"/>
              <w:bottom w:val="single" w:sz="4" w:space="0" w:color="auto"/>
              <w:right w:val="single" w:sz="4" w:space="0" w:color="auto"/>
            </w:tcBorders>
            <w:shd w:val="clear" w:color="auto" w:fill="auto"/>
            <w:textDirection w:val="tbRl"/>
            <w:vAlign w:val="center"/>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UN-Nummer </w:t>
            </w:r>
            <w:r w:rsidRPr="00E65FE7">
              <w:rPr>
                <w:rFonts w:ascii="Arial" w:hAnsi="Arial" w:cs="Arial"/>
                <w:snapToGrid/>
                <w:color w:val="000000"/>
                <w:sz w:val="16"/>
                <w:szCs w:val="16"/>
                <w:lang w:val="de-DE" w:eastAsia="de-DE"/>
              </w:rPr>
              <w:br/>
              <w:t>oder Stoffnummer</w:t>
            </w:r>
          </w:p>
        </w:tc>
        <w:tc>
          <w:tcPr>
            <w:tcW w:w="5161" w:type="dxa"/>
            <w:tcBorders>
              <w:top w:val="nil"/>
              <w:left w:val="nil"/>
              <w:bottom w:val="single" w:sz="4" w:space="0" w:color="auto"/>
              <w:right w:val="single" w:sz="4" w:space="0" w:color="auto"/>
            </w:tcBorders>
            <w:shd w:val="clear" w:color="auto" w:fill="auto"/>
            <w:vAlign w:val="center"/>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Klasse</w:t>
            </w:r>
          </w:p>
        </w:tc>
        <w:tc>
          <w:tcPr>
            <w:tcW w:w="469" w:type="dxa"/>
            <w:tcBorders>
              <w:top w:val="nil"/>
              <w:left w:val="nil"/>
              <w:bottom w:val="single" w:sz="4" w:space="0" w:color="auto"/>
              <w:right w:val="single" w:sz="4" w:space="0" w:color="auto"/>
            </w:tcBorders>
            <w:shd w:val="clear" w:color="auto" w:fill="auto"/>
            <w:textDirection w:val="tbRl"/>
            <w:vAlign w:val="center"/>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Klassifizierungscode</w:t>
            </w:r>
          </w:p>
        </w:tc>
        <w:tc>
          <w:tcPr>
            <w:tcW w:w="425" w:type="dxa"/>
            <w:tcBorders>
              <w:top w:val="nil"/>
              <w:left w:val="nil"/>
              <w:bottom w:val="single" w:sz="4" w:space="0" w:color="auto"/>
              <w:right w:val="single" w:sz="4" w:space="0" w:color="auto"/>
            </w:tcBorders>
            <w:shd w:val="clear" w:color="auto" w:fill="auto"/>
            <w:textDirection w:val="tbRl"/>
            <w:vAlign w:val="center"/>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Verpackungsgruppe</w:t>
            </w:r>
          </w:p>
        </w:tc>
        <w:tc>
          <w:tcPr>
            <w:tcW w:w="1021" w:type="dxa"/>
            <w:tcBorders>
              <w:top w:val="nil"/>
              <w:left w:val="nil"/>
              <w:bottom w:val="single" w:sz="4" w:space="0" w:color="auto"/>
              <w:right w:val="single" w:sz="4" w:space="0" w:color="auto"/>
            </w:tcBorders>
            <w:shd w:val="clear" w:color="auto" w:fill="auto"/>
            <w:textDirection w:val="tbRl"/>
            <w:vAlign w:val="center"/>
            <w:hideMark/>
          </w:tcPr>
          <w:p w:rsidR="00FD5786" w:rsidRPr="00E65FE7" w:rsidRDefault="00FD5786" w:rsidP="00E65FE7">
            <w:pPr>
              <w:suppressAutoHyphens w:val="0"/>
              <w:spacing w:before="40" w:after="40"/>
              <w:jc w:val="center"/>
              <w:rPr>
                <w:rFonts w:ascii="Arial" w:hAnsi="Arial" w:cs="Arial"/>
                <w:snapToGrid/>
                <w:sz w:val="16"/>
                <w:szCs w:val="16"/>
                <w:lang w:val="de-DE" w:eastAsia="de-DE"/>
              </w:rPr>
            </w:pPr>
            <w:r w:rsidRPr="00E65FE7">
              <w:rPr>
                <w:rFonts w:ascii="Arial" w:hAnsi="Arial" w:cs="Arial"/>
                <w:snapToGrid/>
                <w:sz w:val="16"/>
                <w:szCs w:val="16"/>
                <w:lang w:val="de-DE" w:eastAsia="de-DE"/>
              </w:rPr>
              <w:t>Gefahren</w:t>
            </w:r>
          </w:p>
        </w:tc>
        <w:tc>
          <w:tcPr>
            <w:tcW w:w="425" w:type="dxa"/>
            <w:tcBorders>
              <w:top w:val="nil"/>
              <w:left w:val="nil"/>
              <w:bottom w:val="single" w:sz="4" w:space="0" w:color="auto"/>
              <w:right w:val="single" w:sz="4" w:space="0" w:color="auto"/>
            </w:tcBorders>
            <w:shd w:val="clear" w:color="auto" w:fill="auto"/>
            <w:textDirection w:val="tbRl"/>
            <w:vAlign w:val="center"/>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Tankschiffstyp</w:t>
            </w:r>
          </w:p>
        </w:tc>
        <w:tc>
          <w:tcPr>
            <w:tcW w:w="425" w:type="dxa"/>
            <w:tcBorders>
              <w:top w:val="nil"/>
              <w:left w:val="nil"/>
              <w:bottom w:val="single" w:sz="4" w:space="0" w:color="auto"/>
              <w:right w:val="single" w:sz="4" w:space="0" w:color="auto"/>
            </w:tcBorders>
            <w:shd w:val="clear" w:color="auto" w:fill="auto"/>
            <w:textDirection w:val="tbRl"/>
            <w:vAlign w:val="center"/>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Ladetankzustand</w:t>
            </w:r>
          </w:p>
        </w:tc>
      </w:tr>
      <w:tr w:rsidR="00FD5786" w:rsidRPr="00E65FE7" w:rsidTr="00E65FE7">
        <w:trPr>
          <w:trHeight w:val="26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1088</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ACETAL</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8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1090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ACETON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0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1106</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AMYLAMINE (n-AMYLAMIN)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3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1107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AMYLCHLORIDE  (1-CHLORPENTAN)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1107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AMYLCHLORIDE (1-CHLOR-3-METHYLBUTAN)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2"/>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1107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AMYLCHLORIDE (2-CHLOR-2-METHYLBUTAN)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5"/>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1107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AMYLCHLORIDE (1-CHLOR-2,2-DIMETHYLPROPAN)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8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1120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BUTANOLE (tert.-BUTYLALKOHOL)</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1123</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BUTYLACETATE (sec-BUTYLACETAT)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4"/>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1127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CHLORBUTANE (1-CHLORBUTAN)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1127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CHLORBUTANE (2-CHLORBUTAN)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8"/>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1127</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CHLORBUTANE (1-CHLOR-2-METHYLPROPAN)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3"/>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1127</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CHLORBUTANE (2-CHLOR-2-METHYLPROPAN)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89"/>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1165</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DIOXAN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536"/>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1170</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ETHANOL (ETHYLALKOHOL) oder ETHANOL, LÖSUNG (ETHYLALKOHOL, LÖSUNG), </w:t>
            </w:r>
            <w:r w:rsidRPr="00E65FE7">
              <w:rPr>
                <w:rFonts w:ascii="Arial" w:hAnsi="Arial" w:cs="Arial"/>
                <w:snapToGrid/>
                <w:color w:val="000000"/>
                <w:sz w:val="16"/>
                <w:szCs w:val="16"/>
                <w:lang w:val="de-DE" w:eastAsia="de-DE"/>
              </w:rPr>
              <w:br/>
              <w:t>wässerige Lösung mit mehr als 70 Vol-% Alkohol</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1173</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ETHYLACETAT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38"/>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1193</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ETHYLMETHYLKETON oder METHYLETHYLKETON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11"/>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1199</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FURALDEHYDE (a-FURALDEHYD) oder FURFURALDEHYDE (a-FURFURALDEHYD)</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5"/>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1219</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ISOPROPANOL oder ISOPROPYLALKOHOL</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137"/>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1220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ISOPROPYLACETAT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9"/>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1230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METHANOL</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17"/>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1231</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METHYLACETAT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1244</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METHYLHYDRAZIN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TFC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6.1+3+8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1245</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METHYLISOBUTYLKETON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1274</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n-PROPANOL oder n-PROPYLALKOHOL</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11"/>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1277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PROPYLAMIN (1-Aminopropan)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3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1278</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1-CHLORPROPAN (Propylchlorid)</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1545</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ALLYLISOTHIOCYANAT, STABILISIERT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6.1+3+inst.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2"/>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1593</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DICHLORMETHAN (Methylenchlorid)</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2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1648</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ACETONITRIL (Methylcyanid)</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95"/>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1715</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ESSIGSÄUREANHYDRID</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59"/>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lastRenderedPageBreak/>
              <w:t>1717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ACETYLCHLORID</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1789</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CHLORWASSERSTOFFSÄURE</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94"/>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1831</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SCHWEFELSÄURE, RAUCHEND</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1922</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PYRROLIDIN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60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1987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ALKOHOLE, N.A.G. </w:t>
            </w:r>
            <w:r w:rsidRPr="00E65FE7">
              <w:rPr>
                <w:rFonts w:ascii="Arial" w:hAnsi="Arial" w:cs="Arial"/>
                <w:snapToGrid/>
                <w:color w:val="000000"/>
                <w:sz w:val="16"/>
                <w:szCs w:val="16"/>
                <w:lang w:val="de-DE" w:eastAsia="de-DE"/>
              </w:rPr>
              <w:br/>
              <w:t>(90 MASSE-% tert.-BUTANOL UND 10 MASSE-% METHANOL, GEMISCH)</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596"/>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2014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WASSERSTOFFPEROXID, WÄSSERIGE LÖSUNG mit mindestens 20 % aber höchstens 60 % Wasserstoffperoxid (Stabilisierung nach Bedarf)</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5.1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OC1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5.1+8+inst.</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52"/>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2022</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CRESYLSÄURE</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TC1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6.1+8+3+S</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16"/>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2056</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TETRAHYDROFURAN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3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2205</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ADIPONITRIL</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12"/>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2206</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ISOCYANATE, GIFTIG, N.A.G. (4-CHLORPHENYLISOCYANAT)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6.1+S</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4"/>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2247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n-DECAN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3+F</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0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2263</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DIMETHYLCYCLOHEXANE (cis-1,4-DIMETHYLCYCLOHEXAN)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2263</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DIMETHYLCYCLOHEXANE (trans-1,4-DIMETHYLCYCLOHEXAN)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4"/>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2266</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DIMETHYL-N-PROPYLAMIN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2"/>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2311</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PHENETIDINE</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9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2333</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ALLYLACETAT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19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2350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BUTYLMETHYLETHER</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0"/>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2356</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2-CHLORPROPAN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22"/>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2381</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DIMETHYLDISULFID</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MS Sans Serif" w:hAnsi="MS Sans Serif"/>
                <w:snapToGrid/>
                <w:color w:val="000000"/>
                <w:sz w:val="16"/>
                <w:szCs w:val="16"/>
                <w:lang w:val="de-DE" w:eastAsia="de-DE"/>
              </w:rPr>
            </w:pPr>
            <w:r w:rsidRPr="00E65FE7">
              <w:rPr>
                <w:rFonts w:ascii="MS Sans Serif" w:hAnsi="MS Sans Serif"/>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MS Sans Serif" w:hAnsi="MS Sans Serif"/>
                <w:snapToGrid/>
                <w:color w:val="000000"/>
                <w:sz w:val="16"/>
                <w:szCs w:val="16"/>
                <w:lang w:val="de-DE" w:eastAsia="de-DE"/>
              </w:rPr>
            </w:pPr>
            <w:r w:rsidRPr="00E65FE7">
              <w:rPr>
                <w:rFonts w:ascii="MS Sans Serif" w:hAnsi="MS Sans Serif"/>
                <w:snapToGrid/>
                <w:color w:val="000000"/>
                <w:sz w:val="16"/>
                <w:szCs w:val="16"/>
                <w:lang w:val="de-DE" w:eastAsia="de-DE"/>
              </w:rPr>
              <w:t>FT1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MS Sans Serif" w:hAnsi="MS Sans Serif"/>
                <w:snapToGrid/>
                <w:color w:val="000000"/>
                <w:sz w:val="16"/>
                <w:szCs w:val="16"/>
                <w:lang w:val="de-DE" w:eastAsia="de-DE"/>
              </w:rPr>
            </w:pPr>
            <w:r w:rsidRPr="00E65FE7">
              <w:rPr>
                <w:rFonts w:ascii="MS Sans Serif" w:hAnsi="MS Sans Serif"/>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3+6.1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84"/>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2397</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3-METHYLBUTAN-2-ON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4"/>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2398</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METHYL-tert-BUTYLETHER</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8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2404</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PROPIONITRIL</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2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2485</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n-BUTYLISOCYANAT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2486</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ISOBUTYLISOCYANAT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4"/>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2487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PHENYLISOCYANAT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2490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DICHLORISOPROPYLETHER</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2"/>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2518</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1,5,9-CYCLODODECATRIEN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6.1+F</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2527</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ISOBUTYLACRYLAT, STABILISIERT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3+inst.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8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2615</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ETHYLPROPYLETHER</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24"/>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2683</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AMMONIUMSULFID, LÖSUNG</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CFT</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8+3+6.1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9"/>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2754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en-US" w:eastAsia="de-DE"/>
              </w:rPr>
            </w:pPr>
            <w:r w:rsidRPr="00E65FE7">
              <w:rPr>
                <w:rFonts w:ascii="Arial" w:hAnsi="Arial" w:cs="Arial"/>
                <w:snapToGrid/>
                <w:color w:val="000000"/>
                <w:sz w:val="16"/>
                <w:szCs w:val="16"/>
                <w:lang w:val="en-US" w:eastAsia="de-DE"/>
              </w:rPr>
              <w:t>N-ETHYLTOLUIDINE (N-ETHYL-o-TOLUIDIN)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6.1+F</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3"/>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lastRenderedPageBreak/>
              <w:t>2754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nl-NL" w:eastAsia="de-DE"/>
              </w:rPr>
            </w:pPr>
            <w:r w:rsidRPr="00E65FE7">
              <w:rPr>
                <w:rFonts w:ascii="Arial" w:hAnsi="Arial" w:cs="Arial"/>
                <w:snapToGrid/>
                <w:color w:val="000000"/>
                <w:sz w:val="16"/>
                <w:szCs w:val="16"/>
                <w:lang w:val="nl-NL" w:eastAsia="de-DE"/>
              </w:rPr>
              <w:t>N-ETHYLTOLUIDINE (N-ETHYL-m-TOLUIDIN)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6.1+F</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19"/>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2754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N-ETHYLTOLUIDINE,( GEMISCHE VON N-ETHYL-o-TOLUIDIN UND N-ETHYL-m-TOLUIDIN)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6.1+F</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69"/>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2754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en-US" w:eastAsia="de-DE"/>
              </w:rPr>
            </w:pPr>
            <w:r w:rsidRPr="00E65FE7">
              <w:rPr>
                <w:rFonts w:ascii="Arial" w:hAnsi="Arial" w:cs="Arial"/>
                <w:snapToGrid/>
                <w:color w:val="000000"/>
                <w:sz w:val="16"/>
                <w:szCs w:val="16"/>
                <w:lang w:val="en-US" w:eastAsia="de-DE"/>
              </w:rPr>
              <w:t>N-ETHYLTOLUIDINE (N-ETHYL-p-TOLUIDIN)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6.1+F</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14"/>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2785</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4-THIAPENTANAL (3-METHYLMERCAPTO-</w:t>
            </w:r>
            <w:r w:rsidRPr="00E65FE7">
              <w:rPr>
                <w:rFonts w:ascii="Arial" w:hAnsi="Arial" w:cs="Arial"/>
                <w:snapToGrid/>
                <w:color w:val="000000"/>
                <w:sz w:val="16"/>
                <w:szCs w:val="16"/>
                <w:lang w:val="de-DE" w:eastAsia="de-DE"/>
              </w:rPr>
              <w:br/>
              <w:t>PROPIONALDEHYD)</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80"/>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2789</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EISESSIG oder ESSIGSÄURE, LÖSUNG mit mehr als 80 Masse-% Säure</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0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2790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ESSIGSÄURE, LÖSUNG, mit mindestens </w:t>
            </w:r>
            <w:r w:rsidRPr="00E65FE7">
              <w:rPr>
                <w:rFonts w:ascii="Arial" w:hAnsi="Arial" w:cs="Arial"/>
                <w:snapToGrid/>
                <w:color w:val="000000"/>
                <w:sz w:val="16"/>
                <w:szCs w:val="16"/>
                <w:lang w:val="de-DE" w:eastAsia="de-DE"/>
              </w:rPr>
              <w:br/>
              <w:t>50 Masse-% und höchstens 80 Masse-% Säure</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0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2790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ESSIGSÄURE, LÖSUNG, mit mindestens </w:t>
            </w:r>
            <w:r w:rsidRPr="00E65FE7">
              <w:rPr>
                <w:rFonts w:ascii="Arial" w:hAnsi="Arial" w:cs="Arial"/>
                <w:snapToGrid/>
                <w:color w:val="000000"/>
                <w:sz w:val="16"/>
                <w:szCs w:val="16"/>
                <w:lang w:val="de-DE" w:eastAsia="de-DE"/>
              </w:rPr>
              <w:br/>
              <w:t>10 Masse-% und höchstens 50 Masse-% Säure</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94"/>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2811</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GIFTIGER ORGANISCHER FESTER STOFF, N.A.G.  </w:t>
            </w:r>
            <w:r w:rsidRPr="00E65FE7">
              <w:rPr>
                <w:rFonts w:ascii="Arial" w:hAnsi="Arial" w:cs="Arial"/>
                <w:snapToGrid/>
                <w:color w:val="000000"/>
                <w:sz w:val="16"/>
                <w:szCs w:val="16"/>
                <w:lang w:val="de-DE" w:eastAsia="de-DE"/>
              </w:rPr>
              <w:br/>
              <w:t>(1,2,3-TRICHLORBENZEN, GESCHMOLZEN)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T2</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6.1+S</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1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2811</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GIFTIGER ORGANISCHER FESTER STOFF, N.A.G.  </w:t>
            </w:r>
            <w:r w:rsidRPr="00E65FE7">
              <w:rPr>
                <w:rFonts w:ascii="Arial" w:hAnsi="Arial" w:cs="Arial"/>
                <w:snapToGrid/>
                <w:color w:val="000000"/>
                <w:sz w:val="16"/>
                <w:szCs w:val="16"/>
                <w:lang w:val="de-DE" w:eastAsia="de-DE"/>
              </w:rPr>
              <w:br/>
              <w:t>(1,2,3-TRICHLORBENZEN, GESCHMOLZEN)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T2</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6.1+S</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550"/>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2811</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GIFTIGER ORGANISCHER FESTER STOFF, N.A.G.</w:t>
            </w:r>
            <w:r w:rsidRPr="00E65FE7">
              <w:rPr>
                <w:rFonts w:ascii="Arial" w:hAnsi="Arial" w:cs="Arial"/>
                <w:snapToGrid/>
                <w:color w:val="000000"/>
                <w:sz w:val="16"/>
                <w:szCs w:val="16"/>
                <w:lang w:val="de-DE" w:eastAsia="de-DE"/>
              </w:rPr>
              <w:br/>
              <w:t>(1,3,5-TRICHLORBENZEN, GESCHMOLZEN)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T2</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6.1+S</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1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2811</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GIFTIGER ORGANISCHER FESTER STOFF, N.A.G.</w:t>
            </w:r>
            <w:r w:rsidRPr="00E65FE7">
              <w:rPr>
                <w:rFonts w:ascii="Arial" w:hAnsi="Arial" w:cs="Arial"/>
                <w:snapToGrid/>
                <w:color w:val="000000"/>
                <w:sz w:val="16"/>
                <w:szCs w:val="16"/>
                <w:lang w:val="de-DE" w:eastAsia="de-DE"/>
              </w:rPr>
              <w:br/>
              <w:t>(1,3,5-TRICHLORBENZEN, GESCHMOLZEN)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T2</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6.1+S</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834"/>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2920</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ÄTZENDER FLÜSSIGER STOFF, ENTZÜNDBAR, N.A.G. (WÄSSERIGE LÖSUNG VON HEXADECYLTRIMETHYLAMINECHLORID (50 %) UND ETHANOL (35 %))</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CF1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8+3+F</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800"/>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2924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ENTZÜNDBARER FLÜSSIGER STOFF, ÄTZEND, N.A.G. (WÄSSERIGE LÖSUNG VON DIALKYLDIMETHYLAMMONIUMCHLORID </w:t>
            </w:r>
            <w:r w:rsidRPr="00E65FE7">
              <w:rPr>
                <w:rFonts w:ascii="Arial" w:hAnsi="Arial" w:cs="Arial"/>
                <w:snapToGrid/>
                <w:color w:val="000000"/>
                <w:sz w:val="16"/>
                <w:szCs w:val="16"/>
                <w:lang w:val="de-DE" w:eastAsia="de-DE"/>
              </w:rPr>
              <w:br/>
              <w:t>(C8 bis C18) UND 2-PROPANOL)</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3+8+F</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318"/>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2935</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ETHYL-2-CHLORPROPIONAT</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80"/>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2947</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ISOPROPYLCHLORACETAT</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F1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1"/>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2966</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THIOGLYCOL</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557"/>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2984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WASSERSTOFFPEROXID, WÄSSERIGE LÖSUNG mit mindestens 8 %, aber weniger als 20 % Wasserstoffperoxid (Stabilisierung nach Bedarf)</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5.1</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O1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5.1+inst.</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551"/>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3264</w:t>
            </w:r>
          </w:p>
        </w:tc>
        <w:tc>
          <w:tcPr>
            <w:tcW w:w="5161" w:type="dxa"/>
            <w:tcBorders>
              <w:top w:val="single" w:sz="4" w:space="0" w:color="auto"/>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ÄTZENDER SAURER ANORGANISCHER FLÜSSIGER STOFF, N.A.G. (WÄSSERIGE LÖSUNG VON PHOSPHORSÄURE UND SALPETERSÄURE)</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C1</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w:t>
            </w:r>
          </w:p>
        </w:tc>
        <w:tc>
          <w:tcPr>
            <w:tcW w:w="1021"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single" w:sz="4" w:space="0" w:color="auto"/>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1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3276</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NITRILE, FLÜSSIG, GIFTIG, N.A.G.</w:t>
            </w:r>
            <w:r w:rsidRPr="00E65FE7">
              <w:rPr>
                <w:rFonts w:ascii="Arial" w:hAnsi="Arial" w:cs="Arial"/>
                <w:snapToGrid/>
                <w:color w:val="000000"/>
                <w:sz w:val="16"/>
                <w:szCs w:val="16"/>
                <w:lang w:val="de-DE" w:eastAsia="de-DE"/>
              </w:rPr>
              <w:br/>
              <w:t>(2-METHYLGLUTARONITRIL)</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415"/>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3412</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AMEISENSÄURE mit mindestens 5 und </w:t>
            </w:r>
            <w:r w:rsidRPr="00E65FE7">
              <w:rPr>
                <w:rFonts w:ascii="Arial" w:hAnsi="Arial" w:cs="Arial"/>
                <w:snapToGrid/>
                <w:color w:val="000000"/>
                <w:sz w:val="16"/>
                <w:szCs w:val="16"/>
                <w:lang w:val="de-DE" w:eastAsia="de-DE"/>
              </w:rPr>
              <w:br/>
              <w:t>höchstens 10  Masse-% Säure</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8</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C3</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8</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138"/>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lastRenderedPageBreak/>
              <w:t>3426</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ACRYLAMID, LÖSUNG</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E65FE7" w:rsidTr="00E65FE7">
        <w:trPr>
          <w:trHeight w:val="276"/>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3429</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xml:space="preserve">CHLORTOLUIDINE,  FLÜSSIG </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6.1</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T1</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III</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6.1+S</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C</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r w:rsidR="00FD5786" w:rsidRPr="00FD5786" w:rsidTr="00E65FE7">
        <w:trPr>
          <w:trHeight w:val="279"/>
        </w:trPr>
        <w:tc>
          <w:tcPr>
            <w:tcW w:w="524" w:type="dxa"/>
            <w:tcBorders>
              <w:top w:val="nil"/>
              <w:left w:val="single" w:sz="4" w:space="0" w:color="auto"/>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9004</w:t>
            </w:r>
          </w:p>
        </w:tc>
        <w:tc>
          <w:tcPr>
            <w:tcW w:w="5161" w:type="dxa"/>
            <w:tcBorders>
              <w:top w:val="nil"/>
              <w:left w:val="nil"/>
              <w:bottom w:val="single" w:sz="4" w:space="0" w:color="auto"/>
              <w:right w:val="single" w:sz="4" w:space="0" w:color="auto"/>
            </w:tcBorders>
            <w:shd w:val="clear" w:color="auto" w:fill="auto"/>
            <w:hideMark/>
          </w:tcPr>
          <w:p w:rsidR="00FD5786" w:rsidRPr="00E65FE7" w:rsidRDefault="00FD5786" w:rsidP="00E65FE7">
            <w:pPr>
              <w:suppressAutoHyphens w:val="0"/>
              <w:spacing w:before="40" w:after="40"/>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DIPHENYLMETHAN-4,4'-DIISOCYANAT</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9</w:t>
            </w:r>
          </w:p>
        </w:tc>
        <w:tc>
          <w:tcPr>
            <w:tcW w:w="469"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 </w:t>
            </w:r>
          </w:p>
        </w:tc>
        <w:tc>
          <w:tcPr>
            <w:tcW w:w="1021"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b/>
                <w:snapToGrid/>
                <w:sz w:val="16"/>
                <w:szCs w:val="16"/>
                <w:u w:val="single"/>
                <w:lang w:val="de-DE" w:eastAsia="de-DE"/>
              </w:rPr>
            </w:pPr>
            <w:r w:rsidRPr="00E65FE7">
              <w:rPr>
                <w:rFonts w:ascii="Arial" w:hAnsi="Arial" w:cs="Arial"/>
                <w:b/>
                <w:snapToGrid/>
                <w:sz w:val="16"/>
                <w:szCs w:val="16"/>
                <w:u w:val="single"/>
                <w:lang w:val="de-DE" w:eastAsia="de-DE"/>
              </w:rPr>
              <w:t>9+S</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N</w:t>
            </w:r>
          </w:p>
        </w:tc>
        <w:tc>
          <w:tcPr>
            <w:tcW w:w="425" w:type="dxa"/>
            <w:tcBorders>
              <w:top w:val="nil"/>
              <w:left w:val="nil"/>
              <w:bottom w:val="single" w:sz="4" w:space="0" w:color="auto"/>
              <w:right w:val="single" w:sz="4" w:space="0" w:color="auto"/>
            </w:tcBorders>
            <w:shd w:val="clear" w:color="auto" w:fill="auto"/>
            <w:noWrap/>
            <w:hideMark/>
          </w:tcPr>
          <w:p w:rsidR="00FD5786" w:rsidRPr="00E65FE7" w:rsidRDefault="00FD5786" w:rsidP="00E65FE7">
            <w:pPr>
              <w:suppressAutoHyphens w:val="0"/>
              <w:spacing w:before="40" w:after="40"/>
              <w:jc w:val="center"/>
              <w:rPr>
                <w:rFonts w:ascii="Arial" w:hAnsi="Arial" w:cs="Arial"/>
                <w:snapToGrid/>
                <w:color w:val="000000"/>
                <w:sz w:val="16"/>
                <w:szCs w:val="16"/>
                <w:lang w:val="de-DE" w:eastAsia="de-DE"/>
              </w:rPr>
            </w:pPr>
            <w:r w:rsidRPr="00E65FE7">
              <w:rPr>
                <w:rFonts w:ascii="Arial" w:hAnsi="Arial" w:cs="Arial"/>
                <w:snapToGrid/>
                <w:color w:val="000000"/>
                <w:sz w:val="16"/>
                <w:szCs w:val="16"/>
                <w:lang w:val="de-DE" w:eastAsia="de-DE"/>
              </w:rPr>
              <w:t>2</w:t>
            </w:r>
          </w:p>
        </w:tc>
      </w:tr>
    </w:tbl>
    <w:p w:rsidR="00FD5786" w:rsidRPr="00FD5786" w:rsidRDefault="00FD5786" w:rsidP="00FD5786">
      <w:pPr>
        <w:widowControl w:val="0"/>
        <w:suppressAutoHyphens w:val="0"/>
        <w:overflowPunct w:val="0"/>
        <w:autoSpaceDE w:val="0"/>
        <w:autoSpaceDN w:val="0"/>
        <w:adjustRightInd w:val="0"/>
        <w:spacing w:before="180" w:line="360" w:lineRule="auto"/>
        <w:jc w:val="both"/>
        <w:textAlignment w:val="baseline"/>
        <w:rPr>
          <w:rFonts w:ascii="Arial" w:hAnsi="Arial"/>
          <w:snapToGrid/>
          <w:lang w:val="de-DE"/>
        </w:rPr>
      </w:pPr>
    </w:p>
    <w:p w:rsidR="00FD5786" w:rsidRPr="00FD5786" w:rsidRDefault="00FD5786" w:rsidP="003151F1">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13.</w:t>
      </w:r>
      <w:r w:rsidRPr="00FD5786">
        <w:rPr>
          <w:snapToGrid/>
          <w:lang w:val="de-DE"/>
        </w:rPr>
        <w:tab/>
        <w:t>Daher ist entgegen früherer Annahmen kein eindeutiges einzelnes Kriterium „CMR“, das die Forderung nach einem geschlossen Ladetank begründet, erkennbar.</w:t>
      </w:r>
    </w:p>
    <w:p w:rsidR="00FD5786" w:rsidRPr="00FD5786" w:rsidRDefault="00FD5786" w:rsidP="003151F1">
      <w:pPr>
        <w:widowControl w:val="0"/>
        <w:suppressAutoHyphens w:val="0"/>
        <w:overflowPunct w:val="0"/>
        <w:autoSpaceDE w:val="0"/>
        <w:autoSpaceDN w:val="0"/>
        <w:adjustRightInd w:val="0"/>
        <w:ind w:right="567"/>
        <w:jc w:val="both"/>
        <w:textAlignment w:val="baseline"/>
        <w:rPr>
          <w:snapToGrid/>
          <w:lang w:val="de-DE"/>
        </w:rPr>
      </w:pPr>
    </w:p>
    <w:p w:rsidR="00FD5786" w:rsidRPr="00FD5786" w:rsidRDefault="00FD5786" w:rsidP="003151F1">
      <w:pPr>
        <w:widowControl w:val="0"/>
        <w:suppressAutoHyphens w:val="0"/>
        <w:overflowPunct w:val="0"/>
        <w:autoSpaceDE w:val="0"/>
        <w:autoSpaceDN w:val="0"/>
        <w:adjustRightInd w:val="0"/>
        <w:ind w:right="567"/>
        <w:jc w:val="both"/>
        <w:textAlignment w:val="baseline"/>
        <w:rPr>
          <w:snapToGrid/>
          <w:lang w:val="de-DE"/>
        </w:rPr>
      </w:pPr>
      <w:r w:rsidRPr="00FD5786">
        <w:rPr>
          <w:snapToGrid/>
          <w:lang w:val="de-DE"/>
        </w:rPr>
        <w:t>14.</w:t>
      </w:r>
      <w:r w:rsidRPr="00FD5786">
        <w:rPr>
          <w:snapToGrid/>
          <w:lang w:val="de-DE"/>
        </w:rPr>
        <w:tab/>
        <w:t>Die Forderung nach einem geschlossenen Ladetank hat zur Folge, dass nach Absatz 7.2.4.25.5 ADN ein Abführen der beim Beladen austretenden Gas/Luftgemische erforderlich wird. Neben den im Zusammenhang mit dem Antrag ECE/TRANS/WP.15/AC.2/2016/26 - (FuelsEurope) diskutierten CMR-Gefahren könnten also auch andere Gründe das Abführen des Gas/Luftgemisches erforderlich machen. Hier wäre also näher zu untersuchen, welchen anderen Gründe als CMR für die Forderung eines geschlossenen Ladetanks ursächlich waren und ob diese Gründe dann bei UN 3082 (Schweres Heizöl) vorliegen.</w:t>
      </w:r>
    </w:p>
    <w:p w:rsidR="00FD5786" w:rsidRPr="00FD5786" w:rsidRDefault="00FD5786" w:rsidP="003151F1">
      <w:pPr>
        <w:widowControl w:val="0"/>
        <w:suppressAutoHyphens w:val="0"/>
        <w:overflowPunct w:val="0"/>
        <w:autoSpaceDE w:val="0"/>
        <w:autoSpaceDN w:val="0"/>
        <w:adjustRightInd w:val="0"/>
        <w:ind w:right="567"/>
        <w:jc w:val="both"/>
        <w:textAlignment w:val="baseline"/>
        <w:rPr>
          <w:snapToGrid/>
          <w:lang w:val="de-DE"/>
        </w:rPr>
      </w:pPr>
    </w:p>
    <w:p w:rsidR="00BD7264" w:rsidRPr="003151F1" w:rsidRDefault="00FD5786" w:rsidP="003151F1">
      <w:pPr>
        <w:widowControl w:val="0"/>
        <w:suppressAutoHyphens w:val="0"/>
        <w:overflowPunct w:val="0"/>
        <w:autoSpaceDE w:val="0"/>
        <w:autoSpaceDN w:val="0"/>
        <w:adjustRightInd w:val="0"/>
        <w:ind w:right="567"/>
        <w:jc w:val="center"/>
        <w:textAlignment w:val="baseline"/>
        <w:rPr>
          <w:snapToGrid/>
          <w:lang w:val="de-DE"/>
        </w:rPr>
      </w:pPr>
      <w:r w:rsidRPr="00FD5786">
        <w:rPr>
          <w:snapToGrid/>
          <w:lang w:val="de-DE"/>
        </w:rPr>
        <w:t>***</w:t>
      </w:r>
    </w:p>
    <w:sectPr w:rsidR="00BD7264" w:rsidRPr="003151F1"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68" w:rsidRDefault="00CC1A68">
      <w:pPr>
        <w:rPr>
          <w:szCs w:val="24"/>
        </w:rPr>
      </w:pPr>
    </w:p>
  </w:endnote>
  <w:endnote w:type="continuationSeparator" w:id="0">
    <w:p w:rsidR="00CC1A68" w:rsidRDefault="00CC1A68">
      <w:pPr>
        <w:rPr>
          <w:szCs w:val="24"/>
        </w:rPr>
      </w:pPr>
    </w:p>
  </w:endnote>
  <w:endnote w:type="continuationNotice" w:id="1">
    <w:p w:rsidR="00CC1A68" w:rsidRDefault="00CC1A6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0D" w:rsidRPr="00E345CE" w:rsidRDefault="0008130D" w:rsidP="0004012A">
    <w:pPr>
      <w:pStyle w:val="Footer"/>
      <w:jc w:val="right"/>
      <w:rPr>
        <w:rFonts w:ascii="Arial" w:hAnsi="Arial"/>
        <w:noProof/>
        <w:snapToGrid/>
        <w:sz w:val="12"/>
        <w:szCs w:val="24"/>
        <w:lang w:val="en-US"/>
      </w:rPr>
    </w:pPr>
    <w:r w:rsidRPr="00E345CE">
      <w:rPr>
        <w:rFonts w:ascii="Arial" w:hAnsi="Arial"/>
        <w:noProof/>
        <w:snapToGrid/>
        <w:sz w:val="12"/>
        <w:szCs w:val="24"/>
        <w:lang w:val="en-US"/>
      </w:rPr>
      <w:t>mm/adn_wp15_ac2_2016_</w:t>
    </w:r>
    <w:r w:rsidR="005712C9">
      <w:rPr>
        <w:rFonts w:ascii="Arial" w:hAnsi="Arial"/>
        <w:noProof/>
        <w:snapToGrid/>
        <w:sz w:val="12"/>
        <w:szCs w:val="24"/>
        <w:lang w:val="en-US"/>
      </w:rPr>
      <w:t>36</w:t>
    </w:r>
    <w:r w:rsidR="002D550A">
      <w:rPr>
        <w:rFonts w:ascii="Arial" w:hAnsi="Arial"/>
        <w:noProof/>
        <w:snapToGrid/>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951A0F" w:rsidRDefault="00B83204" w:rsidP="00951A0F">
    <w:pPr>
      <w:pStyle w:val="Footer"/>
      <w:jc w:val="right"/>
      <w:rPr>
        <w:lang w:val="fr-FR"/>
      </w:rPr>
    </w:pPr>
    <w:r w:rsidRPr="00E345CE">
      <w:rPr>
        <w:rFonts w:ascii="Arial" w:hAnsi="Arial"/>
        <w:noProof/>
        <w:snapToGrid/>
        <w:sz w:val="12"/>
        <w:szCs w:val="24"/>
        <w:lang w:val="en-US"/>
      </w:rPr>
      <w:t>mm/adn_wp15_ac2_2016_</w:t>
    </w:r>
    <w:r w:rsidR="005712C9">
      <w:rPr>
        <w:rFonts w:ascii="Arial" w:hAnsi="Arial"/>
        <w:noProof/>
        <w:snapToGrid/>
        <w:sz w:val="12"/>
        <w:szCs w:val="24"/>
        <w:lang w:val="en-US"/>
      </w:rPr>
      <w:t>36</w:t>
    </w:r>
    <w:r>
      <w:rPr>
        <w:rFonts w:ascii="Arial" w:hAnsi="Arial"/>
        <w:noProof/>
        <w:snapToGrid/>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68" w:rsidRDefault="00CC1A68">
      <w:pPr>
        <w:tabs>
          <w:tab w:val="right" w:pos="2155"/>
        </w:tabs>
        <w:spacing w:after="80"/>
        <w:ind w:left="680"/>
        <w:rPr>
          <w:szCs w:val="24"/>
          <w:u w:val="single"/>
        </w:rPr>
      </w:pPr>
      <w:r>
        <w:rPr>
          <w:szCs w:val="24"/>
          <w:u w:val="single"/>
        </w:rPr>
        <w:tab/>
      </w:r>
    </w:p>
  </w:footnote>
  <w:footnote w:type="continuationSeparator" w:id="0">
    <w:p w:rsidR="00CC1A68" w:rsidRDefault="00CC1A68">
      <w:pPr>
        <w:tabs>
          <w:tab w:val="left" w:pos="2155"/>
        </w:tabs>
        <w:spacing w:after="80"/>
        <w:ind w:left="680"/>
        <w:rPr>
          <w:szCs w:val="24"/>
          <w:u w:val="single"/>
        </w:rPr>
      </w:pPr>
      <w:r>
        <w:rPr>
          <w:szCs w:val="24"/>
          <w:u w:val="single"/>
        </w:rPr>
        <w:tab/>
      </w:r>
    </w:p>
  </w:footnote>
  <w:footnote w:type="continuationNotice" w:id="1">
    <w:p w:rsidR="00CC1A68" w:rsidRDefault="00CC1A68">
      <w:pPr>
        <w:rPr>
          <w:szCs w:val="24"/>
        </w:rPr>
      </w:pPr>
    </w:p>
  </w:footnote>
  <w:footnote w:id="2">
    <w:p w:rsidR="00EE1D86" w:rsidRPr="005F667A" w:rsidRDefault="00EE1D86" w:rsidP="00EE1D86">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2016</w:t>
      </w:r>
      <w:r w:rsidRPr="005F667A">
        <w:rPr>
          <w:sz w:val="16"/>
          <w:szCs w:val="16"/>
          <w:lang w:val="de-DE"/>
        </w:rPr>
        <w:t>/</w:t>
      </w:r>
      <w:r w:rsidR="005712C9">
        <w:rPr>
          <w:sz w:val="16"/>
          <w:szCs w:val="16"/>
          <w:lang w:val="de-DE"/>
        </w:rPr>
        <w:t xml:space="preserve">36 </w:t>
      </w:r>
      <w:r>
        <w:rPr>
          <w:sz w:val="16"/>
          <w:szCs w:val="16"/>
          <w:lang w:val="de-DE"/>
        </w:rPr>
        <w:t xml:space="preserve"> </w:t>
      </w:r>
      <w:r w:rsidRPr="005F667A">
        <w:rPr>
          <w:sz w:val="16"/>
          <w:szCs w:val="16"/>
          <w:lang w:val="de-DE"/>
        </w:rPr>
        <w:t>verteilt.</w:t>
      </w:r>
    </w:p>
  </w:footnote>
  <w:footnote w:id="3">
    <w:p w:rsidR="00FF2FF5" w:rsidRPr="00447333" w:rsidRDefault="00FF2FF5" w:rsidP="00FF2FF5">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8F1455" w:rsidRDefault="008623E4" w:rsidP="0004012A">
    <w:pPr>
      <w:pStyle w:val="Header"/>
      <w:pBdr>
        <w:bottom w:val="none" w:sz="0" w:space="0" w:color="auto"/>
      </w:pBdr>
      <w:rPr>
        <w:rFonts w:ascii="Arial" w:hAnsi="Arial"/>
        <w:b w:val="0"/>
        <w:sz w:val="16"/>
        <w:szCs w:val="16"/>
        <w:lang w:val="fr-FR"/>
      </w:rPr>
    </w:pPr>
    <w:r>
      <w:rPr>
        <w:rFonts w:ascii="Arial" w:hAnsi="Arial"/>
        <w:b w:val="0"/>
        <w:sz w:val="16"/>
        <w:szCs w:val="16"/>
        <w:lang w:val="fr-FR"/>
      </w:rPr>
      <w:t>CCNR-ZKR/ADN/WP.15/AC.2/2016/</w:t>
    </w:r>
    <w:r w:rsidR="005712C9">
      <w:rPr>
        <w:rFonts w:ascii="Arial" w:hAnsi="Arial"/>
        <w:b w:val="0"/>
        <w:sz w:val="16"/>
        <w:szCs w:val="16"/>
        <w:lang w:val="fr-FR"/>
      </w:rPr>
      <w:t>36</w:t>
    </w:r>
  </w:p>
  <w:p w:rsidR="003E2153" w:rsidRPr="008F1455" w:rsidRDefault="002D550A" w:rsidP="0004012A">
    <w:pPr>
      <w:pStyle w:val="Header"/>
      <w:pBdr>
        <w:bottom w:val="none" w:sz="0" w:space="0" w:color="auto"/>
      </w:pBdr>
      <w:rPr>
        <w:rFonts w:ascii="Arial" w:hAnsi="Arial"/>
        <w:b w:val="0"/>
        <w:sz w:val="16"/>
        <w:szCs w:val="16"/>
      </w:rPr>
    </w:pPr>
    <w:r>
      <w:rPr>
        <w:rFonts w:ascii="Arial" w:hAnsi="Arial"/>
        <w:b w:val="0"/>
        <w:sz w:val="16"/>
        <w:szCs w:val="16"/>
      </w:rPr>
      <w:t>Seite</w:t>
    </w:r>
    <w:r w:rsidR="003E2153" w:rsidRPr="008F1455">
      <w:rPr>
        <w:rFonts w:ascii="Arial" w:hAnsi="Arial"/>
        <w:b w:val="0"/>
        <w:sz w:val="16"/>
        <w:szCs w:val="16"/>
      </w:rPr>
      <w:t xml:space="preserve"> </w:t>
    </w:r>
    <w:r w:rsidR="003E2153" w:rsidRPr="008F1455">
      <w:rPr>
        <w:rFonts w:ascii="Arial" w:hAnsi="Arial"/>
        <w:b w:val="0"/>
        <w:sz w:val="16"/>
        <w:szCs w:val="16"/>
      </w:rPr>
      <w:fldChar w:fldCharType="begin"/>
    </w:r>
    <w:r w:rsidR="003E2153" w:rsidRPr="008F1455">
      <w:rPr>
        <w:rFonts w:ascii="Arial" w:hAnsi="Arial"/>
        <w:b w:val="0"/>
        <w:sz w:val="16"/>
        <w:szCs w:val="16"/>
      </w:rPr>
      <w:instrText xml:space="preserve"> PAGE  \* MERGEFORMAT </w:instrText>
    </w:r>
    <w:r w:rsidR="003E2153" w:rsidRPr="008F1455">
      <w:rPr>
        <w:rFonts w:ascii="Arial" w:hAnsi="Arial"/>
        <w:b w:val="0"/>
        <w:sz w:val="16"/>
        <w:szCs w:val="16"/>
      </w:rPr>
      <w:fldChar w:fldCharType="separate"/>
    </w:r>
    <w:r w:rsidR="00B66037">
      <w:rPr>
        <w:rFonts w:ascii="Arial" w:hAnsi="Arial"/>
        <w:b w:val="0"/>
        <w:noProof/>
        <w:sz w:val="16"/>
        <w:szCs w:val="16"/>
      </w:rPr>
      <w:t>2</w:t>
    </w:r>
    <w:r w:rsidR="003E2153"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8F1455" w:rsidRDefault="003E2153" w:rsidP="0004012A">
    <w:pPr>
      <w:pStyle w:val="Header"/>
      <w:pBdr>
        <w:bottom w:val="none" w:sz="0" w:space="0" w:color="auto"/>
      </w:pBdr>
      <w:jc w:val="right"/>
      <w:rPr>
        <w:rFonts w:ascii="Arial" w:hAnsi="Arial"/>
        <w:b w:val="0"/>
        <w:sz w:val="16"/>
        <w:szCs w:val="16"/>
        <w:lang w:val="fr-FR"/>
      </w:rPr>
    </w:pPr>
    <w:r w:rsidRPr="008F1455">
      <w:rPr>
        <w:rFonts w:ascii="Arial" w:hAnsi="Arial"/>
        <w:b w:val="0"/>
        <w:sz w:val="16"/>
        <w:szCs w:val="16"/>
        <w:lang w:val="fr-FR"/>
      </w:rPr>
      <w:t>CCNR-ZKR/ADN/WP.15/AC.2/2016/</w:t>
    </w:r>
    <w:r w:rsidR="005712C9">
      <w:rPr>
        <w:rFonts w:ascii="Arial" w:hAnsi="Arial"/>
        <w:b w:val="0"/>
        <w:sz w:val="16"/>
        <w:szCs w:val="16"/>
        <w:lang w:val="fr-FR"/>
      </w:rPr>
      <w:t>36</w:t>
    </w:r>
  </w:p>
  <w:p w:rsidR="003E2153" w:rsidRPr="008F1455" w:rsidRDefault="00B83204"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003E2153" w:rsidRPr="008F1455">
      <w:rPr>
        <w:rFonts w:ascii="Arial" w:hAnsi="Arial"/>
        <w:b w:val="0"/>
        <w:sz w:val="16"/>
        <w:szCs w:val="16"/>
      </w:rPr>
      <w:fldChar w:fldCharType="begin"/>
    </w:r>
    <w:r w:rsidR="003E2153" w:rsidRPr="008F1455">
      <w:rPr>
        <w:rFonts w:ascii="Arial" w:hAnsi="Arial"/>
        <w:b w:val="0"/>
        <w:sz w:val="16"/>
        <w:szCs w:val="16"/>
      </w:rPr>
      <w:instrText xml:space="preserve"> PAGE  \* MERGEFORMAT </w:instrText>
    </w:r>
    <w:r w:rsidR="003E2153" w:rsidRPr="008F1455">
      <w:rPr>
        <w:rFonts w:ascii="Arial" w:hAnsi="Arial"/>
        <w:b w:val="0"/>
        <w:sz w:val="16"/>
        <w:szCs w:val="16"/>
      </w:rPr>
      <w:fldChar w:fldCharType="separate"/>
    </w:r>
    <w:r w:rsidR="00B66037">
      <w:rPr>
        <w:rFonts w:ascii="Arial" w:hAnsi="Arial"/>
        <w:b w:val="0"/>
        <w:noProof/>
        <w:sz w:val="16"/>
        <w:szCs w:val="16"/>
      </w:rPr>
      <w:t>5</w:t>
    </w:r>
    <w:r w:rsidR="003E2153"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20B06"/>
    <w:rsid w:val="0002116F"/>
    <w:rsid w:val="00024FB3"/>
    <w:rsid w:val="00030C06"/>
    <w:rsid w:val="00031537"/>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550A"/>
    <w:rsid w:val="002D652F"/>
    <w:rsid w:val="002E0EE4"/>
    <w:rsid w:val="002E1352"/>
    <w:rsid w:val="00300698"/>
    <w:rsid w:val="00304304"/>
    <w:rsid w:val="003107FA"/>
    <w:rsid w:val="0031437A"/>
    <w:rsid w:val="003151F1"/>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277A"/>
    <w:rsid w:val="00395B51"/>
    <w:rsid w:val="003972E0"/>
    <w:rsid w:val="003A1EBD"/>
    <w:rsid w:val="003A3950"/>
    <w:rsid w:val="003B071E"/>
    <w:rsid w:val="003B0BDF"/>
    <w:rsid w:val="003B1FD7"/>
    <w:rsid w:val="003B3F7F"/>
    <w:rsid w:val="003B4451"/>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44C6"/>
    <w:rsid w:val="00466C98"/>
    <w:rsid w:val="004743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12C9"/>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632A"/>
    <w:rsid w:val="00726CBE"/>
    <w:rsid w:val="0072750B"/>
    <w:rsid w:val="007309DE"/>
    <w:rsid w:val="0073465B"/>
    <w:rsid w:val="00734C2D"/>
    <w:rsid w:val="00737E85"/>
    <w:rsid w:val="00740176"/>
    <w:rsid w:val="007425B4"/>
    <w:rsid w:val="007431FB"/>
    <w:rsid w:val="00743AA0"/>
    <w:rsid w:val="0074429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169B"/>
    <w:rsid w:val="007C3390"/>
    <w:rsid w:val="007C4F4B"/>
    <w:rsid w:val="007C7A4E"/>
    <w:rsid w:val="007D64B1"/>
    <w:rsid w:val="007E3BE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1E3"/>
    <w:rsid w:val="008242D7"/>
    <w:rsid w:val="00825A28"/>
    <w:rsid w:val="00827320"/>
    <w:rsid w:val="0082761D"/>
    <w:rsid w:val="00827E05"/>
    <w:rsid w:val="008305E5"/>
    <w:rsid w:val="008311A3"/>
    <w:rsid w:val="008333C7"/>
    <w:rsid w:val="00836A0C"/>
    <w:rsid w:val="00837A3F"/>
    <w:rsid w:val="0084125D"/>
    <w:rsid w:val="00842AFA"/>
    <w:rsid w:val="00842B7B"/>
    <w:rsid w:val="00844584"/>
    <w:rsid w:val="00853E16"/>
    <w:rsid w:val="0085417D"/>
    <w:rsid w:val="008550E6"/>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1455"/>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4776F"/>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532B"/>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1E12"/>
    <w:rsid w:val="00B83204"/>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2146"/>
    <w:rsid w:val="00BD2427"/>
    <w:rsid w:val="00BD7264"/>
    <w:rsid w:val="00BE07FE"/>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A68"/>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3C6C"/>
    <w:rsid w:val="00DA5A0F"/>
    <w:rsid w:val="00DA67AD"/>
    <w:rsid w:val="00DB06D2"/>
    <w:rsid w:val="00DB2042"/>
    <w:rsid w:val="00DB2A63"/>
    <w:rsid w:val="00DB4C2A"/>
    <w:rsid w:val="00DB5D0F"/>
    <w:rsid w:val="00DC59B0"/>
    <w:rsid w:val="00DC6021"/>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45CE"/>
    <w:rsid w:val="00E3617C"/>
    <w:rsid w:val="00E363D6"/>
    <w:rsid w:val="00E37B82"/>
    <w:rsid w:val="00E37CA8"/>
    <w:rsid w:val="00E41CFE"/>
    <w:rsid w:val="00E43F71"/>
    <w:rsid w:val="00E46597"/>
    <w:rsid w:val="00E47898"/>
    <w:rsid w:val="00E53AC3"/>
    <w:rsid w:val="00E55279"/>
    <w:rsid w:val="00E65FE7"/>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1D86"/>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2D"/>
    <w:rsid w:val="00FD0951"/>
    <w:rsid w:val="00FD0E31"/>
    <w:rsid w:val="00FD1224"/>
    <w:rsid w:val="00FD5786"/>
    <w:rsid w:val="00FD5ECB"/>
    <w:rsid w:val="00FD7BF6"/>
    <w:rsid w:val="00FE0BD6"/>
    <w:rsid w:val="00FE1700"/>
    <w:rsid w:val="00FE2A8B"/>
    <w:rsid w:val="00FE460C"/>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8782E-0981-4391-904A-D0676EAA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151E-BE5B-417F-BCE3-2992D0FB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6</Pages>
  <Words>1568</Words>
  <Characters>8942</Characters>
  <Application>Microsoft Office Word</Application>
  <DocSecurity>0</DocSecurity>
  <Lines>74</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02</cp:lastModifiedBy>
  <cp:revision>2</cp:revision>
  <cp:lastPrinted>2016-06-10T08:28:00Z</cp:lastPrinted>
  <dcterms:created xsi:type="dcterms:W3CDTF">2016-06-10T09:06:00Z</dcterms:created>
  <dcterms:modified xsi:type="dcterms:W3CDTF">2016-06-10T09:06:00Z</dcterms:modified>
</cp:coreProperties>
</file>