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B58B5" w:rsidRDefault="00CD4281" w:rsidP="00807EEB">
            <w:pPr>
              <w:jc w:val="right"/>
            </w:pPr>
            <w:r w:rsidRPr="00CD4281">
              <w:rPr>
                <w:sz w:val="40"/>
              </w:rPr>
              <w:t>ECE</w:t>
            </w:r>
            <w:r w:rsidR="00AF1499">
              <w:t>/TRANS/WP.15/AC.2/201</w:t>
            </w:r>
            <w:r w:rsidR="00CB0B63">
              <w:t>6</w:t>
            </w:r>
            <w:r>
              <w:t>/</w:t>
            </w:r>
            <w:r w:rsidR="00807EEB">
              <w:t>4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523538" w:rsidP="00F01516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D4281" w:rsidRDefault="00CD4281" w:rsidP="00F01516">
            <w:pPr>
              <w:spacing w:before="240"/>
            </w:pPr>
            <w:r>
              <w:t>Distr. générale</w:t>
            </w:r>
          </w:p>
          <w:p w:rsidR="00CD4281" w:rsidRDefault="00C2781E" w:rsidP="00CD4281">
            <w:pPr>
              <w:spacing w:line="240" w:lineRule="exact"/>
            </w:pPr>
            <w:r>
              <w:t>23</w:t>
            </w:r>
            <w:r w:rsidR="00426657">
              <w:t xml:space="preserve"> </w:t>
            </w:r>
            <w:r w:rsidR="00B84D92">
              <w:t>octobre</w:t>
            </w:r>
            <w:r w:rsidR="00911DA7">
              <w:t xml:space="preserve"> </w:t>
            </w:r>
            <w:r w:rsidR="00CD4281">
              <w:t>201</w:t>
            </w:r>
            <w:r w:rsidR="006B6C93">
              <w:t>5</w:t>
            </w:r>
          </w:p>
          <w:p w:rsidR="001B0BE2" w:rsidRDefault="001B0BE2" w:rsidP="00CD4281">
            <w:pPr>
              <w:spacing w:line="240" w:lineRule="exact"/>
            </w:pPr>
          </w:p>
          <w:p w:rsidR="003D1DF3" w:rsidRPr="00DB58B5" w:rsidRDefault="00CD4281" w:rsidP="00AF1499">
            <w:pPr>
              <w:spacing w:line="240" w:lineRule="exact"/>
            </w:pPr>
            <w:r>
              <w:t xml:space="preserve">Original: </w:t>
            </w:r>
            <w:r w:rsidR="001B0BE2">
              <w:t>français</w:t>
            </w:r>
          </w:p>
        </w:tc>
      </w:tr>
    </w:tbl>
    <w:p w:rsidR="00FF1DBD" w:rsidRPr="000312C0" w:rsidRDefault="000312C0" w:rsidP="000312C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D043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B93E72" w:rsidRPr="009E01B8" w:rsidRDefault="00B93E72" w:rsidP="00B93E72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:rsidR="00B93E72" w:rsidRPr="009E01B8" w:rsidRDefault="00B93E72" w:rsidP="00B93E72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 w:rsidR="00CE5BF6"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B93E72" w:rsidRPr="004812F5" w:rsidRDefault="00234E40" w:rsidP="00B93E72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4D0439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 w:rsidR="00CE5BF6"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4D0439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 w:rsidR="00CE5BF6"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 w:rsidR="00CE5BF6"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 w:rsidR="00CE5BF6"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 w:rsidR="00CE5BF6"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4D0439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234E40" w:rsidRPr="00234E40" w:rsidRDefault="004A5935" w:rsidP="004812F5">
      <w:pPr>
        <w:spacing w:before="120"/>
        <w:rPr>
          <w:b/>
        </w:rPr>
      </w:pPr>
      <w:r>
        <w:rPr>
          <w:b/>
        </w:rPr>
        <w:t>Vingt</w:t>
      </w:r>
      <w:r w:rsidR="001B0BE2">
        <w:rPr>
          <w:b/>
        </w:rPr>
        <w:t>-</w:t>
      </w:r>
      <w:r w:rsidR="00523538">
        <w:rPr>
          <w:b/>
        </w:rPr>
        <w:t>huitième</w:t>
      </w:r>
      <w:r>
        <w:rPr>
          <w:b/>
        </w:rPr>
        <w:t xml:space="preserve"> </w:t>
      </w:r>
      <w:r w:rsidR="00234E40" w:rsidRPr="00234E40">
        <w:rPr>
          <w:b/>
        </w:rPr>
        <w:t>session</w:t>
      </w:r>
    </w:p>
    <w:p w:rsidR="00B93E72" w:rsidRDefault="003E5551" w:rsidP="00B93E72">
      <w:r>
        <w:t xml:space="preserve">Genève, </w:t>
      </w:r>
      <w:r w:rsidR="004A5935">
        <w:t>2</w:t>
      </w:r>
      <w:r w:rsidR="00CB0B63">
        <w:t>5</w:t>
      </w:r>
      <w:r w:rsidR="004A5935">
        <w:t>-</w:t>
      </w:r>
      <w:r w:rsidR="006B6C93">
        <w:t>2</w:t>
      </w:r>
      <w:r w:rsidR="00CB0B63">
        <w:t>9</w:t>
      </w:r>
      <w:r w:rsidR="004A5935">
        <w:t xml:space="preserve"> </w:t>
      </w:r>
      <w:r w:rsidR="00CB0B63">
        <w:t>janvier</w:t>
      </w:r>
      <w:r w:rsidR="00B73AAE">
        <w:t xml:space="preserve"> 20</w:t>
      </w:r>
      <w:r w:rsidR="00263074">
        <w:t>1</w:t>
      </w:r>
      <w:r w:rsidR="00CB0B63">
        <w:t>6</w:t>
      </w:r>
    </w:p>
    <w:p w:rsidR="000312C0" w:rsidRDefault="00B93E72" w:rsidP="00B93E72">
      <w:r w:rsidRPr="00B93E72">
        <w:t xml:space="preserve">Point </w:t>
      </w:r>
      <w:r w:rsidR="00D92026">
        <w:t>5</w:t>
      </w:r>
      <w:r w:rsidR="006B6C93">
        <w:t xml:space="preserve"> b</w:t>
      </w:r>
      <w:r w:rsidR="001636E0">
        <w:t>)</w:t>
      </w:r>
      <w:r w:rsidRPr="00B93E72">
        <w:t xml:space="preserve"> de l</w:t>
      </w:r>
      <w:r w:rsidR="004D0439">
        <w:t>’</w:t>
      </w:r>
      <w:r w:rsidRPr="00B93E72">
        <w:t>ordre du jour provisoire</w:t>
      </w:r>
    </w:p>
    <w:p w:rsidR="00602512" w:rsidRPr="00602512" w:rsidRDefault="00602512" w:rsidP="00602512">
      <w:pPr>
        <w:rPr>
          <w:b/>
          <w:lang w:val="fr-FR"/>
        </w:rPr>
      </w:pPr>
      <w:r w:rsidRPr="00602512">
        <w:rPr>
          <w:b/>
          <w:lang w:val="fr-FR"/>
        </w:rPr>
        <w:t>Propositions d’amendements au règlement annexé à l’ADN</w:t>
      </w:r>
      <w:r>
        <w:rPr>
          <w:b/>
          <w:lang w:val="fr-FR"/>
        </w:rPr>
        <w:t>:</w:t>
      </w:r>
    </w:p>
    <w:p w:rsidR="00602512" w:rsidRPr="00602512" w:rsidRDefault="00602512" w:rsidP="00602512">
      <w:pPr>
        <w:suppressAutoHyphens w:val="0"/>
        <w:spacing w:line="240" w:lineRule="auto"/>
        <w:rPr>
          <w:color w:val="000000"/>
          <w:szCs w:val="24"/>
          <w:lang w:val="fr-FR" w:eastAsia="fr-FR"/>
        </w:rPr>
      </w:pPr>
      <w:r w:rsidRPr="00602512">
        <w:rPr>
          <w:b/>
          <w:color w:val="000000"/>
          <w:szCs w:val="24"/>
          <w:lang w:val="fr-FR" w:eastAsia="fr-FR"/>
        </w:rPr>
        <w:t>Autres propositions</w:t>
      </w:r>
    </w:p>
    <w:p w:rsidR="00C26F66" w:rsidRPr="00C26F66" w:rsidRDefault="00C26F66" w:rsidP="00D64213">
      <w:pPr>
        <w:pStyle w:val="HChG"/>
        <w:rPr>
          <w:snapToGrid w:val="0"/>
          <w:lang w:val="fr-FR" w:eastAsia="fr-FR"/>
        </w:rPr>
      </w:pPr>
      <w:r>
        <w:rPr>
          <w:snapToGrid w:val="0"/>
          <w:lang w:val="fr-FR" w:eastAsia="fr-FR"/>
        </w:rPr>
        <w:tab/>
      </w:r>
      <w:r>
        <w:rPr>
          <w:snapToGrid w:val="0"/>
          <w:lang w:val="fr-FR" w:eastAsia="fr-FR"/>
        </w:rPr>
        <w:tab/>
      </w:r>
      <w:r w:rsidR="00807EEB" w:rsidRPr="00807EEB">
        <w:rPr>
          <w:bCs/>
          <w:iCs/>
          <w:lang w:val="fr-FR"/>
        </w:rPr>
        <w:t>Affectation de sous-groupes dans le groupe d'explosion  II B</w:t>
      </w:r>
    </w:p>
    <w:p w:rsidR="00C26F66" w:rsidRPr="00C26F66" w:rsidRDefault="00D64213" w:rsidP="00D64213">
      <w:pPr>
        <w:pStyle w:val="H1G"/>
        <w:rPr>
          <w:snapToGrid w:val="0"/>
          <w:lang w:val="fr-FR" w:eastAsia="fr-FR"/>
        </w:rPr>
      </w:pPr>
      <w:r>
        <w:rPr>
          <w:snapToGrid w:val="0"/>
          <w:lang w:val="fr-FR" w:eastAsia="fr-FR" w:bidi="fr-FR"/>
        </w:rPr>
        <w:tab/>
      </w:r>
      <w:r>
        <w:rPr>
          <w:snapToGrid w:val="0"/>
          <w:lang w:val="fr-FR" w:eastAsia="fr-FR" w:bidi="fr-FR"/>
        </w:rPr>
        <w:tab/>
      </w:r>
      <w:r w:rsidR="00807EEB" w:rsidRPr="00807EEB">
        <w:rPr>
          <w:snapToGrid w:val="0"/>
          <w:lang w:val="fr-FR" w:eastAsia="fr-FR" w:bidi="fr-FR"/>
        </w:rPr>
        <w:t>Communication de la Commission Centrale pour la Navigation du Rhin (CCNR)</w:t>
      </w:r>
      <w:r w:rsidR="00C26F66" w:rsidRPr="00807EEB">
        <w:rPr>
          <w:noProof/>
          <w:snapToGrid w:val="0"/>
          <w:szCs w:val="24"/>
          <w:vertAlign w:val="superscript"/>
          <w:lang w:val="fr-FR" w:eastAsia="fr-FR"/>
        </w:rPr>
        <w:footnoteReference w:id="2"/>
      </w:r>
    </w:p>
    <w:p w:rsidR="00C26F66" w:rsidRPr="00C26F66" w:rsidRDefault="00C26F66" w:rsidP="00D64213">
      <w:pPr>
        <w:pStyle w:val="HChG"/>
        <w:rPr>
          <w:lang w:val="fr-FR" w:eastAsia="de-DE"/>
        </w:rPr>
      </w:pPr>
      <w:r>
        <w:rPr>
          <w:lang w:val="fr-FR" w:eastAsia="de-DE"/>
        </w:rPr>
        <w:tab/>
      </w:r>
      <w:r>
        <w:rPr>
          <w:lang w:val="fr-FR" w:eastAsia="de-DE"/>
        </w:rPr>
        <w:tab/>
      </w:r>
      <w:r w:rsidR="00CB0B63" w:rsidRPr="00CB0B63">
        <w:rPr>
          <w:lang w:bidi="fr-FR"/>
        </w:rPr>
        <w:t>Introduction</w:t>
      </w:r>
    </w:p>
    <w:p w:rsidR="00807EEB" w:rsidRPr="00807EEB" w:rsidRDefault="00807EEB" w:rsidP="00807EEB">
      <w:pPr>
        <w:pStyle w:val="SingleTxtG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1.</w:t>
      </w:r>
      <w:r w:rsidRPr="00807EEB">
        <w:rPr>
          <w:bCs/>
          <w:lang w:val="fr-FR" w:eastAsia="de-DE" w:bidi="fr-FR"/>
        </w:rPr>
        <w:tab/>
        <w:t>Sur la demande du groupe de travail informel Protection contre l'explosion à bord de bateaux-citernes, le groupe de travail informel Matières a été invité à examiner la question des sous-groupes pour le groupe d’explosion II B et de l'affectation de sous-sections  II B1, II B2 et II B3 aux différentes entrées dans le tableau C.</w:t>
      </w:r>
    </w:p>
    <w:p w:rsidR="00807EEB" w:rsidRPr="00807EEB" w:rsidRDefault="00807EEB" w:rsidP="00807EEB">
      <w:pPr>
        <w:pStyle w:val="SingleTxtG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2.</w:t>
      </w:r>
      <w:r w:rsidRPr="00807EEB">
        <w:rPr>
          <w:bCs/>
          <w:lang w:val="fr-FR" w:eastAsia="de-DE" w:bidi="fr-FR"/>
        </w:rPr>
        <w:tab/>
        <w:t>En raison de l'étendue du groupe d’explosion II B (0,5 mm ≤ Interstice maximal de sécurité ≤ 0,9 mm), les sous-groupes II B3, II B2, II B1 sont applicables pour les systèmes de protection autonomes (ISO 16852):</w:t>
      </w:r>
    </w:p>
    <w:p w:rsidR="00807EEB" w:rsidRPr="00807EEB" w:rsidRDefault="00807EEB" w:rsidP="00807EEB">
      <w:pPr>
        <w:pStyle w:val="SingleTxtG"/>
        <w:ind w:firstLine="567"/>
        <w:rPr>
          <w:b/>
          <w:bCs/>
          <w:lang w:val="fr-FR" w:eastAsia="de-DE" w:bidi="fr-FR"/>
        </w:rPr>
      </w:pPr>
      <w:r w:rsidRPr="00807EEB">
        <w:rPr>
          <w:b/>
          <w:bCs/>
          <w:lang w:val="fr-FR" w:eastAsia="de-DE" w:bidi="fr-FR"/>
        </w:rPr>
        <w:t>II B: 0,5 mm ≤ NSW ≤ 0,9 mm</w:t>
      </w:r>
    </w:p>
    <w:p w:rsidR="00807EEB" w:rsidRPr="00807EEB" w:rsidRDefault="00807EEB" w:rsidP="00807EEB">
      <w:pPr>
        <w:pStyle w:val="SingleTxtG"/>
        <w:ind w:left="2268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II B3: 0,65 mm ≤ NSW ≤ 0,9 mm</w:t>
      </w:r>
    </w:p>
    <w:p w:rsidR="00807EEB" w:rsidRPr="00807EEB" w:rsidRDefault="00807EEB" w:rsidP="00807EEB">
      <w:pPr>
        <w:pStyle w:val="SingleTxtG"/>
        <w:ind w:left="2268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II B2: 0,75 mm ≤ NSW ≤ 0,9 mm</w:t>
      </w:r>
    </w:p>
    <w:p w:rsidR="00807EEB" w:rsidRPr="00807EEB" w:rsidRDefault="00807EEB" w:rsidP="00807EEB">
      <w:pPr>
        <w:pStyle w:val="SingleTxtG"/>
        <w:ind w:left="2268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II B1: 0,85 mm ≤ NSW ≤ 0,9 mm</w:t>
      </w:r>
    </w:p>
    <w:p w:rsidR="00807EEB" w:rsidRPr="00807EEB" w:rsidRDefault="00807EEB" w:rsidP="00807EEB">
      <w:pPr>
        <w:pStyle w:val="SingleTxtG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lastRenderedPageBreak/>
        <w:t>Les sous-groupes du groupe d’explosion II B sont exclusivement applicables pour les systèmes de protection autonomes (coupe-flammes, soupapes de sous-pression et surpression avec dispositif anti-retour de flammes intégré et soupapes de dégagement à grande vitesse.</w:t>
      </w:r>
    </w:p>
    <w:p w:rsidR="00807EEB" w:rsidRPr="00807EEB" w:rsidRDefault="00807EEB" w:rsidP="00807EEB">
      <w:pPr>
        <w:pStyle w:val="SingleTxtG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3.</w:t>
      </w:r>
      <w:r w:rsidRPr="00807EEB">
        <w:rPr>
          <w:bCs/>
          <w:lang w:val="fr-FR" w:eastAsia="de-DE" w:bidi="fr-FR"/>
        </w:rPr>
        <w:tab/>
        <w:t xml:space="preserve">Des données ont été mises à disposition à cet égard par la </w:t>
      </w:r>
      <w:r w:rsidRPr="00807EEB">
        <w:rPr>
          <w:bCs/>
          <w:i/>
          <w:lang w:val="fr-FR" w:eastAsia="de-DE" w:bidi="fr-FR"/>
        </w:rPr>
        <w:t>Physikalisch-Technischen Bundesanstalt (PTB) de Braunschweig</w:t>
      </w:r>
      <w:r w:rsidRPr="00807EEB">
        <w:rPr>
          <w:bCs/>
          <w:lang w:val="fr-FR" w:eastAsia="de-DE" w:bidi="fr-FR"/>
        </w:rPr>
        <w:t>. il s'agit :</w:t>
      </w:r>
    </w:p>
    <w:p w:rsidR="00807EEB" w:rsidRPr="00807EEB" w:rsidRDefault="00807EEB" w:rsidP="00807EEB">
      <w:pPr>
        <w:pStyle w:val="Bullet1G"/>
        <w:rPr>
          <w:lang w:val="fr-FR" w:eastAsia="de-DE" w:bidi="fr-FR"/>
        </w:rPr>
      </w:pPr>
      <w:r w:rsidRPr="00807EEB">
        <w:rPr>
          <w:lang w:val="fr-FR" w:eastAsia="de-DE" w:bidi="fr-FR"/>
        </w:rPr>
        <w:t>des valeurs mesurées pour la subdivision du groupe explosion II B,</w:t>
      </w:r>
    </w:p>
    <w:p w:rsidR="00807EEB" w:rsidRPr="00807EEB" w:rsidRDefault="00807EEB" w:rsidP="00807EEB">
      <w:pPr>
        <w:pStyle w:val="Bullet1G"/>
        <w:rPr>
          <w:lang w:val="fr-FR" w:eastAsia="de-DE" w:bidi="fr-FR"/>
        </w:rPr>
      </w:pPr>
      <w:r w:rsidRPr="00807EEB">
        <w:rPr>
          <w:lang w:val="fr-FR" w:eastAsia="de-DE" w:bidi="fr-FR"/>
        </w:rPr>
        <w:t>d'estimations pour la subdivision du groupe explosion II B, et</w:t>
      </w:r>
    </w:p>
    <w:p w:rsidR="00807EEB" w:rsidRPr="00807EEB" w:rsidRDefault="00807EEB" w:rsidP="00807EEB">
      <w:pPr>
        <w:pStyle w:val="Bullet1G"/>
        <w:rPr>
          <w:lang w:val="fr-FR" w:eastAsia="de-DE" w:bidi="fr-FR"/>
        </w:rPr>
      </w:pPr>
      <w:r w:rsidRPr="00807EEB">
        <w:rPr>
          <w:lang w:val="fr-FR" w:eastAsia="de-DE" w:bidi="fr-FR"/>
        </w:rPr>
        <w:t>d'estimations pour la reclassification du groupe d'explosion II B en II A.</w:t>
      </w:r>
    </w:p>
    <w:p w:rsidR="00807EEB" w:rsidRPr="00807EEB" w:rsidRDefault="00807EEB" w:rsidP="00807EEB">
      <w:pPr>
        <w:pStyle w:val="SingleTxtG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4.</w:t>
      </w:r>
      <w:r w:rsidRPr="00807EEB">
        <w:rPr>
          <w:bCs/>
          <w:lang w:val="fr-FR" w:eastAsia="de-DE" w:bidi="fr-FR"/>
        </w:rPr>
        <w:tab/>
        <w:t>En tenant compte des conditions générales énoncées ci-après, les sous-groupes du groupe d’explosion II B pourraient être utilisés pour le choix des systèmes de protection autonomes correspondants (coupe-flammes, soupapes de sous-pression et surpression avec dispositif anti-retour de flammes intégré et soupapes de dégagement à grande vitesse) :</w:t>
      </w:r>
    </w:p>
    <w:p w:rsidR="00807EEB" w:rsidRPr="00807EEB" w:rsidRDefault="00807EEB" w:rsidP="00807EEB">
      <w:pPr>
        <w:pStyle w:val="SingleTxtG"/>
        <w:ind w:firstLine="567"/>
        <w:rPr>
          <w:lang w:val="fr-FR" w:eastAsia="de-DE" w:bidi="fr-FR"/>
        </w:rPr>
      </w:pPr>
      <w:r>
        <w:rPr>
          <w:lang w:val="fr-FR" w:eastAsia="de-DE" w:bidi="fr-FR"/>
        </w:rPr>
        <w:t>a)</w:t>
      </w:r>
      <w:r>
        <w:rPr>
          <w:lang w:val="fr-FR" w:eastAsia="de-DE" w:bidi="fr-FR"/>
        </w:rPr>
        <w:tab/>
      </w:r>
      <w:r w:rsidRPr="00807EEB">
        <w:rPr>
          <w:lang w:val="fr-FR" w:eastAsia="de-DE" w:bidi="fr-FR"/>
        </w:rPr>
        <w:t>En présence de systèmes de protection autonomes du groupe d'explosion II B peuvent être transportés des produits pour lesquels s'applique le groupe d'explosion II A, y compris les sous-groupes II B3, II B2, II B1.</w:t>
      </w:r>
    </w:p>
    <w:p w:rsidR="00807EEB" w:rsidRPr="00807EEB" w:rsidRDefault="00807EEB" w:rsidP="00807EEB">
      <w:pPr>
        <w:pStyle w:val="SingleTxtG"/>
        <w:ind w:firstLine="567"/>
        <w:rPr>
          <w:lang w:val="fr-FR" w:eastAsia="de-DE" w:bidi="fr-FR"/>
        </w:rPr>
      </w:pPr>
      <w:r>
        <w:rPr>
          <w:lang w:val="fr-FR" w:eastAsia="de-DE" w:bidi="fr-FR"/>
        </w:rPr>
        <w:t>b)</w:t>
      </w:r>
      <w:r>
        <w:rPr>
          <w:lang w:val="fr-FR" w:eastAsia="de-DE" w:bidi="fr-FR"/>
        </w:rPr>
        <w:tab/>
      </w:r>
      <w:r w:rsidRPr="00807EEB">
        <w:rPr>
          <w:lang w:val="fr-FR" w:eastAsia="de-DE" w:bidi="fr-FR"/>
        </w:rPr>
        <w:t>En présence de systèmes de protection autonomes du sous-groupe d'explosion II B3 peuvent être transportés des produits pour lesquels s'appliquent les sous-groupes d'explosion II B3, II B2, II B1 ou le groupe d’explosion II A.</w:t>
      </w:r>
    </w:p>
    <w:p w:rsidR="00807EEB" w:rsidRPr="00807EEB" w:rsidRDefault="00807EEB" w:rsidP="00807EEB">
      <w:pPr>
        <w:pStyle w:val="SingleTxtG"/>
        <w:ind w:firstLine="567"/>
        <w:rPr>
          <w:lang w:val="fr-FR" w:eastAsia="de-DE" w:bidi="fr-FR"/>
        </w:rPr>
      </w:pPr>
      <w:r>
        <w:rPr>
          <w:lang w:val="fr-FR" w:eastAsia="de-DE" w:bidi="fr-FR"/>
        </w:rPr>
        <w:t>c)</w:t>
      </w:r>
      <w:r>
        <w:rPr>
          <w:lang w:val="fr-FR" w:eastAsia="de-DE" w:bidi="fr-FR"/>
        </w:rPr>
        <w:tab/>
      </w:r>
      <w:r w:rsidRPr="00807EEB">
        <w:rPr>
          <w:lang w:val="fr-FR" w:eastAsia="de-DE" w:bidi="fr-FR"/>
        </w:rPr>
        <w:t>En présence de systèmes de protection autonomes du sous-groupe d'explosion II B2 peuvent être transportés des produits pour lesquels s'appliquent les sous-groupes d'explosion II B2, II B1 ou le groupe d’explosion II A.</w:t>
      </w:r>
    </w:p>
    <w:p w:rsidR="00807EEB" w:rsidRPr="00807EEB" w:rsidRDefault="00807EEB" w:rsidP="00807EEB">
      <w:pPr>
        <w:pStyle w:val="SingleTxtG"/>
        <w:ind w:firstLine="567"/>
        <w:rPr>
          <w:lang w:val="fr-FR" w:eastAsia="de-DE" w:bidi="fr-FR"/>
        </w:rPr>
      </w:pPr>
      <w:r>
        <w:rPr>
          <w:lang w:val="fr-FR" w:eastAsia="de-DE" w:bidi="fr-FR"/>
        </w:rPr>
        <w:t>d)</w:t>
      </w:r>
      <w:r>
        <w:rPr>
          <w:lang w:val="fr-FR" w:eastAsia="de-DE" w:bidi="fr-FR"/>
        </w:rPr>
        <w:tab/>
      </w:r>
      <w:r w:rsidRPr="00807EEB">
        <w:rPr>
          <w:lang w:val="fr-FR" w:eastAsia="de-DE" w:bidi="fr-FR"/>
        </w:rPr>
        <w:t>En présence de systèmes de protection autonomes du sous-groupe d'explosion II B1 peuvent être transportés des produits pour lesquels s'appliquent le sous-groupe d'explosion II B1 ou le groupe d’explosion II A.</w:t>
      </w:r>
    </w:p>
    <w:p w:rsidR="00807EEB" w:rsidRPr="00807EEB" w:rsidRDefault="002667F5" w:rsidP="00807EEB">
      <w:pPr>
        <w:pStyle w:val="SingleTxtG"/>
        <w:rPr>
          <w:bCs/>
          <w:lang w:val="fr-FR" w:eastAsia="de-DE" w:bidi="fr-FR"/>
        </w:rPr>
      </w:pPr>
      <w:r>
        <w:rPr>
          <w:bCs/>
          <w:lang w:val="fr-FR" w:eastAsia="de-DE" w:bidi="fr-FR"/>
        </w:rPr>
        <w:t>5</w:t>
      </w:r>
      <w:r w:rsidR="00807EEB" w:rsidRPr="00807EEB">
        <w:rPr>
          <w:bCs/>
          <w:lang w:val="fr-FR" w:eastAsia="de-DE" w:bidi="fr-FR"/>
        </w:rPr>
        <w:t>.</w:t>
      </w:r>
      <w:r w:rsidR="00807EEB" w:rsidRPr="00807EEB">
        <w:rPr>
          <w:bCs/>
          <w:lang w:val="fr-FR" w:eastAsia="de-DE" w:bidi="fr-FR"/>
        </w:rPr>
        <w:tab/>
        <w:t>Étant donné que le sous-groupe d'explosion ne peut être appliqué que pour les systèmes de protection autonomes (coupe-flammes, soupapes de sous-pression et surpression avec dispositif anti-retour de flammes intégré et soupapes de dégagement à grande vitesse), les indications concernant le sous-groupe d'explosion doivent être inscrites dans la colonne (16) entre parenthèses en complément aux indications concernant le groupe d’explosion.</w:t>
      </w:r>
    </w:p>
    <w:p w:rsidR="00807EEB" w:rsidRPr="00807EEB" w:rsidRDefault="002667F5" w:rsidP="00807EEB">
      <w:pPr>
        <w:pStyle w:val="SingleTxtG"/>
        <w:rPr>
          <w:bCs/>
          <w:lang w:val="fr-FR" w:eastAsia="de-DE" w:bidi="fr-FR"/>
        </w:rPr>
      </w:pPr>
      <w:r>
        <w:rPr>
          <w:bCs/>
          <w:lang w:val="fr-FR" w:eastAsia="de-DE" w:bidi="fr-FR"/>
        </w:rPr>
        <w:t>6</w:t>
      </w:r>
      <w:r w:rsidR="00807EEB" w:rsidRPr="00807EEB">
        <w:rPr>
          <w:bCs/>
          <w:lang w:val="fr-FR" w:eastAsia="de-DE" w:bidi="fr-FR"/>
        </w:rPr>
        <w:t>.</w:t>
      </w:r>
      <w:r w:rsidR="00807EEB" w:rsidRPr="00807EEB">
        <w:rPr>
          <w:bCs/>
          <w:lang w:val="fr-FR" w:eastAsia="de-DE" w:bidi="fr-FR"/>
        </w:rPr>
        <w:tab/>
        <w:t>Au terme des consultations sont proposées les modifications suivantes dans le tableau C, colonne (16) :</w:t>
      </w:r>
    </w:p>
    <w:p w:rsidR="00807EEB" w:rsidRPr="00807EEB" w:rsidRDefault="00807EEB" w:rsidP="00807EEB">
      <w:pPr>
        <w:pStyle w:val="SingleTxtG"/>
        <w:ind w:firstLine="567"/>
        <w:rPr>
          <w:lang w:val="fr-FR" w:eastAsia="de-DE" w:bidi="fr-FR"/>
        </w:rPr>
      </w:pPr>
      <w:r>
        <w:rPr>
          <w:lang w:val="fr-FR" w:eastAsia="de-DE" w:bidi="fr-FR"/>
        </w:rPr>
        <w:t>a)</w:t>
      </w:r>
      <w:r>
        <w:rPr>
          <w:lang w:val="fr-FR" w:eastAsia="de-DE" w:bidi="fr-FR"/>
        </w:rPr>
        <w:tab/>
      </w:r>
      <w:r w:rsidRPr="00807EEB">
        <w:rPr>
          <w:lang w:val="fr-FR" w:eastAsia="de-DE" w:bidi="fr-FR"/>
        </w:rPr>
        <w:t xml:space="preserve">"(II B3)" ajouter </w:t>
      </w:r>
      <w:r w:rsidRPr="00807EEB">
        <w:rPr>
          <w:rFonts w:eastAsia="Calibri"/>
          <w:lang w:bidi="fr-FR"/>
        </w:rPr>
        <w:t>pour</w:t>
      </w:r>
      <w:r w:rsidRPr="00807EEB">
        <w:rPr>
          <w:lang w:val="fr-FR" w:eastAsia="de-DE" w:bidi="fr-FR"/>
        </w:rPr>
        <w:t xml:space="preserve"> les entrées suivantes :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1038</w:t>
      </w:r>
      <w:r w:rsidRPr="00807EEB">
        <w:rPr>
          <w:bCs/>
          <w:lang w:val="fr-FR" w:eastAsia="de-DE" w:bidi="fr-FR"/>
        </w:rPr>
        <w:tab/>
        <w:t>ÉTHYLÈNE LIQUIDE RÉFRIGÉRÉ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1040</w:t>
      </w:r>
      <w:r w:rsidRPr="00807EEB">
        <w:rPr>
          <w:bCs/>
          <w:lang w:val="fr-FR" w:eastAsia="de-DE" w:bidi="fr-FR"/>
        </w:rPr>
        <w:tab/>
        <w:t xml:space="preserve">OXYDE D'ÉTHYLÈNE AVEC DE L'AZOTE jusqu'à une pression totale de 1 MPa (10 bar) à 50 °C 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1092</w:t>
      </w:r>
      <w:r w:rsidRPr="00807EEB">
        <w:rPr>
          <w:bCs/>
          <w:lang w:val="fr-FR" w:eastAsia="de-DE" w:bidi="fr-FR"/>
        </w:rPr>
        <w:tab/>
        <w:t>ACROLÉINE STABILISÉE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1098</w:t>
      </w:r>
      <w:r w:rsidRPr="00807EEB">
        <w:rPr>
          <w:bCs/>
          <w:lang w:val="fr-FR" w:eastAsia="de-DE" w:bidi="fr-FR"/>
        </w:rPr>
        <w:tab/>
        <w:t>ALCOOL ALLYLIQUE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1165</w:t>
      </w:r>
      <w:r w:rsidRPr="00807EEB">
        <w:rPr>
          <w:bCs/>
          <w:lang w:val="fr-FR" w:eastAsia="de-DE" w:bidi="fr-FR"/>
        </w:rPr>
        <w:tab/>
        <w:t>DIOXANNE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2023</w:t>
      </w:r>
      <w:r w:rsidRPr="00807EEB">
        <w:rPr>
          <w:bCs/>
          <w:lang w:val="fr-FR" w:eastAsia="de-DE" w:bidi="fr-FR"/>
        </w:rPr>
        <w:tab/>
        <w:t>ÉPICHLORHYDRINE</w:t>
      </w:r>
    </w:p>
    <w:p w:rsidR="00807EEB" w:rsidRPr="00807EEB" w:rsidRDefault="00807EEB" w:rsidP="00807EEB">
      <w:pPr>
        <w:pStyle w:val="SingleTxtG"/>
        <w:ind w:firstLine="567"/>
        <w:rPr>
          <w:lang w:val="fr-FR" w:eastAsia="de-DE" w:bidi="fr-FR"/>
        </w:rPr>
      </w:pPr>
      <w:r>
        <w:rPr>
          <w:lang w:val="fr-FR" w:eastAsia="de-DE" w:bidi="fr-FR"/>
        </w:rPr>
        <w:t>b)</w:t>
      </w:r>
      <w:r>
        <w:rPr>
          <w:lang w:val="fr-FR" w:eastAsia="de-DE" w:bidi="fr-FR"/>
        </w:rPr>
        <w:tab/>
      </w:r>
      <w:r w:rsidRPr="00807EEB">
        <w:rPr>
          <w:lang w:val="fr-FR" w:eastAsia="de-DE" w:bidi="fr-FR"/>
        </w:rPr>
        <w:t>"(II B2)" ajouter pour les entrées suivantes :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1033</w:t>
      </w:r>
      <w:r w:rsidRPr="00807EEB">
        <w:rPr>
          <w:bCs/>
          <w:lang w:val="fr-FR" w:eastAsia="de-DE" w:bidi="fr-FR"/>
        </w:rPr>
        <w:tab/>
        <w:t>ÉTHER MÉTHYLIQUE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lastRenderedPageBreak/>
        <w:t>1093</w:t>
      </w:r>
      <w:r w:rsidRPr="00807EEB">
        <w:rPr>
          <w:bCs/>
          <w:lang w:val="fr-FR" w:eastAsia="de-DE" w:bidi="fr-FR"/>
        </w:rPr>
        <w:tab/>
        <w:t>ACRYLONITRILE STABILISÉ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1120</w:t>
      </w:r>
      <w:r w:rsidRPr="00807EEB">
        <w:rPr>
          <w:bCs/>
          <w:lang w:val="fr-FR" w:eastAsia="de-DE" w:bidi="fr-FR"/>
        </w:rPr>
        <w:tab/>
        <w:t>BUTANOLS (ALCOOL n-BUTYLIQUE)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1143</w:t>
      </w:r>
      <w:r w:rsidRPr="00807EEB">
        <w:rPr>
          <w:bCs/>
          <w:lang w:val="fr-FR" w:eastAsia="de-DE" w:bidi="fr-FR"/>
        </w:rPr>
        <w:tab/>
        <w:t>ALDÉHYDE CROTONIQUE STABILISÉ (CROTONALDÉHYDE STABILISÉ)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1153</w:t>
      </w:r>
      <w:r w:rsidRPr="00807EEB">
        <w:rPr>
          <w:bCs/>
          <w:lang w:val="fr-FR" w:eastAsia="de-DE" w:bidi="fr-FR"/>
        </w:rPr>
        <w:tab/>
        <w:t>ÉTHER DIÉTHYLIQUE DE L'ÉTHYLÈNEGLYCOL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1171</w:t>
      </w:r>
      <w:r w:rsidRPr="00807EEB">
        <w:rPr>
          <w:bCs/>
          <w:lang w:val="fr-FR" w:eastAsia="de-DE" w:bidi="fr-FR"/>
        </w:rPr>
        <w:tab/>
        <w:t>ÉTHER MONOÉTHYLIQUE DE L'ÉTHYLÈNEGLYCOL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1218</w:t>
      </w:r>
      <w:r w:rsidRPr="00807EEB">
        <w:rPr>
          <w:bCs/>
          <w:lang w:val="fr-FR" w:eastAsia="de-DE" w:bidi="fr-FR"/>
        </w:rPr>
        <w:tab/>
        <w:t>ISOPRÈNE STABILISÉ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2608</w:t>
      </w:r>
      <w:r w:rsidRPr="00807EEB">
        <w:rPr>
          <w:bCs/>
          <w:lang w:val="fr-FR" w:eastAsia="de-DE" w:bidi="fr-FR"/>
        </w:rPr>
        <w:tab/>
        <w:t>NITROPROPANES</w:t>
      </w:r>
    </w:p>
    <w:p w:rsidR="00807EEB" w:rsidRPr="00807EEB" w:rsidRDefault="00807EEB" w:rsidP="00807EEB">
      <w:pPr>
        <w:pStyle w:val="SingleTxtG"/>
        <w:ind w:firstLine="567"/>
        <w:rPr>
          <w:lang w:val="fr-FR" w:eastAsia="de-DE" w:bidi="fr-FR"/>
        </w:rPr>
      </w:pPr>
      <w:r>
        <w:rPr>
          <w:lang w:val="fr-FR" w:eastAsia="de-DE" w:bidi="fr-FR"/>
        </w:rPr>
        <w:t>c)</w:t>
      </w:r>
      <w:r>
        <w:rPr>
          <w:lang w:val="fr-FR" w:eastAsia="de-DE" w:bidi="fr-FR"/>
        </w:rPr>
        <w:tab/>
      </w:r>
      <w:r w:rsidRPr="00807EEB">
        <w:rPr>
          <w:lang w:val="fr-FR" w:eastAsia="de-DE" w:bidi="fr-FR"/>
        </w:rPr>
        <w:t>"(II B2</w:t>
      </w:r>
      <w:r w:rsidRPr="00807EEB">
        <w:rPr>
          <w:vertAlign w:val="superscript"/>
          <w:lang w:val="fr-FR" w:eastAsia="de-DE" w:bidi="fr-FR"/>
        </w:rPr>
        <w:t>4</w:t>
      </w:r>
      <w:r w:rsidRPr="00807EEB">
        <w:rPr>
          <w:lang w:val="fr-FR" w:eastAsia="de-DE" w:bidi="fr-FR"/>
        </w:rPr>
        <w:t>)" ajouter pour les entrées suivantes :</w:t>
      </w:r>
    </w:p>
    <w:p w:rsidR="00807EEB" w:rsidRPr="00B84D92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1010</w:t>
      </w:r>
      <w:r w:rsidRPr="00807EEB">
        <w:rPr>
          <w:bCs/>
          <w:lang w:val="fr-FR" w:eastAsia="de-DE" w:bidi="fr-FR"/>
        </w:rPr>
        <w:tab/>
      </w:r>
      <w:r w:rsidRPr="00B84D92">
        <w:rPr>
          <w:bCs/>
          <w:lang w:val="fr-FR" w:eastAsia="de-DE" w:bidi="fr-FR"/>
        </w:rPr>
        <w:t>BUTADIÈNE-1-3, STABILISÉ</w:t>
      </w:r>
    </w:p>
    <w:p w:rsidR="00807EEB" w:rsidRPr="00B84D92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B84D92">
        <w:rPr>
          <w:bCs/>
          <w:lang w:val="fr-FR" w:eastAsia="de-DE" w:bidi="fr-FR"/>
        </w:rPr>
        <w:t>1010</w:t>
      </w:r>
      <w:r w:rsidRPr="00B84D92">
        <w:rPr>
          <w:bCs/>
          <w:lang w:val="fr-FR" w:eastAsia="de-DE" w:bidi="fr-FR"/>
        </w:rPr>
        <w:tab/>
        <w:t>BUTADIÈNES STABILISÉS ou BUTADIÈNES ET HYDROCARBURES EN MÉLANGE STABILISÉ, qui, à 70 °C, ont une pression de vapeur ne dépassant pas 1,1 MPa (11 bar) et dont la masse volumique à 50 °C n'est pas inférieure à 0,525 kg/l (contient moins de 0,1% de butadiene-1-3)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B84D92">
        <w:rPr>
          <w:bCs/>
          <w:lang w:val="fr-FR" w:eastAsia="de-DE" w:bidi="fr-FR"/>
        </w:rPr>
        <w:t>1010</w:t>
      </w:r>
      <w:r w:rsidRPr="00B84D92">
        <w:rPr>
          <w:bCs/>
          <w:lang w:val="fr-FR" w:eastAsia="de-DE" w:bidi="fr-FR"/>
        </w:rPr>
        <w:tab/>
        <w:t>BUTADIÈNES STABILISÉS ou BUTADIÈNES ET HYDROCARBURES EN MÉLANGE STABILISÉ, qui, à 70 °C, ont une pression de vapeur ne dépassant pas 1,1 MPa (11 bar) et dont la masse volumique à 50 °C n'est pas inférieure à 0,525 kg</w:t>
      </w:r>
      <w:r w:rsidRPr="00807EEB">
        <w:rPr>
          <w:lang w:val="fr-FR" w:eastAsia="de-DE" w:bidi="fr-FR"/>
        </w:rPr>
        <w:t xml:space="preserve">/l (contient </w:t>
      </w:r>
      <w:r w:rsidR="009B38C0">
        <w:rPr>
          <w:lang w:val="fr-FR" w:eastAsia="de-DE" w:bidi="fr-FR"/>
        </w:rPr>
        <w:br/>
      </w:r>
      <w:r w:rsidRPr="00807EEB">
        <w:rPr>
          <w:lang w:val="fr-FR" w:eastAsia="de-DE" w:bidi="fr-FR"/>
        </w:rPr>
        <w:t>0,1 % ou plus de butadiène</w:t>
      </w:r>
      <w:r w:rsidRPr="00807EEB">
        <w:rPr>
          <w:bCs/>
          <w:lang w:val="fr-FR" w:eastAsia="de-DE" w:bidi="fr-FR"/>
        </w:rPr>
        <w:t>-1-3)</w:t>
      </w:r>
    </w:p>
    <w:p w:rsidR="00807EEB" w:rsidRPr="00807EEB" w:rsidRDefault="00807EEB" w:rsidP="00807EEB">
      <w:pPr>
        <w:pStyle w:val="SingleTxtG"/>
        <w:ind w:firstLine="567"/>
        <w:rPr>
          <w:lang w:val="fr-FR" w:eastAsia="de-DE" w:bidi="fr-FR"/>
        </w:rPr>
      </w:pPr>
      <w:r>
        <w:rPr>
          <w:lang w:val="fr-FR" w:eastAsia="de-DE" w:bidi="fr-FR"/>
        </w:rPr>
        <w:t>d)</w:t>
      </w:r>
      <w:r>
        <w:rPr>
          <w:lang w:val="fr-FR" w:eastAsia="de-DE" w:bidi="fr-FR"/>
        </w:rPr>
        <w:tab/>
      </w:r>
      <w:r w:rsidRPr="00807EEB">
        <w:rPr>
          <w:lang w:val="fr-FR" w:eastAsia="de-DE" w:bidi="fr-FR"/>
        </w:rPr>
        <w:t>"(II B1)" ajouter pour les entrées suivantes :</w:t>
      </w:r>
    </w:p>
    <w:p w:rsidR="00807EEB" w:rsidRPr="00B84D92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1155</w:t>
      </w:r>
      <w:r w:rsidRPr="00807EEB">
        <w:rPr>
          <w:bCs/>
          <w:lang w:val="fr-FR" w:eastAsia="de-DE" w:bidi="fr-FR"/>
        </w:rPr>
        <w:tab/>
      </w:r>
      <w:r w:rsidRPr="00B84D92">
        <w:rPr>
          <w:bCs/>
          <w:lang w:val="fr-FR" w:eastAsia="de-DE" w:bidi="fr-FR"/>
        </w:rPr>
        <w:t>ÉTHER DIÉTHYLIQUE</w:t>
      </w:r>
    </w:p>
    <w:p w:rsidR="00807EEB" w:rsidRPr="00B84D92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B84D92">
        <w:rPr>
          <w:bCs/>
          <w:lang w:val="fr-FR" w:eastAsia="de-DE" w:bidi="fr-FR"/>
        </w:rPr>
        <w:t>1170</w:t>
      </w:r>
      <w:r w:rsidRPr="00B84D92">
        <w:rPr>
          <w:bCs/>
          <w:lang w:val="fr-FR" w:eastAsia="de-DE" w:bidi="fr-FR"/>
        </w:rPr>
        <w:tab/>
        <w:t>ÉTHANOL (ALCOOL ÉTHYLIQUE) ou ÉTHANOL EN SOLUTION (ALCOOL ÉTHYLIQUE EN SOLUTION), solution aqueuse contenant plus de 70 % en volume d'alcool</w:t>
      </w:r>
    </w:p>
    <w:p w:rsidR="00807EEB" w:rsidRPr="00B84D92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B84D92">
        <w:rPr>
          <w:bCs/>
          <w:lang w:val="fr-FR" w:eastAsia="de-DE" w:bidi="fr-FR"/>
        </w:rPr>
        <w:t>1199</w:t>
      </w:r>
      <w:r w:rsidRPr="00B84D92">
        <w:rPr>
          <w:bCs/>
          <w:lang w:val="fr-FR" w:eastAsia="de-DE" w:bidi="fr-FR"/>
        </w:rPr>
        <w:tab/>
        <w:t>FURALDÉHYDES (a-FURALDÉHYDE) ou FURFURALDÉHYDES (a-FURFURYLALDÉHYDE)</w:t>
      </w:r>
    </w:p>
    <w:p w:rsidR="00807EEB" w:rsidRPr="00B84D92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B84D92">
        <w:rPr>
          <w:bCs/>
          <w:lang w:val="fr-FR" w:eastAsia="de-DE" w:bidi="fr-FR"/>
        </w:rPr>
        <w:t>1662</w:t>
      </w:r>
      <w:r w:rsidRPr="00B84D92">
        <w:rPr>
          <w:bCs/>
          <w:lang w:val="fr-FR" w:eastAsia="de-DE" w:bidi="fr-FR"/>
        </w:rPr>
        <w:tab/>
        <w:t>NITROBENZÈNE</w:t>
      </w:r>
    </w:p>
    <w:p w:rsidR="00807EEB" w:rsidRPr="00B84D92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B84D92">
        <w:rPr>
          <w:bCs/>
          <w:lang w:val="fr-FR" w:eastAsia="de-DE" w:bidi="fr-FR"/>
        </w:rPr>
        <w:t>1917</w:t>
      </w:r>
      <w:r w:rsidRPr="00B84D92">
        <w:rPr>
          <w:bCs/>
          <w:lang w:val="fr-FR" w:eastAsia="de-DE" w:bidi="fr-FR"/>
        </w:rPr>
        <w:tab/>
        <w:t>ACRYLATE D'ÉTHYLE STABILISÉ</w:t>
      </w:r>
    </w:p>
    <w:p w:rsidR="00807EEB" w:rsidRPr="00B84D92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B84D92">
        <w:rPr>
          <w:bCs/>
          <w:lang w:val="fr-FR" w:eastAsia="de-DE" w:bidi="fr-FR"/>
        </w:rPr>
        <w:t>1919</w:t>
      </w:r>
      <w:r w:rsidRPr="00B84D92">
        <w:rPr>
          <w:bCs/>
          <w:lang w:val="fr-FR" w:eastAsia="de-DE" w:bidi="fr-FR"/>
        </w:rPr>
        <w:tab/>
        <w:t>ACRYLATE DE MÉTHYLE STABILISÉ</w:t>
      </w:r>
    </w:p>
    <w:p w:rsidR="00807EEB" w:rsidRPr="00B84D92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B84D92">
        <w:rPr>
          <w:bCs/>
          <w:lang w:val="fr-FR" w:eastAsia="de-DE" w:bidi="fr-FR"/>
        </w:rPr>
        <w:t>2056</w:t>
      </w:r>
      <w:r w:rsidRPr="00B84D92">
        <w:rPr>
          <w:bCs/>
          <w:lang w:val="fr-FR" w:eastAsia="de-DE" w:bidi="fr-FR"/>
        </w:rPr>
        <w:tab/>
        <w:t>TÉTRAHYDROFURANNE</w:t>
      </w:r>
    </w:p>
    <w:p w:rsidR="00807EEB" w:rsidRPr="00B84D92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B84D92">
        <w:rPr>
          <w:bCs/>
          <w:lang w:val="fr-FR" w:eastAsia="de-DE" w:bidi="fr-FR"/>
        </w:rPr>
        <w:t>2218</w:t>
      </w:r>
      <w:r w:rsidRPr="00B84D92">
        <w:rPr>
          <w:bCs/>
          <w:lang w:val="fr-FR" w:eastAsia="de-DE" w:bidi="fr-FR"/>
        </w:rPr>
        <w:tab/>
        <w:t>ACIDE ACRYLIQUE STABILISÉ</w:t>
      </w:r>
    </w:p>
    <w:p w:rsidR="00807EEB" w:rsidRPr="00B84D92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B84D92">
        <w:rPr>
          <w:bCs/>
          <w:lang w:val="fr-FR" w:eastAsia="de-DE" w:bidi="fr-FR"/>
        </w:rPr>
        <w:t>2278</w:t>
      </w:r>
      <w:r w:rsidRPr="00B84D92">
        <w:rPr>
          <w:bCs/>
          <w:lang w:val="fr-FR" w:eastAsia="de-DE" w:bidi="fr-FR"/>
        </w:rPr>
        <w:tab/>
        <w:t>n-HEPTÈNE</w:t>
      </w:r>
    </w:p>
    <w:p w:rsidR="00807EEB" w:rsidRPr="00B84D92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B84D92">
        <w:rPr>
          <w:bCs/>
          <w:lang w:val="fr-FR" w:eastAsia="de-DE" w:bidi="fr-FR"/>
        </w:rPr>
        <w:t>2303</w:t>
      </w:r>
      <w:r w:rsidRPr="00B84D92">
        <w:rPr>
          <w:bCs/>
          <w:lang w:val="fr-FR" w:eastAsia="de-DE" w:bidi="fr-FR"/>
        </w:rPr>
        <w:tab/>
        <w:t>ISOPROPÉNYLBENZÈNE</w:t>
      </w:r>
    </w:p>
    <w:p w:rsidR="00807EEB" w:rsidRPr="00B84D92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B84D92">
        <w:rPr>
          <w:bCs/>
          <w:lang w:val="fr-FR" w:eastAsia="de-DE" w:bidi="fr-FR"/>
        </w:rPr>
        <w:t>2348</w:t>
      </w:r>
      <w:r w:rsidRPr="00B84D92">
        <w:rPr>
          <w:bCs/>
          <w:lang w:val="fr-FR" w:eastAsia="de-DE" w:bidi="fr-FR"/>
        </w:rPr>
        <w:tab/>
        <w:t xml:space="preserve">ACRYLATES DE BUTYLE, STABILISÉS (ACRYLATE DE </w:t>
      </w:r>
      <w:r w:rsidR="009B38C0">
        <w:rPr>
          <w:bCs/>
          <w:lang w:val="fr-FR" w:eastAsia="de-DE" w:bidi="fr-FR"/>
        </w:rPr>
        <w:br/>
      </w:r>
      <w:r w:rsidRPr="00B84D92">
        <w:rPr>
          <w:bCs/>
          <w:lang w:val="fr-FR" w:eastAsia="de-DE" w:bidi="fr-FR"/>
        </w:rPr>
        <w:t>n-BUTYLE STABILISÉ)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B84D92">
        <w:rPr>
          <w:bCs/>
          <w:lang w:val="fr-FR" w:eastAsia="de-DE" w:bidi="fr-FR"/>
        </w:rPr>
        <w:t>3092</w:t>
      </w:r>
      <w:r w:rsidRPr="00B84D92">
        <w:rPr>
          <w:bCs/>
          <w:lang w:val="fr-FR" w:eastAsia="de-DE" w:bidi="fr-FR"/>
        </w:rPr>
        <w:tab/>
        <w:t>MÉTHOXY-1 PROPANOL</w:t>
      </w:r>
      <w:r w:rsidRPr="00807EEB">
        <w:rPr>
          <w:bCs/>
          <w:lang w:val="fr-FR" w:eastAsia="de-DE" w:bidi="fr-FR"/>
        </w:rPr>
        <w:t>-2</w:t>
      </w:r>
    </w:p>
    <w:p w:rsidR="00807EEB" w:rsidRPr="00807EEB" w:rsidRDefault="00807EEB" w:rsidP="00807EEB">
      <w:pPr>
        <w:pStyle w:val="SingleTxtG"/>
        <w:ind w:firstLine="567"/>
        <w:rPr>
          <w:lang w:val="fr-FR" w:eastAsia="de-DE" w:bidi="fr-FR"/>
        </w:rPr>
      </w:pPr>
      <w:r>
        <w:rPr>
          <w:lang w:val="fr-FR" w:eastAsia="de-DE" w:bidi="fr-FR"/>
        </w:rPr>
        <w:t>e)</w:t>
      </w:r>
      <w:r>
        <w:rPr>
          <w:lang w:val="fr-FR" w:eastAsia="de-DE" w:bidi="fr-FR"/>
        </w:rPr>
        <w:tab/>
      </w:r>
      <w:r w:rsidRPr="00807EEB">
        <w:rPr>
          <w:lang w:val="fr-FR" w:eastAsia="de-DE" w:bidi="fr-FR"/>
        </w:rPr>
        <w:t>"(II B1</w:t>
      </w:r>
      <w:r w:rsidRPr="00807EEB">
        <w:rPr>
          <w:vertAlign w:val="superscript"/>
          <w:lang w:val="fr-FR" w:eastAsia="de-DE" w:bidi="fr-FR"/>
        </w:rPr>
        <w:t>4</w:t>
      </w:r>
      <w:r w:rsidRPr="00807EEB">
        <w:rPr>
          <w:lang w:val="fr-FR" w:eastAsia="de-DE" w:bidi="fr-FR"/>
        </w:rPr>
        <w:t>)" ajouter pour les entrées suivantes :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1170</w:t>
      </w:r>
      <w:r w:rsidRPr="00807EEB">
        <w:rPr>
          <w:bCs/>
          <w:lang w:val="fr-FR" w:eastAsia="de-DE" w:bidi="fr-FR"/>
        </w:rPr>
        <w:tab/>
        <w:t xml:space="preserve">ÉTHANOL EN SOLUTION (ALCOOL ÉTHYLIQUE EN SOLUTION), solution aqueuse contenant plus de 24 % et au plus </w:t>
      </w:r>
      <w:r w:rsidR="009B38C0">
        <w:rPr>
          <w:bCs/>
          <w:lang w:val="fr-FR" w:eastAsia="de-DE" w:bidi="fr-FR"/>
        </w:rPr>
        <w:br/>
      </w:r>
      <w:r w:rsidRPr="00807EEB">
        <w:rPr>
          <w:bCs/>
          <w:lang w:val="fr-FR" w:eastAsia="de-DE" w:bidi="fr-FR"/>
        </w:rPr>
        <w:t>70 % en volume d'alcool</w:t>
      </w:r>
    </w:p>
    <w:p w:rsidR="00807EEB" w:rsidRPr="00807EEB" w:rsidRDefault="00807EEB" w:rsidP="00807EEB">
      <w:pPr>
        <w:pStyle w:val="SingleTxtG"/>
        <w:ind w:firstLine="567"/>
        <w:rPr>
          <w:lang w:val="fr-FR" w:eastAsia="de-DE" w:bidi="fr-FR"/>
        </w:rPr>
      </w:pPr>
      <w:r>
        <w:rPr>
          <w:lang w:val="fr-FR" w:eastAsia="de-DE" w:bidi="fr-FR"/>
        </w:rPr>
        <w:lastRenderedPageBreak/>
        <w:t>f)</w:t>
      </w:r>
      <w:r>
        <w:rPr>
          <w:lang w:val="fr-FR" w:eastAsia="de-DE" w:bidi="fr-FR"/>
        </w:rPr>
        <w:tab/>
      </w:r>
      <w:r w:rsidRPr="00807EEB">
        <w:rPr>
          <w:lang w:val="fr-FR" w:eastAsia="de-DE" w:bidi="fr-FR"/>
        </w:rPr>
        <w:t>"(II B1)" remplacer par "II A</w:t>
      </w:r>
      <w:r w:rsidRPr="00807EEB">
        <w:rPr>
          <w:vertAlign w:val="superscript"/>
          <w:lang w:val="fr-FR" w:eastAsia="de-DE" w:bidi="fr-FR"/>
        </w:rPr>
        <w:t>7)</w:t>
      </w:r>
      <w:r w:rsidRPr="00807EEB">
        <w:rPr>
          <w:lang w:val="fr-FR" w:eastAsia="de-DE" w:bidi="fr-FR"/>
        </w:rPr>
        <w:t>" pour les entrées suivantes :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2458</w:t>
      </w:r>
      <w:r w:rsidRPr="00807EEB">
        <w:rPr>
          <w:bCs/>
          <w:lang w:val="fr-FR" w:eastAsia="de-DE" w:bidi="fr-FR"/>
        </w:rPr>
        <w:tab/>
        <w:t>HEXADIÈNES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2491</w:t>
      </w:r>
      <w:r w:rsidRPr="00807EEB">
        <w:rPr>
          <w:bCs/>
          <w:lang w:val="fr-FR" w:eastAsia="de-DE" w:bidi="fr-FR"/>
        </w:rPr>
        <w:tab/>
        <w:t>ÉTHANOLAMINE ou ÉTHANOLAMINE EN SOLUTION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2811</w:t>
      </w:r>
      <w:r w:rsidRPr="00807EEB">
        <w:rPr>
          <w:bCs/>
          <w:lang w:val="fr-FR" w:eastAsia="de-DE" w:bidi="fr-FR"/>
        </w:rPr>
        <w:tab/>
        <w:t xml:space="preserve">SOLIDE ORGANIQUE TOXIQUE, N.S.A. </w:t>
      </w:r>
      <w:r w:rsidR="001069FD">
        <w:rPr>
          <w:bCs/>
          <w:lang w:val="fr-FR" w:eastAsia="de-DE" w:bidi="fr-FR"/>
        </w:rPr>
        <w:br/>
      </w:r>
      <w:r w:rsidRPr="00807EEB">
        <w:rPr>
          <w:bCs/>
          <w:lang w:val="fr-FR" w:eastAsia="de-DE" w:bidi="fr-FR"/>
        </w:rPr>
        <w:t>(1,2,3-TRICHLOROBENZÈNE, FONDU)</w:t>
      </w:r>
    </w:p>
    <w:p w:rsidR="00807EEB" w:rsidRPr="00807EEB" w:rsidRDefault="00807EEB" w:rsidP="00B84D92">
      <w:pPr>
        <w:pStyle w:val="SingleTxtG"/>
        <w:ind w:left="2835" w:hanging="567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2811</w:t>
      </w:r>
      <w:r w:rsidRPr="00807EEB">
        <w:rPr>
          <w:bCs/>
          <w:lang w:val="fr-FR" w:eastAsia="de-DE" w:bidi="fr-FR"/>
        </w:rPr>
        <w:tab/>
        <w:t xml:space="preserve">SOLIDE ORGANIQUE TOXIQUE, N.S.A. </w:t>
      </w:r>
      <w:r w:rsidR="001069FD">
        <w:rPr>
          <w:bCs/>
          <w:lang w:val="fr-FR" w:eastAsia="de-DE" w:bidi="fr-FR"/>
        </w:rPr>
        <w:br/>
      </w:r>
      <w:r w:rsidRPr="00807EEB">
        <w:rPr>
          <w:bCs/>
          <w:lang w:val="fr-FR" w:eastAsia="de-DE" w:bidi="fr-FR"/>
        </w:rPr>
        <w:t>(1,3,5-TRICHLOROBENZÈNE, FONDU)</w:t>
      </w:r>
    </w:p>
    <w:p w:rsidR="00807EEB" w:rsidRPr="00807EEB" w:rsidRDefault="002667F5" w:rsidP="00807EEB">
      <w:pPr>
        <w:pStyle w:val="SingleTxtG"/>
        <w:rPr>
          <w:bCs/>
          <w:lang w:val="fr-FR" w:eastAsia="de-DE" w:bidi="fr-FR"/>
        </w:rPr>
      </w:pPr>
      <w:r>
        <w:rPr>
          <w:bCs/>
          <w:lang w:val="fr-FR" w:eastAsia="de-DE" w:bidi="fr-FR"/>
        </w:rPr>
        <w:t>7</w:t>
      </w:r>
      <w:r w:rsidR="00807EEB" w:rsidRPr="00807EEB">
        <w:rPr>
          <w:bCs/>
          <w:lang w:val="fr-FR" w:eastAsia="de-DE" w:bidi="fr-FR"/>
        </w:rPr>
        <w:t>.</w:t>
      </w:r>
      <w:r w:rsidR="00807EEB" w:rsidRPr="00807EEB">
        <w:rPr>
          <w:bCs/>
          <w:lang w:val="fr-FR" w:eastAsia="de-DE" w:bidi="fr-FR"/>
        </w:rPr>
        <w:tab/>
        <w:t>En outre, il est proposé de rédiger comme suit le commentaire pour la colonne (16) au 3.2.3.1 Explications concernant le tableau C</w:t>
      </w:r>
      <w:r w:rsidR="001069FD">
        <w:rPr>
          <w:bCs/>
          <w:lang w:val="fr-FR" w:eastAsia="de-DE" w:bidi="fr-FR"/>
        </w:rPr>
        <w:t>:</w:t>
      </w:r>
    </w:p>
    <w:p w:rsidR="00807EEB" w:rsidRPr="00807EEB" w:rsidRDefault="00807EEB" w:rsidP="00807EEB">
      <w:pPr>
        <w:pStyle w:val="SingleTxtG"/>
        <w:rPr>
          <w:b/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«</w:t>
      </w:r>
      <w:r w:rsidRPr="00807EEB">
        <w:rPr>
          <w:b/>
          <w:bCs/>
          <w:lang w:val="fr-FR" w:eastAsia="de-DE" w:bidi="fr-FR"/>
        </w:rPr>
        <w:t>Colonne 16</w:t>
      </w:r>
      <w:r w:rsidRPr="00807EEB">
        <w:rPr>
          <w:b/>
          <w:bCs/>
          <w:lang w:val="fr-FR" w:eastAsia="de-DE" w:bidi="fr-FR"/>
        </w:rPr>
        <w:tab/>
        <w:t>Groupe d’explosion</w:t>
      </w:r>
    </w:p>
    <w:p w:rsidR="00807EEB" w:rsidRPr="00807EEB" w:rsidRDefault="00807EEB" w:rsidP="00807EEB">
      <w:pPr>
        <w:pStyle w:val="SingleTxtG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Contient le groupe d’explosion de la matière.</w:t>
      </w:r>
    </w:p>
    <w:p w:rsidR="00807EEB" w:rsidRPr="00807EEB" w:rsidRDefault="00807EEB" w:rsidP="00807EEB">
      <w:pPr>
        <w:pStyle w:val="SingleTxtG"/>
        <w:rPr>
          <w:bCs/>
          <w:lang w:val="fr-FR" w:eastAsia="de-DE" w:bidi="fr-FR"/>
        </w:rPr>
      </w:pPr>
      <w:r w:rsidRPr="00807EEB">
        <w:rPr>
          <w:bCs/>
          <w:lang w:val="fr-FR" w:eastAsia="de-DE" w:bidi="fr-FR"/>
        </w:rPr>
        <w:t>Les valeurs entre crochets sont l'indication des sous-groupes du groupe d’explosion II B pour le choix des sy</w:t>
      </w:r>
      <w:bookmarkStart w:id="0" w:name="_GoBack"/>
      <w:bookmarkEnd w:id="0"/>
      <w:r w:rsidRPr="00807EEB">
        <w:rPr>
          <w:bCs/>
          <w:lang w:val="fr-FR" w:eastAsia="de-DE" w:bidi="fr-FR"/>
        </w:rPr>
        <w:t>stèmes de protection autonomes correspondants (coupe-flammes, soupapes de sous-pression et surpression avec dispositif anti-retour de flammes intégré et soupapes de dégagement à grande vitesse).</w:t>
      </w:r>
    </w:p>
    <w:p w:rsidR="00807EEB" w:rsidRPr="00807EEB" w:rsidRDefault="00807EEB" w:rsidP="00807EEB">
      <w:pPr>
        <w:pStyle w:val="SingleTxtG"/>
        <w:rPr>
          <w:bCs/>
          <w:i/>
          <w:lang w:val="fr-FR" w:eastAsia="de-DE" w:bidi="fr-FR"/>
        </w:rPr>
      </w:pPr>
      <w:r w:rsidRPr="00807EEB">
        <w:rPr>
          <w:bCs/>
          <w:i/>
          <w:lang w:val="fr-FR" w:eastAsia="de-DE" w:bidi="fr-FR"/>
        </w:rPr>
        <w:t>Nota :</w:t>
      </w:r>
    </w:p>
    <w:p w:rsidR="00807EEB" w:rsidRPr="00807EEB" w:rsidRDefault="00807EEB" w:rsidP="00807EEB">
      <w:pPr>
        <w:pStyle w:val="SingleTxtG"/>
        <w:rPr>
          <w:bCs/>
          <w:i/>
          <w:lang w:val="fr-FR" w:eastAsia="de-DE" w:bidi="fr-FR"/>
        </w:rPr>
      </w:pPr>
      <w:r w:rsidRPr="00807EEB">
        <w:rPr>
          <w:bCs/>
          <w:i/>
          <w:lang w:val="fr-FR" w:eastAsia="de-DE" w:bidi="fr-FR"/>
        </w:rPr>
        <w:t xml:space="preserve">En présence de systèmes de protection autonomes du sous-groupe d'explosion II B peuvent être transportés des produits pour lesquels s'appliquent les groupes d'explosion II A ou </w:t>
      </w:r>
      <w:r w:rsidR="001069FD">
        <w:rPr>
          <w:bCs/>
          <w:i/>
          <w:lang w:val="fr-FR" w:eastAsia="de-DE" w:bidi="fr-FR"/>
        </w:rPr>
        <w:br/>
      </w:r>
      <w:r w:rsidRPr="00807EEB">
        <w:rPr>
          <w:bCs/>
          <w:i/>
          <w:lang w:val="fr-FR" w:eastAsia="de-DE" w:bidi="fr-FR"/>
        </w:rPr>
        <w:t>II B, y compris les sous-groupes II B3, II B2, II B1.</w:t>
      </w:r>
    </w:p>
    <w:p w:rsidR="00807EEB" w:rsidRPr="00807EEB" w:rsidRDefault="00807EEB" w:rsidP="00807EEB">
      <w:pPr>
        <w:pStyle w:val="SingleTxtG"/>
        <w:rPr>
          <w:bCs/>
          <w:i/>
          <w:lang w:val="fr-FR" w:eastAsia="de-DE" w:bidi="fr-FR"/>
        </w:rPr>
      </w:pPr>
      <w:r w:rsidRPr="00807EEB">
        <w:rPr>
          <w:bCs/>
          <w:i/>
          <w:lang w:val="fr-FR" w:eastAsia="de-DE" w:bidi="fr-FR"/>
        </w:rPr>
        <w:t>En présence de systèmes de protection autonomes du sous-groupe d'explosion II B3 peuvent être transportés des produits pour lesquels s'appliquent les sous-groupes d'explosion II B3, II B2, II B1 ou le groupe d’explosion II A.</w:t>
      </w:r>
    </w:p>
    <w:p w:rsidR="00807EEB" w:rsidRPr="00807EEB" w:rsidRDefault="00807EEB" w:rsidP="00807EEB">
      <w:pPr>
        <w:pStyle w:val="SingleTxtG"/>
        <w:rPr>
          <w:bCs/>
          <w:i/>
          <w:lang w:val="fr-FR" w:eastAsia="de-DE" w:bidi="fr-FR"/>
        </w:rPr>
      </w:pPr>
      <w:r w:rsidRPr="00807EEB">
        <w:rPr>
          <w:bCs/>
          <w:i/>
          <w:lang w:val="fr-FR" w:eastAsia="de-DE" w:bidi="fr-FR"/>
        </w:rPr>
        <w:t>En présence de systèmes de protection autonomes du sous-groupe d'explosion II B2 peuvent être transportés des produits pour lesquels s'appliquent les sous-groupes d'explosion II B2, II B1 ou le groupe d’explosion II A.</w:t>
      </w:r>
    </w:p>
    <w:p w:rsidR="00807EEB" w:rsidRPr="00807EEB" w:rsidRDefault="00807EEB" w:rsidP="00807EEB">
      <w:pPr>
        <w:pStyle w:val="SingleTxtG"/>
        <w:rPr>
          <w:bCs/>
          <w:i/>
          <w:lang w:val="fr-FR" w:eastAsia="de-DE" w:bidi="fr-FR"/>
        </w:rPr>
      </w:pPr>
      <w:r w:rsidRPr="00807EEB">
        <w:rPr>
          <w:bCs/>
          <w:i/>
          <w:lang w:val="fr-FR" w:eastAsia="de-DE" w:bidi="fr-FR"/>
        </w:rPr>
        <w:t>En présence de systèmes de protection autonomes du sous-groupe d'explosion II B1 peuvent être transportés des produits pour lesquels s'appliquent le sous-groupe d'explosion II B1 ou le groupe d’explosion II A.»</w:t>
      </w:r>
    </w:p>
    <w:p w:rsidR="00191B0F" w:rsidRPr="00191B0F" w:rsidRDefault="00191B0F" w:rsidP="00191B0F">
      <w:pPr>
        <w:pStyle w:val="SingleTxtG"/>
        <w:spacing w:before="240" w:after="0"/>
        <w:jc w:val="center"/>
        <w:rPr>
          <w:u w:val="single"/>
          <w:lang w:val="fr-FR" w:eastAsia="de-DE"/>
        </w:rPr>
      </w:pPr>
      <w:r>
        <w:rPr>
          <w:u w:val="single"/>
          <w:lang w:val="fr-FR" w:eastAsia="de-DE"/>
        </w:rPr>
        <w:tab/>
      </w:r>
      <w:r>
        <w:rPr>
          <w:u w:val="single"/>
          <w:lang w:val="fr-FR" w:eastAsia="de-DE"/>
        </w:rPr>
        <w:tab/>
      </w:r>
      <w:r>
        <w:rPr>
          <w:u w:val="single"/>
          <w:lang w:val="fr-FR" w:eastAsia="de-DE"/>
        </w:rPr>
        <w:tab/>
      </w:r>
    </w:p>
    <w:sectPr w:rsidR="00191B0F" w:rsidRPr="00191B0F" w:rsidSect="00BD44C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3E" w:rsidRDefault="00F24A3E"/>
  </w:endnote>
  <w:endnote w:type="continuationSeparator" w:id="0">
    <w:p w:rsidR="00F24A3E" w:rsidRDefault="00F24A3E"/>
  </w:endnote>
  <w:endnote w:type="continuationNotice" w:id="1">
    <w:p w:rsidR="00F24A3E" w:rsidRPr="00BF38EF" w:rsidRDefault="00F24A3E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CF1893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2667F5">
      <w:rPr>
        <w:b/>
        <w:noProof/>
        <w:sz w:val="18"/>
      </w:rPr>
      <w:t>4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CF1893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2667F5">
      <w:rPr>
        <w:b/>
        <w:noProof/>
        <w:sz w:val="18"/>
      </w:rPr>
      <w:t>3</w:t>
    </w:r>
    <w:r w:rsidRPr="00CD42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CF1893">
    <w:pPr>
      <w:pStyle w:val="Footer"/>
      <w:rPr>
        <w:sz w:val="20"/>
      </w:rPr>
    </w:pPr>
    <w:r>
      <w:rPr>
        <w:sz w:val="20"/>
      </w:rPr>
      <w:t>GE.</w:t>
    </w:r>
    <w:r w:rsidR="00523538"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5040630</wp:posOffset>
          </wp:positionH>
          <wp:positionV relativeFrom="line">
            <wp:posOffset>-107950</wp:posOffset>
          </wp:positionV>
          <wp:extent cx="1104265" cy="233045"/>
          <wp:effectExtent l="0" t="0" r="635" b="0"/>
          <wp:wrapNone/>
          <wp:docPr id="2" name="Pictur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074">
      <w:rPr>
        <w:sz w:val="20"/>
      </w:rPr>
      <w:t>1</w:t>
    </w:r>
    <w:r w:rsidR="006B6C93">
      <w:rPr>
        <w:sz w:val="20"/>
      </w:rPr>
      <w:t>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3E" w:rsidRPr="00D27D5E" w:rsidRDefault="00F24A3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24A3E" w:rsidRPr="00836A24" w:rsidRDefault="00F24A3E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:rsidR="00F24A3E" w:rsidRPr="00BF38EF" w:rsidRDefault="00F24A3E" w:rsidP="00BF38EF">
      <w:pPr>
        <w:spacing w:line="240" w:lineRule="auto"/>
        <w:rPr>
          <w:sz w:val="2"/>
          <w:szCs w:val="2"/>
        </w:rPr>
      </w:pPr>
    </w:p>
  </w:footnote>
  <w:footnote w:id="2">
    <w:p w:rsidR="00C26F66" w:rsidRPr="00F337B3" w:rsidRDefault="00D64213" w:rsidP="00D64213">
      <w:pPr>
        <w:pStyle w:val="FootnoteText"/>
      </w:pPr>
      <w:r>
        <w:rPr>
          <w:szCs w:val="24"/>
        </w:rPr>
        <w:tab/>
      </w:r>
      <w:r w:rsidR="00C26F66" w:rsidRPr="00F337B3">
        <w:rPr>
          <w:rStyle w:val="FootnoteReference"/>
          <w:szCs w:val="24"/>
        </w:rPr>
        <w:footnoteRef/>
      </w:r>
      <w:r w:rsidR="00C26F66" w:rsidRPr="00F337B3">
        <w:rPr>
          <w:szCs w:val="24"/>
        </w:rPr>
        <w:tab/>
      </w:r>
      <w:r w:rsidR="00C26F66" w:rsidRPr="00F337B3">
        <w:t xml:space="preserve">Diffusé en langue </w:t>
      </w:r>
      <w:r w:rsidR="00C26F66" w:rsidRPr="00D64213">
        <w:t>allemande</w:t>
      </w:r>
      <w:r w:rsidR="00C26F66" w:rsidRPr="00F337B3">
        <w:t xml:space="preserve"> par la Commission centrale pour la navigation du Rhin sous la cote</w:t>
      </w:r>
      <w:r w:rsidR="00C26F66">
        <w:t xml:space="preserve"> CCNR/ZKR/ADN/WP.15/AC.2/201</w:t>
      </w:r>
      <w:r w:rsidR="00CB0B63">
        <w:t>6</w:t>
      </w:r>
      <w:r w:rsidR="00C26F66">
        <w:t>/</w:t>
      </w:r>
      <w:r w:rsidR="00B84D92">
        <w:t>4</w:t>
      </w:r>
      <w:r w:rsidR="00C26F66" w:rsidRPr="00F337B3">
        <w:rPr>
          <w:noProof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263074">
    <w:pPr>
      <w:pStyle w:val="Header"/>
    </w:pPr>
    <w:r>
      <w:t>ECE/TRANS/WP.15/AC.2/201</w:t>
    </w:r>
    <w:r w:rsidR="00CB0B63">
      <w:t>6</w:t>
    </w:r>
    <w:r w:rsidR="006B6C93">
      <w:t>/</w:t>
    </w:r>
    <w:r w:rsidR="00B84D92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AA4C53" w:rsidP="00CD4281">
    <w:pPr>
      <w:pStyle w:val="Header"/>
      <w:jc w:val="right"/>
    </w:pPr>
    <w:r>
      <w:t>ECE/TRANS/WP.15/AC.2/2015</w:t>
    </w:r>
    <w:r w:rsidR="00812C43">
      <w:t>/</w:t>
    </w:r>
    <w:r w:rsidR="00B84D92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3BBA7BD7"/>
    <w:multiLevelType w:val="hybridMultilevel"/>
    <w:tmpl w:val="46C2CE76"/>
    <w:lvl w:ilvl="0" w:tplc="41D4EDE0">
      <w:start w:val="5"/>
      <w:numFmt w:val="upperRoman"/>
      <w:lvlText w:val="%1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" w15:restartNumberingAfterBreak="0">
    <w:nsid w:val="52606ED6"/>
    <w:multiLevelType w:val="hybridMultilevel"/>
    <w:tmpl w:val="673E56A6"/>
    <w:lvl w:ilvl="0" w:tplc="93A21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1A15"/>
    <w:multiLevelType w:val="hybridMultilevel"/>
    <w:tmpl w:val="F17EF2EC"/>
    <w:lvl w:ilvl="0" w:tplc="6F707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36"/>
    <w:rsid w:val="00016AC5"/>
    <w:rsid w:val="000229BE"/>
    <w:rsid w:val="00023FAD"/>
    <w:rsid w:val="00030ADE"/>
    <w:rsid w:val="000312C0"/>
    <w:rsid w:val="000743C7"/>
    <w:rsid w:val="00090A5D"/>
    <w:rsid w:val="000A0D7D"/>
    <w:rsid w:val="000A55CE"/>
    <w:rsid w:val="000B0D4D"/>
    <w:rsid w:val="000B60CE"/>
    <w:rsid w:val="000D17BF"/>
    <w:rsid w:val="000F41F2"/>
    <w:rsid w:val="00103471"/>
    <w:rsid w:val="001069FD"/>
    <w:rsid w:val="00111648"/>
    <w:rsid w:val="00114D3F"/>
    <w:rsid w:val="001260A6"/>
    <w:rsid w:val="00133F18"/>
    <w:rsid w:val="00135C0D"/>
    <w:rsid w:val="001542D1"/>
    <w:rsid w:val="00160540"/>
    <w:rsid w:val="001636E0"/>
    <w:rsid w:val="001701DC"/>
    <w:rsid w:val="0017182C"/>
    <w:rsid w:val="0017360A"/>
    <w:rsid w:val="00177007"/>
    <w:rsid w:val="001823D4"/>
    <w:rsid w:val="00186EE9"/>
    <w:rsid w:val="00191B0F"/>
    <w:rsid w:val="00192EEB"/>
    <w:rsid w:val="001947FF"/>
    <w:rsid w:val="001A20FB"/>
    <w:rsid w:val="001B0BE2"/>
    <w:rsid w:val="001B46BD"/>
    <w:rsid w:val="001B6F40"/>
    <w:rsid w:val="001C4184"/>
    <w:rsid w:val="001C61AA"/>
    <w:rsid w:val="001D7F8A"/>
    <w:rsid w:val="001E3FEB"/>
    <w:rsid w:val="001E4A02"/>
    <w:rsid w:val="00223B89"/>
    <w:rsid w:val="002255DD"/>
    <w:rsid w:val="00225A8C"/>
    <w:rsid w:val="00234E40"/>
    <w:rsid w:val="00251000"/>
    <w:rsid w:val="00263074"/>
    <w:rsid w:val="002659F1"/>
    <w:rsid w:val="002667F5"/>
    <w:rsid w:val="00271AAD"/>
    <w:rsid w:val="00271C7C"/>
    <w:rsid w:val="00287E79"/>
    <w:rsid w:val="002928F9"/>
    <w:rsid w:val="002A5D07"/>
    <w:rsid w:val="002B4585"/>
    <w:rsid w:val="002B64EB"/>
    <w:rsid w:val="002C4C91"/>
    <w:rsid w:val="002D31AC"/>
    <w:rsid w:val="002D7669"/>
    <w:rsid w:val="002E6444"/>
    <w:rsid w:val="002E6F0D"/>
    <w:rsid w:val="003016B7"/>
    <w:rsid w:val="003044AA"/>
    <w:rsid w:val="00330F9C"/>
    <w:rsid w:val="00331156"/>
    <w:rsid w:val="00340C35"/>
    <w:rsid w:val="00343C15"/>
    <w:rsid w:val="003515AA"/>
    <w:rsid w:val="00364866"/>
    <w:rsid w:val="00370352"/>
    <w:rsid w:val="00370E0F"/>
    <w:rsid w:val="00374106"/>
    <w:rsid w:val="003976D5"/>
    <w:rsid w:val="003A2976"/>
    <w:rsid w:val="003C3BD4"/>
    <w:rsid w:val="003D1DF3"/>
    <w:rsid w:val="003D46A7"/>
    <w:rsid w:val="003D6C68"/>
    <w:rsid w:val="003E5551"/>
    <w:rsid w:val="004159D0"/>
    <w:rsid w:val="00416747"/>
    <w:rsid w:val="0042377E"/>
    <w:rsid w:val="004249E7"/>
    <w:rsid w:val="00426657"/>
    <w:rsid w:val="0043292F"/>
    <w:rsid w:val="00442D65"/>
    <w:rsid w:val="004532CE"/>
    <w:rsid w:val="00460C54"/>
    <w:rsid w:val="004812F5"/>
    <w:rsid w:val="004856F9"/>
    <w:rsid w:val="00493C5D"/>
    <w:rsid w:val="004958E9"/>
    <w:rsid w:val="004A5935"/>
    <w:rsid w:val="004D0439"/>
    <w:rsid w:val="004E6373"/>
    <w:rsid w:val="00523538"/>
    <w:rsid w:val="00530F2E"/>
    <w:rsid w:val="00543D5E"/>
    <w:rsid w:val="00571F41"/>
    <w:rsid w:val="00580744"/>
    <w:rsid w:val="00580EEC"/>
    <w:rsid w:val="00595BE4"/>
    <w:rsid w:val="005A20B5"/>
    <w:rsid w:val="005A69D3"/>
    <w:rsid w:val="005B76A3"/>
    <w:rsid w:val="005E0BAE"/>
    <w:rsid w:val="005E5D1F"/>
    <w:rsid w:val="00602512"/>
    <w:rsid w:val="00603391"/>
    <w:rsid w:val="00611D43"/>
    <w:rsid w:val="00612D48"/>
    <w:rsid w:val="00616B45"/>
    <w:rsid w:val="00630D9B"/>
    <w:rsid w:val="00631953"/>
    <w:rsid w:val="006320E9"/>
    <w:rsid w:val="006439EC"/>
    <w:rsid w:val="00650FD4"/>
    <w:rsid w:val="00653D13"/>
    <w:rsid w:val="006834E6"/>
    <w:rsid w:val="00694F83"/>
    <w:rsid w:val="006B4590"/>
    <w:rsid w:val="006B6C93"/>
    <w:rsid w:val="006C340C"/>
    <w:rsid w:val="006C7F8A"/>
    <w:rsid w:val="006D3C84"/>
    <w:rsid w:val="006E5FC7"/>
    <w:rsid w:val="0070347C"/>
    <w:rsid w:val="007176C1"/>
    <w:rsid w:val="007330FE"/>
    <w:rsid w:val="00735A79"/>
    <w:rsid w:val="00757352"/>
    <w:rsid w:val="00763EB9"/>
    <w:rsid w:val="00790336"/>
    <w:rsid w:val="00790F2F"/>
    <w:rsid w:val="007A1954"/>
    <w:rsid w:val="007B0F68"/>
    <w:rsid w:val="007C3462"/>
    <w:rsid w:val="007C3C4F"/>
    <w:rsid w:val="007F55CB"/>
    <w:rsid w:val="00805BAD"/>
    <w:rsid w:val="00807EEB"/>
    <w:rsid w:val="00812C1A"/>
    <w:rsid w:val="00812C43"/>
    <w:rsid w:val="00830891"/>
    <w:rsid w:val="008317F6"/>
    <w:rsid w:val="00836A24"/>
    <w:rsid w:val="00844750"/>
    <w:rsid w:val="00846C19"/>
    <w:rsid w:val="008940D7"/>
    <w:rsid w:val="008A767B"/>
    <w:rsid w:val="008B09B3"/>
    <w:rsid w:val="008B44C4"/>
    <w:rsid w:val="008B7879"/>
    <w:rsid w:val="008D3919"/>
    <w:rsid w:val="008E7FAE"/>
    <w:rsid w:val="008F059B"/>
    <w:rsid w:val="00911BF7"/>
    <w:rsid w:val="00911DA7"/>
    <w:rsid w:val="00916183"/>
    <w:rsid w:val="009165B3"/>
    <w:rsid w:val="00945FF8"/>
    <w:rsid w:val="009461E5"/>
    <w:rsid w:val="00952FDB"/>
    <w:rsid w:val="0095536D"/>
    <w:rsid w:val="00974DF0"/>
    <w:rsid w:val="00975B8F"/>
    <w:rsid w:val="009761FC"/>
    <w:rsid w:val="00977EC8"/>
    <w:rsid w:val="00980B3E"/>
    <w:rsid w:val="00984468"/>
    <w:rsid w:val="009A5E81"/>
    <w:rsid w:val="009B18A3"/>
    <w:rsid w:val="009B38C0"/>
    <w:rsid w:val="009D3A8C"/>
    <w:rsid w:val="009E01B8"/>
    <w:rsid w:val="009E2194"/>
    <w:rsid w:val="009E7956"/>
    <w:rsid w:val="00A15CB2"/>
    <w:rsid w:val="00A24903"/>
    <w:rsid w:val="00A2492E"/>
    <w:rsid w:val="00A31A6B"/>
    <w:rsid w:val="00A666CE"/>
    <w:rsid w:val="00A70163"/>
    <w:rsid w:val="00A96408"/>
    <w:rsid w:val="00A97D9A"/>
    <w:rsid w:val="00AA4C53"/>
    <w:rsid w:val="00AA5935"/>
    <w:rsid w:val="00AC2802"/>
    <w:rsid w:val="00AC67A1"/>
    <w:rsid w:val="00AC7977"/>
    <w:rsid w:val="00AE352C"/>
    <w:rsid w:val="00AE37B7"/>
    <w:rsid w:val="00AF1499"/>
    <w:rsid w:val="00AF4C64"/>
    <w:rsid w:val="00B03463"/>
    <w:rsid w:val="00B32E2D"/>
    <w:rsid w:val="00B4466B"/>
    <w:rsid w:val="00B5393D"/>
    <w:rsid w:val="00B57132"/>
    <w:rsid w:val="00B60BEC"/>
    <w:rsid w:val="00B61990"/>
    <w:rsid w:val="00B6334B"/>
    <w:rsid w:val="00B73AAE"/>
    <w:rsid w:val="00B75DC2"/>
    <w:rsid w:val="00B75EC5"/>
    <w:rsid w:val="00B84D92"/>
    <w:rsid w:val="00B85D99"/>
    <w:rsid w:val="00B86EA9"/>
    <w:rsid w:val="00B93E72"/>
    <w:rsid w:val="00BA5250"/>
    <w:rsid w:val="00BC5FA7"/>
    <w:rsid w:val="00BD44CD"/>
    <w:rsid w:val="00BD67A2"/>
    <w:rsid w:val="00BF0556"/>
    <w:rsid w:val="00BF38EF"/>
    <w:rsid w:val="00C24B53"/>
    <w:rsid w:val="00C261F8"/>
    <w:rsid w:val="00C26F66"/>
    <w:rsid w:val="00C27150"/>
    <w:rsid w:val="00C2781E"/>
    <w:rsid w:val="00C33100"/>
    <w:rsid w:val="00C57892"/>
    <w:rsid w:val="00C74D15"/>
    <w:rsid w:val="00C908B9"/>
    <w:rsid w:val="00C940E9"/>
    <w:rsid w:val="00CA1414"/>
    <w:rsid w:val="00CB0B63"/>
    <w:rsid w:val="00CB373C"/>
    <w:rsid w:val="00CB6267"/>
    <w:rsid w:val="00CB694A"/>
    <w:rsid w:val="00CD1A25"/>
    <w:rsid w:val="00CD1A71"/>
    <w:rsid w:val="00CD1FBB"/>
    <w:rsid w:val="00CD3488"/>
    <w:rsid w:val="00CD4281"/>
    <w:rsid w:val="00CE5BF6"/>
    <w:rsid w:val="00CF1893"/>
    <w:rsid w:val="00CF7A47"/>
    <w:rsid w:val="00D016B5"/>
    <w:rsid w:val="00D034F1"/>
    <w:rsid w:val="00D04D8B"/>
    <w:rsid w:val="00D11B17"/>
    <w:rsid w:val="00D205A3"/>
    <w:rsid w:val="00D24779"/>
    <w:rsid w:val="00D24B1D"/>
    <w:rsid w:val="00D27D5E"/>
    <w:rsid w:val="00D46004"/>
    <w:rsid w:val="00D60301"/>
    <w:rsid w:val="00D64213"/>
    <w:rsid w:val="00D761E2"/>
    <w:rsid w:val="00D92026"/>
    <w:rsid w:val="00DA57D4"/>
    <w:rsid w:val="00DB4793"/>
    <w:rsid w:val="00DB6CD1"/>
    <w:rsid w:val="00DC794A"/>
    <w:rsid w:val="00DE01E3"/>
    <w:rsid w:val="00DE45DF"/>
    <w:rsid w:val="00DE56E5"/>
    <w:rsid w:val="00DE6D90"/>
    <w:rsid w:val="00DF002F"/>
    <w:rsid w:val="00E0244D"/>
    <w:rsid w:val="00E0331A"/>
    <w:rsid w:val="00E2484C"/>
    <w:rsid w:val="00E37AE2"/>
    <w:rsid w:val="00E401F2"/>
    <w:rsid w:val="00E413D8"/>
    <w:rsid w:val="00E47862"/>
    <w:rsid w:val="00E50079"/>
    <w:rsid w:val="00E55D71"/>
    <w:rsid w:val="00E56ED3"/>
    <w:rsid w:val="00E75221"/>
    <w:rsid w:val="00E81E94"/>
    <w:rsid w:val="00E82607"/>
    <w:rsid w:val="00EA31C2"/>
    <w:rsid w:val="00EA320D"/>
    <w:rsid w:val="00EC510E"/>
    <w:rsid w:val="00EE2EA3"/>
    <w:rsid w:val="00EE56CB"/>
    <w:rsid w:val="00EF1183"/>
    <w:rsid w:val="00EF486C"/>
    <w:rsid w:val="00F01516"/>
    <w:rsid w:val="00F24A3E"/>
    <w:rsid w:val="00F32462"/>
    <w:rsid w:val="00F32AAA"/>
    <w:rsid w:val="00F50F4F"/>
    <w:rsid w:val="00F56DE8"/>
    <w:rsid w:val="00F57129"/>
    <w:rsid w:val="00FA5A79"/>
    <w:rsid w:val="00FB00CB"/>
    <w:rsid w:val="00FB0BFE"/>
    <w:rsid w:val="00FB44CA"/>
    <w:rsid w:val="00FB4C51"/>
    <w:rsid w:val="00FC017A"/>
    <w:rsid w:val="00FD3CA2"/>
    <w:rsid w:val="00FF0745"/>
    <w:rsid w:val="00FF10CF"/>
    <w:rsid w:val="00FF1DBD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D36F645-692E-4E67-BA71-CDB608D8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semiHidden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paragraph" w:styleId="BalloonText">
    <w:name w:val="Balloon Text"/>
    <w:basedOn w:val="Normal"/>
    <w:link w:val="BalloonTextChar"/>
    <w:rsid w:val="00023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FAD"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083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356E-66BC-45DB-A560-D5BC4D06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ECE/TRANS/WP.15/AC.2/2012/7</vt:lpstr>
    </vt:vector>
  </TitlesOfParts>
  <Company>CSD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lastModifiedBy>Caillot</cp:lastModifiedBy>
  <cp:revision>3</cp:revision>
  <cp:lastPrinted>2015-04-23T08:25:00Z</cp:lastPrinted>
  <dcterms:created xsi:type="dcterms:W3CDTF">2015-10-23T14:19:00Z</dcterms:created>
  <dcterms:modified xsi:type="dcterms:W3CDTF">2015-10-26T18:43:00Z</dcterms:modified>
</cp:coreProperties>
</file>