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040398" w:rsidRPr="00040398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40398" w:rsidRDefault="00CD57D2" w:rsidP="00040398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040398">
              <w:rPr>
                <w:b/>
                <w:sz w:val="24"/>
                <w:szCs w:val="24"/>
              </w:rPr>
              <w:t>INF.</w:t>
            </w:r>
            <w:r w:rsidR="00040398" w:rsidRPr="00040398">
              <w:rPr>
                <w:b/>
                <w:sz w:val="24"/>
                <w:szCs w:val="24"/>
              </w:rPr>
              <w:t>47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044827">
        <w:rPr>
          <w:b/>
        </w:rPr>
        <w:t>11</w:t>
      </w:r>
      <w:r w:rsidR="004975C1">
        <w:rPr>
          <w:b/>
        </w:rPr>
        <w:t xml:space="preserve"> </w:t>
      </w:r>
      <w:r w:rsidR="007D6987">
        <w:rPr>
          <w:b/>
        </w:rPr>
        <w:t>March</w:t>
      </w:r>
      <w:r w:rsidR="004975C1">
        <w:rPr>
          <w:b/>
        </w:rPr>
        <w:t xml:space="preserve"> 2016</w:t>
      </w:r>
    </w:p>
    <w:p w:rsidR="009D2A5B" w:rsidRDefault="00BB7CD1" w:rsidP="00BB7CD1">
      <w:r>
        <w:t xml:space="preserve">Bern, </w:t>
      </w:r>
      <w:r w:rsidR="00D65303">
        <w:t>14</w:t>
      </w:r>
      <w:r>
        <w:t>–</w:t>
      </w:r>
      <w:r w:rsidR="00D65303">
        <w:t>18</w:t>
      </w:r>
      <w:r w:rsidR="00F66565">
        <w:t xml:space="preserve"> </w:t>
      </w:r>
      <w:r>
        <w:t>March 201</w:t>
      </w:r>
      <w:r w:rsidR="00D65303">
        <w:t>6</w:t>
      </w:r>
    </w:p>
    <w:p w:rsidR="00DB6CA5" w:rsidRPr="00124A14" w:rsidRDefault="00DB6CA5" w:rsidP="00563634">
      <w:r w:rsidRPr="00124A14">
        <w:t xml:space="preserve">Item </w:t>
      </w:r>
      <w:r w:rsidR="00F94A28" w:rsidRPr="00124A14">
        <w:t>3</w:t>
      </w:r>
      <w:r w:rsidRPr="00124A14">
        <w:t xml:space="preserve"> of the provisional agenda</w:t>
      </w:r>
    </w:p>
    <w:p w:rsidR="004975C1" w:rsidRPr="00A97E17" w:rsidRDefault="00F94A28" w:rsidP="00563634">
      <w:pPr>
        <w:rPr>
          <w:b/>
        </w:rPr>
      </w:pPr>
      <w:r>
        <w:rPr>
          <w:b/>
        </w:rPr>
        <w:t>Standards</w:t>
      </w:r>
    </w:p>
    <w:p w:rsidR="00002480" w:rsidRPr="00BE4741" w:rsidRDefault="009B1518" w:rsidP="00002480">
      <w:pPr>
        <w:pStyle w:val="HChG"/>
      </w:pPr>
      <w:r w:rsidRPr="00A97E17">
        <w:tab/>
      </w:r>
      <w:r w:rsidRPr="00A97E17">
        <w:tab/>
      </w:r>
      <w:r w:rsidR="00F6056C">
        <w:t>New edition of standards</w:t>
      </w:r>
    </w:p>
    <w:p w:rsidR="00002480" w:rsidRPr="00BE4741" w:rsidRDefault="00002480" w:rsidP="00002480">
      <w:pPr>
        <w:pStyle w:val="H1G"/>
      </w:pPr>
      <w:r w:rsidRPr="00BE4741">
        <w:tab/>
      </w:r>
      <w:r w:rsidRPr="00BE4741">
        <w:tab/>
        <w:t xml:space="preserve">Transmitted by the Government of </w:t>
      </w:r>
      <w:r>
        <w:t>Austria</w:t>
      </w:r>
    </w:p>
    <w:p w:rsidR="00F6056C" w:rsidRDefault="00002480" w:rsidP="00EE0151">
      <w:pPr>
        <w:pStyle w:val="SingleTxtG"/>
        <w:rPr>
          <w:noProof/>
        </w:rPr>
      </w:pPr>
      <w:r w:rsidRPr="00BE4741">
        <w:t>1.</w:t>
      </w:r>
      <w:r w:rsidRPr="00BE4741">
        <w:tab/>
      </w:r>
      <w:r w:rsidR="00F6056C">
        <w:t xml:space="preserve">In sub-chapter </w:t>
      </w:r>
      <w:r w:rsidR="00F6056C">
        <w:rPr>
          <w:noProof/>
        </w:rPr>
        <w:t>6.8.2.1.29, footnot</w:t>
      </w:r>
      <w:r w:rsidR="00E44A9E">
        <w:rPr>
          <w:noProof/>
        </w:rPr>
        <w:t>e</w:t>
      </w:r>
      <w:r w:rsidR="00F6056C">
        <w:rPr>
          <w:noProof/>
        </w:rPr>
        <w:t xml:space="preserve"> 6 the standar</w:t>
      </w:r>
      <w:r w:rsidR="00E44A9E">
        <w:rPr>
          <w:noProof/>
        </w:rPr>
        <w:t>d</w:t>
      </w:r>
      <w:r w:rsidR="00F6056C">
        <w:rPr>
          <w:noProof/>
        </w:rPr>
        <w:t xml:space="preserve"> EN 15273-2:2009 Railwa</w:t>
      </w:r>
      <w:r w:rsidR="00E44A9E">
        <w:rPr>
          <w:noProof/>
        </w:rPr>
        <w:t>y</w:t>
      </w:r>
      <w:r w:rsidR="00F6056C">
        <w:rPr>
          <w:noProof/>
        </w:rPr>
        <w:t xml:space="preserve"> applicatios – gauges-Part 2: Rolling stock guage ist cited. This standard</w:t>
      </w:r>
      <w:r w:rsidR="00911D8E">
        <w:rPr>
          <w:noProof/>
        </w:rPr>
        <w:t xml:space="preserve"> should </w:t>
      </w:r>
      <w:r w:rsidR="00F6056C">
        <w:rPr>
          <w:noProof/>
        </w:rPr>
        <w:t>replaced by:</w:t>
      </w:r>
    </w:p>
    <w:p w:rsidR="00F6056C" w:rsidRDefault="00F6056C" w:rsidP="00E44A9E">
      <w:pPr>
        <w:pStyle w:val="SingleTxtG"/>
        <w:jc w:val="left"/>
        <w:rPr>
          <w:noProof/>
        </w:rPr>
      </w:pPr>
      <w:r>
        <w:rPr>
          <w:noProof/>
        </w:rPr>
        <w:t xml:space="preserve">EN </w:t>
      </w:r>
      <w:r w:rsidR="00E44A9E">
        <w:rPr>
          <w:noProof/>
        </w:rPr>
        <w:t xml:space="preserve">15273-2:2013 </w:t>
      </w:r>
      <w:r w:rsidR="00E44A9E" w:rsidRPr="00E44A9E">
        <w:rPr>
          <w:noProof/>
        </w:rPr>
        <w:t>Railway applications ― Gauges ― Part 2: Rolling stock gauge</w:t>
      </w:r>
    </w:p>
    <w:p w:rsidR="00F6056C" w:rsidRDefault="002E35CC" w:rsidP="00EE0151">
      <w:pPr>
        <w:pStyle w:val="SingleTxtG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In chaper </w:t>
      </w:r>
      <w:r w:rsidR="00E44A9E">
        <w:rPr>
          <w:noProof/>
        </w:rPr>
        <w:t xml:space="preserve">6.8.4, TE 25 standard </w:t>
      </w:r>
      <w:r w:rsidR="00911D8E">
        <w:rPr>
          <w:noProof/>
        </w:rPr>
        <w:t>EN 15</w:t>
      </w:r>
      <w:r w:rsidR="00885F2A">
        <w:rPr>
          <w:noProof/>
        </w:rPr>
        <w:t>5</w:t>
      </w:r>
      <w:r w:rsidR="00911D8E">
        <w:rPr>
          <w:noProof/>
        </w:rPr>
        <w:t>51:2011 Railway apllications – Railway rolling stock  is citetd. T</w:t>
      </w:r>
      <w:r w:rsidR="00044827">
        <w:rPr>
          <w:noProof/>
        </w:rPr>
        <w:t>h</w:t>
      </w:r>
      <w:r w:rsidR="00911D8E">
        <w:rPr>
          <w:noProof/>
        </w:rPr>
        <w:t>is standard should replaced by:</w:t>
      </w:r>
    </w:p>
    <w:p w:rsidR="00911D8E" w:rsidRDefault="00C373B3" w:rsidP="00F6056C">
      <w:pPr>
        <w:pStyle w:val="SingleTxtG"/>
        <w:rPr>
          <w:noProof/>
        </w:rPr>
      </w:pPr>
      <w:r w:rsidRPr="00C373B3">
        <w:rPr>
          <w:noProof/>
        </w:rPr>
        <w:t>EN 15551</w:t>
      </w:r>
      <w:r w:rsidR="00124A14">
        <w:rPr>
          <w:noProof/>
        </w:rPr>
        <w:t>:2009</w:t>
      </w:r>
      <w:r w:rsidRPr="00C373B3">
        <w:rPr>
          <w:noProof/>
        </w:rPr>
        <w:t>+A1: 201</w:t>
      </w:r>
      <w:r w:rsidR="00044827">
        <w:rPr>
          <w:noProof/>
        </w:rPr>
        <w:t xml:space="preserve">0 </w:t>
      </w:r>
      <w:r>
        <w:rPr>
          <w:noProof/>
        </w:rPr>
        <w:t>Railway apllications – Railway rolling stock</w:t>
      </w:r>
      <w:r w:rsidR="00044827">
        <w:rPr>
          <w:noProof/>
        </w:rPr>
        <w:t xml:space="preserve"> - Buffers</w:t>
      </w:r>
    </w:p>
    <w:p w:rsidR="00F6056C" w:rsidRPr="00C373B3" w:rsidRDefault="00C373B3" w:rsidP="00F6056C">
      <w:pPr>
        <w:pStyle w:val="SingleTxtG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Proposal</w:t>
      </w:r>
    </w:p>
    <w:p w:rsidR="00F6056C" w:rsidRDefault="00C373B3" w:rsidP="00F6056C">
      <w:pPr>
        <w:pStyle w:val="SingleTxtG"/>
        <w:rPr>
          <w:noProof/>
        </w:rPr>
      </w:pPr>
      <w:r>
        <w:rPr>
          <w:noProof/>
        </w:rPr>
        <w:t>3.</w:t>
      </w:r>
      <w:r>
        <w:rPr>
          <w:noProof/>
        </w:rPr>
        <w:tab/>
        <w:t>Footnote 6 in sub-chaper 6.8.2.1.19 read</w:t>
      </w:r>
      <w:r w:rsidR="00EE0151">
        <w:rPr>
          <w:noProof/>
        </w:rPr>
        <w:t>s</w:t>
      </w:r>
      <w:r>
        <w:rPr>
          <w:noProof/>
        </w:rPr>
        <w:t xml:space="preserve"> as follows:</w:t>
      </w:r>
    </w:p>
    <w:p w:rsidR="00C373B3" w:rsidRDefault="00C373B3" w:rsidP="00EE0151">
      <w:pPr>
        <w:pStyle w:val="SingleTxtG"/>
        <w:rPr>
          <w:noProof/>
        </w:rPr>
      </w:pPr>
      <w:r>
        <w:rPr>
          <w:noProof/>
        </w:rPr>
        <w:t xml:space="preserve">The G1 </w:t>
      </w:r>
      <w:r w:rsidR="007A7D67">
        <w:rPr>
          <w:noProof/>
        </w:rPr>
        <w:t xml:space="preserve">gauge is referenced in Annex A </w:t>
      </w:r>
      <w:r>
        <w:rPr>
          <w:noProof/>
        </w:rPr>
        <w:t>t</w:t>
      </w:r>
      <w:r w:rsidR="007A7D67">
        <w:rPr>
          <w:noProof/>
        </w:rPr>
        <w:t>o</w:t>
      </w:r>
      <w:r>
        <w:rPr>
          <w:noProof/>
        </w:rPr>
        <w:t xml:space="preserve"> standard </w:t>
      </w:r>
      <w:r w:rsidRPr="00C373B3">
        <w:rPr>
          <w:noProof/>
          <w:color w:val="FF0000"/>
          <w:u w:val="single"/>
        </w:rPr>
        <w:t>EN 15273-2:2013</w:t>
      </w:r>
      <w:r w:rsidRPr="00C373B3">
        <w:rPr>
          <w:noProof/>
        </w:rPr>
        <w:t xml:space="preserve"> Railway applications ― Gauges ― Part 2: Rolling stock gauge</w:t>
      </w:r>
    </w:p>
    <w:p w:rsidR="002E35CC" w:rsidRDefault="002E35CC" w:rsidP="00F6056C">
      <w:pPr>
        <w:pStyle w:val="SingleTxtG"/>
        <w:rPr>
          <w:noProof/>
        </w:rPr>
      </w:pPr>
      <w:r>
        <w:rPr>
          <w:noProof/>
        </w:rPr>
        <w:t>4.</w:t>
      </w:r>
      <w:r>
        <w:rPr>
          <w:noProof/>
        </w:rPr>
        <w:tab/>
        <w:t>In the type approval TE 25, lit a), entry</w:t>
      </w:r>
      <w:r w:rsidR="00EE0151">
        <w:rPr>
          <w:noProof/>
        </w:rPr>
        <w:t xml:space="preserve"> </w:t>
      </w:r>
      <w:r w:rsidR="003B4799">
        <w:rPr>
          <w:noProof/>
        </w:rPr>
        <w:t>No.</w:t>
      </w:r>
      <w:r>
        <w:rPr>
          <w:noProof/>
        </w:rPr>
        <w:t xml:space="preserve"> 9 reads as follows:</w:t>
      </w:r>
    </w:p>
    <w:p w:rsidR="002E35CC" w:rsidRDefault="002E35CC" w:rsidP="00F6056C">
      <w:pPr>
        <w:pStyle w:val="SingleTxtG"/>
        <w:rPr>
          <w:noProof/>
        </w:rPr>
      </w:pPr>
      <w:r>
        <w:rPr>
          <w:noProof/>
        </w:rPr>
        <w:t xml:space="preserve">The decive to protect against the overriding of buffers shall permit the attachment of buffers presribed in standards EN 12663-2:2013 Railway applications – Structural requirem,ents of railway vehicle bodies – Part 2: Freight wagons and </w:t>
      </w:r>
      <w:r w:rsidR="003B4799" w:rsidRPr="003B4799">
        <w:rPr>
          <w:noProof/>
          <w:color w:val="FF0000"/>
          <w:u w:val="single"/>
        </w:rPr>
        <w:t>EN 15551:2009+A1:2010</w:t>
      </w:r>
      <w:r w:rsidR="003B4799">
        <w:rPr>
          <w:noProof/>
        </w:rPr>
        <w:t xml:space="preserve"> Railway applications – Railway rolling stock – Buffers and shall not present an obstacle to maintenance work.</w:t>
      </w:r>
    </w:p>
    <w:p w:rsidR="00124A14" w:rsidRDefault="00124A14" w:rsidP="00124A14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4A14" w:rsidRDefault="00124A14" w:rsidP="00124A14">
      <w:pPr>
        <w:rPr>
          <w:sz w:val="8"/>
        </w:rPr>
      </w:pPr>
      <w:bookmarkStart w:id="0" w:name="_GoBack"/>
      <w:bookmarkEnd w:id="0"/>
    </w:p>
    <w:sectPr w:rsidR="00124A14" w:rsidSect="009A3B63">
      <w:headerReference w:type="even" r:id="rId9"/>
      <w:headerReference w:type="default" r:id="rId10"/>
      <w:headerReference w:type="first" r:id="rId11"/>
      <w:footnotePr>
        <w:numFmt w:val="chicago"/>
      </w:footnotePr>
      <w:type w:val="continuous"/>
      <w:pgSz w:w="11907" w:h="16840" w:code="9"/>
      <w:pgMar w:top="1701" w:right="1134" w:bottom="2268" w:left="1134" w:header="1134" w:footer="1701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55" w:rsidRDefault="00F80C55"/>
  </w:endnote>
  <w:endnote w:type="continuationSeparator" w:id="0">
    <w:p w:rsidR="00F80C55" w:rsidRDefault="00F80C55"/>
  </w:endnote>
  <w:endnote w:type="continuationNotice" w:id="1">
    <w:p w:rsidR="00F80C55" w:rsidRDefault="00F80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55" w:rsidRPr="000B175B" w:rsidRDefault="00F80C5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80C55" w:rsidRPr="00FC68B7" w:rsidRDefault="00F80C5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80C55" w:rsidRDefault="00F80C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8D" w:rsidRDefault="00EB128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ANNEX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8D" w:rsidRPr="00133FA1" w:rsidRDefault="00EB128D">
    <w:pPr>
      <w:pStyle w:val="Header"/>
      <w:jc w:val="right"/>
      <w:rPr>
        <w:szCs w:val="18"/>
      </w:rPr>
    </w:pPr>
    <w:r w:rsidRPr="00133FA1">
      <w:rPr>
        <w:szCs w:val="18"/>
        <w:lang w:val="es-ES"/>
      </w:rPr>
      <w:t>INF</w:t>
    </w:r>
    <w:r>
      <w:rPr>
        <w:szCs w:val="18"/>
        <w:lang w:val="es-ES"/>
      </w:rPr>
      <w:t>.</w:t>
    </w:r>
    <w:r w:rsidR="00E55BFD">
      <w:rPr>
        <w:szCs w:val="18"/>
        <w:lang w:val="es-ES"/>
      </w:rPr>
      <w:t>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C8" w:rsidRDefault="001F6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AE3E27"/>
    <w:multiLevelType w:val="hybridMultilevel"/>
    <w:tmpl w:val="549C7D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707FA"/>
    <w:multiLevelType w:val="multilevel"/>
    <w:tmpl w:val="64AA3B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2480"/>
    <w:rsid w:val="00037F90"/>
    <w:rsid w:val="00040398"/>
    <w:rsid w:val="00041BCD"/>
    <w:rsid w:val="00044827"/>
    <w:rsid w:val="00046B1F"/>
    <w:rsid w:val="0005014F"/>
    <w:rsid w:val="00050F6B"/>
    <w:rsid w:val="00057E97"/>
    <w:rsid w:val="00072972"/>
    <w:rsid w:val="00072C8C"/>
    <w:rsid w:val="000733B5"/>
    <w:rsid w:val="000816C6"/>
    <w:rsid w:val="00081815"/>
    <w:rsid w:val="000931C0"/>
    <w:rsid w:val="00096262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E4DB1"/>
    <w:rsid w:val="0010391C"/>
    <w:rsid w:val="00104CDA"/>
    <w:rsid w:val="001103AA"/>
    <w:rsid w:val="001126A7"/>
    <w:rsid w:val="0011666B"/>
    <w:rsid w:val="00124A14"/>
    <w:rsid w:val="00125117"/>
    <w:rsid w:val="00133FA1"/>
    <w:rsid w:val="00155068"/>
    <w:rsid w:val="001643A0"/>
    <w:rsid w:val="00165F3A"/>
    <w:rsid w:val="001A57BD"/>
    <w:rsid w:val="001A6E55"/>
    <w:rsid w:val="001B13A5"/>
    <w:rsid w:val="001B4B04"/>
    <w:rsid w:val="001C18AB"/>
    <w:rsid w:val="001C6663"/>
    <w:rsid w:val="001C7895"/>
    <w:rsid w:val="001D0C8C"/>
    <w:rsid w:val="001D1419"/>
    <w:rsid w:val="001D26DF"/>
    <w:rsid w:val="001D3A03"/>
    <w:rsid w:val="001E0B9E"/>
    <w:rsid w:val="001E7B67"/>
    <w:rsid w:val="001F64C8"/>
    <w:rsid w:val="001F7435"/>
    <w:rsid w:val="00201D9D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53018"/>
    <w:rsid w:val="0026060C"/>
    <w:rsid w:val="00267F5F"/>
    <w:rsid w:val="00286B4D"/>
    <w:rsid w:val="002A3C85"/>
    <w:rsid w:val="002A603B"/>
    <w:rsid w:val="002D4643"/>
    <w:rsid w:val="002D4B6C"/>
    <w:rsid w:val="002E35CC"/>
    <w:rsid w:val="002F175C"/>
    <w:rsid w:val="00302E18"/>
    <w:rsid w:val="003050A4"/>
    <w:rsid w:val="0030606F"/>
    <w:rsid w:val="0031763D"/>
    <w:rsid w:val="003229D8"/>
    <w:rsid w:val="00323FAD"/>
    <w:rsid w:val="00327DE3"/>
    <w:rsid w:val="003358CF"/>
    <w:rsid w:val="00345184"/>
    <w:rsid w:val="00352709"/>
    <w:rsid w:val="003571EA"/>
    <w:rsid w:val="00371178"/>
    <w:rsid w:val="00381FC9"/>
    <w:rsid w:val="003A6810"/>
    <w:rsid w:val="003B36D1"/>
    <w:rsid w:val="003B4799"/>
    <w:rsid w:val="003C2CC4"/>
    <w:rsid w:val="003C580C"/>
    <w:rsid w:val="003D4B23"/>
    <w:rsid w:val="00410C89"/>
    <w:rsid w:val="00422E03"/>
    <w:rsid w:val="00426B9B"/>
    <w:rsid w:val="004325CB"/>
    <w:rsid w:val="004356D2"/>
    <w:rsid w:val="00437826"/>
    <w:rsid w:val="00442A83"/>
    <w:rsid w:val="0045495B"/>
    <w:rsid w:val="00464C81"/>
    <w:rsid w:val="0048397A"/>
    <w:rsid w:val="00492FFF"/>
    <w:rsid w:val="004975C1"/>
    <w:rsid w:val="004A12F2"/>
    <w:rsid w:val="004A28A3"/>
    <w:rsid w:val="004B0BFF"/>
    <w:rsid w:val="004C2461"/>
    <w:rsid w:val="004C7462"/>
    <w:rsid w:val="004D4E04"/>
    <w:rsid w:val="004D5426"/>
    <w:rsid w:val="004E0C05"/>
    <w:rsid w:val="004E1A85"/>
    <w:rsid w:val="004E77B2"/>
    <w:rsid w:val="00503DEB"/>
    <w:rsid w:val="00504B2D"/>
    <w:rsid w:val="00507993"/>
    <w:rsid w:val="00515FE8"/>
    <w:rsid w:val="0052136D"/>
    <w:rsid w:val="00522B58"/>
    <w:rsid w:val="00523CD7"/>
    <w:rsid w:val="0052775E"/>
    <w:rsid w:val="005420F2"/>
    <w:rsid w:val="00543B68"/>
    <w:rsid w:val="00546993"/>
    <w:rsid w:val="005628B6"/>
    <w:rsid w:val="00563634"/>
    <w:rsid w:val="0059363D"/>
    <w:rsid w:val="005A2A7D"/>
    <w:rsid w:val="005B3DB3"/>
    <w:rsid w:val="005B4E13"/>
    <w:rsid w:val="005C68F0"/>
    <w:rsid w:val="005D2A29"/>
    <w:rsid w:val="005E4AFA"/>
    <w:rsid w:val="005E6A77"/>
    <w:rsid w:val="005F7B75"/>
    <w:rsid w:val="006001EE"/>
    <w:rsid w:val="00605042"/>
    <w:rsid w:val="00611FC4"/>
    <w:rsid w:val="006176FB"/>
    <w:rsid w:val="00630BAF"/>
    <w:rsid w:val="006316F8"/>
    <w:rsid w:val="00640B26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C3589"/>
    <w:rsid w:val="006D34D2"/>
    <w:rsid w:val="006D37AF"/>
    <w:rsid w:val="006D51D0"/>
    <w:rsid w:val="006E564B"/>
    <w:rsid w:val="006E7191"/>
    <w:rsid w:val="00703577"/>
    <w:rsid w:val="00705894"/>
    <w:rsid w:val="00720ABE"/>
    <w:rsid w:val="0072632A"/>
    <w:rsid w:val="007327D5"/>
    <w:rsid w:val="0073692B"/>
    <w:rsid w:val="00742656"/>
    <w:rsid w:val="007611CF"/>
    <w:rsid w:val="00761787"/>
    <w:rsid w:val="007629C8"/>
    <w:rsid w:val="00764668"/>
    <w:rsid w:val="0077047D"/>
    <w:rsid w:val="00776430"/>
    <w:rsid w:val="00797575"/>
    <w:rsid w:val="007A7D67"/>
    <w:rsid w:val="007B6BA5"/>
    <w:rsid w:val="007C3390"/>
    <w:rsid w:val="007C4F4B"/>
    <w:rsid w:val="007D6987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2372"/>
    <w:rsid w:val="00854501"/>
    <w:rsid w:val="008679D9"/>
    <w:rsid w:val="00871006"/>
    <w:rsid w:val="00871389"/>
    <w:rsid w:val="00880848"/>
    <w:rsid w:val="00883999"/>
    <w:rsid w:val="00885F2A"/>
    <w:rsid w:val="00887652"/>
    <w:rsid w:val="008878DE"/>
    <w:rsid w:val="008979B1"/>
    <w:rsid w:val="008A57EE"/>
    <w:rsid w:val="008A6B25"/>
    <w:rsid w:val="008A6C4F"/>
    <w:rsid w:val="008A7B69"/>
    <w:rsid w:val="008B2335"/>
    <w:rsid w:val="008C7DAF"/>
    <w:rsid w:val="008E0678"/>
    <w:rsid w:val="008E0DAA"/>
    <w:rsid w:val="008E4D3A"/>
    <w:rsid w:val="008F622B"/>
    <w:rsid w:val="00911D8E"/>
    <w:rsid w:val="009223CA"/>
    <w:rsid w:val="00927378"/>
    <w:rsid w:val="00940F93"/>
    <w:rsid w:val="0094558F"/>
    <w:rsid w:val="00947DC2"/>
    <w:rsid w:val="00961690"/>
    <w:rsid w:val="009760F3"/>
    <w:rsid w:val="0098203C"/>
    <w:rsid w:val="00995CC5"/>
    <w:rsid w:val="009A0E8D"/>
    <w:rsid w:val="009A3B63"/>
    <w:rsid w:val="009B1518"/>
    <w:rsid w:val="009B26E7"/>
    <w:rsid w:val="009C454F"/>
    <w:rsid w:val="009D17BC"/>
    <w:rsid w:val="009D2A5B"/>
    <w:rsid w:val="009E1D8E"/>
    <w:rsid w:val="00A00A3F"/>
    <w:rsid w:val="00A01489"/>
    <w:rsid w:val="00A20E5A"/>
    <w:rsid w:val="00A3009E"/>
    <w:rsid w:val="00A3026E"/>
    <w:rsid w:val="00A338F1"/>
    <w:rsid w:val="00A72F22"/>
    <w:rsid w:val="00A73135"/>
    <w:rsid w:val="00A7360F"/>
    <w:rsid w:val="00A748A6"/>
    <w:rsid w:val="00A769F4"/>
    <w:rsid w:val="00A776B4"/>
    <w:rsid w:val="00A94361"/>
    <w:rsid w:val="00A97E17"/>
    <w:rsid w:val="00AA293C"/>
    <w:rsid w:val="00AA66C0"/>
    <w:rsid w:val="00AD44C2"/>
    <w:rsid w:val="00AD48FA"/>
    <w:rsid w:val="00B11BB4"/>
    <w:rsid w:val="00B22BC2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A2681"/>
    <w:rsid w:val="00BB2AC9"/>
    <w:rsid w:val="00BB7CD1"/>
    <w:rsid w:val="00BC3FA0"/>
    <w:rsid w:val="00BC4806"/>
    <w:rsid w:val="00BC6198"/>
    <w:rsid w:val="00BC7284"/>
    <w:rsid w:val="00BC74E9"/>
    <w:rsid w:val="00BE0C2E"/>
    <w:rsid w:val="00BF15A1"/>
    <w:rsid w:val="00BF68A8"/>
    <w:rsid w:val="00C07A17"/>
    <w:rsid w:val="00C10FE6"/>
    <w:rsid w:val="00C11A03"/>
    <w:rsid w:val="00C22C0C"/>
    <w:rsid w:val="00C3677C"/>
    <w:rsid w:val="00C373B3"/>
    <w:rsid w:val="00C4527F"/>
    <w:rsid w:val="00C463DD"/>
    <w:rsid w:val="00C467C9"/>
    <w:rsid w:val="00C4724C"/>
    <w:rsid w:val="00C6142C"/>
    <w:rsid w:val="00C629A0"/>
    <w:rsid w:val="00C64629"/>
    <w:rsid w:val="00C66736"/>
    <w:rsid w:val="00C66B36"/>
    <w:rsid w:val="00C73056"/>
    <w:rsid w:val="00C745C3"/>
    <w:rsid w:val="00CB3E03"/>
    <w:rsid w:val="00CD57D2"/>
    <w:rsid w:val="00CE4A8F"/>
    <w:rsid w:val="00D00610"/>
    <w:rsid w:val="00D2031B"/>
    <w:rsid w:val="00D25FE2"/>
    <w:rsid w:val="00D36CEE"/>
    <w:rsid w:val="00D43252"/>
    <w:rsid w:val="00D47EEA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0E7D"/>
    <w:rsid w:val="00DB6CA5"/>
    <w:rsid w:val="00E046DF"/>
    <w:rsid w:val="00E15557"/>
    <w:rsid w:val="00E27346"/>
    <w:rsid w:val="00E44A9E"/>
    <w:rsid w:val="00E55BFD"/>
    <w:rsid w:val="00E71BC8"/>
    <w:rsid w:val="00E7260F"/>
    <w:rsid w:val="00E7340D"/>
    <w:rsid w:val="00E73F5D"/>
    <w:rsid w:val="00E77E4E"/>
    <w:rsid w:val="00E96630"/>
    <w:rsid w:val="00EB128D"/>
    <w:rsid w:val="00EC106A"/>
    <w:rsid w:val="00EC32A0"/>
    <w:rsid w:val="00ED0CEE"/>
    <w:rsid w:val="00ED7A2A"/>
    <w:rsid w:val="00EE0151"/>
    <w:rsid w:val="00EE6B3A"/>
    <w:rsid w:val="00EF1D7F"/>
    <w:rsid w:val="00F227A6"/>
    <w:rsid w:val="00F23CF2"/>
    <w:rsid w:val="00F31E5F"/>
    <w:rsid w:val="00F36F0D"/>
    <w:rsid w:val="00F4272A"/>
    <w:rsid w:val="00F6056C"/>
    <w:rsid w:val="00F6100A"/>
    <w:rsid w:val="00F66565"/>
    <w:rsid w:val="00F717BB"/>
    <w:rsid w:val="00F740A4"/>
    <w:rsid w:val="00F80C55"/>
    <w:rsid w:val="00F92CC8"/>
    <w:rsid w:val="00F93781"/>
    <w:rsid w:val="00F94A28"/>
    <w:rsid w:val="00FA28A2"/>
    <w:rsid w:val="00FB613B"/>
    <w:rsid w:val="00FC3C87"/>
    <w:rsid w:val="00FC68B7"/>
    <w:rsid w:val="00FD10F3"/>
    <w:rsid w:val="00FE0135"/>
    <w:rsid w:val="00FE106A"/>
    <w:rsid w:val="00FF145D"/>
    <w:rsid w:val="00FF58F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3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F622B"/>
    <w:rPr>
      <w:b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Default">
    <w:name w:val="Default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3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F622B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9605-933A-42A8-AE08-56807F3A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1476</CharactersWithSpaces>
  <SharedDoc>false</SharedDoc>
  <HLinks>
    <vt:vector size="18" baseType="variant"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mailto:info@otif.org</vt:lpwstr>
      </vt:variant>
      <vt:variant>
        <vt:lpwstr/>
      </vt:variant>
      <vt:variant>
        <vt:i4>3604497</vt:i4>
      </vt:variant>
      <vt:variant>
        <vt:i4>9</vt:i4>
      </vt:variant>
      <vt:variant>
        <vt:i4>0</vt:i4>
      </vt:variant>
      <vt:variant>
        <vt:i4>5</vt:i4>
      </vt:variant>
      <vt:variant>
        <vt:lpwstr>mailto:info@otif.org·</vt:lpwstr>
      </vt:variant>
      <vt:variant>
        <vt:lpwstr/>
      </vt:variant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mailto:info@otif.org·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2016-03-10T15:17:00Z</cp:lastPrinted>
  <dcterms:created xsi:type="dcterms:W3CDTF">2016-03-11T08:20:00Z</dcterms:created>
  <dcterms:modified xsi:type="dcterms:W3CDTF">2016-03-11T08:20:00Z</dcterms:modified>
</cp:coreProperties>
</file>