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8D" w:rsidRPr="00D30BBD" w:rsidRDefault="00517E8D" w:rsidP="00517E8D">
      <w:pPr>
        <w:spacing w:before="120"/>
        <w:rPr>
          <w:b/>
          <w:sz w:val="28"/>
          <w:szCs w:val="28"/>
          <w:lang w:val="en-GB"/>
        </w:rPr>
      </w:pPr>
      <w:bookmarkStart w:id="0" w:name="_GoBack"/>
      <w:bookmarkEnd w:id="0"/>
      <w:r w:rsidRPr="00D30BBD">
        <w:rPr>
          <w:b/>
          <w:sz w:val="28"/>
          <w:szCs w:val="28"/>
          <w:lang w:val="en-GB"/>
        </w:rPr>
        <w:t xml:space="preserve">Economic Commission for </w:t>
      </w:r>
      <w:smartTag w:uri="urn:schemas-microsoft-com:office:smarttags" w:element="place">
        <w:r w:rsidRPr="00D30BBD">
          <w:rPr>
            <w:b/>
            <w:sz w:val="28"/>
            <w:szCs w:val="28"/>
            <w:lang w:val="en-GB"/>
          </w:rPr>
          <w:t>Europe</w:t>
        </w:r>
      </w:smartTag>
    </w:p>
    <w:p w:rsidR="00517E8D" w:rsidRPr="00D30BBD" w:rsidRDefault="00517E8D" w:rsidP="00517E8D">
      <w:pPr>
        <w:spacing w:before="120"/>
        <w:rPr>
          <w:sz w:val="28"/>
          <w:szCs w:val="28"/>
          <w:lang w:val="en-GB"/>
        </w:rPr>
      </w:pPr>
      <w:r w:rsidRPr="00D30BBD">
        <w:rPr>
          <w:sz w:val="28"/>
          <w:szCs w:val="28"/>
          <w:lang w:val="en-GB"/>
        </w:rPr>
        <w:t>Inland Transport Committee</w:t>
      </w:r>
    </w:p>
    <w:p w:rsidR="00517E8D" w:rsidRPr="00AA1B83" w:rsidRDefault="00517E8D" w:rsidP="00517E8D">
      <w:pPr>
        <w:spacing w:before="120"/>
        <w:rPr>
          <w:b/>
          <w:lang w:val="en-GB"/>
        </w:rPr>
      </w:pPr>
      <w:r w:rsidRPr="00D30BBD">
        <w:rPr>
          <w:b/>
          <w:sz w:val="24"/>
          <w:szCs w:val="24"/>
          <w:lang w:val="en-GB"/>
        </w:rPr>
        <w:t>Working Party on the Transport of Dangerous Goods</w:t>
      </w:r>
      <w:r w:rsidR="005A589F" w:rsidRPr="00D30BBD">
        <w:rPr>
          <w:b/>
          <w:sz w:val="24"/>
          <w:szCs w:val="24"/>
          <w:lang w:val="en-GB"/>
        </w:rPr>
        <w:tab/>
      </w:r>
      <w:r w:rsidR="005A589F" w:rsidRPr="00D30BBD">
        <w:rPr>
          <w:b/>
          <w:sz w:val="24"/>
          <w:szCs w:val="24"/>
          <w:lang w:val="en-GB"/>
        </w:rPr>
        <w:tab/>
      </w:r>
      <w:r w:rsidR="005A589F" w:rsidRPr="00D30BBD">
        <w:rPr>
          <w:b/>
          <w:sz w:val="24"/>
          <w:szCs w:val="24"/>
          <w:lang w:val="en-GB"/>
        </w:rPr>
        <w:tab/>
      </w:r>
      <w:r w:rsidR="005A589F" w:rsidRPr="00D30BBD">
        <w:rPr>
          <w:b/>
          <w:sz w:val="24"/>
          <w:szCs w:val="24"/>
          <w:lang w:val="en-GB"/>
        </w:rPr>
        <w:tab/>
      </w:r>
      <w:r w:rsidR="000965E7" w:rsidRPr="00D30BBD">
        <w:rPr>
          <w:b/>
          <w:sz w:val="24"/>
          <w:szCs w:val="24"/>
          <w:lang w:val="en-GB"/>
        </w:rPr>
        <w:tab/>
      </w:r>
      <w:r w:rsidR="00A11B97">
        <w:rPr>
          <w:b/>
          <w:lang w:val="en-GB"/>
        </w:rPr>
        <w:t>24</w:t>
      </w:r>
      <w:r w:rsidR="00F354EA">
        <w:rPr>
          <w:b/>
          <w:lang w:val="en-GB"/>
        </w:rPr>
        <w:t xml:space="preserve"> February 2016</w:t>
      </w:r>
    </w:p>
    <w:p w:rsidR="00F354EA" w:rsidRPr="00F354EA" w:rsidRDefault="00F354EA" w:rsidP="00F354EA">
      <w:pPr>
        <w:spacing w:before="120"/>
        <w:rPr>
          <w:b/>
          <w:lang w:val="en-US"/>
        </w:rPr>
      </w:pPr>
      <w:r w:rsidRPr="00F354EA">
        <w:rPr>
          <w:b/>
          <w:lang w:val="en-US"/>
        </w:rPr>
        <w:t>Joint Meeting of the RID Committee of Experts and the</w:t>
      </w:r>
      <w:r w:rsidRPr="00F354EA">
        <w:rPr>
          <w:b/>
          <w:lang w:val="en-US"/>
        </w:rPr>
        <w:br/>
        <w:t>Working Party on the Transport of Dangerous Goods</w:t>
      </w:r>
    </w:p>
    <w:p w:rsidR="00F354EA" w:rsidRPr="00F354EA" w:rsidRDefault="00F354EA" w:rsidP="00F354EA">
      <w:pPr>
        <w:rPr>
          <w:lang w:val="en-US"/>
        </w:rPr>
      </w:pPr>
      <w:r w:rsidRPr="00F354EA">
        <w:rPr>
          <w:lang w:val="en-US"/>
        </w:rPr>
        <w:t>Bern, 14-18 March 2016</w:t>
      </w:r>
    </w:p>
    <w:p w:rsidR="00F354EA" w:rsidRPr="00A11B97" w:rsidRDefault="00F354EA" w:rsidP="00F354EA">
      <w:pPr>
        <w:rPr>
          <w:lang w:val="en-US"/>
        </w:rPr>
      </w:pPr>
      <w:r w:rsidRPr="00A11B97">
        <w:rPr>
          <w:lang w:val="en-US"/>
        </w:rPr>
        <w:t xml:space="preserve">Item </w:t>
      </w:r>
      <w:r w:rsidR="00A11B97" w:rsidRPr="00A11B97">
        <w:rPr>
          <w:lang w:val="en-US"/>
        </w:rPr>
        <w:t>5 (a)</w:t>
      </w:r>
      <w:r w:rsidRPr="00A11B97">
        <w:rPr>
          <w:lang w:val="en-US"/>
        </w:rPr>
        <w:t xml:space="preserve"> of the provisional agenda</w:t>
      </w:r>
    </w:p>
    <w:p w:rsidR="00F354EA" w:rsidRPr="00A11B97" w:rsidRDefault="00A11B97" w:rsidP="00F354EA">
      <w:pPr>
        <w:rPr>
          <w:b/>
          <w:lang w:val="en-US"/>
        </w:rPr>
      </w:pPr>
      <w:r w:rsidRPr="00A11B97">
        <w:rPr>
          <w:b/>
          <w:lang w:val="en-US"/>
        </w:rPr>
        <w:t>Proposals for amendments to RID/ADR/ADN</w:t>
      </w:r>
      <w:r>
        <w:rPr>
          <w:b/>
          <w:lang w:val="en-US"/>
        </w:rPr>
        <w:t xml:space="preserve">: </w:t>
      </w:r>
      <w:r>
        <w:rPr>
          <w:b/>
          <w:lang w:val="en-US"/>
        </w:rPr>
        <w:br/>
        <w:t>pending issues</w:t>
      </w:r>
    </w:p>
    <w:p w:rsidR="002242F8" w:rsidRPr="00F354EA" w:rsidRDefault="00AC53AD" w:rsidP="00AC53AD">
      <w:pPr>
        <w:pStyle w:val="HChG"/>
        <w:ind w:firstLine="0"/>
        <w:rPr>
          <w:szCs w:val="28"/>
          <w:lang w:val="en-US"/>
        </w:rPr>
      </w:pPr>
      <w:r>
        <w:rPr>
          <w:lang w:val="en-US"/>
        </w:rPr>
        <w:t xml:space="preserve">Outcome of the Sub-Committee of Experts on the Transport of Dangerous Goods on its </w:t>
      </w:r>
      <w:r w:rsidR="00F354EA" w:rsidRPr="00F354EA">
        <w:rPr>
          <w:lang w:val="en-US"/>
        </w:rPr>
        <w:t>forty-eighth session</w:t>
      </w:r>
    </w:p>
    <w:p w:rsidR="002242F8" w:rsidRPr="00A86B8F" w:rsidRDefault="002242F8" w:rsidP="004B4577">
      <w:pPr>
        <w:pStyle w:val="H23G"/>
        <w:rPr>
          <w:lang w:val="en-US"/>
        </w:rPr>
      </w:pPr>
      <w:r w:rsidRPr="00045222">
        <w:rPr>
          <w:rStyle w:val="H1GChar"/>
          <w:lang w:val="en-US"/>
        </w:rPr>
        <w:tab/>
      </w:r>
      <w:r w:rsidRPr="00045222">
        <w:rPr>
          <w:rStyle w:val="H1GChar"/>
          <w:lang w:val="en-US"/>
        </w:rPr>
        <w:tab/>
      </w:r>
      <w:r w:rsidR="00AA1B83">
        <w:rPr>
          <w:rStyle w:val="H1GChar"/>
          <w:lang w:val="en-US"/>
        </w:rPr>
        <w:t>Note</w:t>
      </w:r>
      <w:r w:rsidRPr="00A86B8F">
        <w:rPr>
          <w:rStyle w:val="H1GChar"/>
          <w:lang w:val="en-US"/>
        </w:rPr>
        <w:t xml:space="preserve"> by the </w:t>
      </w:r>
      <w:r w:rsidR="00045222">
        <w:rPr>
          <w:rStyle w:val="H1GChar"/>
          <w:lang w:val="en-US"/>
        </w:rPr>
        <w:t>secretariat</w:t>
      </w:r>
      <w:r w:rsidRPr="00A86B8F">
        <w:rPr>
          <w:rStyle w:val="FootnoteReference"/>
          <w:lang w:val="en-US"/>
        </w:rPr>
        <w:t xml:space="preserve"> </w:t>
      </w:r>
    </w:p>
    <w:p w:rsidR="004B4577" w:rsidRPr="00C540CC" w:rsidRDefault="004B4577" w:rsidP="004B4577">
      <w:pPr>
        <w:pStyle w:val="H1G"/>
        <w:rPr>
          <w:lang w:val="en-US"/>
        </w:rPr>
      </w:pPr>
      <w:r w:rsidRPr="00C540CC">
        <w:rPr>
          <w:lang w:val="en-US"/>
        </w:rPr>
        <w:tab/>
      </w:r>
      <w:r w:rsidRPr="00C540CC">
        <w:rPr>
          <w:lang w:val="en-US"/>
        </w:rPr>
        <w:tab/>
      </w:r>
      <w:r>
        <w:rPr>
          <w:lang w:val="en-US"/>
        </w:rPr>
        <w:t>Introduction</w:t>
      </w:r>
    </w:p>
    <w:p w:rsidR="004B4577" w:rsidRDefault="004B4577" w:rsidP="00AC53AD">
      <w:pPr>
        <w:suppressAutoHyphens w:val="0"/>
        <w:autoSpaceDE w:val="0"/>
        <w:autoSpaceDN w:val="0"/>
        <w:adjustRightInd w:val="0"/>
        <w:spacing w:line="240" w:lineRule="auto"/>
        <w:ind w:left="1134" w:right="1134"/>
        <w:jc w:val="both"/>
        <w:rPr>
          <w:lang w:val="en-US"/>
        </w:rPr>
      </w:pPr>
      <w:r>
        <w:rPr>
          <w:lang w:val="en-US"/>
        </w:rPr>
        <w:t>The secretariat reproduces hereafter excerpt</w:t>
      </w:r>
      <w:r w:rsidR="00A11B97">
        <w:rPr>
          <w:lang w:val="en-US"/>
        </w:rPr>
        <w:t>s</w:t>
      </w:r>
      <w:r>
        <w:rPr>
          <w:lang w:val="en-US"/>
        </w:rPr>
        <w:t xml:space="preserve"> from the report of the Sub-Committee </w:t>
      </w:r>
      <w:r w:rsidR="000521E8">
        <w:rPr>
          <w:lang w:val="en-US"/>
        </w:rPr>
        <w:t>on</w:t>
      </w:r>
      <w:r w:rsidRPr="00AC53AD">
        <w:rPr>
          <w:lang w:val="en-US"/>
        </w:rPr>
        <w:t xml:space="preserve"> its </w:t>
      </w:r>
      <w:r w:rsidR="000521E8" w:rsidRPr="00F354EA">
        <w:rPr>
          <w:lang w:val="en-US"/>
        </w:rPr>
        <w:t>forty-eighth session</w:t>
      </w:r>
      <w:r w:rsidRPr="00AC53AD">
        <w:rPr>
          <w:lang w:val="en-US"/>
        </w:rPr>
        <w:t xml:space="preserve"> ST/SG/AC.10/C.3/</w:t>
      </w:r>
      <w:r w:rsidR="000521E8">
        <w:rPr>
          <w:lang w:val="en-US"/>
        </w:rPr>
        <w:t>96</w:t>
      </w:r>
      <w:r>
        <w:rPr>
          <w:lang w:val="en-US"/>
        </w:rPr>
        <w:t>.</w:t>
      </w:r>
    </w:p>
    <w:p w:rsidR="000521E8" w:rsidRPr="000521E8" w:rsidRDefault="000521E8" w:rsidP="000521E8">
      <w:pPr>
        <w:pStyle w:val="H1G"/>
        <w:rPr>
          <w:lang w:val="en-US"/>
        </w:rPr>
      </w:pPr>
      <w:r w:rsidRPr="000521E8">
        <w:rPr>
          <w:lang w:val="en-US"/>
        </w:rPr>
        <w:tab/>
        <w:t>A.</w:t>
      </w:r>
      <w:r w:rsidRPr="000521E8">
        <w:rPr>
          <w:lang w:val="en-US"/>
        </w:rPr>
        <w:tab/>
        <w:t xml:space="preserve">Issues related to the work of the Joint Meeting of the RID Committee of Experts and the Working Party on the Transport of Dangerous Goods (RID/ADR/ADN Joint Meeting) </w:t>
      </w:r>
    </w:p>
    <w:p w:rsidR="000521E8" w:rsidRPr="000521E8" w:rsidRDefault="000521E8" w:rsidP="000521E8">
      <w:pPr>
        <w:pStyle w:val="H23G"/>
        <w:rPr>
          <w:lang w:val="en-US"/>
        </w:rPr>
      </w:pPr>
      <w:r w:rsidRPr="000521E8">
        <w:rPr>
          <w:lang w:val="en-US"/>
        </w:rPr>
        <w:tab/>
        <w:t>1.</w:t>
      </w:r>
      <w:r w:rsidRPr="000521E8">
        <w:rPr>
          <w:lang w:val="en-US"/>
        </w:rPr>
        <w:tab/>
        <w:t>Report of the RID/ADR/ADN Joint Meeting on its autumn 2015 session</w:t>
      </w:r>
    </w:p>
    <w:p w:rsidR="000521E8" w:rsidRPr="000521E8" w:rsidRDefault="000521E8" w:rsidP="000521E8">
      <w:pPr>
        <w:pStyle w:val="SingleTxtG"/>
        <w:rPr>
          <w:lang w:val="en-US"/>
        </w:rPr>
      </w:pPr>
      <w:r w:rsidRPr="000521E8">
        <w:rPr>
          <w:i/>
          <w:iCs/>
          <w:lang w:val="en-US"/>
        </w:rPr>
        <w:t>Informal document</w:t>
      </w:r>
      <w:r w:rsidRPr="000521E8">
        <w:rPr>
          <w:lang w:val="en-US"/>
        </w:rPr>
        <w:t>:</w:t>
      </w:r>
      <w:r w:rsidRPr="000521E8">
        <w:rPr>
          <w:lang w:val="en-US"/>
        </w:rPr>
        <w:tab/>
        <w:t>INF.7 (Secretariat)</w:t>
      </w:r>
    </w:p>
    <w:p w:rsidR="000521E8" w:rsidRPr="000521E8" w:rsidRDefault="000521E8" w:rsidP="000521E8">
      <w:pPr>
        <w:pStyle w:val="SingleTxtG"/>
        <w:rPr>
          <w:lang w:val="en-US"/>
        </w:rPr>
      </w:pPr>
      <w:r w:rsidRPr="000521E8">
        <w:rPr>
          <w:lang w:val="en-US"/>
        </w:rPr>
        <w:t>85.</w:t>
      </w:r>
      <w:r w:rsidRPr="000521E8">
        <w:rPr>
          <w:lang w:val="en-US"/>
        </w:rPr>
        <w:tab/>
        <w:t>The Sub-Committee took note of the relevant paragraphs in the report of the Joint Meeting and the related comments, where appropriate.</w:t>
      </w:r>
    </w:p>
    <w:p w:rsidR="000521E8" w:rsidRPr="000521E8" w:rsidRDefault="000521E8" w:rsidP="000521E8">
      <w:pPr>
        <w:pStyle w:val="SingleTxtG"/>
        <w:rPr>
          <w:lang w:val="en-US"/>
        </w:rPr>
      </w:pPr>
      <w:r w:rsidRPr="000521E8">
        <w:rPr>
          <w:lang w:val="en-US"/>
        </w:rPr>
        <w:t>86.</w:t>
      </w:r>
      <w:r w:rsidRPr="000521E8">
        <w:rPr>
          <w:lang w:val="en-US"/>
        </w:rPr>
        <w:tab/>
        <w:t>Concerning paragraph 7, which dealt with an editorial issue, it seemed logical, in paragraph 2 of packing instruction P906, to replace “device” by “article” in the English text, for the sake of consistency with the title and final sentence of the section of 2.9.2 that dealt with substances and articles which, in the event of fire, might form dioxins. It was thus decided to introduce an amendment, but to place it in brackets in order to check that there were no unexpected consequences (see annex II).</w:t>
      </w:r>
    </w:p>
    <w:p w:rsidR="00A11B97" w:rsidRDefault="00A11B97">
      <w:pPr>
        <w:suppressAutoHyphens w:val="0"/>
        <w:spacing w:line="240" w:lineRule="auto"/>
        <w:rPr>
          <w:lang w:val="en-US"/>
        </w:rPr>
      </w:pPr>
      <w:r>
        <w:rPr>
          <w:lang w:val="en-US"/>
        </w:rPr>
        <w:br w:type="page"/>
      </w:r>
    </w:p>
    <w:p w:rsidR="000521E8" w:rsidRPr="000521E8" w:rsidRDefault="000521E8" w:rsidP="000521E8">
      <w:pPr>
        <w:pStyle w:val="SingleTxtG"/>
        <w:rPr>
          <w:lang w:val="en-US"/>
        </w:rPr>
      </w:pPr>
      <w:r w:rsidRPr="000521E8">
        <w:rPr>
          <w:lang w:val="en-US"/>
        </w:rPr>
        <w:lastRenderedPageBreak/>
        <w:t>87.</w:t>
      </w:r>
      <w:r w:rsidRPr="000521E8">
        <w:rPr>
          <w:lang w:val="en-US"/>
        </w:rPr>
        <w:tab/>
        <w:t>In respect of paragraph 12</w:t>
      </w:r>
      <w:r w:rsidR="00A11B97">
        <w:rPr>
          <w:rStyle w:val="FootnoteReference"/>
          <w:lang w:val="en-US"/>
        </w:rPr>
        <w:footnoteReference w:customMarkFollows="1" w:id="2"/>
        <w:t>*</w:t>
      </w:r>
      <w:r w:rsidRPr="000521E8">
        <w:rPr>
          <w:lang w:val="en-US"/>
        </w:rPr>
        <w:t>, the Sub-Committee considered that the French text of special provision 310 should be corrected.</w:t>
      </w:r>
    </w:p>
    <w:p w:rsidR="000521E8" w:rsidRDefault="000521E8" w:rsidP="000521E8">
      <w:pPr>
        <w:pStyle w:val="SingleTxtG"/>
        <w:rPr>
          <w:lang w:val="en-US"/>
        </w:rPr>
      </w:pPr>
      <w:r w:rsidRPr="000521E8">
        <w:rPr>
          <w:lang w:val="en-US"/>
        </w:rPr>
        <w:t>88.</w:t>
      </w:r>
      <w:r w:rsidRPr="000521E8">
        <w:rPr>
          <w:lang w:val="en-US"/>
        </w:rPr>
        <w:tab/>
        <w:t>Under paragraph 14</w:t>
      </w:r>
      <w:r w:rsidR="00A11B97" w:rsidRPr="00A11B97">
        <w:rPr>
          <w:vertAlign w:val="superscript"/>
          <w:lang w:val="en-US"/>
        </w:rPr>
        <w:t>*</w:t>
      </w:r>
      <w:r w:rsidRPr="000521E8">
        <w:rPr>
          <w:lang w:val="en-US"/>
        </w:rPr>
        <w:t>, several experts pointed out that IBCs were not intended to contain articles, were not tested for that purpose and could therefore not be permitted for use as salvage packagings.</w:t>
      </w:r>
    </w:p>
    <w:p w:rsidR="004473C6" w:rsidRPr="00B31D16" w:rsidRDefault="004473C6" w:rsidP="004473C6">
      <w:pPr>
        <w:pStyle w:val="SingleTxtG"/>
        <w:pBdr>
          <w:top w:val="single" w:sz="4" w:space="1" w:color="auto"/>
          <w:left w:val="single" w:sz="4" w:space="4" w:color="auto"/>
          <w:bottom w:val="single" w:sz="4" w:space="1" w:color="auto"/>
          <w:right w:val="single" w:sz="4" w:space="4" w:color="auto"/>
        </w:pBdr>
        <w:ind w:left="1701"/>
        <w:rPr>
          <w:b/>
          <w:i/>
          <w:lang w:val="en-US"/>
        </w:rPr>
      </w:pPr>
      <w:r w:rsidRPr="00B31D16">
        <w:rPr>
          <w:b/>
          <w:i/>
          <w:lang w:val="en-US"/>
        </w:rPr>
        <w:t xml:space="preserve">Note by the secretariat: See </w:t>
      </w:r>
      <w:r>
        <w:rPr>
          <w:b/>
          <w:i/>
          <w:lang w:val="en-US"/>
        </w:rPr>
        <w:t>also position from FEAD in INF.14.</w:t>
      </w:r>
    </w:p>
    <w:p w:rsidR="000521E8" w:rsidRPr="000521E8" w:rsidRDefault="000521E8" w:rsidP="000521E8">
      <w:pPr>
        <w:pStyle w:val="SingleTxtG"/>
        <w:rPr>
          <w:lang w:val="en-US"/>
        </w:rPr>
      </w:pPr>
      <w:r w:rsidRPr="000521E8">
        <w:rPr>
          <w:lang w:val="en-US"/>
        </w:rPr>
        <w:t>89.</w:t>
      </w:r>
      <w:r w:rsidRPr="000521E8">
        <w:rPr>
          <w:lang w:val="en-US"/>
        </w:rPr>
        <w:tab/>
        <w:t>Concerning paragraphs 48 and 49 (marking of some cargo transport units containing gas containers or expandable polymeric beads), the Sub-Committee noted that RID, ADR, ADN and the IMDG Code contained provisions that were not included in the Model Regulations. As RID, ADR and ADN accepted marking in conformity with the IMDG Code, it did not seem essential to plan for harmonization. Delegations were invited to consider the issue.</w:t>
      </w:r>
    </w:p>
    <w:p w:rsidR="000521E8" w:rsidRPr="000521E8" w:rsidRDefault="000521E8" w:rsidP="000521E8">
      <w:pPr>
        <w:pStyle w:val="SingleTxtG"/>
        <w:rPr>
          <w:lang w:val="en-US"/>
        </w:rPr>
      </w:pPr>
      <w:r w:rsidRPr="000521E8">
        <w:rPr>
          <w:lang w:val="en-US"/>
        </w:rPr>
        <w:t>90.</w:t>
      </w:r>
      <w:r w:rsidRPr="000521E8">
        <w:rPr>
          <w:lang w:val="en-US"/>
        </w:rPr>
        <w:tab/>
        <w:t>In respect of paragraph 59 (marking of cargo transport units when transporting dangerous goods in limited quantities), the Chair stated that the marking was intended to apply to packages; the issue of placarding had been deliberately left to the discretion of the organizations dealing with the specific modes of transport.</w:t>
      </w:r>
    </w:p>
    <w:p w:rsidR="000521E8" w:rsidRPr="000521E8" w:rsidRDefault="000521E8" w:rsidP="000521E8">
      <w:pPr>
        <w:pStyle w:val="H23G"/>
        <w:rPr>
          <w:lang w:val="en-US"/>
        </w:rPr>
      </w:pPr>
      <w:r w:rsidRPr="000521E8">
        <w:rPr>
          <w:lang w:val="en-US"/>
        </w:rPr>
        <w:tab/>
        <w:t>2.</w:t>
      </w:r>
      <w:r w:rsidRPr="000521E8">
        <w:rPr>
          <w:lang w:val="en-US"/>
        </w:rPr>
        <w:tab/>
        <w:t>Proposals for corrections to the Model Regulations</w:t>
      </w:r>
    </w:p>
    <w:p w:rsidR="000521E8" w:rsidRPr="000521E8" w:rsidRDefault="000521E8" w:rsidP="000521E8">
      <w:pPr>
        <w:pStyle w:val="SingleTxtG"/>
        <w:rPr>
          <w:lang w:val="en-US"/>
        </w:rPr>
      </w:pPr>
      <w:r w:rsidRPr="000521E8">
        <w:rPr>
          <w:i/>
          <w:iCs/>
          <w:lang w:val="en-US"/>
        </w:rPr>
        <w:t>Informal document</w:t>
      </w:r>
      <w:r w:rsidRPr="000521E8">
        <w:rPr>
          <w:lang w:val="en-US"/>
        </w:rPr>
        <w:t>:</w:t>
      </w:r>
      <w:r w:rsidRPr="000521E8">
        <w:rPr>
          <w:lang w:val="en-US"/>
        </w:rPr>
        <w:tab/>
        <w:t>INF.8 (Secretariat)</w:t>
      </w:r>
    </w:p>
    <w:p w:rsidR="000521E8" w:rsidRPr="000521E8" w:rsidRDefault="000521E8" w:rsidP="000521E8">
      <w:pPr>
        <w:pStyle w:val="SingleTxtG"/>
        <w:rPr>
          <w:lang w:val="en-US"/>
        </w:rPr>
      </w:pPr>
      <w:r w:rsidRPr="000521E8">
        <w:rPr>
          <w:lang w:val="en-US"/>
        </w:rPr>
        <w:t>91.</w:t>
      </w:r>
      <w:r w:rsidRPr="000521E8">
        <w:rPr>
          <w:lang w:val="en-US"/>
        </w:rPr>
        <w:tab/>
        <w:t>The secretariat was asked to prepare an official proposal in respect of the first correction (deletion of the words “and mixtures” in the title of 2.4.2.5).</w:t>
      </w:r>
    </w:p>
    <w:p w:rsidR="000521E8" w:rsidRPr="000521E8" w:rsidRDefault="000521E8" w:rsidP="000521E8">
      <w:pPr>
        <w:pStyle w:val="SingleTxtG"/>
        <w:rPr>
          <w:lang w:val="en-US"/>
        </w:rPr>
      </w:pPr>
      <w:r w:rsidRPr="000521E8">
        <w:rPr>
          <w:lang w:val="en-US"/>
        </w:rPr>
        <w:t>92</w:t>
      </w:r>
      <w:r w:rsidRPr="000521E8">
        <w:rPr>
          <w:lang w:val="en-US"/>
        </w:rPr>
        <w:tab/>
        <w:t>Proposal 3 was accepted (see annex III).</w:t>
      </w:r>
    </w:p>
    <w:p w:rsidR="000521E8" w:rsidRDefault="00AC6C37" w:rsidP="000521E8">
      <w:pPr>
        <w:pStyle w:val="SingleTxtG"/>
        <w:rPr>
          <w:lang w:val="en-US"/>
        </w:rPr>
      </w:pPr>
      <w:r>
        <w:rPr>
          <w:noProof/>
          <w:lang w:val="en-GB" w:eastAsia="en-GB"/>
        </w:rPr>
        <mc:AlternateContent>
          <mc:Choice Requires="wps">
            <w:drawing>
              <wp:anchor distT="0" distB="0" distL="114300" distR="114300" simplePos="0" relativeHeight="251659264" behindDoc="0" locked="0" layoutInCell="1" allowOverlap="1" wp14:anchorId="38C79F11" wp14:editId="5D2E2CAF">
                <wp:simplePos x="0" y="0"/>
                <wp:positionH relativeFrom="column">
                  <wp:posOffset>967125</wp:posOffset>
                </wp:positionH>
                <wp:positionV relativeFrom="paragraph">
                  <wp:posOffset>494255</wp:posOffset>
                </wp:positionV>
                <wp:extent cx="4856480" cy="2047076"/>
                <wp:effectExtent l="0" t="0" r="20320" b="1079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6480" cy="20470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6DCEAE" id="Rectangle 8" o:spid="_x0000_s1026" style="position:absolute;margin-left:76.15pt;margin-top:38.9pt;width:382.4pt;height:1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" filled="f"/>
            </w:pict>
          </mc:Fallback>
        </mc:AlternateContent>
      </w:r>
      <w:r w:rsidR="000521E8" w:rsidRPr="000521E8">
        <w:rPr>
          <w:lang w:val="en-US"/>
        </w:rPr>
        <w:t>93.</w:t>
      </w:r>
      <w:r w:rsidR="000521E8" w:rsidRPr="000521E8">
        <w:rPr>
          <w:lang w:val="en-US"/>
        </w:rPr>
        <w:tab/>
        <w:t>Proposals 2, 4 and 5 were also agreed to but would, as a matter of principle, be placed in brackets because they had been proposed in an informal document and needed to be checked and confirmed at the next session (see annex III).</w:t>
      </w:r>
    </w:p>
    <w:p w:rsidR="00F70717" w:rsidRDefault="00F70717" w:rsidP="00DB3D7E">
      <w:pPr>
        <w:pStyle w:val="SingleTxtG"/>
        <w:ind w:left="1701"/>
        <w:rPr>
          <w:b/>
          <w:i/>
          <w:lang w:val="en-US"/>
        </w:rPr>
      </w:pPr>
      <w:r w:rsidRPr="00DB3D7E">
        <w:rPr>
          <w:b/>
          <w:i/>
          <w:lang w:val="en-US"/>
        </w:rPr>
        <w:t xml:space="preserve">The corrections </w:t>
      </w:r>
      <w:r w:rsidR="00DB3D7E">
        <w:rPr>
          <w:b/>
          <w:i/>
          <w:lang w:val="en-US"/>
        </w:rPr>
        <w:t xml:space="preserve">relevant for RID/ADR/ADN </w:t>
      </w:r>
      <w:r w:rsidRPr="00DB3D7E">
        <w:rPr>
          <w:b/>
          <w:i/>
          <w:lang w:val="en-US"/>
        </w:rPr>
        <w:t>are:</w:t>
      </w:r>
    </w:p>
    <w:p w:rsidR="00DB3D7E" w:rsidRPr="00001F6E" w:rsidRDefault="00DB3D7E" w:rsidP="00600BA9">
      <w:pPr>
        <w:pStyle w:val="H23G"/>
        <w:ind w:left="1701" w:firstLine="0"/>
        <w:rPr>
          <w:bCs/>
          <w:lang w:val="en-US"/>
        </w:rPr>
      </w:pPr>
      <w:r w:rsidRPr="00001F6E">
        <w:rPr>
          <w:lang w:val="en-US"/>
        </w:rPr>
        <w:t>[Chapter 3.3,</w:t>
      </w:r>
      <w:r w:rsidRPr="00001F6E">
        <w:rPr>
          <w:bCs/>
          <w:lang w:val="en-US"/>
        </w:rPr>
        <w:t xml:space="preserve"> special provision 369, first paragraph</w:t>
      </w:r>
    </w:p>
    <w:p w:rsidR="00DB3D7E" w:rsidRPr="00001F6E" w:rsidRDefault="00DB3D7E" w:rsidP="00600BA9">
      <w:pPr>
        <w:pStyle w:val="SingleTxtG"/>
        <w:ind w:left="1701"/>
        <w:rPr>
          <w:lang w:val="en-US"/>
        </w:rPr>
      </w:pPr>
      <w:r w:rsidRPr="00001F6E">
        <w:rPr>
          <w:i/>
          <w:iCs/>
          <w:lang w:val="en-US"/>
        </w:rPr>
        <w:t xml:space="preserve">Replace </w:t>
      </w:r>
      <w:r w:rsidRPr="00001F6E">
        <w:rPr>
          <w:lang w:val="en-US"/>
        </w:rPr>
        <w:t xml:space="preserve">with radioactive material and </w:t>
      </w:r>
      <w:proofErr w:type="spellStart"/>
      <w:r w:rsidRPr="00001F6E">
        <w:rPr>
          <w:lang w:val="en-US"/>
        </w:rPr>
        <w:t>corrosivity</w:t>
      </w:r>
      <w:proofErr w:type="spellEnd"/>
      <w:r w:rsidRPr="00001F6E">
        <w:rPr>
          <w:lang w:val="en-US"/>
        </w:rPr>
        <w:t xml:space="preserve"> subsidiary risks </w:t>
      </w:r>
      <w:r w:rsidRPr="00001F6E">
        <w:rPr>
          <w:i/>
          <w:lang w:val="en-US"/>
        </w:rPr>
        <w:t>by</w:t>
      </w:r>
      <w:r w:rsidRPr="00001F6E">
        <w:rPr>
          <w:lang w:val="en-US"/>
        </w:rPr>
        <w:t xml:space="preserve"> with radioactivity and </w:t>
      </w:r>
      <w:proofErr w:type="spellStart"/>
      <w:r w:rsidRPr="00001F6E">
        <w:rPr>
          <w:lang w:val="en-US"/>
        </w:rPr>
        <w:t>corrosivity</w:t>
      </w:r>
      <w:proofErr w:type="spellEnd"/>
      <w:r w:rsidRPr="00001F6E">
        <w:rPr>
          <w:lang w:val="en-US"/>
        </w:rPr>
        <w:t xml:space="preserve"> subsidiary risks]</w:t>
      </w:r>
    </w:p>
    <w:p w:rsidR="00DB3D7E" w:rsidRDefault="00DB3D7E" w:rsidP="00600BA9">
      <w:pPr>
        <w:pStyle w:val="H23G"/>
        <w:ind w:left="2835"/>
        <w:rPr>
          <w:lang w:val="fr-FR"/>
        </w:rPr>
      </w:pPr>
      <w:r>
        <w:rPr>
          <w:lang w:val="fr-FR"/>
        </w:rPr>
        <w:t>[Chapitre 3.3, disposition spéciale 369, à la fin du premier paragraphe</w:t>
      </w:r>
    </w:p>
    <w:p w:rsidR="00DB3D7E" w:rsidRPr="004B29FD" w:rsidRDefault="00DB3D7E" w:rsidP="00600BA9">
      <w:pPr>
        <w:pStyle w:val="SingleTxtG"/>
        <w:ind w:left="1701"/>
        <w:rPr>
          <w:iCs/>
          <w:lang w:val="fr-FR"/>
        </w:rPr>
      </w:pPr>
      <w:r w:rsidRPr="004B29FD">
        <w:rPr>
          <w:i/>
          <w:iCs/>
          <w:lang w:val="fr-FR"/>
        </w:rPr>
        <w:t>Au lieu de</w:t>
      </w:r>
      <w:r>
        <w:rPr>
          <w:iCs/>
          <w:lang w:val="fr-FR"/>
        </w:rPr>
        <w:t xml:space="preserve"> risques subsidiaires de matière radioactive </w:t>
      </w:r>
      <w:r w:rsidRPr="004B29FD">
        <w:rPr>
          <w:i/>
          <w:iCs/>
          <w:lang w:val="fr-FR"/>
        </w:rPr>
        <w:t>lire</w:t>
      </w:r>
      <w:r>
        <w:rPr>
          <w:iCs/>
          <w:lang w:val="fr-FR"/>
        </w:rPr>
        <w:t xml:space="preserve"> risques subsidiaires de radioactivité]</w:t>
      </w:r>
    </w:p>
    <w:p w:rsidR="006D0D78" w:rsidRPr="008A26E5" w:rsidRDefault="006D0D78" w:rsidP="006D0D78">
      <w:pPr>
        <w:pStyle w:val="SingleTxtG"/>
        <w:ind w:left="2268"/>
        <w:rPr>
          <w:b/>
          <w:i/>
          <w:lang w:val="en-US"/>
        </w:rPr>
      </w:pPr>
      <w:r w:rsidRPr="008A26E5">
        <w:rPr>
          <w:b/>
          <w:i/>
          <w:lang w:val="en-US"/>
        </w:rPr>
        <w:t>Note by the secretariat: This correction is already included in the list of amendments for ADR (ECE/TRANS/WP.15/231).</w:t>
      </w:r>
    </w:p>
    <w:p w:rsidR="00DB3D7E" w:rsidRPr="004B1564" w:rsidRDefault="00AC6C37" w:rsidP="00600BA9">
      <w:pPr>
        <w:pStyle w:val="H23G"/>
        <w:ind w:left="1701" w:firstLine="0"/>
        <w:rPr>
          <w:lang w:val="en-US"/>
        </w:rPr>
      </w:pPr>
      <w:r>
        <w:rPr>
          <w:noProof/>
          <w:lang w:val="en-GB" w:eastAsia="en-GB"/>
        </w:rPr>
        <w:lastRenderedPageBreak/>
        <mc:AlternateContent>
          <mc:Choice Requires="wps">
            <w:drawing>
              <wp:anchor distT="0" distB="0" distL="114300" distR="114300" simplePos="0" relativeHeight="251661312" behindDoc="0" locked="0" layoutInCell="1" allowOverlap="1" wp14:anchorId="5113959D" wp14:editId="775F8458">
                <wp:simplePos x="0" y="0"/>
                <wp:positionH relativeFrom="column">
                  <wp:posOffset>961226</wp:posOffset>
                </wp:positionH>
                <wp:positionV relativeFrom="paragraph">
                  <wp:posOffset>-553</wp:posOffset>
                </wp:positionV>
                <wp:extent cx="4925961" cy="2802193"/>
                <wp:effectExtent l="0" t="0" r="27305" b="1778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5961" cy="28021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0692CB" id="Rectangle 8" o:spid="_x0000_s1026" style="position:absolute;margin-left:75.7pt;margin-top:-.05pt;width:387.85pt;height:2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" filled="f"/>
            </w:pict>
          </mc:Fallback>
        </mc:AlternateContent>
      </w:r>
      <w:r w:rsidR="004B1564" w:rsidRPr="004B1564">
        <w:rPr>
          <w:lang w:val="en-US"/>
        </w:rPr>
        <w:t>3.</w:t>
      </w:r>
      <w:r w:rsidR="004B1564">
        <w:rPr>
          <w:lang w:val="en-US"/>
        </w:rPr>
        <w:t>2.2</w:t>
      </w:r>
      <w:r w:rsidR="00DB3D7E" w:rsidRPr="004B1564">
        <w:rPr>
          <w:lang w:val="en-US"/>
        </w:rPr>
        <w:t xml:space="preserve">, Alphabetical index, </w:t>
      </w:r>
      <w:r w:rsidR="00DB3D7E" w:rsidRPr="004B1564">
        <w:rPr>
          <w:b w:val="0"/>
          <w:i/>
          <w:lang w:val="en-US"/>
        </w:rPr>
        <w:t>add</w:t>
      </w:r>
      <w:r w:rsidR="00DB3D7E" w:rsidRPr="004B1564">
        <w:rPr>
          <w:lang w:val="en-US"/>
        </w:rPr>
        <w:t xml:space="preserve"> </w:t>
      </w:r>
    </w:p>
    <w:tbl>
      <w:tblPr>
        <w:tblW w:w="7371"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39"/>
        <w:gridCol w:w="716"/>
        <w:gridCol w:w="716"/>
      </w:tblGrid>
      <w:tr w:rsidR="00DB3D7E" w:rsidRPr="004B1564" w:rsidTr="00600BA9">
        <w:tc>
          <w:tcPr>
            <w:tcW w:w="7093" w:type="dxa"/>
            <w:shd w:val="clear" w:color="auto" w:fill="auto"/>
          </w:tcPr>
          <w:p w:rsidR="00DB3D7E" w:rsidRPr="00001F6E" w:rsidRDefault="00DB3D7E" w:rsidP="00600BA9">
            <w:pPr>
              <w:pStyle w:val="SingleTxtG"/>
              <w:spacing w:after="0"/>
              <w:ind w:left="0" w:right="142"/>
              <w:rPr>
                <w:sz w:val="18"/>
                <w:szCs w:val="18"/>
                <w:lang w:val="en-US"/>
              </w:rPr>
            </w:pPr>
            <w:r w:rsidRPr="00001F6E">
              <w:rPr>
                <w:sz w:val="18"/>
                <w:szCs w:val="18"/>
                <w:lang w:val="en-US"/>
              </w:rPr>
              <w:t>POLYMERIZING SUBSTANCE, SOLID, STABILIZED, N.O.S.</w:t>
            </w:r>
          </w:p>
        </w:tc>
        <w:tc>
          <w:tcPr>
            <w:tcW w:w="850" w:type="dxa"/>
            <w:shd w:val="clear" w:color="auto" w:fill="auto"/>
          </w:tcPr>
          <w:p w:rsidR="00DB3D7E" w:rsidRPr="004B1564" w:rsidRDefault="00DB3D7E" w:rsidP="00600BA9">
            <w:pPr>
              <w:pStyle w:val="SingleTxtG"/>
              <w:tabs>
                <w:tab w:val="left" w:pos="0"/>
              </w:tabs>
              <w:spacing w:after="0"/>
              <w:ind w:left="0" w:right="141"/>
              <w:jc w:val="center"/>
              <w:rPr>
                <w:sz w:val="18"/>
                <w:szCs w:val="18"/>
                <w:lang w:val="en-US"/>
              </w:rPr>
            </w:pPr>
            <w:r w:rsidRPr="004B1564">
              <w:rPr>
                <w:sz w:val="18"/>
                <w:szCs w:val="18"/>
                <w:lang w:val="en-US"/>
              </w:rPr>
              <w:t>3531</w:t>
            </w:r>
          </w:p>
        </w:tc>
        <w:tc>
          <w:tcPr>
            <w:tcW w:w="850" w:type="dxa"/>
          </w:tcPr>
          <w:p w:rsidR="00DB3D7E" w:rsidRPr="004B1564" w:rsidRDefault="00DB3D7E" w:rsidP="00600BA9">
            <w:pPr>
              <w:pStyle w:val="SingleTxtG"/>
              <w:tabs>
                <w:tab w:val="left" w:pos="0"/>
              </w:tabs>
              <w:spacing w:after="0"/>
              <w:ind w:left="0" w:right="141"/>
              <w:jc w:val="center"/>
              <w:rPr>
                <w:sz w:val="18"/>
                <w:szCs w:val="18"/>
                <w:lang w:val="en-US"/>
              </w:rPr>
            </w:pPr>
            <w:r w:rsidRPr="004B1564">
              <w:rPr>
                <w:sz w:val="18"/>
                <w:szCs w:val="18"/>
                <w:lang w:val="en-US"/>
              </w:rPr>
              <w:t>4.1</w:t>
            </w:r>
          </w:p>
        </w:tc>
      </w:tr>
      <w:tr w:rsidR="00DB3D7E" w:rsidRPr="004B1564" w:rsidTr="00600BA9">
        <w:tc>
          <w:tcPr>
            <w:tcW w:w="7093" w:type="dxa"/>
            <w:shd w:val="clear" w:color="auto" w:fill="auto"/>
          </w:tcPr>
          <w:p w:rsidR="00DB3D7E" w:rsidRPr="00001F6E" w:rsidRDefault="00DB3D7E" w:rsidP="00600BA9">
            <w:pPr>
              <w:pStyle w:val="SingleTxtG"/>
              <w:spacing w:after="0"/>
              <w:ind w:left="0" w:right="142"/>
              <w:rPr>
                <w:sz w:val="18"/>
                <w:szCs w:val="18"/>
                <w:lang w:val="en-US"/>
              </w:rPr>
            </w:pPr>
            <w:r w:rsidRPr="00001F6E">
              <w:rPr>
                <w:sz w:val="18"/>
                <w:szCs w:val="18"/>
                <w:lang w:val="en-US"/>
              </w:rPr>
              <w:t>POLYMERIZING SUBSTANCE, LIQUID, STABILIZED, N.O.S.</w:t>
            </w:r>
          </w:p>
        </w:tc>
        <w:tc>
          <w:tcPr>
            <w:tcW w:w="850" w:type="dxa"/>
            <w:shd w:val="clear" w:color="auto" w:fill="auto"/>
          </w:tcPr>
          <w:p w:rsidR="00DB3D7E" w:rsidRPr="004B1564" w:rsidRDefault="00DB3D7E" w:rsidP="00600BA9">
            <w:pPr>
              <w:pStyle w:val="SingleTxtG"/>
              <w:tabs>
                <w:tab w:val="left" w:pos="0"/>
              </w:tabs>
              <w:spacing w:after="0"/>
              <w:ind w:left="0" w:right="141"/>
              <w:jc w:val="center"/>
              <w:rPr>
                <w:sz w:val="18"/>
                <w:szCs w:val="18"/>
                <w:lang w:val="en-US"/>
              </w:rPr>
            </w:pPr>
            <w:r w:rsidRPr="004B1564">
              <w:rPr>
                <w:sz w:val="18"/>
                <w:szCs w:val="18"/>
                <w:lang w:val="en-US"/>
              </w:rPr>
              <w:t>3532</w:t>
            </w:r>
          </w:p>
        </w:tc>
        <w:tc>
          <w:tcPr>
            <w:tcW w:w="850" w:type="dxa"/>
          </w:tcPr>
          <w:p w:rsidR="00DB3D7E" w:rsidRPr="004B1564" w:rsidRDefault="00DB3D7E" w:rsidP="00600BA9">
            <w:pPr>
              <w:pStyle w:val="SingleTxtG"/>
              <w:tabs>
                <w:tab w:val="left" w:pos="0"/>
              </w:tabs>
              <w:spacing w:after="0"/>
              <w:ind w:left="0" w:right="141"/>
              <w:jc w:val="center"/>
              <w:rPr>
                <w:sz w:val="18"/>
                <w:szCs w:val="18"/>
                <w:lang w:val="en-US"/>
              </w:rPr>
            </w:pPr>
            <w:r w:rsidRPr="004B1564">
              <w:rPr>
                <w:sz w:val="18"/>
                <w:szCs w:val="18"/>
                <w:lang w:val="en-US"/>
              </w:rPr>
              <w:t>4.1</w:t>
            </w:r>
          </w:p>
        </w:tc>
      </w:tr>
      <w:tr w:rsidR="00DB3D7E" w:rsidRPr="00C57D44" w:rsidTr="00600BA9">
        <w:tc>
          <w:tcPr>
            <w:tcW w:w="7093" w:type="dxa"/>
            <w:shd w:val="clear" w:color="auto" w:fill="auto"/>
          </w:tcPr>
          <w:p w:rsidR="00DB3D7E" w:rsidRPr="00001F6E" w:rsidRDefault="00DB3D7E" w:rsidP="00600BA9">
            <w:pPr>
              <w:pStyle w:val="SingleTxtG"/>
              <w:spacing w:after="0"/>
              <w:ind w:left="0" w:right="142"/>
              <w:rPr>
                <w:sz w:val="18"/>
                <w:szCs w:val="18"/>
                <w:lang w:val="en-US"/>
              </w:rPr>
            </w:pPr>
            <w:r w:rsidRPr="00001F6E">
              <w:rPr>
                <w:sz w:val="18"/>
                <w:szCs w:val="18"/>
                <w:lang w:val="en-US"/>
              </w:rPr>
              <w:t>POLYMERIZING SUBSTANCE, SOLID, TEMPERATURE CONTROLLED, N.O.S.</w:t>
            </w:r>
          </w:p>
        </w:tc>
        <w:tc>
          <w:tcPr>
            <w:tcW w:w="850" w:type="dxa"/>
            <w:shd w:val="clear" w:color="auto" w:fill="auto"/>
          </w:tcPr>
          <w:p w:rsidR="00DB3D7E" w:rsidRPr="00C57D44" w:rsidRDefault="00DB3D7E" w:rsidP="00600BA9">
            <w:pPr>
              <w:pStyle w:val="SingleTxtG"/>
              <w:tabs>
                <w:tab w:val="left" w:pos="0"/>
              </w:tabs>
              <w:spacing w:after="0"/>
              <w:ind w:left="0" w:right="141"/>
              <w:jc w:val="center"/>
              <w:rPr>
                <w:sz w:val="18"/>
                <w:szCs w:val="18"/>
              </w:rPr>
            </w:pPr>
            <w:r w:rsidRPr="00C57D44">
              <w:rPr>
                <w:sz w:val="18"/>
                <w:szCs w:val="18"/>
              </w:rPr>
              <w:t>3533</w:t>
            </w:r>
          </w:p>
        </w:tc>
        <w:tc>
          <w:tcPr>
            <w:tcW w:w="850" w:type="dxa"/>
          </w:tcPr>
          <w:p w:rsidR="00DB3D7E" w:rsidRPr="00C57D44" w:rsidRDefault="00DB3D7E" w:rsidP="00600BA9">
            <w:pPr>
              <w:pStyle w:val="SingleTxtG"/>
              <w:tabs>
                <w:tab w:val="left" w:pos="0"/>
              </w:tabs>
              <w:spacing w:after="0"/>
              <w:ind w:left="0" w:right="141"/>
              <w:jc w:val="center"/>
              <w:rPr>
                <w:sz w:val="18"/>
                <w:szCs w:val="18"/>
              </w:rPr>
            </w:pPr>
            <w:r w:rsidRPr="00C57D44">
              <w:rPr>
                <w:sz w:val="18"/>
                <w:szCs w:val="18"/>
              </w:rPr>
              <w:t>4.1</w:t>
            </w:r>
          </w:p>
        </w:tc>
      </w:tr>
      <w:tr w:rsidR="00DB3D7E" w:rsidRPr="00C57D44" w:rsidTr="00600BA9">
        <w:tc>
          <w:tcPr>
            <w:tcW w:w="7093" w:type="dxa"/>
            <w:shd w:val="clear" w:color="auto" w:fill="auto"/>
          </w:tcPr>
          <w:p w:rsidR="00DB3D7E" w:rsidRPr="00001F6E" w:rsidRDefault="00DB3D7E" w:rsidP="00600BA9">
            <w:pPr>
              <w:pStyle w:val="SingleTxtG"/>
              <w:spacing w:after="0"/>
              <w:ind w:left="0" w:right="142"/>
              <w:rPr>
                <w:sz w:val="18"/>
                <w:szCs w:val="18"/>
                <w:lang w:val="en-US"/>
              </w:rPr>
            </w:pPr>
            <w:r w:rsidRPr="00001F6E">
              <w:rPr>
                <w:sz w:val="18"/>
                <w:szCs w:val="18"/>
                <w:lang w:val="en-US"/>
              </w:rPr>
              <w:t>POLYMERIZING SUBSTANCE, LIQUID, TEMPERATURE CONTROLLED, N.O.S.</w:t>
            </w:r>
          </w:p>
        </w:tc>
        <w:tc>
          <w:tcPr>
            <w:tcW w:w="850" w:type="dxa"/>
            <w:shd w:val="clear" w:color="auto" w:fill="auto"/>
          </w:tcPr>
          <w:p w:rsidR="00DB3D7E" w:rsidRPr="00C57D44" w:rsidRDefault="00DB3D7E" w:rsidP="00600BA9">
            <w:pPr>
              <w:pStyle w:val="SingleTxtG"/>
              <w:tabs>
                <w:tab w:val="left" w:pos="0"/>
              </w:tabs>
              <w:spacing w:after="0"/>
              <w:ind w:left="0" w:right="141"/>
              <w:jc w:val="center"/>
              <w:rPr>
                <w:sz w:val="18"/>
                <w:szCs w:val="18"/>
              </w:rPr>
            </w:pPr>
            <w:r w:rsidRPr="00C57D44">
              <w:rPr>
                <w:sz w:val="18"/>
                <w:szCs w:val="18"/>
              </w:rPr>
              <w:t>3534</w:t>
            </w:r>
          </w:p>
        </w:tc>
        <w:tc>
          <w:tcPr>
            <w:tcW w:w="850" w:type="dxa"/>
          </w:tcPr>
          <w:p w:rsidR="00DB3D7E" w:rsidRPr="00C57D44" w:rsidRDefault="00DB3D7E" w:rsidP="00600BA9">
            <w:pPr>
              <w:pStyle w:val="SingleTxtG"/>
              <w:tabs>
                <w:tab w:val="left" w:pos="0"/>
              </w:tabs>
              <w:spacing w:after="0"/>
              <w:ind w:left="0" w:right="141"/>
              <w:jc w:val="center"/>
              <w:rPr>
                <w:sz w:val="18"/>
                <w:szCs w:val="18"/>
              </w:rPr>
            </w:pPr>
            <w:r w:rsidRPr="00C57D44">
              <w:rPr>
                <w:sz w:val="18"/>
                <w:szCs w:val="18"/>
              </w:rPr>
              <w:t>4.1</w:t>
            </w:r>
          </w:p>
        </w:tc>
      </w:tr>
    </w:tbl>
    <w:p w:rsidR="00DB3D7E" w:rsidRDefault="004B1564" w:rsidP="00600BA9">
      <w:pPr>
        <w:pStyle w:val="H23G"/>
        <w:ind w:left="2835"/>
        <w:rPr>
          <w:lang w:val="fr-FR"/>
        </w:rPr>
      </w:pPr>
      <w:r>
        <w:rPr>
          <w:lang w:val="fr-FR"/>
        </w:rPr>
        <w:t xml:space="preserve">3.2.2, </w:t>
      </w:r>
      <w:r w:rsidR="00DB3D7E">
        <w:rPr>
          <w:lang w:val="fr-FR"/>
        </w:rPr>
        <w:t>Index alphabétique</w:t>
      </w:r>
    </w:p>
    <w:p w:rsidR="00DB3D7E" w:rsidRPr="00C24566" w:rsidRDefault="00DB3D7E" w:rsidP="00600BA9">
      <w:pPr>
        <w:pStyle w:val="SingleTxtG"/>
        <w:ind w:left="1701"/>
        <w:rPr>
          <w:iCs/>
          <w:lang w:val="fr-FR"/>
        </w:rPr>
      </w:pPr>
      <w:r w:rsidRPr="004B29FD">
        <w:rPr>
          <w:i/>
          <w:iCs/>
          <w:lang w:val="fr-FR"/>
        </w:rPr>
        <w:t>Ajouter</w:t>
      </w:r>
      <w:r>
        <w:rPr>
          <w:i/>
          <w:iCs/>
          <w:lang w:val="fr-FR"/>
        </w:rPr>
        <w:t xml:space="preserve"> </w:t>
      </w:r>
      <w:r>
        <w:rPr>
          <w:iCs/>
          <w:lang w:val="fr-FR"/>
        </w:rPr>
        <w:t>les rubriques suivantes dans l’ordre alphabétique</w:t>
      </w:r>
      <w:r w:rsidRPr="004B29FD">
        <w:rPr>
          <w:i/>
          <w:iCs/>
          <w:lang w:val="fr-FR"/>
        </w:rPr>
        <w:t xml:space="preserve"> </w:t>
      </w:r>
    </w:p>
    <w:tbl>
      <w:tblPr>
        <w:tblW w:w="7371"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38"/>
        <w:gridCol w:w="716"/>
        <w:gridCol w:w="717"/>
      </w:tblGrid>
      <w:tr w:rsidR="005A78F3" w:rsidRPr="00C24566" w:rsidTr="00600BA9">
        <w:trPr>
          <w:cantSplit/>
        </w:trPr>
        <w:tc>
          <w:tcPr>
            <w:tcW w:w="7093" w:type="dxa"/>
            <w:shd w:val="clear" w:color="auto" w:fill="auto"/>
          </w:tcPr>
          <w:p w:rsidR="005A78F3" w:rsidRPr="00C24566" w:rsidRDefault="005A78F3" w:rsidP="00600BA9">
            <w:pPr>
              <w:pStyle w:val="SingleTxtG"/>
              <w:spacing w:after="0"/>
              <w:ind w:left="0" w:right="142"/>
              <w:rPr>
                <w:sz w:val="18"/>
                <w:szCs w:val="18"/>
                <w:lang w:val="fr-FR"/>
              </w:rPr>
            </w:pPr>
            <w:r w:rsidRPr="00C24566">
              <w:rPr>
                <w:sz w:val="18"/>
                <w:szCs w:val="18"/>
                <w:lang w:val="fr-FR"/>
              </w:rPr>
              <w:t>MATIÈRE SOLIDE QUI POLYMÉRISE, STABILISÉE, N.S.A</w:t>
            </w:r>
          </w:p>
        </w:tc>
        <w:tc>
          <w:tcPr>
            <w:tcW w:w="850" w:type="dxa"/>
          </w:tcPr>
          <w:p w:rsidR="005A78F3" w:rsidRPr="00C24566" w:rsidRDefault="005A78F3" w:rsidP="00600BA9">
            <w:pPr>
              <w:pStyle w:val="SingleTxtG"/>
              <w:tabs>
                <w:tab w:val="left" w:pos="0"/>
              </w:tabs>
              <w:spacing w:after="0"/>
              <w:ind w:left="0" w:right="141"/>
              <w:jc w:val="center"/>
              <w:rPr>
                <w:sz w:val="18"/>
                <w:szCs w:val="18"/>
                <w:lang w:val="fr-FR"/>
              </w:rPr>
            </w:pPr>
            <w:r w:rsidRPr="00C24566">
              <w:rPr>
                <w:sz w:val="18"/>
                <w:szCs w:val="18"/>
                <w:lang w:val="fr-FR"/>
              </w:rPr>
              <w:t>3531</w:t>
            </w:r>
          </w:p>
        </w:tc>
        <w:tc>
          <w:tcPr>
            <w:tcW w:w="851" w:type="dxa"/>
          </w:tcPr>
          <w:p w:rsidR="005A78F3" w:rsidRPr="00C24566" w:rsidRDefault="005A78F3" w:rsidP="00600BA9">
            <w:pPr>
              <w:pStyle w:val="SingleTxtG"/>
              <w:tabs>
                <w:tab w:val="left" w:pos="0"/>
              </w:tabs>
              <w:spacing w:after="0"/>
              <w:ind w:left="0" w:right="141"/>
              <w:jc w:val="center"/>
              <w:rPr>
                <w:sz w:val="18"/>
                <w:szCs w:val="18"/>
                <w:lang w:val="fr-FR"/>
              </w:rPr>
            </w:pPr>
            <w:r w:rsidRPr="00C24566">
              <w:rPr>
                <w:sz w:val="18"/>
                <w:szCs w:val="18"/>
                <w:lang w:val="fr-FR"/>
              </w:rPr>
              <w:t>4.1</w:t>
            </w:r>
          </w:p>
        </w:tc>
      </w:tr>
      <w:tr w:rsidR="005A78F3" w:rsidRPr="00C24566" w:rsidTr="00600BA9">
        <w:trPr>
          <w:cantSplit/>
        </w:trPr>
        <w:tc>
          <w:tcPr>
            <w:tcW w:w="7093" w:type="dxa"/>
            <w:shd w:val="clear" w:color="auto" w:fill="auto"/>
          </w:tcPr>
          <w:p w:rsidR="005A78F3" w:rsidRPr="00C24566" w:rsidRDefault="005A78F3" w:rsidP="00600BA9">
            <w:pPr>
              <w:pStyle w:val="SingleTxtG"/>
              <w:spacing w:after="0"/>
              <w:ind w:left="0" w:right="142"/>
              <w:rPr>
                <w:sz w:val="18"/>
                <w:szCs w:val="18"/>
                <w:lang w:val="fr-FR"/>
              </w:rPr>
            </w:pPr>
            <w:r w:rsidRPr="00C24566">
              <w:rPr>
                <w:sz w:val="18"/>
                <w:szCs w:val="18"/>
                <w:lang w:val="fr-FR"/>
              </w:rPr>
              <w:t>MATIÈRE LIQUIDE QUI POLYMÉRISE, STABILISÉE, N.S.A</w:t>
            </w:r>
          </w:p>
        </w:tc>
        <w:tc>
          <w:tcPr>
            <w:tcW w:w="850" w:type="dxa"/>
          </w:tcPr>
          <w:p w:rsidR="005A78F3" w:rsidRPr="00C24566" w:rsidRDefault="005A78F3" w:rsidP="00600BA9">
            <w:pPr>
              <w:pStyle w:val="SingleTxtG"/>
              <w:tabs>
                <w:tab w:val="left" w:pos="0"/>
              </w:tabs>
              <w:spacing w:after="0"/>
              <w:ind w:left="0" w:right="141"/>
              <w:jc w:val="center"/>
              <w:rPr>
                <w:sz w:val="18"/>
                <w:szCs w:val="18"/>
                <w:lang w:val="fr-FR"/>
              </w:rPr>
            </w:pPr>
            <w:r w:rsidRPr="00C24566">
              <w:rPr>
                <w:sz w:val="18"/>
                <w:szCs w:val="18"/>
                <w:lang w:val="fr-FR"/>
              </w:rPr>
              <w:t>3532</w:t>
            </w:r>
          </w:p>
        </w:tc>
        <w:tc>
          <w:tcPr>
            <w:tcW w:w="851" w:type="dxa"/>
          </w:tcPr>
          <w:p w:rsidR="005A78F3" w:rsidRPr="00C24566" w:rsidRDefault="005A78F3" w:rsidP="00600BA9">
            <w:pPr>
              <w:pStyle w:val="SingleTxtG"/>
              <w:tabs>
                <w:tab w:val="left" w:pos="0"/>
              </w:tabs>
              <w:spacing w:after="0"/>
              <w:ind w:left="0" w:right="141"/>
              <w:jc w:val="center"/>
              <w:rPr>
                <w:sz w:val="18"/>
                <w:szCs w:val="18"/>
                <w:lang w:val="fr-FR"/>
              </w:rPr>
            </w:pPr>
            <w:r w:rsidRPr="00C24566">
              <w:rPr>
                <w:sz w:val="18"/>
                <w:szCs w:val="18"/>
                <w:lang w:val="fr-FR"/>
              </w:rPr>
              <w:t>4.1</w:t>
            </w:r>
          </w:p>
        </w:tc>
      </w:tr>
      <w:tr w:rsidR="005A78F3" w:rsidRPr="00C24566" w:rsidTr="00600BA9">
        <w:trPr>
          <w:cantSplit/>
        </w:trPr>
        <w:tc>
          <w:tcPr>
            <w:tcW w:w="7093" w:type="dxa"/>
            <w:shd w:val="clear" w:color="auto" w:fill="auto"/>
          </w:tcPr>
          <w:p w:rsidR="005A78F3" w:rsidRPr="00C24566" w:rsidRDefault="005A78F3" w:rsidP="00600BA9">
            <w:pPr>
              <w:pStyle w:val="SingleTxtG"/>
              <w:spacing w:after="0"/>
              <w:ind w:left="0" w:right="142"/>
              <w:rPr>
                <w:sz w:val="18"/>
                <w:szCs w:val="18"/>
                <w:lang w:val="fr-FR"/>
              </w:rPr>
            </w:pPr>
            <w:r w:rsidRPr="00C24566">
              <w:rPr>
                <w:sz w:val="18"/>
                <w:szCs w:val="18"/>
                <w:lang w:val="fr-FR"/>
              </w:rPr>
              <w:t>MATIÈRE SOLIDE QUI POLYMÉRISE, AVEC RÉGULATION DE TEMPÉRATURE, N.S.A</w:t>
            </w:r>
          </w:p>
        </w:tc>
        <w:tc>
          <w:tcPr>
            <w:tcW w:w="850" w:type="dxa"/>
          </w:tcPr>
          <w:p w:rsidR="005A78F3" w:rsidRPr="00C24566" w:rsidRDefault="005A78F3" w:rsidP="00600BA9">
            <w:pPr>
              <w:pStyle w:val="SingleTxtG"/>
              <w:tabs>
                <w:tab w:val="left" w:pos="0"/>
              </w:tabs>
              <w:spacing w:after="0"/>
              <w:ind w:left="0" w:right="141"/>
              <w:jc w:val="center"/>
              <w:rPr>
                <w:sz w:val="18"/>
                <w:szCs w:val="18"/>
                <w:lang w:val="fr-FR"/>
              </w:rPr>
            </w:pPr>
            <w:r w:rsidRPr="00C24566">
              <w:rPr>
                <w:sz w:val="18"/>
                <w:szCs w:val="18"/>
                <w:lang w:val="fr-FR"/>
              </w:rPr>
              <w:t>3533</w:t>
            </w:r>
          </w:p>
        </w:tc>
        <w:tc>
          <w:tcPr>
            <w:tcW w:w="851" w:type="dxa"/>
          </w:tcPr>
          <w:p w:rsidR="005A78F3" w:rsidRPr="00C24566" w:rsidRDefault="005A78F3" w:rsidP="00600BA9">
            <w:pPr>
              <w:pStyle w:val="SingleTxtG"/>
              <w:tabs>
                <w:tab w:val="left" w:pos="0"/>
              </w:tabs>
              <w:spacing w:after="0"/>
              <w:ind w:left="0" w:right="141"/>
              <w:jc w:val="center"/>
              <w:rPr>
                <w:sz w:val="18"/>
                <w:szCs w:val="18"/>
                <w:lang w:val="fr-FR"/>
              </w:rPr>
            </w:pPr>
            <w:r w:rsidRPr="00C24566">
              <w:rPr>
                <w:sz w:val="18"/>
                <w:szCs w:val="18"/>
                <w:lang w:val="fr-FR"/>
              </w:rPr>
              <w:t>4.1</w:t>
            </w:r>
          </w:p>
        </w:tc>
      </w:tr>
      <w:tr w:rsidR="005A78F3" w:rsidRPr="00C24566" w:rsidTr="00600BA9">
        <w:trPr>
          <w:cantSplit/>
        </w:trPr>
        <w:tc>
          <w:tcPr>
            <w:tcW w:w="7093" w:type="dxa"/>
            <w:shd w:val="clear" w:color="auto" w:fill="auto"/>
          </w:tcPr>
          <w:p w:rsidR="005A78F3" w:rsidRPr="00C24566" w:rsidRDefault="005A78F3" w:rsidP="00600BA9">
            <w:pPr>
              <w:pStyle w:val="SingleTxtG"/>
              <w:spacing w:after="0"/>
              <w:ind w:left="0" w:right="142"/>
              <w:rPr>
                <w:sz w:val="18"/>
                <w:szCs w:val="18"/>
                <w:lang w:val="fr-FR"/>
              </w:rPr>
            </w:pPr>
            <w:r w:rsidRPr="00C24566">
              <w:rPr>
                <w:sz w:val="18"/>
                <w:szCs w:val="18"/>
                <w:lang w:val="fr-FR"/>
              </w:rPr>
              <w:t>MATIÈRE LIQUIDE QUI POLYMÉRISE, AVEC RÉGULATION DE TEMPÉRATURE, N.S.A</w:t>
            </w:r>
          </w:p>
        </w:tc>
        <w:tc>
          <w:tcPr>
            <w:tcW w:w="850" w:type="dxa"/>
          </w:tcPr>
          <w:p w:rsidR="005A78F3" w:rsidRPr="00C24566" w:rsidRDefault="005A78F3" w:rsidP="00600BA9">
            <w:pPr>
              <w:pStyle w:val="SingleTxtG"/>
              <w:tabs>
                <w:tab w:val="left" w:pos="0"/>
              </w:tabs>
              <w:spacing w:after="0"/>
              <w:ind w:left="0" w:right="141"/>
              <w:jc w:val="center"/>
              <w:rPr>
                <w:sz w:val="18"/>
                <w:szCs w:val="18"/>
                <w:lang w:val="fr-FR"/>
              </w:rPr>
            </w:pPr>
            <w:r w:rsidRPr="00C24566">
              <w:rPr>
                <w:sz w:val="18"/>
                <w:szCs w:val="18"/>
                <w:lang w:val="fr-FR"/>
              </w:rPr>
              <w:t>3534</w:t>
            </w:r>
          </w:p>
        </w:tc>
        <w:tc>
          <w:tcPr>
            <w:tcW w:w="851" w:type="dxa"/>
          </w:tcPr>
          <w:p w:rsidR="005A78F3" w:rsidRPr="00C24566" w:rsidRDefault="005A78F3" w:rsidP="00600BA9">
            <w:pPr>
              <w:pStyle w:val="SingleTxtG"/>
              <w:tabs>
                <w:tab w:val="left" w:pos="0"/>
              </w:tabs>
              <w:spacing w:after="0"/>
              <w:ind w:left="0" w:right="141"/>
              <w:jc w:val="center"/>
              <w:rPr>
                <w:sz w:val="18"/>
                <w:szCs w:val="18"/>
                <w:lang w:val="fr-FR"/>
              </w:rPr>
            </w:pPr>
            <w:r w:rsidRPr="00C24566">
              <w:rPr>
                <w:sz w:val="18"/>
                <w:szCs w:val="18"/>
                <w:lang w:val="fr-FR"/>
              </w:rPr>
              <w:t>4.1</w:t>
            </w:r>
          </w:p>
        </w:tc>
      </w:tr>
    </w:tbl>
    <w:p w:rsidR="000521E8" w:rsidRPr="000521E8" w:rsidRDefault="006D0D78" w:rsidP="00A11B97">
      <w:pPr>
        <w:pStyle w:val="H23G"/>
        <w:keepNext w:val="0"/>
        <w:keepLines w:val="0"/>
        <w:ind w:left="1138" w:right="1138" w:hanging="1138"/>
        <w:rPr>
          <w:lang w:val="en-US"/>
        </w:rPr>
      </w:pPr>
      <w:r w:rsidRPr="006D0D78">
        <w:rPr>
          <w:lang w:val="en-US"/>
        </w:rPr>
        <w:tab/>
      </w:r>
      <w:r w:rsidR="000521E8" w:rsidRPr="000521E8">
        <w:rPr>
          <w:lang w:val="en-US"/>
        </w:rPr>
        <w:t>3.</w:t>
      </w:r>
      <w:r w:rsidR="000521E8" w:rsidRPr="000521E8">
        <w:rPr>
          <w:lang w:val="en-US"/>
        </w:rPr>
        <w:tab/>
        <w:t>Special provisions concerning transport of vehicles</w:t>
      </w:r>
    </w:p>
    <w:p w:rsidR="000521E8" w:rsidRPr="00DE71D0" w:rsidRDefault="000521E8" w:rsidP="000521E8">
      <w:pPr>
        <w:pStyle w:val="SingleTxtG"/>
      </w:pPr>
      <w:r w:rsidRPr="00DE71D0">
        <w:rPr>
          <w:i/>
          <w:iCs/>
        </w:rPr>
        <w:t>Document:</w:t>
      </w:r>
      <w:r w:rsidRPr="00DE71D0">
        <w:tab/>
        <w:t>ST/SG/AC.10/C.3/2015/58 (France)</w:t>
      </w:r>
    </w:p>
    <w:p w:rsidR="000521E8" w:rsidRPr="000521E8" w:rsidRDefault="000521E8" w:rsidP="000521E8">
      <w:pPr>
        <w:pStyle w:val="SingleTxtG"/>
        <w:rPr>
          <w:lang w:val="en-US"/>
        </w:rPr>
      </w:pPr>
      <w:r w:rsidRPr="000521E8">
        <w:rPr>
          <w:lang w:val="en-US"/>
        </w:rPr>
        <w:t>94.</w:t>
      </w:r>
      <w:r w:rsidRPr="000521E8">
        <w:rPr>
          <w:lang w:val="en-US"/>
        </w:rPr>
        <w:tab/>
        <w:t>The expert from France said that the proposal followed on from the discussions of the RID/ADR/ADN Joint Meeting at its autumn 2015 session (also see informal document INF.7, para. 34). There had been a proposal to merge special provisions 312 and 385 but the Joint Meeting had asked for the subject to be discussed first by the Sub-Committee.</w:t>
      </w:r>
    </w:p>
    <w:p w:rsidR="000521E8" w:rsidRPr="000521E8" w:rsidRDefault="000521E8" w:rsidP="000521E8">
      <w:pPr>
        <w:pStyle w:val="SingleTxtG"/>
        <w:rPr>
          <w:lang w:val="en-US"/>
        </w:rPr>
      </w:pPr>
      <w:r w:rsidRPr="000521E8">
        <w:rPr>
          <w:lang w:val="en-US"/>
        </w:rPr>
        <w:t>95.</w:t>
      </w:r>
      <w:r w:rsidRPr="000521E8">
        <w:rPr>
          <w:lang w:val="en-US"/>
        </w:rPr>
        <w:tab/>
        <w:t xml:space="preserve">Most of the delegations were in </w:t>
      </w:r>
      <w:r w:rsidRPr="008A26E5">
        <w:rPr>
          <w:lang w:val="en-GB"/>
        </w:rPr>
        <w:t>favour</w:t>
      </w:r>
      <w:r w:rsidRPr="000521E8">
        <w:rPr>
          <w:lang w:val="en-US"/>
        </w:rPr>
        <w:t xml:space="preserve"> of the proposal, with a majority preferring the second option.</w:t>
      </w:r>
    </w:p>
    <w:p w:rsidR="000521E8" w:rsidRPr="000521E8" w:rsidRDefault="000521E8" w:rsidP="000521E8">
      <w:pPr>
        <w:pStyle w:val="SingleTxtG"/>
        <w:rPr>
          <w:lang w:val="en-US"/>
        </w:rPr>
      </w:pPr>
      <w:r w:rsidRPr="000521E8">
        <w:rPr>
          <w:lang w:val="en-US"/>
        </w:rPr>
        <w:t>96.</w:t>
      </w:r>
      <w:r w:rsidRPr="000521E8">
        <w:rPr>
          <w:lang w:val="en-US"/>
        </w:rPr>
        <w:tab/>
        <w:t>Opinions were divided on the second proposal, on special provision 363, and the proposed new combined special provision, as the delegations had not had time to examine the proposal; furthermore, in the meantime, IMO had adopted different texts in paragraph 4 of special provision 962 of the IMDG Code.</w:t>
      </w:r>
    </w:p>
    <w:p w:rsidR="000521E8" w:rsidRPr="000521E8" w:rsidRDefault="000521E8" w:rsidP="000521E8">
      <w:pPr>
        <w:pStyle w:val="SingleTxtG"/>
        <w:rPr>
          <w:lang w:val="en-US"/>
        </w:rPr>
      </w:pPr>
      <w:r w:rsidRPr="000521E8">
        <w:rPr>
          <w:lang w:val="en-US"/>
        </w:rPr>
        <w:t>97.</w:t>
      </w:r>
      <w:r w:rsidRPr="000521E8">
        <w:rPr>
          <w:lang w:val="en-US"/>
        </w:rPr>
        <w:tab/>
        <w:t>The expert from France said that the second proposal would not affect RID, ADR and ADN because the relevant provisions would still be adapted to the context of land transport. He would draw up a new proposal to take account of the texts adopted by IMO.</w:t>
      </w:r>
    </w:p>
    <w:p w:rsidR="000521E8" w:rsidRPr="000521E8" w:rsidRDefault="000521E8" w:rsidP="000521E8">
      <w:pPr>
        <w:pStyle w:val="SingleTxtG"/>
        <w:rPr>
          <w:lang w:val="en-US"/>
        </w:rPr>
      </w:pPr>
      <w:r w:rsidRPr="000521E8">
        <w:rPr>
          <w:lang w:val="en-US"/>
        </w:rPr>
        <w:t>98.</w:t>
      </w:r>
      <w:r w:rsidRPr="000521E8">
        <w:rPr>
          <w:lang w:val="en-US"/>
        </w:rPr>
        <w:tab/>
        <w:t>The expert from France would thus submit a new document at the next session, covering the two proposals and modified in line with the discussions.</w:t>
      </w:r>
    </w:p>
    <w:p w:rsidR="000521E8" w:rsidRPr="000521E8" w:rsidRDefault="000521E8" w:rsidP="000521E8">
      <w:pPr>
        <w:pStyle w:val="H23G"/>
        <w:rPr>
          <w:lang w:val="en-US"/>
        </w:rPr>
      </w:pPr>
      <w:r w:rsidRPr="000521E8">
        <w:rPr>
          <w:lang w:val="en-US"/>
        </w:rPr>
        <w:tab/>
        <w:t>4.</w:t>
      </w:r>
      <w:r w:rsidRPr="000521E8">
        <w:rPr>
          <w:lang w:val="en-US"/>
        </w:rPr>
        <w:tab/>
        <w:t>Definitions of “Reference steel” and “Mild steel” in section 1.2.1</w:t>
      </w:r>
    </w:p>
    <w:p w:rsidR="000521E8" w:rsidRPr="000521E8" w:rsidRDefault="000521E8" w:rsidP="000521E8">
      <w:pPr>
        <w:pStyle w:val="SingleTxtG"/>
        <w:jc w:val="left"/>
        <w:rPr>
          <w:lang w:val="en-US"/>
        </w:rPr>
      </w:pPr>
      <w:r w:rsidRPr="000521E8">
        <w:rPr>
          <w:i/>
          <w:lang w:val="en-US"/>
        </w:rPr>
        <w:t>Documents:</w:t>
      </w:r>
      <w:r w:rsidRPr="000521E8">
        <w:rPr>
          <w:i/>
          <w:lang w:val="en-US"/>
        </w:rPr>
        <w:tab/>
      </w:r>
      <w:r w:rsidRPr="000521E8">
        <w:rPr>
          <w:i/>
          <w:lang w:val="en-US"/>
        </w:rPr>
        <w:tab/>
      </w:r>
      <w:r w:rsidRPr="000521E8">
        <w:rPr>
          <w:lang w:val="en-US"/>
        </w:rPr>
        <w:t>ST/SG/AC.10/C.3/2015/44 (Romania) (for reference steel)</w:t>
      </w:r>
      <w:r w:rsidRPr="000521E8">
        <w:rPr>
          <w:lang w:val="en-US"/>
        </w:rPr>
        <w:br/>
      </w:r>
      <w:r w:rsidRPr="000521E8">
        <w:rPr>
          <w:lang w:val="en-US"/>
        </w:rPr>
        <w:tab/>
      </w:r>
      <w:r w:rsidRPr="000521E8">
        <w:rPr>
          <w:lang w:val="en-US"/>
        </w:rPr>
        <w:tab/>
      </w:r>
      <w:r w:rsidRPr="000521E8">
        <w:rPr>
          <w:lang w:val="en-US"/>
        </w:rPr>
        <w:tab/>
      </w:r>
      <w:r w:rsidRPr="000521E8">
        <w:rPr>
          <w:lang w:val="en-US"/>
        </w:rPr>
        <w:tab/>
        <w:t>ST/SG/AC.10/C.3/2015/55 (Romania) (for mild steel)</w:t>
      </w:r>
    </w:p>
    <w:p w:rsidR="000521E8" w:rsidRPr="000521E8" w:rsidRDefault="000521E8" w:rsidP="000521E8">
      <w:pPr>
        <w:pStyle w:val="SingleTxtG"/>
        <w:rPr>
          <w:lang w:val="en-US"/>
        </w:rPr>
      </w:pPr>
      <w:r w:rsidRPr="000521E8">
        <w:rPr>
          <w:lang w:val="en-US"/>
        </w:rPr>
        <w:t>99.</w:t>
      </w:r>
      <w:r w:rsidRPr="000521E8">
        <w:rPr>
          <w:lang w:val="en-US"/>
        </w:rPr>
        <w:tab/>
        <w:t>The Sub-Committee noted that in RID and ADR, the definitions of “mild s</w:t>
      </w:r>
      <w:r w:rsidR="001217F5">
        <w:rPr>
          <w:lang w:val="en-US"/>
        </w:rPr>
        <w:t xml:space="preserve">teel” and of “reference steel” </w:t>
      </w:r>
      <w:r w:rsidRPr="000521E8">
        <w:rPr>
          <w:lang w:val="en-US"/>
        </w:rPr>
        <w:t>were located in section 1.2.1 and in Chapter 6.7, while in the Model Regulations they were located only in Chapter 6.7. Some delegations were reluctant to move these definitions to section 1.2.1 because the definition of reference steel is not the same when applied to IBCs, and the term “mild steel” is used in other chapters, e.g. Chapter 6.4 and experts for Class 7 should be consulted to check whether the definition in Chapter 6.7 was also appropriate in the context of Chapter 6.4.</w:t>
      </w:r>
    </w:p>
    <w:p w:rsidR="000521E8" w:rsidRPr="000521E8" w:rsidRDefault="000521E8" w:rsidP="000521E8">
      <w:pPr>
        <w:pStyle w:val="SingleTxtG"/>
        <w:rPr>
          <w:lang w:val="en-US"/>
        </w:rPr>
      </w:pPr>
      <w:r w:rsidRPr="000521E8">
        <w:rPr>
          <w:lang w:val="en-US"/>
        </w:rPr>
        <w:t>100.</w:t>
      </w:r>
      <w:r w:rsidRPr="000521E8">
        <w:rPr>
          <w:lang w:val="en-US"/>
        </w:rPr>
        <w:tab/>
        <w:t>After discussion it was decided not to proceed with the proposed changes at this stage.</w:t>
      </w:r>
    </w:p>
    <w:p w:rsidR="000521E8" w:rsidRPr="000521E8" w:rsidRDefault="000521E8" w:rsidP="000521E8">
      <w:pPr>
        <w:pStyle w:val="H23G"/>
        <w:rPr>
          <w:lang w:val="en-US"/>
        </w:rPr>
      </w:pPr>
      <w:r w:rsidRPr="000521E8">
        <w:rPr>
          <w:lang w:val="en-US"/>
        </w:rPr>
        <w:lastRenderedPageBreak/>
        <w:tab/>
        <w:t>5.</w:t>
      </w:r>
      <w:r w:rsidRPr="000521E8">
        <w:rPr>
          <w:lang w:val="en-US"/>
        </w:rPr>
        <w:tab/>
        <w:t>Placarding and marking of bulk containers</w:t>
      </w:r>
    </w:p>
    <w:p w:rsidR="000521E8" w:rsidRPr="000521E8" w:rsidRDefault="000521E8" w:rsidP="000521E8">
      <w:pPr>
        <w:pStyle w:val="SingleTxtG"/>
        <w:rPr>
          <w:lang w:val="en-US"/>
        </w:rPr>
      </w:pPr>
      <w:r w:rsidRPr="000521E8">
        <w:rPr>
          <w:i/>
          <w:iCs/>
          <w:lang w:val="en-US"/>
        </w:rPr>
        <w:t>Informal document:</w:t>
      </w:r>
      <w:r w:rsidRPr="000521E8">
        <w:rPr>
          <w:lang w:val="en-US"/>
        </w:rPr>
        <w:tab/>
        <w:t>INF.16 (Secretariat)</w:t>
      </w:r>
    </w:p>
    <w:p w:rsidR="000521E8" w:rsidRPr="000521E8" w:rsidRDefault="000521E8" w:rsidP="000521E8">
      <w:pPr>
        <w:pStyle w:val="SingleTxtG"/>
        <w:rPr>
          <w:lang w:val="en-US"/>
        </w:rPr>
      </w:pPr>
      <w:r w:rsidRPr="000521E8">
        <w:rPr>
          <w:lang w:val="en-US"/>
        </w:rPr>
        <w:t>101.</w:t>
      </w:r>
      <w:r w:rsidRPr="000521E8">
        <w:rPr>
          <w:lang w:val="en-US"/>
        </w:rPr>
        <w:tab/>
        <w:t>A member of the secretariat explained that the introduction into RID, ADR and ADN of provisions concerning flexible bulk containers had highlighted a gap in the Model Regulations, as there was no indication whether a flexible bulk container should be labelled as a package or be subject to the provisions of Chapter 5.3 on placarding and marking.</w:t>
      </w:r>
    </w:p>
    <w:p w:rsidR="000521E8" w:rsidRPr="000521E8" w:rsidRDefault="000521E8" w:rsidP="000521E8">
      <w:pPr>
        <w:pStyle w:val="SingleTxtG"/>
        <w:rPr>
          <w:lang w:val="en-US"/>
        </w:rPr>
      </w:pPr>
      <w:r w:rsidRPr="000521E8">
        <w:rPr>
          <w:lang w:val="en-US"/>
        </w:rPr>
        <w:t>102.</w:t>
      </w:r>
      <w:r w:rsidRPr="000521E8">
        <w:rPr>
          <w:lang w:val="en-US"/>
        </w:rPr>
        <w:tab/>
        <w:t>The Sub-Committee considered that it was indeed an oversight and that bulk containers that did not meet the definition of cargo transport units, including flexible bulk containers, should be subject to the provisions of Chapter 5.3. The expert from the United States of America said that he would draw up an appropriate proposed amendment to Chapter 5.3.</w:t>
      </w:r>
    </w:p>
    <w:p w:rsidR="00B31D16" w:rsidRPr="00B31D16" w:rsidRDefault="00B31D16" w:rsidP="00B31D16">
      <w:pPr>
        <w:pStyle w:val="H1G"/>
        <w:spacing w:before="240" w:after="120"/>
        <w:rPr>
          <w:lang w:val="en-US"/>
        </w:rPr>
      </w:pPr>
      <w:r w:rsidRPr="00C27D31">
        <w:rPr>
          <w:lang w:val="en-GB"/>
        </w:rPr>
        <w:tab/>
      </w:r>
      <w:r w:rsidRPr="00B31D16">
        <w:rPr>
          <w:lang w:val="en-US"/>
        </w:rPr>
        <w:t>C.</w:t>
      </w:r>
      <w:r w:rsidRPr="00B31D16">
        <w:rPr>
          <w:lang w:val="en-US"/>
        </w:rPr>
        <w:tab/>
        <w:t>Issues related to the work of the IMO Sub-Committee on the Carriage of Containers and Cargo and of its Editorial and Technical Group</w:t>
      </w:r>
    </w:p>
    <w:p w:rsidR="00B31D16" w:rsidRPr="00B31D16" w:rsidRDefault="00B31D16" w:rsidP="00B31D16">
      <w:pPr>
        <w:pStyle w:val="SingleTxtG"/>
        <w:rPr>
          <w:lang w:val="en-US"/>
        </w:rPr>
      </w:pPr>
      <w:r w:rsidRPr="00B31D16">
        <w:rPr>
          <w:i/>
          <w:lang w:val="en-US"/>
        </w:rPr>
        <w:t>Informal document</w:t>
      </w:r>
      <w:r w:rsidRPr="00B31D16">
        <w:rPr>
          <w:lang w:val="en-US"/>
        </w:rPr>
        <w:t>:</w:t>
      </w:r>
      <w:r w:rsidRPr="00B31D16">
        <w:rPr>
          <w:lang w:val="en-US"/>
        </w:rPr>
        <w:tab/>
        <w:t>INF.56 (IMO)</w:t>
      </w:r>
    </w:p>
    <w:p w:rsidR="00B31D16" w:rsidRPr="00B31D16" w:rsidRDefault="00B31D16" w:rsidP="00B31D16">
      <w:pPr>
        <w:pStyle w:val="SingleTxtG"/>
        <w:rPr>
          <w:lang w:val="en-US"/>
        </w:rPr>
      </w:pPr>
      <w:r w:rsidRPr="00B31D16">
        <w:rPr>
          <w:lang w:val="en-US"/>
        </w:rPr>
        <w:t>112.</w:t>
      </w:r>
      <w:r w:rsidRPr="00B31D16">
        <w:rPr>
          <w:lang w:val="en-US"/>
        </w:rPr>
        <w:tab/>
        <w:t xml:space="preserve">The Sub-Committee confirmed that special packing provision z should have been assigned to UN No. 1058 in Packing Instruction P200 when special packing provision </w:t>
      </w:r>
      <w:proofErr w:type="spellStart"/>
      <w:r w:rsidRPr="00B31D16">
        <w:rPr>
          <w:lang w:val="en-US"/>
        </w:rPr>
        <w:t>ra</w:t>
      </w:r>
      <w:proofErr w:type="spellEnd"/>
      <w:r w:rsidRPr="00B31D16">
        <w:rPr>
          <w:lang w:val="en-US"/>
        </w:rPr>
        <w:t xml:space="preserve"> was deleted, and asked the secretariat to include this correction in an erratum.</w:t>
      </w:r>
    </w:p>
    <w:p w:rsidR="00CA46E1" w:rsidRDefault="00CA46E1" w:rsidP="008A26E5">
      <w:pPr>
        <w:pStyle w:val="SingleTxtG"/>
        <w:pBdr>
          <w:top w:val="single" w:sz="4" w:space="1" w:color="auto"/>
          <w:left w:val="single" w:sz="4" w:space="4" w:color="auto"/>
          <w:bottom w:val="single" w:sz="4" w:space="1" w:color="auto"/>
          <w:right w:val="single" w:sz="4" w:space="4" w:color="auto"/>
        </w:pBdr>
        <w:ind w:left="1701"/>
        <w:rPr>
          <w:b/>
          <w:i/>
          <w:lang w:val="en-US"/>
        </w:rPr>
      </w:pPr>
      <w:r>
        <w:rPr>
          <w:b/>
          <w:i/>
          <w:lang w:val="en-US"/>
        </w:rPr>
        <w:t>The corresponding correction is:</w:t>
      </w:r>
    </w:p>
    <w:p w:rsidR="00CA46E1" w:rsidRPr="00CA46E1" w:rsidRDefault="00CA46E1" w:rsidP="00CA46E1">
      <w:pPr>
        <w:pStyle w:val="SingleTxtG"/>
        <w:pBdr>
          <w:top w:val="single" w:sz="4" w:space="1" w:color="auto"/>
          <w:left w:val="single" w:sz="4" w:space="4" w:color="auto"/>
          <w:bottom w:val="single" w:sz="4" w:space="1" w:color="auto"/>
          <w:right w:val="single" w:sz="4" w:space="4" w:color="auto"/>
        </w:pBdr>
        <w:ind w:left="1701"/>
        <w:rPr>
          <w:b/>
          <w:lang w:val="en-US"/>
        </w:rPr>
      </w:pPr>
      <w:r w:rsidRPr="00CA46E1">
        <w:rPr>
          <w:b/>
          <w:lang w:val="en-US"/>
        </w:rPr>
        <w:t>Chapter 4.1, packing instruction 200, Table 2, UN No. 1058, column for Special packing provisions</w:t>
      </w:r>
    </w:p>
    <w:p w:rsidR="00CA46E1" w:rsidRPr="00CA46E1" w:rsidRDefault="00CA46E1" w:rsidP="00CA46E1">
      <w:pPr>
        <w:pStyle w:val="SingleTxtG"/>
        <w:pBdr>
          <w:top w:val="single" w:sz="4" w:space="1" w:color="auto"/>
          <w:left w:val="single" w:sz="4" w:space="4" w:color="auto"/>
          <w:bottom w:val="single" w:sz="4" w:space="1" w:color="auto"/>
          <w:right w:val="single" w:sz="4" w:space="4" w:color="auto"/>
        </w:pBdr>
        <w:ind w:left="1701"/>
        <w:rPr>
          <w:lang w:val="fr-FR"/>
        </w:rPr>
      </w:pPr>
      <w:r w:rsidRPr="00CA46E1">
        <w:rPr>
          <w:i/>
          <w:lang w:val="fr-FR"/>
        </w:rPr>
        <w:t>Insert</w:t>
      </w:r>
      <w:r w:rsidRPr="00CA46E1">
        <w:rPr>
          <w:lang w:val="fr-FR"/>
        </w:rPr>
        <w:t xml:space="preserve"> z</w:t>
      </w:r>
    </w:p>
    <w:p w:rsidR="00CA46E1" w:rsidRPr="00CA46E1" w:rsidRDefault="00CA46E1" w:rsidP="00CA46E1">
      <w:pPr>
        <w:pStyle w:val="SingleTxtG"/>
        <w:pBdr>
          <w:top w:val="single" w:sz="4" w:space="1" w:color="auto"/>
          <w:left w:val="single" w:sz="4" w:space="4" w:color="auto"/>
          <w:bottom w:val="single" w:sz="4" w:space="1" w:color="auto"/>
          <w:right w:val="single" w:sz="4" w:space="4" w:color="auto"/>
        </w:pBdr>
        <w:ind w:left="1701"/>
        <w:rPr>
          <w:b/>
          <w:lang w:val="fr-FR"/>
        </w:rPr>
      </w:pPr>
      <w:r w:rsidRPr="00CA46E1">
        <w:rPr>
          <w:b/>
          <w:lang w:val="fr-FR"/>
        </w:rPr>
        <w:t>Chapitre 4.1, 4.1.4.1, instruction d’emballage P200, tableau 2, colonne «Dispositions spéciales d’emballage», pour le No ONU 1058</w:t>
      </w:r>
    </w:p>
    <w:p w:rsidR="00CA46E1" w:rsidRPr="00600BA9" w:rsidRDefault="00CA46E1" w:rsidP="00CA46E1">
      <w:pPr>
        <w:pStyle w:val="SingleTxtG"/>
        <w:pBdr>
          <w:top w:val="single" w:sz="4" w:space="1" w:color="auto"/>
          <w:left w:val="single" w:sz="4" w:space="4" w:color="auto"/>
          <w:bottom w:val="single" w:sz="4" w:space="1" w:color="auto"/>
          <w:right w:val="single" w:sz="4" w:space="4" w:color="auto"/>
        </w:pBdr>
        <w:ind w:left="1701"/>
        <w:rPr>
          <w:lang w:val="en-US"/>
        </w:rPr>
      </w:pPr>
      <w:proofErr w:type="spellStart"/>
      <w:r w:rsidRPr="00600BA9">
        <w:rPr>
          <w:i/>
          <w:lang w:val="en-US"/>
        </w:rPr>
        <w:t>Ajouter</w:t>
      </w:r>
      <w:proofErr w:type="spellEnd"/>
      <w:r w:rsidRPr="00600BA9">
        <w:rPr>
          <w:lang w:val="en-US"/>
        </w:rPr>
        <w:t xml:space="preserve"> z</w:t>
      </w:r>
    </w:p>
    <w:p w:rsidR="008A26E5" w:rsidRPr="008A26E5" w:rsidRDefault="008A26E5" w:rsidP="008A26E5">
      <w:pPr>
        <w:pStyle w:val="SingleTxtG"/>
        <w:pBdr>
          <w:top w:val="single" w:sz="4" w:space="1" w:color="auto"/>
          <w:left w:val="single" w:sz="4" w:space="4" w:color="auto"/>
          <w:bottom w:val="single" w:sz="4" w:space="1" w:color="auto"/>
          <w:right w:val="single" w:sz="4" w:space="4" w:color="auto"/>
        </w:pBdr>
        <w:ind w:left="1701"/>
        <w:rPr>
          <w:b/>
          <w:i/>
          <w:lang w:val="en-US"/>
        </w:rPr>
      </w:pPr>
      <w:r w:rsidRPr="008A26E5">
        <w:rPr>
          <w:b/>
          <w:i/>
          <w:lang w:val="en-US"/>
        </w:rPr>
        <w:t>Note by the secretariat: This correction is already included in the list of amendments for ADR (ECE/TRANS/WP.15/231).</w:t>
      </w:r>
    </w:p>
    <w:p w:rsidR="00B31D16" w:rsidRPr="00B31D16" w:rsidRDefault="00B31D16" w:rsidP="00B31D16">
      <w:pPr>
        <w:pStyle w:val="H1G"/>
        <w:rPr>
          <w:lang w:val="en-US"/>
        </w:rPr>
      </w:pPr>
      <w:r w:rsidRPr="00B31D16">
        <w:rPr>
          <w:lang w:val="en-US"/>
        </w:rPr>
        <w:tab/>
        <w:t>D.</w:t>
      </w:r>
      <w:r w:rsidRPr="00B31D16">
        <w:rPr>
          <w:lang w:val="en-US"/>
        </w:rPr>
        <w:tab/>
        <w:t>Issues related to the work of the UNECE Working Party on the Transport of Dangerous Goods (WP.15)</w:t>
      </w:r>
    </w:p>
    <w:p w:rsidR="00B31D16" w:rsidRPr="00B31D16" w:rsidRDefault="00B31D16" w:rsidP="00B31D16">
      <w:pPr>
        <w:pStyle w:val="SingleTxtG"/>
        <w:rPr>
          <w:lang w:val="en-US"/>
        </w:rPr>
      </w:pPr>
      <w:r w:rsidRPr="00B31D16">
        <w:rPr>
          <w:i/>
          <w:lang w:val="en-US"/>
        </w:rPr>
        <w:t>Informal document</w:t>
      </w:r>
      <w:r w:rsidRPr="00B31D16">
        <w:rPr>
          <w:lang w:val="en-US"/>
        </w:rPr>
        <w:t>:</w:t>
      </w:r>
      <w:r w:rsidRPr="00B31D16">
        <w:rPr>
          <w:lang w:val="en-US"/>
        </w:rPr>
        <w:tab/>
        <w:t>INF.52 (Secretariat)</w:t>
      </w:r>
    </w:p>
    <w:p w:rsidR="00B31D16" w:rsidRPr="00B31D16" w:rsidRDefault="00B31D16" w:rsidP="00B31D16">
      <w:pPr>
        <w:pStyle w:val="SingleTxtG"/>
        <w:rPr>
          <w:lang w:val="en-US"/>
        </w:rPr>
      </w:pPr>
      <w:r w:rsidRPr="00B31D16">
        <w:rPr>
          <w:lang w:val="en-US"/>
        </w:rPr>
        <w:t>114.</w:t>
      </w:r>
      <w:r w:rsidRPr="00B31D16">
        <w:rPr>
          <w:lang w:val="en-US"/>
        </w:rPr>
        <w:tab/>
        <w:t>The Sub-Committee noted the problem of terminology concerning Packing Instruction P200 (3)(e). On a proposal by the representative of ISO, the Sub-Committee agreed that the text of P 200 (3)(e) should be corrected (see annex III). The text of P206 might also need to be looked at.</w:t>
      </w:r>
    </w:p>
    <w:p w:rsidR="000521E8" w:rsidRPr="00B31D16" w:rsidRDefault="00B31D16" w:rsidP="008A26E5">
      <w:pPr>
        <w:pStyle w:val="SingleTxtG"/>
        <w:pBdr>
          <w:top w:val="single" w:sz="4" w:space="1" w:color="auto"/>
          <w:left w:val="single" w:sz="4" w:space="4" w:color="auto"/>
          <w:bottom w:val="single" w:sz="4" w:space="1" w:color="auto"/>
          <w:right w:val="single" w:sz="4" w:space="4" w:color="auto"/>
        </w:pBdr>
        <w:ind w:left="1701"/>
        <w:rPr>
          <w:b/>
          <w:i/>
          <w:lang w:val="en-US"/>
        </w:rPr>
      </w:pPr>
      <w:r w:rsidRPr="00B31D16">
        <w:rPr>
          <w:b/>
          <w:i/>
          <w:lang w:val="en-US"/>
        </w:rPr>
        <w:t>Note by the secretariat: See proposals in ECE/TRANS/WP.15/AC.1/2016/4 (ISO)</w:t>
      </w:r>
    </w:p>
    <w:p w:rsidR="005A4244" w:rsidRPr="00C27D31" w:rsidRDefault="005A4244" w:rsidP="00A11B97">
      <w:pPr>
        <w:pStyle w:val="SingleTxtG"/>
        <w:spacing w:before="240" w:after="0"/>
        <w:jc w:val="center"/>
        <w:rPr>
          <w:lang w:val="en-GB"/>
        </w:rPr>
      </w:pPr>
      <w:r w:rsidRPr="00045222">
        <w:rPr>
          <w:u w:val="single"/>
          <w:lang w:val="en-US"/>
        </w:rPr>
        <w:tab/>
      </w:r>
      <w:r w:rsidRPr="00045222">
        <w:rPr>
          <w:u w:val="single"/>
          <w:lang w:val="en-US"/>
        </w:rPr>
        <w:tab/>
      </w:r>
      <w:r w:rsidRPr="00045222">
        <w:rPr>
          <w:u w:val="single"/>
          <w:lang w:val="en-US"/>
        </w:rPr>
        <w:tab/>
      </w:r>
      <w:r w:rsidR="00A11B97">
        <w:rPr>
          <w:u w:val="single"/>
          <w:lang w:val="en-US"/>
        </w:rPr>
        <w:tab/>
      </w:r>
    </w:p>
    <w:sectPr w:rsidR="005A4244" w:rsidRPr="00C27D31" w:rsidSect="007A634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798" w:rsidRDefault="00846798"/>
  </w:endnote>
  <w:endnote w:type="continuationSeparator" w:id="0">
    <w:p w:rsidR="00846798" w:rsidRDefault="00846798"/>
  </w:endnote>
  <w:endnote w:type="continuationNotice" w:id="1">
    <w:p w:rsidR="00846798" w:rsidRDefault="00846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BE" w:rsidRDefault="007F70BE">
    <w:pPr>
      <w:pStyle w:val="Footer"/>
    </w:pPr>
    <w:r>
      <w:rPr>
        <w:rStyle w:val="PageNumber"/>
      </w:rPr>
      <w:fldChar w:fldCharType="begin"/>
    </w:r>
    <w:r>
      <w:rPr>
        <w:rStyle w:val="PageNumber"/>
      </w:rPr>
      <w:instrText xml:space="preserve"> PAGE </w:instrText>
    </w:r>
    <w:r>
      <w:rPr>
        <w:rStyle w:val="PageNumber"/>
      </w:rPr>
      <w:fldChar w:fldCharType="separate"/>
    </w:r>
    <w:r w:rsidR="00C27D31">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BE" w:rsidRPr="008D464D" w:rsidRDefault="007F70BE" w:rsidP="008D464D">
    <w:pPr>
      <w:pStyle w:val="Footer"/>
      <w:jc w:val="right"/>
    </w:pPr>
    <w:r>
      <w:rPr>
        <w:rStyle w:val="PageNumber"/>
      </w:rPr>
      <w:fldChar w:fldCharType="begin"/>
    </w:r>
    <w:r>
      <w:rPr>
        <w:rStyle w:val="PageNumber"/>
      </w:rPr>
      <w:instrText xml:space="preserve"> PAGE </w:instrText>
    </w:r>
    <w:r>
      <w:rPr>
        <w:rStyle w:val="PageNumber"/>
      </w:rPr>
      <w:fldChar w:fldCharType="separate"/>
    </w:r>
    <w:r w:rsidR="00C27D31">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BE" w:rsidRDefault="007F70BE" w:rsidP="0014649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798" w:rsidRPr="000B175B" w:rsidRDefault="00846798" w:rsidP="000B175B">
      <w:pPr>
        <w:tabs>
          <w:tab w:val="right" w:pos="2155"/>
        </w:tabs>
        <w:spacing w:after="80"/>
        <w:ind w:left="680"/>
        <w:rPr>
          <w:u w:val="single"/>
        </w:rPr>
      </w:pPr>
      <w:r>
        <w:rPr>
          <w:u w:val="single"/>
        </w:rPr>
        <w:tab/>
      </w:r>
    </w:p>
  </w:footnote>
  <w:footnote w:type="continuationSeparator" w:id="0">
    <w:p w:rsidR="00846798" w:rsidRPr="00FC68B7" w:rsidRDefault="00846798" w:rsidP="00FC68B7">
      <w:pPr>
        <w:tabs>
          <w:tab w:val="left" w:pos="2155"/>
        </w:tabs>
        <w:spacing w:after="80"/>
        <w:ind w:left="680"/>
        <w:rPr>
          <w:u w:val="single"/>
        </w:rPr>
      </w:pPr>
      <w:r>
        <w:rPr>
          <w:u w:val="single"/>
        </w:rPr>
        <w:tab/>
      </w:r>
    </w:p>
  </w:footnote>
  <w:footnote w:type="continuationNotice" w:id="1">
    <w:p w:rsidR="00846798" w:rsidRDefault="00846798"/>
  </w:footnote>
  <w:footnote w:id="2">
    <w:p w:rsidR="00A11B97" w:rsidRPr="00A11B97" w:rsidRDefault="00A11B97" w:rsidP="00A11B97">
      <w:pPr>
        <w:pStyle w:val="FootnoteText"/>
        <w:rPr>
          <w:lang w:val="en-US"/>
        </w:rPr>
      </w:pPr>
      <w:r>
        <w:rPr>
          <w:lang w:val="en-US"/>
        </w:rPr>
        <w:tab/>
      </w:r>
      <w:r w:rsidRPr="00A11B97">
        <w:rPr>
          <w:rStyle w:val="FootnoteReference"/>
          <w:lang w:val="en-US"/>
        </w:rPr>
        <w:t>*</w:t>
      </w:r>
      <w:r w:rsidRPr="00A11B97">
        <w:rPr>
          <w:lang w:val="en-US"/>
        </w:rPr>
        <w:t xml:space="preserve"> </w:t>
      </w:r>
      <w:r>
        <w:rPr>
          <w:lang w:val="en-US"/>
        </w:rPr>
        <w:t>“</w:t>
      </w:r>
      <w:r w:rsidRPr="00A11B97">
        <w:rPr>
          <w:lang w:val="en-US"/>
        </w:rPr>
        <w:t>12.</w:t>
      </w:r>
      <w:r w:rsidRPr="00A11B97">
        <w:rPr>
          <w:lang w:val="en-US"/>
        </w:rPr>
        <w:tab/>
        <w:t>Informal document INF.27 submitted by RECHARGE identified an error in the French version of special provision 310 of the UN Model Regulations that should be corrected by the secretariat.</w:t>
      </w:r>
    </w:p>
    <w:p w:rsidR="00A11B97" w:rsidRPr="00C27D31" w:rsidRDefault="00A11B97" w:rsidP="00A11B97">
      <w:pPr>
        <w:pStyle w:val="SingleTxtG"/>
        <w:rPr>
          <w:i/>
          <w:sz w:val="18"/>
        </w:rPr>
      </w:pPr>
      <w:r w:rsidRPr="00C27D31">
        <w:rPr>
          <w:i/>
          <w:sz w:val="18"/>
        </w:rPr>
        <w:t>«DS 310</w:t>
      </w:r>
      <w:r w:rsidRPr="00C27D31">
        <w:rPr>
          <w:i/>
          <w:sz w:val="18"/>
        </w:rPr>
        <w:tab/>
        <w:t>Dans le dernier paragraphe, remplacer «doivent être emballées» par «peuvent être emballées».</w:t>
      </w:r>
    </w:p>
    <w:p w:rsidR="00A11B97" w:rsidRPr="00A11B97" w:rsidRDefault="00A11B97" w:rsidP="00A11B97">
      <w:pPr>
        <w:pStyle w:val="FootnoteText"/>
        <w:rPr>
          <w:lang w:val="en-US"/>
        </w:rPr>
      </w:pPr>
      <w:r w:rsidRPr="00C27D31">
        <w:tab/>
      </w:r>
      <w:r w:rsidRPr="00A11B97">
        <w:rPr>
          <w:lang w:val="en-US"/>
        </w:rPr>
        <w:t>14.</w:t>
      </w:r>
      <w:r w:rsidRPr="00A11B97">
        <w:rPr>
          <w:lang w:val="en-US"/>
        </w:rPr>
        <w:tab/>
        <w:t xml:space="preserve">It was noted that the current 4.1.1.19.1 of RID and ADR permitted the use of IBCs as salvage </w:t>
      </w:r>
      <w:proofErr w:type="spellStart"/>
      <w:r w:rsidRPr="00A11B97">
        <w:rPr>
          <w:lang w:val="en-US"/>
        </w:rPr>
        <w:t>packagings</w:t>
      </w:r>
      <w:proofErr w:type="spellEnd"/>
      <w:r w:rsidRPr="00A11B97">
        <w:rPr>
          <w:lang w:val="en-US"/>
        </w:rPr>
        <w:t>. Alignment with the UN Model Regulations would no longer permit that and it was suggested that the relevant industry should be consulted before taking a decision on the proposed alignment, as the United Nations Sub-Committee of Experts might not have taken into account the needs of the waste management industry.</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BE" w:rsidRPr="00D60FE0" w:rsidRDefault="00361996">
    <w:pPr>
      <w:pStyle w:val="Header"/>
      <w:rPr>
        <w:sz w:val="24"/>
        <w:szCs w:val="24"/>
      </w:rPr>
    </w:pPr>
    <w:r>
      <w:rPr>
        <w:sz w:val="24"/>
        <w:szCs w:val="24"/>
      </w:rPr>
      <w:t>INF.</w:t>
    </w:r>
    <w:r w:rsidR="00C27D31">
      <w:rPr>
        <w:sz w:val="24"/>
        <w:szCs w:val="24"/>
      </w:rPr>
      <w:t>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BE" w:rsidRPr="00517E8D" w:rsidRDefault="007F70BE" w:rsidP="0067520F">
    <w:pPr>
      <w:pStyle w:val="Header"/>
      <w:jc w:val="right"/>
    </w:pPr>
    <w:r w:rsidRPr="00D60FE0">
      <w:rPr>
        <w:rStyle w:val="PageNumber"/>
        <w:b/>
        <w:sz w:val="24"/>
        <w:szCs w:val="24"/>
      </w:rPr>
      <w:t>I</w:t>
    </w:r>
    <w:r w:rsidRPr="00D60FE0">
      <w:rPr>
        <w:sz w:val="24"/>
        <w:szCs w:val="24"/>
      </w:rPr>
      <w:t>NF.</w:t>
    </w:r>
    <w:r w:rsidR="00C27D31">
      <w:rPr>
        <w:sz w:val="24"/>
        <w:szCs w:val="24"/>
      </w:rPr>
      <w:t>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BE" w:rsidRPr="00146493" w:rsidRDefault="007F70BE" w:rsidP="00146493">
    <w:pPr>
      <w:pStyle w:val="Header"/>
      <w:jc w:val="right"/>
      <w:rPr>
        <w:sz w:val="24"/>
        <w:szCs w:val="24"/>
      </w:rPr>
    </w:pPr>
    <w:r>
      <w:rPr>
        <w:sz w:val="24"/>
        <w:szCs w:val="24"/>
      </w:rPr>
      <w:t>INF.</w:t>
    </w:r>
    <w:r w:rsidR="00C27D31">
      <w:rPr>
        <w:sz w:val="24"/>
        <w:szCs w:val="24"/>
      </w:rPr>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CF7327"/>
    <w:multiLevelType w:val="hybridMultilevel"/>
    <w:tmpl w:val="8CDC3C54"/>
    <w:lvl w:ilvl="0" w:tplc="013CBE6C">
      <w:start w:val="20"/>
      <w:numFmt w:val="bullet"/>
      <w:lvlText w:val="-"/>
      <w:lvlJc w:val="left"/>
      <w:pPr>
        <w:tabs>
          <w:tab w:val="num" w:pos="434"/>
        </w:tabs>
        <w:ind w:left="434" w:hanging="360"/>
      </w:pPr>
      <w:rPr>
        <w:rFonts w:ascii="Times New Roman" w:eastAsia="Times New Roman" w:hAnsi="Times New Roman" w:hint="default"/>
      </w:rPr>
    </w:lvl>
    <w:lvl w:ilvl="1" w:tplc="04130003">
      <w:start w:val="1"/>
      <w:numFmt w:val="bullet"/>
      <w:lvlText w:val="o"/>
      <w:lvlJc w:val="left"/>
      <w:pPr>
        <w:tabs>
          <w:tab w:val="num" w:pos="1154"/>
        </w:tabs>
        <w:ind w:left="1154" w:hanging="360"/>
      </w:pPr>
      <w:rPr>
        <w:rFonts w:ascii="Courier New" w:hAnsi="Courier New" w:hint="default"/>
      </w:rPr>
    </w:lvl>
    <w:lvl w:ilvl="2" w:tplc="04130005">
      <w:start w:val="1"/>
      <w:numFmt w:val="bullet"/>
      <w:lvlText w:val=""/>
      <w:lvlJc w:val="left"/>
      <w:pPr>
        <w:tabs>
          <w:tab w:val="num" w:pos="1874"/>
        </w:tabs>
        <w:ind w:left="1874" w:hanging="360"/>
      </w:pPr>
      <w:rPr>
        <w:rFonts w:ascii="Wingdings" w:hAnsi="Wingdings" w:hint="default"/>
      </w:rPr>
    </w:lvl>
    <w:lvl w:ilvl="3" w:tplc="04130001">
      <w:start w:val="1"/>
      <w:numFmt w:val="bullet"/>
      <w:lvlText w:val=""/>
      <w:lvlJc w:val="left"/>
      <w:pPr>
        <w:tabs>
          <w:tab w:val="num" w:pos="2594"/>
        </w:tabs>
        <w:ind w:left="2594" w:hanging="360"/>
      </w:pPr>
      <w:rPr>
        <w:rFonts w:ascii="Symbol" w:hAnsi="Symbol" w:hint="default"/>
      </w:rPr>
    </w:lvl>
    <w:lvl w:ilvl="4" w:tplc="04130003">
      <w:start w:val="1"/>
      <w:numFmt w:val="bullet"/>
      <w:lvlText w:val="o"/>
      <w:lvlJc w:val="left"/>
      <w:pPr>
        <w:tabs>
          <w:tab w:val="num" w:pos="3314"/>
        </w:tabs>
        <w:ind w:left="3314" w:hanging="360"/>
      </w:pPr>
      <w:rPr>
        <w:rFonts w:ascii="Courier New" w:hAnsi="Courier New" w:hint="default"/>
      </w:rPr>
    </w:lvl>
    <w:lvl w:ilvl="5" w:tplc="04130005">
      <w:start w:val="1"/>
      <w:numFmt w:val="bullet"/>
      <w:lvlText w:val=""/>
      <w:lvlJc w:val="left"/>
      <w:pPr>
        <w:tabs>
          <w:tab w:val="num" w:pos="4034"/>
        </w:tabs>
        <w:ind w:left="4034" w:hanging="360"/>
      </w:pPr>
      <w:rPr>
        <w:rFonts w:ascii="Wingdings" w:hAnsi="Wingdings" w:hint="default"/>
      </w:rPr>
    </w:lvl>
    <w:lvl w:ilvl="6" w:tplc="04130001">
      <w:start w:val="1"/>
      <w:numFmt w:val="bullet"/>
      <w:lvlText w:val=""/>
      <w:lvlJc w:val="left"/>
      <w:pPr>
        <w:tabs>
          <w:tab w:val="num" w:pos="4754"/>
        </w:tabs>
        <w:ind w:left="4754" w:hanging="360"/>
      </w:pPr>
      <w:rPr>
        <w:rFonts w:ascii="Symbol" w:hAnsi="Symbol" w:hint="default"/>
      </w:rPr>
    </w:lvl>
    <w:lvl w:ilvl="7" w:tplc="04130003">
      <w:start w:val="1"/>
      <w:numFmt w:val="bullet"/>
      <w:lvlText w:val="o"/>
      <w:lvlJc w:val="left"/>
      <w:pPr>
        <w:tabs>
          <w:tab w:val="num" w:pos="5474"/>
        </w:tabs>
        <w:ind w:left="5474" w:hanging="360"/>
      </w:pPr>
      <w:rPr>
        <w:rFonts w:ascii="Courier New" w:hAnsi="Courier New" w:hint="default"/>
      </w:rPr>
    </w:lvl>
    <w:lvl w:ilvl="8" w:tplc="04130005">
      <w:start w:val="1"/>
      <w:numFmt w:val="bullet"/>
      <w:lvlText w:val=""/>
      <w:lvlJc w:val="left"/>
      <w:pPr>
        <w:tabs>
          <w:tab w:val="num" w:pos="6194"/>
        </w:tabs>
        <w:ind w:left="6194" w:hanging="360"/>
      </w:pPr>
      <w:rPr>
        <w:rFonts w:ascii="Wingdings" w:hAnsi="Wingdings" w:hint="default"/>
      </w:rPr>
    </w:lvl>
  </w:abstractNum>
  <w:abstractNum w:abstractNumId="12">
    <w:nsid w:val="039F083E"/>
    <w:multiLevelType w:val="hybridMultilevel"/>
    <w:tmpl w:val="E9C8554A"/>
    <w:lvl w:ilvl="0" w:tplc="A7B419E0">
      <w:start w:val="1"/>
      <w:numFmt w:val="lowerLetter"/>
      <w:lvlText w:val="(%1)"/>
      <w:lvlJc w:val="left"/>
      <w:pPr>
        <w:tabs>
          <w:tab w:val="num" w:pos="1069"/>
        </w:tabs>
        <w:ind w:left="1069" w:hanging="360"/>
      </w:pPr>
      <w:rPr>
        <w:rFonts w:ascii="Times New Roman" w:hAnsi="Times New Roman" w:cs="Times New Roman" w:hint="default"/>
      </w:rPr>
    </w:lvl>
    <w:lvl w:ilvl="1" w:tplc="04090019">
      <w:start w:val="1"/>
      <w:numFmt w:val="lowerLetter"/>
      <w:lvlText w:val="%2."/>
      <w:lvlJc w:val="left"/>
      <w:pPr>
        <w:tabs>
          <w:tab w:val="num" w:pos="1789"/>
        </w:tabs>
        <w:ind w:left="1789" w:hanging="360"/>
      </w:pPr>
      <w:rPr>
        <w:rFonts w:ascii="Times New Roman" w:hAnsi="Times New Roman" w:cs="Times New Roman"/>
      </w:rPr>
    </w:lvl>
    <w:lvl w:ilvl="2" w:tplc="0409001B">
      <w:start w:val="1"/>
      <w:numFmt w:val="lowerRoman"/>
      <w:lvlText w:val="%3."/>
      <w:lvlJc w:val="right"/>
      <w:pPr>
        <w:tabs>
          <w:tab w:val="num" w:pos="2509"/>
        </w:tabs>
        <w:ind w:left="2509" w:hanging="180"/>
      </w:pPr>
      <w:rPr>
        <w:rFonts w:ascii="Times New Roman" w:hAnsi="Times New Roman" w:cs="Times New Roman"/>
      </w:rPr>
    </w:lvl>
    <w:lvl w:ilvl="3" w:tplc="0409000F">
      <w:start w:val="1"/>
      <w:numFmt w:val="decimal"/>
      <w:lvlText w:val="%4."/>
      <w:lvlJc w:val="left"/>
      <w:pPr>
        <w:tabs>
          <w:tab w:val="num" w:pos="3229"/>
        </w:tabs>
        <w:ind w:left="3229" w:hanging="360"/>
      </w:pPr>
      <w:rPr>
        <w:rFonts w:ascii="Times New Roman" w:hAnsi="Times New Roman" w:cs="Times New Roman"/>
      </w:rPr>
    </w:lvl>
    <w:lvl w:ilvl="4" w:tplc="04090019">
      <w:start w:val="1"/>
      <w:numFmt w:val="lowerLetter"/>
      <w:lvlText w:val="%5."/>
      <w:lvlJc w:val="left"/>
      <w:pPr>
        <w:tabs>
          <w:tab w:val="num" w:pos="3949"/>
        </w:tabs>
        <w:ind w:left="3949" w:hanging="360"/>
      </w:pPr>
      <w:rPr>
        <w:rFonts w:ascii="Times New Roman" w:hAnsi="Times New Roman" w:cs="Times New Roman"/>
      </w:rPr>
    </w:lvl>
    <w:lvl w:ilvl="5" w:tplc="0409001B">
      <w:start w:val="1"/>
      <w:numFmt w:val="lowerRoman"/>
      <w:lvlText w:val="%6."/>
      <w:lvlJc w:val="right"/>
      <w:pPr>
        <w:tabs>
          <w:tab w:val="num" w:pos="4669"/>
        </w:tabs>
        <w:ind w:left="4669" w:hanging="180"/>
      </w:pPr>
      <w:rPr>
        <w:rFonts w:ascii="Times New Roman" w:hAnsi="Times New Roman" w:cs="Times New Roman"/>
      </w:rPr>
    </w:lvl>
    <w:lvl w:ilvl="6" w:tplc="0409000F">
      <w:start w:val="1"/>
      <w:numFmt w:val="decimal"/>
      <w:lvlText w:val="%7."/>
      <w:lvlJc w:val="left"/>
      <w:pPr>
        <w:tabs>
          <w:tab w:val="num" w:pos="5389"/>
        </w:tabs>
        <w:ind w:left="5389" w:hanging="360"/>
      </w:pPr>
      <w:rPr>
        <w:rFonts w:ascii="Times New Roman" w:hAnsi="Times New Roman" w:cs="Times New Roman"/>
      </w:rPr>
    </w:lvl>
    <w:lvl w:ilvl="7" w:tplc="04090019">
      <w:start w:val="1"/>
      <w:numFmt w:val="lowerLetter"/>
      <w:lvlText w:val="%8."/>
      <w:lvlJc w:val="left"/>
      <w:pPr>
        <w:tabs>
          <w:tab w:val="num" w:pos="6109"/>
        </w:tabs>
        <w:ind w:left="6109" w:hanging="360"/>
      </w:pPr>
      <w:rPr>
        <w:rFonts w:ascii="Times New Roman" w:hAnsi="Times New Roman" w:cs="Times New Roman"/>
      </w:rPr>
    </w:lvl>
    <w:lvl w:ilvl="8" w:tplc="0409001B">
      <w:start w:val="1"/>
      <w:numFmt w:val="lowerRoman"/>
      <w:lvlText w:val="%9."/>
      <w:lvlJc w:val="right"/>
      <w:pPr>
        <w:tabs>
          <w:tab w:val="num" w:pos="6829"/>
        </w:tabs>
        <w:ind w:left="6829" w:hanging="180"/>
      </w:pPr>
      <w:rPr>
        <w:rFonts w:ascii="Times New Roman" w:hAnsi="Times New Roman" w:cs="Times New Roman"/>
      </w:rPr>
    </w:lvl>
  </w:abstractNum>
  <w:abstractNum w:abstractNumId="13">
    <w:nsid w:val="09A36860"/>
    <w:multiLevelType w:val="hybridMultilevel"/>
    <w:tmpl w:val="AAAE51C2"/>
    <w:lvl w:ilvl="0" w:tplc="6C5C73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AAF036E"/>
    <w:multiLevelType w:val="hybridMultilevel"/>
    <w:tmpl w:val="956A76E6"/>
    <w:lvl w:ilvl="0" w:tplc="B55C0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B13FE8"/>
    <w:multiLevelType w:val="hybridMultilevel"/>
    <w:tmpl w:val="F0EAC40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3B33EF4"/>
    <w:multiLevelType w:val="hybridMultilevel"/>
    <w:tmpl w:val="96CCBDAA"/>
    <w:lvl w:ilvl="0" w:tplc="D06676B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9329A2"/>
    <w:multiLevelType w:val="hybridMultilevel"/>
    <w:tmpl w:val="13087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2C84412"/>
    <w:multiLevelType w:val="hybridMultilevel"/>
    <w:tmpl w:val="714271FC"/>
    <w:lvl w:ilvl="0" w:tplc="04BCF7E4">
      <w:start w:val="4"/>
      <w:numFmt w:val="decimal"/>
      <w:lvlText w:val="%1."/>
      <w:lvlJc w:val="left"/>
      <w:pPr>
        <w:tabs>
          <w:tab w:val="num" w:pos="719"/>
        </w:tabs>
        <w:ind w:left="719" w:hanging="645"/>
      </w:pPr>
      <w:rPr>
        <w:rFonts w:cs="Times New Roman" w:hint="default"/>
      </w:rPr>
    </w:lvl>
    <w:lvl w:ilvl="1" w:tplc="04130019" w:tentative="1">
      <w:start w:val="1"/>
      <w:numFmt w:val="lowerLetter"/>
      <w:lvlText w:val="%2."/>
      <w:lvlJc w:val="left"/>
      <w:pPr>
        <w:tabs>
          <w:tab w:val="num" w:pos="1154"/>
        </w:tabs>
        <w:ind w:left="1154" w:hanging="360"/>
      </w:pPr>
      <w:rPr>
        <w:rFonts w:cs="Times New Roman"/>
      </w:rPr>
    </w:lvl>
    <w:lvl w:ilvl="2" w:tplc="0413001B" w:tentative="1">
      <w:start w:val="1"/>
      <w:numFmt w:val="lowerRoman"/>
      <w:lvlText w:val="%3."/>
      <w:lvlJc w:val="right"/>
      <w:pPr>
        <w:tabs>
          <w:tab w:val="num" w:pos="1874"/>
        </w:tabs>
        <w:ind w:left="1874" w:hanging="180"/>
      </w:pPr>
      <w:rPr>
        <w:rFonts w:cs="Times New Roman"/>
      </w:rPr>
    </w:lvl>
    <w:lvl w:ilvl="3" w:tplc="0413000F" w:tentative="1">
      <w:start w:val="1"/>
      <w:numFmt w:val="decimal"/>
      <w:lvlText w:val="%4."/>
      <w:lvlJc w:val="left"/>
      <w:pPr>
        <w:tabs>
          <w:tab w:val="num" w:pos="2594"/>
        </w:tabs>
        <w:ind w:left="2594" w:hanging="360"/>
      </w:pPr>
      <w:rPr>
        <w:rFonts w:cs="Times New Roman"/>
      </w:rPr>
    </w:lvl>
    <w:lvl w:ilvl="4" w:tplc="04130019" w:tentative="1">
      <w:start w:val="1"/>
      <w:numFmt w:val="lowerLetter"/>
      <w:lvlText w:val="%5."/>
      <w:lvlJc w:val="left"/>
      <w:pPr>
        <w:tabs>
          <w:tab w:val="num" w:pos="3314"/>
        </w:tabs>
        <w:ind w:left="3314" w:hanging="360"/>
      </w:pPr>
      <w:rPr>
        <w:rFonts w:cs="Times New Roman"/>
      </w:rPr>
    </w:lvl>
    <w:lvl w:ilvl="5" w:tplc="0413001B" w:tentative="1">
      <w:start w:val="1"/>
      <w:numFmt w:val="lowerRoman"/>
      <w:lvlText w:val="%6."/>
      <w:lvlJc w:val="right"/>
      <w:pPr>
        <w:tabs>
          <w:tab w:val="num" w:pos="4034"/>
        </w:tabs>
        <w:ind w:left="4034" w:hanging="180"/>
      </w:pPr>
      <w:rPr>
        <w:rFonts w:cs="Times New Roman"/>
      </w:rPr>
    </w:lvl>
    <w:lvl w:ilvl="6" w:tplc="0413000F" w:tentative="1">
      <w:start w:val="1"/>
      <w:numFmt w:val="decimal"/>
      <w:lvlText w:val="%7."/>
      <w:lvlJc w:val="left"/>
      <w:pPr>
        <w:tabs>
          <w:tab w:val="num" w:pos="4754"/>
        </w:tabs>
        <w:ind w:left="4754" w:hanging="360"/>
      </w:pPr>
      <w:rPr>
        <w:rFonts w:cs="Times New Roman"/>
      </w:rPr>
    </w:lvl>
    <w:lvl w:ilvl="7" w:tplc="04130019" w:tentative="1">
      <w:start w:val="1"/>
      <w:numFmt w:val="lowerLetter"/>
      <w:lvlText w:val="%8."/>
      <w:lvlJc w:val="left"/>
      <w:pPr>
        <w:tabs>
          <w:tab w:val="num" w:pos="5474"/>
        </w:tabs>
        <w:ind w:left="5474" w:hanging="360"/>
      </w:pPr>
      <w:rPr>
        <w:rFonts w:cs="Times New Roman"/>
      </w:rPr>
    </w:lvl>
    <w:lvl w:ilvl="8" w:tplc="0413001B" w:tentative="1">
      <w:start w:val="1"/>
      <w:numFmt w:val="lowerRoman"/>
      <w:lvlText w:val="%9."/>
      <w:lvlJc w:val="right"/>
      <w:pPr>
        <w:tabs>
          <w:tab w:val="num" w:pos="6194"/>
        </w:tabs>
        <w:ind w:left="6194" w:hanging="180"/>
      </w:pPr>
      <w:rPr>
        <w:rFonts w:cs="Times New Roman"/>
      </w:r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68C4858"/>
    <w:multiLevelType w:val="hybridMultilevel"/>
    <w:tmpl w:val="9F72677E"/>
    <w:lvl w:ilvl="0" w:tplc="6CBC0694">
      <w:numFmt w:val="bullet"/>
      <w:lvlText w:val="-"/>
      <w:lvlJc w:val="left"/>
      <w:pPr>
        <w:ind w:left="1778" w:hanging="360"/>
      </w:pPr>
      <w:rPr>
        <w:rFonts w:ascii="Times New Roman" w:eastAsia="Times New Roman" w:hAnsi="Times New Roman" w:cs="Times New Roman"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26">
    <w:nsid w:val="75E223DA"/>
    <w:multiLevelType w:val="hybridMultilevel"/>
    <w:tmpl w:val="5B7ACB42"/>
    <w:lvl w:ilvl="0" w:tplc="5B4262CC">
      <w:start w:val="1"/>
      <w:numFmt w:val="bullet"/>
      <w:pStyle w:val="Bullet2G"/>
      <w:lvlText w:val="•"/>
      <w:lvlJc w:val="left"/>
      <w:pPr>
        <w:tabs>
          <w:tab w:val="num" w:pos="2268"/>
        </w:tabs>
        <w:ind w:left="2268" w:hanging="170"/>
      </w:pPr>
      <w:rPr>
        <w:rFonts w:ascii="Times New Roman" w:hAnsi="Times New Roman" w:cs="Times New Roman" w:hint="default"/>
      </w:rPr>
    </w:lvl>
    <w:lvl w:ilvl="1" w:tplc="04130019"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27">
    <w:nsid w:val="78221457"/>
    <w:multiLevelType w:val="hybridMultilevel"/>
    <w:tmpl w:val="87F08586"/>
    <w:lvl w:ilvl="0" w:tplc="8E527C16">
      <w:start w:val="1"/>
      <w:numFmt w:val="decimal"/>
      <w:lvlText w:val="%1."/>
      <w:lvlJc w:val="left"/>
      <w:pPr>
        <w:ind w:left="720" w:hanging="360"/>
      </w:pPr>
      <w:rPr>
        <w:color w:val="auto"/>
        <w:lang w:val="en-G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7"/>
  </w:num>
  <w:num w:numId="13">
    <w:abstractNumId w:val="10"/>
  </w:num>
  <w:num w:numId="14">
    <w:abstractNumId w:val="15"/>
  </w:num>
  <w:num w:numId="15">
    <w:abstractNumId w:val="22"/>
  </w:num>
  <w:num w:numId="16">
    <w:abstractNumId w:val="16"/>
  </w:num>
  <w:num w:numId="17">
    <w:abstractNumId w:val="24"/>
  </w:num>
  <w:num w:numId="18">
    <w:abstractNumId w:val="26"/>
  </w:num>
  <w:num w:numId="19">
    <w:abstractNumId w:val="12"/>
  </w:num>
  <w:num w:numId="20">
    <w:abstractNumId w:val="11"/>
  </w:num>
  <w:num w:numId="21">
    <w:abstractNumId w:val="23"/>
  </w:num>
  <w:num w:numId="22">
    <w:abstractNumId w:val="19"/>
  </w:num>
  <w:num w:numId="23">
    <w:abstractNumId w:val="13"/>
  </w:num>
  <w:num w:numId="24">
    <w:abstractNumId w:val="27"/>
  </w:num>
  <w:num w:numId="25">
    <w:abstractNumId w:val="25"/>
  </w:num>
  <w:num w:numId="26">
    <w:abstractNumId w:val="14"/>
  </w:num>
  <w:num w:numId="27">
    <w:abstractNumId w:val="18"/>
  </w:num>
  <w:num w:numId="2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8D"/>
    <w:rsid w:val="00001F6E"/>
    <w:rsid w:val="00002A7D"/>
    <w:rsid w:val="000038A8"/>
    <w:rsid w:val="00004CB4"/>
    <w:rsid w:val="000063B3"/>
    <w:rsid w:val="00006790"/>
    <w:rsid w:val="00022EA1"/>
    <w:rsid w:val="00022F7E"/>
    <w:rsid w:val="00027624"/>
    <w:rsid w:val="00036634"/>
    <w:rsid w:val="00045222"/>
    <w:rsid w:val="00050F6B"/>
    <w:rsid w:val="000521E8"/>
    <w:rsid w:val="00060675"/>
    <w:rsid w:val="000678CD"/>
    <w:rsid w:val="00072C8C"/>
    <w:rsid w:val="00075498"/>
    <w:rsid w:val="00081CE0"/>
    <w:rsid w:val="00081E5B"/>
    <w:rsid w:val="00084D30"/>
    <w:rsid w:val="00090320"/>
    <w:rsid w:val="00091148"/>
    <w:rsid w:val="000931C0"/>
    <w:rsid w:val="000965E7"/>
    <w:rsid w:val="000A1376"/>
    <w:rsid w:val="000A2E09"/>
    <w:rsid w:val="000B062A"/>
    <w:rsid w:val="000B175B"/>
    <w:rsid w:val="000B3A0F"/>
    <w:rsid w:val="000B41FA"/>
    <w:rsid w:val="000D685A"/>
    <w:rsid w:val="000E0415"/>
    <w:rsid w:val="000E6F00"/>
    <w:rsid w:val="000E7EB0"/>
    <w:rsid w:val="000F7715"/>
    <w:rsid w:val="00103410"/>
    <w:rsid w:val="00103E99"/>
    <w:rsid w:val="00106C80"/>
    <w:rsid w:val="001217F5"/>
    <w:rsid w:val="00146493"/>
    <w:rsid w:val="00156B99"/>
    <w:rsid w:val="00166124"/>
    <w:rsid w:val="00167F20"/>
    <w:rsid w:val="00171C1F"/>
    <w:rsid w:val="00173EE7"/>
    <w:rsid w:val="00175C62"/>
    <w:rsid w:val="00177D49"/>
    <w:rsid w:val="00180CF6"/>
    <w:rsid w:val="00184DDA"/>
    <w:rsid w:val="0018679E"/>
    <w:rsid w:val="001900CD"/>
    <w:rsid w:val="0019444B"/>
    <w:rsid w:val="001A0452"/>
    <w:rsid w:val="001A3481"/>
    <w:rsid w:val="001A497D"/>
    <w:rsid w:val="001A5A46"/>
    <w:rsid w:val="001B4B04"/>
    <w:rsid w:val="001B5875"/>
    <w:rsid w:val="001C4B9C"/>
    <w:rsid w:val="001C6663"/>
    <w:rsid w:val="001C7895"/>
    <w:rsid w:val="001D15C4"/>
    <w:rsid w:val="001D26DF"/>
    <w:rsid w:val="001D312D"/>
    <w:rsid w:val="001E3CE8"/>
    <w:rsid w:val="001F1599"/>
    <w:rsid w:val="001F1961"/>
    <w:rsid w:val="001F19C4"/>
    <w:rsid w:val="001F735E"/>
    <w:rsid w:val="002043F0"/>
    <w:rsid w:val="002060B9"/>
    <w:rsid w:val="0021108A"/>
    <w:rsid w:val="00211E0B"/>
    <w:rsid w:val="00213ECF"/>
    <w:rsid w:val="002242F8"/>
    <w:rsid w:val="00232575"/>
    <w:rsid w:val="002373A9"/>
    <w:rsid w:val="00247258"/>
    <w:rsid w:val="002547F4"/>
    <w:rsid w:val="00257CAC"/>
    <w:rsid w:val="00257CCD"/>
    <w:rsid w:val="00272B5F"/>
    <w:rsid w:val="00280A6B"/>
    <w:rsid w:val="002974E9"/>
    <w:rsid w:val="002A214F"/>
    <w:rsid w:val="002A7F94"/>
    <w:rsid w:val="002B109A"/>
    <w:rsid w:val="002C1973"/>
    <w:rsid w:val="002C57D6"/>
    <w:rsid w:val="002C6D45"/>
    <w:rsid w:val="002D4CF0"/>
    <w:rsid w:val="002D63B8"/>
    <w:rsid w:val="002D6E53"/>
    <w:rsid w:val="002E36F0"/>
    <w:rsid w:val="002F046D"/>
    <w:rsid w:val="002F20C3"/>
    <w:rsid w:val="003007E7"/>
    <w:rsid w:val="00301764"/>
    <w:rsid w:val="00302B3E"/>
    <w:rsid w:val="003229D8"/>
    <w:rsid w:val="00323AD2"/>
    <w:rsid w:val="00336C97"/>
    <w:rsid w:val="00337D65"/>
    <w:rsid w:val="00337F88"/>
    <w:rsid w:val="00342432"/>
    <w:rsid w:val="00350300"/>
    <w:rsid w:val="00352D4B"/>
    <w:rsid w:val="00354724"/>
    <w:rsid w:val="00354CED"/>
    <w:rsid w:val="0035638C"/>
    <w:rsid w:val="00361996"/>
    <w:rsid w:val="00366EA9"/>
    <w:rsid w:val="00370928"/>
    <w:rsid w:val="00374974"/>
    <w:rsid w:val="003A46BB"/>
    <w:rsid w:val="003A4EC7"/>
    <w:rsid w:val="003A7295"/>
    <w:rsid w:val="003B1F60"/>
    <w:rsid w:val="003B2C21"/>
    <w:rsid w:val="003B5767"/>
    <w:rsid w:val="003C2CC4"/>
    <w:rsid w:val="003C2E7B"/>
    <w:rsid w:val="003C7026"/>
    <w:rsid w:val="003D4B23"/>
    <w:rsid w:val="003D58A1"/>
    <w:rsid w:val="003E2614"/>
    <w:rsid w:val="003E278A"/>
    <w:rsid w:val="003F3600"/>
    <w:rsid w:val="004032CF"/>
    <w:rsid w:val="0040512E"/>
    <w:rsid w:val="004130AD"/>
    <w:rsid w:val="00413520"/>
    <w:rsid w:val="00414F7A"/>
    <w:rsid w:val="00421AB6"/>
    <w:rsid w:val="00431D4D"/>
    <w:rsid w:val="004325CB"/>
    <w:rsid w:val="00440A07"/>
    <w:rsid w:val="004456FB"/>
    <w:rsid w:val="004473C6"/>
    <w:rsid w:val="00462880"/>
    <w:rsid w:val="0047298C"/>
    <w:rsid w:val="0047303D"/>
    <w:rsid w:val="00476F24"/>
    <w:rsid w:val="004777B7"/>
    <w:rsid w:val="00482879"/>
    <w:rsid w:val="004909E7"/>
    <w:rsid w:val="004953E5"/>
    <w:rsid w:val="004B1564"/>
    <w:rsid w:val="004B4577"/>
    <w:rsid w:val="004B45B0"/>
    <w:rsid w:val="004C19FC"/>
    <w:rsid w:val="004C55B0"/>
    <w:rsid w:val="004E4179"/>
    <w:rsid w:val="004F5C09"/>
    <w:rsid w:val="004F6BA0"/>
    <w:rsid w:val="00503BEA"/>
    <w:rsid w:val="0051382F"/>
    <w:rsid w:val="005176A6"/>
    <w:rsid w:val="00517E8D"/>
    <w:rsid w:val="00520D96"/>
    <w:rsid w:val="00520E92"/>
    <w:rsid w:val="00531532"/>
    <w:rsid w:val="00532928"/>
    <w:rsid w:val="00533616"/>
    <w:rsid w:val="00535ABA"/>
    <w:rsid w:val="005371A0"/>
    <w:rsid w:val="0053768B"/>
    <w:rsid w:val="005420F2"/>
    <w:rsid w:val="0054285C"/>
    <w:rsid w:val="00547A88"/>
    <w:rsid w:val="005561AA"/>
    <w:rsid w:val="00564BF4"/>
    <w:rsid w:val="00584173"/>
    <w:rsid w:val="00586B0A"/>
    <w:rsid w:val="005878A7"/>
    <w:rsid w:val="0059244A"/>
    <w:rsid w:val="00595520"/>
    <w:rsid w:val="005A4244"/>
    <w:rsid w:val="005A44B9"/>
    <w:rsid w:val="005A589F"/>
    <w:rsid w:val="005A78F3"/>
    <w:rsid w:val="005B1BA0"/>
    <w:rsid w:val="005B3DB3"/>
    <w:rsid w:val="005D15CA"/>
    <w:rsid w:val="005D390C"/>
    <w:rsid w:val="005E1206"/>
    <w:rsid w:val="005F1F15"/>
    <w:rsid w:val="005F3066"/>
    <w:rsid w:val="005F3E61"/>
    <w:rsid w:val="005F51F6"/>
    <w:rsid w:val="00600BA9"/>
    <w:rsid w:val="00602013"/>
    <w:rsid w:val="00604DDD"/>
    <w:rsid w:val="006115CC"/>
    <w:rsid w:val="00611FC4"/>
    <w:rsid w:val="006176FB"/>
    <w:rsid w:val="00630FCB"/>
    <w:rsid w:val="00632F10"/>
    <w:rsid w:val="0064017F"/>
    <w:rsid w:val="00640B26"/>
    <w:rsid w:val="00642502"/>
    <w:rsid w:val="00651AE9"/>
    <w:rsid w:val="006666F3"/>
    <w:rsid w:val="00667D6B"/>
    <w:rsid w:val="00674364"/>
    <w:rsid w:val="0067520F"/>
    <w:rsid w:val="006770B2"/>
    <w:rsid w:val="006863EC"/>
    <w:rsid w:val="006940E1"/>
    <w:rsid w:val="006A208D"/>
    <w:rsid w:val="006A3C72"/>
    <w:rsid w:val="006A7392"/>
    <w:rsid w:val="006B03A1"/>
    <w:rsid w:val="006B67D9"/>
    <w:rsid w:val="006B6CC5"/>
    <w:rsid w:val="006C3610"/>
    <w:rsid w:val="006C4B6A"/>
    <w:rsid w:val="006C5535"/>
    <w:rsid w:val="006D0589"/>
    <w:rsid w:val="006D0D78"/>
    <w:rsid w:val="006D25E9"/>
    <w:rsid w:val="006E564B"/>
    <w:rsid w:val="006E7154"/>
    <w:rsid w:val="007003CD"/>
    <w:rsid w:val="0070701E"/>
    <w:rsid w:val="0070702F"/>
    <w:rsid w:val="007260A6"/>
    <w:rsid w:val="0072632A"/>
    <w:rsid w:val="007358E8"/>
    <w:rsid w:val="00736ECE"/>
    <w:rsid w:val="0074533B"/>
    <w:rsid w:val="0076307D"/>
    <w:rsid w:val="0076432E"/>
    <w:rsid w:val="007643BC"/>
    <w:rsid w:val="00767693"/>
    <w:rsid w:val="007959FE"/>
    <w:rsid w:val="007A0CF1"/>
    <w:rsid w:val="007A3C3A"/>
    <w:rsid w:val="007A4C1C"/>
    <w:rsid w:val="007A634D"/>
    <w:rsid w:val="007A7CC0"/>
    <w:rsid w:val="007B6A61"/>
    <w:rsid w:val="007B6BA5"/>
    <w:rsid w:val="007C3390"/>
    <w:rsid w:val="007C42D8"/>
    <w:rsid w:val="007C4D40"/>
    <w:rsid w:val="007C4F4B"/>
    <w:rsid w:val="007C68C8"/>
    <w:rsid w:val="007D7362"/>
    <w:rsid w:val="007E4914"/>
    <w:rsid w:val="007F5CE2"/>
    <w:rsid w:val="007F6611"/>
    <w:rsid w:val="007F70BE"/>
    <w:rsid w:val="00810BAC"/>
    <w:rsid w:val="00816A55"/>
    <w:rsid w:val="008175E9"/>
    <w:rsid w:val="008242D7"/>
    <w:rsid w:val="00825578"/>
    <w:rsid w:val="0082577B"/>
    <w:rsid w:val="00835E21"/>
    <w:rsid w:val="00846798"/>
    <w:rsid w:val="0084799F"/>
    <w:rsid w:val="008479D3"/>
    <w:rsid w:val="008558E7"/>
    <w:rsid w:val="008642B3"/>
    <w:rsid w:val="00866893"/>
    <w:rsid w:val="00866F02"/>
    <w:rsid w:val="00867D18"/>
    <w:rsid w:val="00871F9A"/>
    <w:rsid w:val="00871FD5"/>
    <w:rsid w:val="00876B8E"/>
    <w:rsid w:val="0088172E"/>
    <w:rsid w:val="00881EFA"/>
    <w:rsid w:val="00883E28"/>
    <w:rsid w:val="008979B1"/>
    <w:rsid w:val="008A26E5"/>
    <w:rsid w:val="008A65BB"/>
    <w:rsid w:val="008A6B25"/>
    <w:rsid w:val="008A6C4F"/>
    <w:rsid w:val="008B389E"/>
    <w:rsid w:val="008C2208"/>
    <w:rsid w:val="008C5BCB"/>
    <w:rsid w:val="008C5FA9"/>
    <w:rsid w:val="008C69F6"/>
    <w:rsid w:val="008D045E"/>
    <w:rsid w:val="008D3F25"/>
    <w:rsid w:val="008D464D"/>
    <w:rsid w:val="008D4D82"/>
    <w:rsid w:val="008E0E09"/>
    <w:rsid w:val="008E0E46"/>
    <w:rsid w:val="008E6FB6"/>
    <w:rsid w:val="008E7116"/>
    <w:rsid w:val="008F02E3"/>
    <w:rsid w:val="008F143B"/>
    <w:rsid w:val="008F3882"/>
    <w:rsid w:val="008F3C40"/>
    <w:rsid w:val="008F3D9C"/>
    <w:rsid w:val="008F4B7C"/>
    <w:rsid w:val="009053C1"/>
    <w:rsid w:val="00911AF3"/>
    <w:rsid w:val="00914DC3"/>
    <w:rsid w:val="00926E47"/>
    <w:rsid w:val="00947162"/>
    <w:rsid w:val="00953163"/>
    <w:rsid w:val="009601FF"/>
    <w:rsid w:val="00960D5D"/>
    <w:rsid w:val="009610D0"/>
    <w:rsid w:val="0096375C"/>
    <w:rsid w:val="009662E6"/>
    <w:rsid w:val="0097095E"/>
    <w:rsid w:val="00980F57"/>
    <w:rsid w:val="0098592B"/>
    <w:rsid w:val="00985FC4"/>
    <w:rsid w:val="00990766"/>
    <w:rsid w:val="00991261"/>
    <w:rsid w:val="00992C68"/>
    <w:rsid w:val="009952A3"/>
    <w:rsid w:val="009964C4"/>
    <w:rsid w:val="009A21AB"/>
    <w:rsid w:val="009A7B81"/>
    <w:rsid w:val="009B4E14"/>
    <w:rsid w:val="009C14A2"/>
    <w:rsid w:val="009D01C0"/>
    <w:rsid w:val="009D6A08"/>
    <w:rsid w:val="009E0A16"/>
    <w:rsid w:val="009E7970"/>
    <w:rsid w:val="009F2EAC"/>
    <w:rsid w:val="009F57E3"/>
    <w:rsid w:val="009F5E3F"/>
    <w:rsid w:val="009F6140"/>
    <w:rsid w:val="00A10F4F"/>
    <w:rsid w:val="00A11067"/>
    <w:rsid w:val="00A11B97"/>
    <w:rsid w:val="00A1704A"/>
    <w:rsid w:val="00A23E9E"/>
    <w:rsid w:val="00A425EB"/>
    <w:rsid w:val="00A45CB7"/>
    <w:rsid w:val="00A47439"/>
    <w:rsid w:val="00A72F22"/>
    <w:rsid w:val="00A733BC"/>
    <w:rsid w:val="00A73BCA"/>
    <w:rsid w:val="00A748A6"/>
    <w:rsid w:val="00A749C1"/>
    <w:rsid w:val="00A76A69"/>
    <w:rsid w:val="00A77D0C"/>
    <w:rsid w:val="00A824E7"/>
    <w:rsid w:val="00A86B8F"/>
    <w:rsid w:val="00A879A4"/>
    <w:rsid w:val="00A96696"/>
    <w:rsid w:val="00AA0FF8"/>
    <w:rsid w:val="00AA1B83"/>
    <w:rsid w:val="00AA60D6"/>
    <w:rsid w:val="00AC0F2C"/>
    <w:rsid w:val="00AC502A"/>
    <w:rsid w:val="00AC53AD"/>
    <w:rsid w:val="00AC6C37"/>
    <w:rsid w:val="00AF3A98"/>
    <w:rsid w:val="00AF58C1"/>
    <w:rsid w:val="00B03E68"/>
    <w:rsid w:val="00B06643"/>
    <w:rsid w:val="00B1060B"/>
    <w:rsid w:val="00B15055"/>
    <w:rsid w:val="00B17FC5"/>
    <w:rsid w:val="00B30179"/>
    <w:rsid w:val="00B31D16"/>
    <w:rsid w:val="00B37B15"/>
    <w:rsid w:val="00B4482F"/>
    <w:rsid w:val="00B45C02"/>
    <w:rsid w:val="00B5388E"/>
    <w:rsid w:val="00B72A1E"/>
    <w:rsid w:val="00B81E12"/>
    <w:rsid w:val="00B91466"/>
    <w:rsid w:val="00BA339B"/>
    <w:rsid w:val="00BB4C6B"/>
    <w:rsid w:val="00BC1E7E"/>
    <w:rsid w:val="00BC2E45"/>
    <w:rsid w:val="00BC74E9"/>
    <w:rsid w:val="00BE36A9"/>
    <w:rsid w:val="00BE618E"/>
    <w:rsid w:val="00BE7BEC"/>
    <w:rsid w:val="00BF0A5A"/>
    <w:rsid w:val="00BF0E63"/>
    <w:rsid w:val="00BF12A3"/>
    <w:rsid w:val="00BF16D7"/>
    <w:rsid w:val="00BF2373"/>
    <w:rsid w:val="00BF30B6"/>
    <w:rsid w:val="00C044E2"/>
    <w:rsid w:val="00C048CB"/>
    <w:rsid w:val="00C066F3"/>
    <w:rsid w:val="00C06865"/>
    <w:rsid w:val="00C07365"/>
    <w:rsid w:val="00C078A6"/>
    <w:rsid w:val="00C07CA9"/>
    <w:rsid w:val="00C10783"/>
    <w:rsid w:val="00C234DA"/>
    <w:rsid w:val="00C2625B"/>
    <w:rsid w:val="00C27D31"/>
    <w:rsid w:val="00C3782A"/>
    <w:rsid w:val="00C44BB0"/>
    <w:rsid w:val="00C45BBB"/>
    <w:rsid w:val="00C463DD"/>
    <w:rsid w:val="00C479FA"/>
    <w:rsid w:val="00C53AD5"/>
    <w:rsid w:val="00C540CC"/>
    <w:rsid w:val="00C6129E"/>
    <w:rsid w:val="00C70809"/>
    <w:rsid w:val="00C745C3"/>
    <w:rsid w:val="00C77443"/>
    <w:rsid w:val="00C805A7"/>
    <w:rsid w:val="00C81F58"/>
    <w:rsid w:val="00C9170F"/>
    <w:rsid w:val="00CA0A2A"/>
    <w:rsid w:val="00CA2221"/>
    <w:rsid w:val="00CA24A4"/>
    <w:rsid w:val="00CA3137"/>
    <w:rsid w:val="00CA46E1"/>
    <w:rsid w:val="00CB348D"/>
    <w:rsid w:val="00CB34BE"/>
    <w:rsid w:val="00CB6EBD"/>
    <w:rsid w:val="00CB763D"/>
    <w:rsid w:val="00CD3F3E"/>
    <w:rsid w:val="00CD46F5"/>
    <w:rsid w:val="00CD6C29"/>
    <w:rsid w:val="00CE4A8F"/>
    <w:rsid w:val="00CE52ED"/>
    <w:rsid w:val="00CF071D"/>
    <w:rsid w:val="00CF116C"/>
    <w:rsid w:val="00CF26B9"/>
    <w:rsid w:val="00D15ADD"/>
    <w:rsid w:val="00D15B04"/>
    <w:rsid w:val="00D17B2C"/>
    <w:rsid w:val="00D2031B"/>
    <w:rsid w:val="00D23EAC"/>
    <w:rsid w:val="00D24692"/>
    <w:rsid w:val="00D25EC1"/>
    <w:rsid w:val="00D25FE2"/>
    <w:rsid w:val="00D30BBD"/>
    <w:rsid w:val="00D37DA9"/>
    <w:rsid w:val="00D406A7"/>
    <w:rsid w:val="00D43252"/>
    <w:rsid w:val="00D44D86"/>
    <w:rsid w:val="00D50B7D"/>
    <w:rsid w:val="00D52012"/>
    <w:rsid w:val="00D60345"/>
    <w:rsid w:val="00D60FE0"/>
    <w:rsid w:val="00D704E5"/>
    <w:rsid w:val="00D72727"/>
    <w:rsid w:val="00D731DD"/>
    <w:rsid w:val="00D754D5"/>
    <w:rsid w:val="00D90F86"/>
    <w:rsid w:val="00D978C6"/>
    <w:rsid w:val="00DA0956"/>
    <w:rsid w:val="00DA357F"/>
    <w:rsid w:val="00DA3E12"/>
    <w:rsid w:val="00DB3D7E"/>
    <w:rsid w:val="00DB66FA"/>
    <w:rsid w:val="00DC18AD"/>
    <w:rsid w:val="00DE0CB9"/>
    <w:rsid w:val="00DE5105"/>
    <w:rsid w:val="00DF1A1E"/>
    <w:rsid w:val="00DF6A82"/>
    <w:rsid w:val="00DF7CAE"/>
    <w:rsid w:val="00E02011"/>
    <w:rsid w:val="00E0610D"/>
    <w:rsid w:val="00E12CF0"/>
    <w:rsid w:val="00E1773B"/>
    <w:rsid w:val="00E423C0"/>
    <w:rsid w:val="00E62486"/>
    <w:rsid w:val="00E6414C"/>
    <w:rsid w:val="00E6599F"/>
    <w:rsid w:val="00E66DA2"/>
    <w:rsid w:val="00E7260F"/>
    <w:rsid w:val="00E82C50"/>
    <w:rsid w:val="00E835F1"/>
    <w:rsid w:val="00E86772"/>
    <w:rsid w:val="00E8702D"/>
    <w:rsid w:val="00E916A9"/>
    <w:rsid w:val="00E916DE"/>
    <w:rsid w:val="00E941DC"/>
    <w:rsid w:val="00E96630"/>
    <w:rsid w:val="00EC50C2"/>
    <w:rsid w:val="00ED18DC"/>
    <w:rsid w:val="00ED6201"/>
    <w:rsid w:val="00ED7A2A"/>
    <w:rsid w:val="00EE0FCC"/>
    <w:rsid w:val="00EE4832"/>
    <w:rsid w:val="00EF1D7F"/>
    <w:rsid w:val="00EF4426"/>
    <w:rsid w:val="00F0137E"/>
    <w:rsid w:val="00F11D29"/>
    <w:rsid w:val="00F16629"/>
    <w:rsid w:val="00F213D6"/>
    <w:rsid w:val="00F21786"/>
    <w:rsid w:val="00F354EA"/>
    <w:rsid w:val="00F3742B"/>
    <w:rsid w:val="00F376F1"/>
    <w:rsid w:val="00F41FDB"/>
    <w:rsid w:val="00F50F4D"/>
    <w:rsid w:val="00F5337D"/>
    <w:rsid w:val="00F56D63"/>
    <w:rsid w:val="00F609A9"/>
    <w:rsid w:val="00F64430"/>
    <w:rsid w:val="00F70717"/>
    <w:rsid w:val="00F80C99"/>
    <w:rsid w:val="00F867EC"/>
    <w:rsid w:val="00F86F3B"/>
    <w:rsid w:val="00F90337"/>
    <w:rsid w:val="00F91B2B"/>
    <w:rsid w:val="00FA1D7B"/>
    <w:rsid w:val="00FB404E"/>
    <w:rsid w:val="00FC03CD"/>
    <w:rsid w:val="00FC0646"/>
    <w:rsid w:val="00FC0826"/>
    <w:rsid w:val="00FC68B7"/>
    <w:rsid w:val="00FC788F"/>
    <w:rsid w:val="00FE6985"/>
    <w:rsid w:val="00FF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E8D"/>
    <w:pPr>
      <w:suppressAutoHyphens/>
      <w:spacing w:line="240" w:lineRule="atLeast"/>
    </w:pPr>
    <w:rPr>
      <w:rFonts w:eastAsia="Times New Roman"/>
      <w:lang w:val="fr-CH"/>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link w:val="FooterChar"/>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eading1Char">
    <w:name w:val="Heading 1 Char"/>
    <w:aliases w:val="Table_G Char"/>
    <w:link w:val="Heading1"/>
    <w:locked/>
    <w:rsid w:val="00517E8D"/>
    <w:rPr>
      <w:rFonts w:eastAsia="MS Mincho"/>
      <w:lang w:val="en-GB" w:eastAsia="ja-JP"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eading2Char">
    <w:name w:val="Heading 2 Char"/>
    <w:link w:val="Heading2"/>
    <w:semiHidden/>
    <w:locked/>
    <w:rsid w:val="00517E8D"/>
    <w:rPr>
      <w:rFonts w:eastAsia="MS Mincho"/>
      <w:lang w:val="en-GB" w:eastAsia="ja-JP" w:bidi="ar-SA"/>
    </w:rPr>
  </w:style>
  <w:style w:type="character" w:customStyle="1" w:styleId="Heading3Char">
    <w:name w:val="Heading 3 Char"/>
    <w:link w:val="Heading3"/>
    <w:semiHidden/>
    <w:locked/>
    <w:rsid w:val="00517E8D"/>
    <w:rPr>
      <w:rFonts w:eastAsia="MS Mincho"/>
      <w:lang w:val="en-GB" w:eastAsia="ja-JP" w:bidi="ar-SA"/>
    </w:rPr>
  </w:style>
  <w:style w:type="paragraph" w:customStyle="1" w:styleId="Tabell">
    <w:name w:val="Tabell"/>
    <w:basedOn w:val="Normal"/>
    <w:next w:val="Normal"/>
    <w:rsid w:val="00517E8D"/>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FooterChar">
    <w:name w:val="Footer Char"/>
    <w:aliases w:val="3_G Char"/>
    <w:link w:val="Footer"/>
    <w:semiHidden/>
    <w:locked/>
    <w:rsid w:val="00517E8D"/>
    <w:rPr>
      <w:rFonts w:eastAsia="MS Mincho"/>
      <w:sz w:val="16"/>
      <w:lang w:val="en-GB" w:eastAsia="ja-JP" w:bidi="ar-SA"/>
    </w:rPr>
  </w:style>
  <w:style w:type="character" w:customStyle="1" w:styleId="HeaderChar">
    <w:name w:val="Header Char"/>
    <w:aliases w:val="6_G Char"/>
    <w:link w:val="Header"/>
    <w:semiHidden/>
    <w:locked/>
    <w:rsid w:val="00517E8D"/>
    <w:rPr>
      <w:rFonts w:eastAsia="MS Mincho"/>
      <w:b/>
      <w:sz w:val="18"/>
      <w:lang w:val="en-GB" w:eastAsia="ja-JP" w:bidi="ar-SA"/>
    </w:rPr>
  </w:style>
  <w:style w:type="paragraph" w:styleId="BodyText">
    <w:name w:val="Body Text"/>
    <w:basedOn w:val="Normal"/>
    <w:link w:val="BodyTextChar"/>
    <w:semiHidden/>
    <w:rsid w:val="00517E8D"/>
    <w:pPr>
      <w:suppressAutoHyphens w:val="0"/>
      <w:spacing w:line="240" w:lineRule="auto"/>
      <w:jc w:val="both"/>
    </w:pPr>
    <w:rPr>
      <w:sz w:val="24"/>
      <w:szCs w:val="24"/>
      <w:lang w:val="en-GB"/>
    </w:rPr>
  </w:style>
  <w:style w:type="character" w:customStyle="1" w:styleId="BodyTextChar">
    <w:name w:val="Body Text Char"/>
    <w:link w:val="BodyText"/>
    <w:semiHidden/>
    <w:locked/>
    <w:rsid w:val="00517E8D"/>
    <w:rPr>
      <w:sz w:val="24"/>
      <w:szCs w:val="24"/>
      <w:lang w:val="en-GB" w:eastAsia="en-US" w:bidi="ar-SA"/>
    </w:rPr>
  </w:style>
  <w:style w:type="paragraph" w:styleId="BodyTextIndent">
    <w:name w:val="Body Text Indent"/>
    <w:basedOn w:val="Normal"/>
    <w:link w:val="BodyTextIndentChar"/>
    <w:semiHidden/>
    <w:rsid w:val="00517E8D"/>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val="en-GB" w:eastAsia="nb-NO"/>
    </w:rPr>
  </w:style>
  <w:style w:type="character" w:customStyle="1" w:styleId="BodyTextIndentChar">
    <w:name w:val="Body Text Indent Char"/>
    <w:link w:val="BodyTextIndent"/>
    <w:semiHidden/>
    <w:locked/>
    <w:rsid w:val="00517E8D"/>
    <w:rPr>
      <w:sz w:val="22"/>
      <w:szCs w:val="22"/>
      <w:lang w:val="en-GB" w:eastAsia="nb-NO" w:bidi="ar-SA"/>
    </w:rPr>
  </w:style>
  <w:style w:type="paragraph" w:styleId="BodyTextIndent2">
    <w:name w:val="Body Text Indent 2"/>
    <w:basedOn w:val="Normal"/>
    <w:link w:val="BodyTextIndent2Char"/>
    <w:semiHidden/>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val="en-GB" w:eastAsia="nb-NO"/>
    </w:rPr>
  </w:style>
  <w:style w:type="character" w:customStyle="1" w:styleId="BodyTextIndent2Char">
    <w:name w:val="Body Text Indent 2 Char"/>
    <w:link w:val="BodyTextIndent2"/>
    <w:semiHidden/>
    <w:locked/>
    <w:rsid w:val="00517E8D"/>
    <w:rPr>
      <w:sz w:val="24"/>
      <w:szCs w:val="24"/>
      <w:lang w:val="en-GB" w:eastAsia="nb-NO" w:bidi="ar-SA"/>
    </w:rPr>
  </w:style>
  <w:style w:type="paragraph" w:customStyle="1" w:styleId="ListParagraph1">
    <w:name w:val="List Paragraph1"/>
    <w:basedOn w:val="Normal"/>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har">
    <w:name w:val="_ Single Txt_G Char"/>
    <w:link w:val="SingleTxtG"/>
    <w:qFormat/>
    <w:rsid w:val="0067520F"/>
    <w:rPr>
      <w:lang w:val="fr-CH" w:eastAsia="en-US" w:bidi="ar-SA"/>
    </w:rPr>
  </w:style>
  <w:style w:type="character" w:customStyle="1" w:styleId="H23GChar">
    <w:name w:val="_ H_2/3_G Char"/>
    <w:link w:val="H23G"/>
    <w:rsid w:val="00F213D6"/>
    <w:rPr>
      <w:b/>
      <w:lang w:val="fr-CH" w:eastAsia="en-US" w:bidi="ar-SA"/>
    </w:rPr>
  </w:style>
  <w:style w:type="paragraph" w:customStyle="1" w:styleId="Listparagraf">
    <w:name w:val="Listă paragraf"/>
    <w:basedOn w:val="Normal"/>
    <w:qFormat/>
    <w:rsid w:val="009A21AB"/>
    <w:pPr>
      <w:suppressAutoHyphens w:val="0"/>
      <w:spacing w:after="200" w:line="276" w:lineRule="auto"/>
      <w:ind w:left="720"/>
      <w:contextualSpacing/>
    </w:pPr>
    <w:rPr>
      <w:rFonts w:ascii="Calibri" w:hAnsi="Calibri"/>
      <w:sz w:val="22"/>
      <w:szCs w:val="22"/>
      <w:lang w:val="ro-RO" w:eastAsia="ro-RO"/>
    </w:rPr>
  </w:style>
  <w:style w:type="character" w:customStyle="1" w:styleId="HChGChar">
    <w:name w:val="_ H _Ch_G Char"/>
    <w:link w:val="HChG"/>
    <w:rsid w:val="009A21AB"/>
    <w:rPr>
      <w:b/>
      <w:sz w:val="28"/>
      <w:lang w:val="fr-CH" w:eastAsia="en-US" w:bidi="ar-SA"/>
    </w:rPr>
  </w:style>
  <w:style w:type="character" w:customStyle="1" w:styleId="H1GChar">
    <w:name w:val="_ H_1_G Char"/>
    <w:link w:val="H1G"/>
    <w:rsid w:val="009A21AB"/>
    <w:rPr>
      <w:b/>
      <w:sz w:val="24"/>
      <w:lang w:val="fr-CH" w:eastAsia="en-US" w:bidi="ar-SA"/>
    </w:rPr>
  </w:style>
  <w:style w:type="character" w:customStyle="1" w:styleId="tlfcdefinition">
    <w:name w:val="tlf_cdefinition"/>
    <w:basedOn w:val="DefaultParagraphFont"/>
    <w:rsid w:val="00F90337"/>
  </w:style>
  <w:style w:type="paragraph" w:styleId="HTMLPreformatted">
    <w:name w:val="HTML Preformatted"/>
    <w:basedOn w:val="Normal"/>
    <w:link w:val="HTMLPreformattedChar"/>
    <w:unhideWhenUsed/>
    <w:rsid w:val="00E12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color w:val="000000"/>
      <w:lang w:val="ro-RO" w:eastAsia="ro-RO"/>
    </w:rPr>
  </w:style>
  <w:style w:type="character" w:customStyle="1" w:styleId="HTMLPreformattedChar">
    <w:name w:val="HTML Preformatted Char"/>
    <w:link w:val="HTMLPreformatted"/>
    <w:rsid w:val="00E12CF0"/>
    <w:rPr>
      <w:rFonts w:ascii="Courier New" w:hAnsi="Courier New" w:cs="Courier New"/>
      <w:color w:val="000000"/>
      <w:lang w:val="ro-RO" w:eastAsia="ro-RO" w:bidi="ar-SA"/>
    </w:rPr>
  </w:style>
  <w:style w:type="character" w:customStyle="1" w:styleId="SingleTxtGCar">
    <w:name w:val="_ Single Txt_G Car"/>
    <w:rsid w:val="005E1206"/>
    <w:rPr>
      <w:sz w:val="24"/>
      <w:lang w:val="en-GB" w:eastAsia="en-US" w:bidi="ar-SA"/>
    </w:rPr>
  </w:style>
  <w:style w:type="character" w:customStyle="1" w:styleId="Textkrper-EinzugCharChar">
    <w:name w:val="Textkörper-Einzug Char Char"/>
    <w:rsid w:val="00482879"/>
    <w:rPr>
      <w:rFonts w:ascii="Times New Roman" w:eastAsia="Times New Roman" w:hAnsi="Times New Roman" w:cs="Times New Roman"/>
      <w:szCs w:val="20"/>
      <w:lang w:val="en-GB"/>
    </w:rPr>
  </w:style>
  <w:style w:type="paragraph" w:styleId="BalloonText">
    <w:name w:val="Balloon Text"/>
    <w:basedOn w:val="Normal"/>
    <w:semiHidden/>
    <w:rsid w:val="00C540CC"/>
    <w:rPr>
      <w:rFonts w:ascii="Tahoma" w:hAnsi="Tahoma" w:cs="Tahoma"/>
      <w:sz w:val="16"/>
      <w:szCs w:val="16"/>
    </w:rPr>
  </w:style>
  <w:style w:type="character" w:customStyle="1" w:styleId="SingleTxtGZchnZchn">
    <w:name w:val="_ Single Txt_G Zchn Zchn"/>
    <w:rsid w:val="00A11B9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E8D"/>
    <w:pPr>
      <w:suppressAutoHyphens/>
      <w:spacing w:line="240" w:lineRule="atLeast"/>
    </w:pPr>
    <w:rPr>
      <w:rFonts w:eastAsia="Times New Roman"/>
      <w:lang w:val="fr-CH"/>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link w:val="FooterChar"/>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eading1Char">
    <w:name w:val="Heading 1 Char"/>
    <w:aliases w:val="Table_G Char"/>
    <w:link w:val="Heading1"/>
    <w:locked/>
    <w:rsid w:val="00517E8D"/>
    <w:rPr>
      <w:rFonts w:eastAsia="MS Mincho"/>
      <w:lang w:val="en-GB" w:eastAsia="ja-JP"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eading2Char">
    <w:name w:val="Heading 2 Char"/>
    <w:link w:val="Heading2"/>
    <w:semiHidden/>
    <w:locked/>
    <w:rsid w:val="00517E8D"/>
    <w:rPr>
      <w:rFonts w:eastAsia="MS Mincho"/>
      <w:lang w:val="en-GB" w:eastAsia="ja-JP" w:bidi="ar-SA"/>
    </w:rPr>
  </w:style>
  <w:style w:type="character" w:customStyle="1" w:styleId="Heading3Char">
    <w:name w:val="Heading 3 Char"/>
    <w:link w:val="Heading3"/>
    <w:semiHidden/>
    <w:locked/>
    <w:rsid w:val="00517E8D"/>
    <w:rPr>
      <w:rFonts w:eastAsia="MS Mincho"/>
      <w:lang w:val="en-GB" w:eastAsia="ja-JP" w:bidi="ar-SA"/>
    </w:rPr>
  </w:style>
  <w:style w:type="paragraph" w:customStyle="1" w:styleId="Tabell">
    <w:name w:val="Tabell"/>
    <w:basedOn w:val="Normal"/>
    <w:next w:val="Normal"/>
    <w:rsid w:val="00517E8D"/>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FooterChar">
    <w:name w:val="Footer Char"/>
    <w:aliases w:val="3_G Char"/>
    <w:link w:val="Footer"/>
    <w:semiHidden/>
    <w:locked/>
    <w:rsid w:val="00517E8D"/>
    <w:rPr>
      <w:rFonts w:eastAsia="MS Mincho"/>
      <w:sz w:val="16"/>
      <w:lang w:val="en-GB" w:eastAsia="ja-JP" w:bidi="ar-SA"/>
    </w:rPr>
  </w:style>
  <w:style w:type="character" w:customStyle="1" w:styleId="HeaderChar">
    <w:name w:val="Header Char"/>
    <w:aliases w:val="6_G Char"/>
    <w:link w:val="Header"/>
    <w:semiHidden/>
    <w:locked/>
    <w:rsid w:val="00517E8D"/>
    <w:rPr>
      <w:rFonts w:eastAsia="MS Mincho"/>
      <w:b/>
      <w:sz w:val="18"/>
      <w:lang w:val="en-GB" w:eastAsia="ja-JP" w:bidi="ar-SA"/>
    </w:rPr>
  </w:style>
  <w:style w:type="paragraph" w:styleId="BodyText">
    <w:name w:val="Body Text"/>
    <w:basedOn w:val="Normal"/>
    <w:link w:val="BodyTextChar"/>
    <w:semiHidden/>
    <w:rsid w:val="00517E8D"/>
    <w:pPr>
      <w:suppressAutoHyphens w:val="0"/>
      <w:spacing w:line="240" w:lineRule="auto"/>
      <w:jc w:val="both"/>
    </w:pPr>
    <w:rPr>
      <w:sz w:val="24"/>
      <w:szCs w:val="24"/>
      <w:lang w:val="en-GB"/>
    </w:rPr>
  </w:style>
  <w:style w:type="character" w:customStyle="1" w:styleId="BodyTextChar">
    <w:name w:val="Body Text Char"/>
    <w:link w:val="BodyText"/>
    <w:semiHidden/>
    <w:locked/>
    <w:rsid w:val="00517E8D"/>
    <w:rPr>
      <w:sz w:val="24"/>
      <w:szCs w:val="24"/>
      <w:lang w:val="en-GB" w:eastAsia="en-US" w:bidi="ar-SA"/>
    </w:rPr>
  </w:style>
  <w:style w:type="paragraph" w:styleId="BodyTextIndent">
    <w:name w:val="Body Text Indent"/>
    <w:basedOn w:val="Normal"/>
    <w:link w:val="BodyTextIndentChar"/>
    <w:semiHidden/>
    <w:rsid w:val="00517E8D"/>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val="en-GB" w:eastAsia="nb-NO"/>
    </w:rPr>
  </w:style>
  <w:style w:type="character" w:customStyle="1" w:styleId="BodyTextIndentChar">
    <w:name w:val="Body Text Indent Char"/>
    <w:link w:val="BodyTextIndent"/>
    <w:semiHidden/>
    <w:locked/>
    <w:rsid w:val="00517E8D"/>
    <w:rPr>
      <w:sz w:val="22"/>
      <w:szCs w:val="22"/>
      <w:lang w:val="en-GB" w:eastAsia="nb-NO" w:bidi="ar-SA"/>
    </w:rPr>
  </w:style>
  <w:style w:type="paragraph" w:styleId="BodyTextIndent2">
    <w:name w:val="Body Text Indent 2"/>
    <w:basedOn w:val="Normal"/>
    <w:link w:val="BodyTextIndent2Char"/>
    <w:semiHidden/>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val="en-GB" w:eastAsia="nb-NO"/>
    </w:rPr>
  </w:style>
  <w:style w:type="character" w:customStyle="1" w:styleId="BodyTextIndent2Char">
    <w:name w:val="Body Text Indent 2 Char"/>
    <w:link w:val="BodyTextIndent2"/>
    <w:semiHidden/>
    <w:locked/>
    <w:rsid w:val="00517E8D"/>
    <w:rPr>
      <w:sz w:val="24"/>
      <w:szCs w:val="24"/>
      <w:lang w:val="en-GB" w:eastAsia="nb-NO" w:bidi="ar-SA"/>
    </w:rPr>
  </w:style>
  <w:style w:type="paragraph" w:customStyle="1" w:styleId="ListParagraph1">
    <w:name w:val="List Paragraph1"/>
    <w:basedOn w:val="Normal"/>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har">
    <w:name w:val="_ Single Txt_G Char"/>
    <w:link w:val="SingleTxtG"/>
    <w:qFormat/>
    <w:rsid w:val="0067520F"/>
    <w:rPr>
      <w:lang w:val="fr-CH" w:eastAsia="en-US" w:bidi="ar-SA"/>
    </w:rPr>
  </w:style>
  <w:style w:type="character" w:customStyle="1" w:styleId="H23GChar">
    <w:name w:val="_ H_2/3_G Char"/>
    <w:link w:val="H23G"/>
    <w:rsid w:val="00F213D6"/>
    <w:rPr>
      <w:b/>
      <w:lang w:val="fr-CH" w:eastAsia="en-US" w:bidi="ar-SA"/>
    </w:rPr>
  </w:style>
  <w:style w:type="paragraph" w:customStyle="1" w:styleId="Listparagraf">
    <w:name w:val="Listă paragraf"/>
    <w:basedOn w:val="Normal"/>
    <w:qFormat/>
    <w:rsid w:val="009A21AB"/>
    <w:pPr>
      <w:suppressAutoHyphens w:val="0"/>
      <w:spacing w:after="200" w:line="276" w:lineRule="auto"/>
      <w:ind w:left="720"/>
      <w:contextualSpacing/>
    </w:pPr>
    <w:rPr>
      <w:rFonts w:ascii="Calibri" w:hAnsi="Calibri"/>
      <w:sz w:val="22"/>
      <w:szCs w:val="22"/>
      <w:lang w:val="ro-RO" w:eastAsia="ro-RO"/>
    </w:rPr>
  </w:style>
  <w:style w:type="character" w:customStyle="1" w:styleId="HChGChar">
    <w:name w:val="_ H _Ch_G Char"/>
    <w:link w:val="HChG"/>
    <w:rsid w:val="009A21AB"/>
    <w:rPr>
      <w:b/>
      <w:sz w:val="28"/>
      <w:lang w:val="fr-CH" w:eastAsia="en-US" w:bidi="ar-SA"/>
    </w:rPr>
  </w:style>
  <w:style w:type="character" w:customStyle="1" w:styleId="H1GChar">
    <w:name w:val="_ H_1_G Char"/>
    <w:link w:val="H1G"/>
    <w:rsid w:val="009A21AB"/>
    <w:rPr>
      <w:b/>
      <w:sz w:val="24"/>
      <w:lang w:val="fr-CH" w:eastAsia="en-US" w:bidi="ar-SA"/>
    </w:rPr>
  </w:style>
  <w:style w:type="character" w:customStyle="1" w:styleId="tlfcdefinition">
    <w:name w:val="tlf_cdefinition"/>
    <w:basedOn w:val="DefaultParagraphFont"/>
    <w:rsid w:val="00F90337"/>
  </w:style>
  <w:style w:type="paragraph" w:styleId="HTMLPreformatted">
    <w:name w:val="HTML Preformatted"/>
    <w:basedOn w:val="Normal"/>
    <w:link w:val="HTMLPreformattedChar"/>
    <w:unhideWhenUsed/>
    <w:rsid w:val="00E12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color w:val="000000"/>
      <w:lang w:val="ro-RO" w:eastAsia="ro-RO"/>
    </w:rPr>
  </w:style>
  <w:style w:type="character" w:customStyle="1" w:styleId="HTMLPreformattedChar">
    <w:name w:val="HTML Preformatted Char"/>
    <w:link w:val="HTMLPreformatted"/>
    <w:rsid w:val="00E12CF0"/>
    <w:rPr>
      <w:rFonts w:ascii="Courier New" w:hAnsi="Courier New" w:cs="Courier New"/>
      <w:color w:val="000000"/>
      <w:lang w:val="ro-RO" w:eastAsia="ro-RO" w:bidi="ar-SA"/>
    </w:rPr>
  </w:style>
  <w:style w:type="character" w:customStyle="1" w:styleId="SingleTxtGCar">
    <w:name w:val="_ Single Txt_G Car"/>
    <w:rsid w:val="005E1206"/>
    <w:rPr>
      <w:sz w:val="24"/>
      <w:lang w:val="en-GB" w:eastAsia="en-US" w:bidi="ar-SA"/>
    </w:rPr>
  </w:style>
  <w:style w:type="character" w:customStyle="1" w:styleId="Textkrper-EinzugCharChar">
    <w:name w:val="Textkörper-Einzug Char Char"/>
    <w:rsid w:val="00482879"/>
    <w:rPr>
      <w:rFonts w:ascii="Times New Roman" w:eastAsia="Times New Roman" w:hAnsi="Times New Roman" w:cs="Times New Roman"/>
      <w:szCs w:val="20"/>
      <w:lang w:val="en-GB"/>
    </w:rPr>
  </w:style>
  <w:style w:type="paragraph" w:styleId="BalloonText">
    <w:name w:val="Balloon Text"/>
    <w:basedOn w:val="Normal"/>
    <w:semiHidden/>
    <w:rsid w:val="00C540CC"/>
    <w:rPr>
      <w:rFonts w:ascii="Tahoma" w:hAnsi="Tahoma" w:cs="Tahoma"/>
      <w:sz w:val="16"/>
      <w:szCs w:val="16"/>
    </w:rPr>
  </w:style>
  <w:style w:type="character" w:customStyle="1" w:styleId="SingleTxtGZchnZchn">
    <w:name w:val="_ Single Txt_G Zchn Zchn"/>
    <w:rsid w:val="00A11B9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3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6CA3-E043-4DA1-BE0A-F9FEC854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1298</Words>
  <Characters>7399</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Economic Commission for Europe</vt:lpstr>
      <vt:lpstr>Economic Commission for Europe</vt:lpstr>
    </vt:vector>
  </TitlesOfParts>
  <Company>UNECE</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creator>Berthet</dc:creator>
  <cp:lastModifiedBy>barrio-champeau</cp:lastModifiedBy>
  <cp:revision>3</cp:revision>
  <cp:lastPrinted>2011-08-22T09:47:00Z</cp:lastPrinted>
  <dcterms:created xsi:type="dcterms:W3CDTF">2016-02-24T15:08:00Z</dcterms:created>
  <dcterms:modified xsi:type="dcterms:W3CDTF">2016-02-24T15:12:00Z</dcterms:modified>
</cp:coreProperties>
</file>