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3620"/>
        <w:gridCol w:w="195"/>
        <w:gridCol w:w="1725"/>
        <w:gridCol w:w="2819"/>
      </w:tblGrid>
      <w:tr w:rsidR="00A658DB" w:rsidRPr="003A6B6F" w:rsidTr="007B199D">
        <w:trPr>
          <w:trHeight w:hRule="exact" w:val="851"/>
        </w:trPr>
        <w:tc>
          <w:tcPr>
            <w:tcW w:w="4900" w:type="dxa"/>
            <w:gridSpan w:val="2"/>
            <w:tcBorders>
              <w:bottom w:val="single" w:sz="4" w:space="0" w:color="auto"/>
            </w:tcBorders>
            <w:vAlign w:val="bottom"/>
          </w:tcPr>
          <w:p w:rsidR="00A658DB" w:rsidRPr="003A6B6F" w:rsidRDefault="00A658DB" w:rsidP="007B199D">
            <w:pPr>
              <w:spacing w:after="80" w:line="300" w:lineRule="exact"/>
              <w:rPr>
                <w:sz w:val="28"/>
              </w:rPr>
            </w:pPr>
            <w:r w:rsidRPr="003A6B6F">
              <w:rPr>
                <w:sz w:val="28"/>
              </w:rPr>
              <w:t>Организация Объединенных Наций</w:t>
            </w:r>
          </w:p>
        </w:tc>
        <w:tc>
          <w:tcPr>
            <w:tcW w:w="195" w:type="dxa"/>
            <w:tcBorders>
              <w:bottom w:val="single" w:sz="4" w:space="0" w:color="auto"/>
            </w:tcBorders>
            <w:vAlign w:val="bottom"/>
          </w:tcPr>
          <w:p w:rsidR="00A658DB" w:rsidRPr="003A6B6F" w:rsidRDefault="00A658DB" w:rsidP="007B199D">
            <w:pPr>
              <w:jc w:val="right"/>
            </w:pPr>
          </w:p>
        </w:tc>
        <w:tc>
          <w:tcPr>
            <w:tcW w:w="4544" w:type="dxa"/>
            <w:gridSpan w:val="2"/>
            <w:tcBorders>
              <w:left w:val="nil"/>
              <w:bottom w:val="single" w:sz="4" w:space="0" w:color="auto"/>
            </w:tcBorders>
            <w:vAlign w:val="bottom"/>
          </w:tcPr>
          <w:p w:rsidR="00A658DB" w:rsidRPr="003A6B6F" w:rsidRDefault="00A658DB" w:rsidP="007B199D">
            <w:pPr>
              <w:jc w:val="right"/>
            </w:pPr>
            <w:r w:rsidRPr="003A6B6F">
              <w:rPr>
                <w:sz w:val="40"/>
                <w:szCs w:val="40"/>
              </w:rPr>
              <w:t>ECE</w:t>
            </w:r>
            <w:r w:rsidRPr="003A6B6F">
              <w:t>/</w:t>
            </w:r>
            <w:fldSimple w:instr=" FILLIN  &quot;Введите символ после ЕCE/&quot;  \* MERGEFORMAT ">
              <w:r w:rsidR="009D3A94" w:rsidRPr="003A6B6F">
                <w:t>TRANS/WP.15/2016/17</w:t>
              </w:r>
            </w:fldSimple>
            <w:r w:rsidR="00C56BEE" w:rsidRPr="003A6B6F">
              <w:t xml:space="preserve">  </w:t>
            </w:r>
          </w:p>
        </w:tc>
      </w:tr>
      <w:tr w:rsidR="00A658DB" w:rsidRPr="003A6B6F" w:rsidTr="007B199D">
        <w:trPr>
          <w:trHeight w:hRule="exact" w:val="2835"/>
        </w:trPr>
        <w:tc>
          <w:tcPr>
            <w:tcW w:w="1280" w:type="dxa"/>
            <w:tcBorders>
              <w:top w:val="single" w:sz="4" w:space="0" w:color="auto"/>
              <w:bottom w:val="single" w:sz="12" w:space="0" w:color="auto"/>
            </w:tcBorders>
          </w:tcPr>
          <w:p w:rsidR="00A658DB" w:rsidRPr="003A6B6F" w:rsidRDefault="00A658DB" w:rsidP="007B199D">
            <w:pPr>
              <w:spacing w:before="120"/>
              <w:jc w:val="center"/>
            </w:pPr>
            <w:r w:rsidRPr="003A6B6F">
              <w:rPr>
                <w:noProof/>
                <w:lang w:val="fr-FR" w:eastAsia="fr-FR"/>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3A6B6F" w:rsidRDefault="00A658DB" w:rsidP="007B199D">
            <w:pPr>
              <w:suppressAutoHyphens/>
              <w:spacing w:before="120" w:line="460" w:lineRule="exact"/>
              <w:rPr>
                <w:b/>
                <w:spacing w:val="-4"/>
                <w:w w:val="100"/>
                <w:sz w:val="40"/>
                <w:szCs w:val="40"/>
              </w:rPr>
            </w:pPr>
            <w:r w:rsidRPr="003A6B6F">
              <w:rPr>
                <w:b/>
                <w:spacing w:val="-4"/>
                <w:w w:val="100"/>
                <w:sz w:val="40"/>
                <w:szCs w:val="40"/>
              </w:rPr>
              <w:t xml:space="preserve">Экономический </w:t>
            </w:r>
            <w:r w:rsidRPr="003A6B6F">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3A6B6F" w:rsidRDefault="00A658DB" w:rsidP="007B199D">
            <w:pPr>
              <w:spacing w:before="240"/>
            </w:pPr>
            <w:r w:rsidRPr="003A6B6F">
              <w:t xml:space="preserve">Distr.: </w:t>
            </w:r>
            <w:bookmarkStart w:id="0" w:name="ПолеСоСписком1"/>
            <w:r w:rsidR="00C91F58" w:rsidRPr="003A6B6F">
              <w:fldChar w:fldCharType="begin">
                <w:ffData>
                  <w:name w:val="ПолеСоСписком1"/>
                  <w:enabled/>
                  <w:calcOnExit w:val="0"/>
                  <w:ddList>
                    <w:listEntry w:val="General"/>
                    <w:listEntry w:val="Limited"/>
                    <w:listEntry w:val="Restricted"/>
                  </w:ddList>
                </w:ffData>
              </w:fldChar>
            </w:r>
            <w:r w:rsidRPr="003A6B6F">
              <w:instrText xml:space="preserve"> FORMDROPDOWN </w:instrText>
            </w:r>
            <w:r w:rsidR="00C91F58">
              <w:fldChar w:fldCharType="separate"/>
            </w:r>
            <w:r w:rsidR="00C91F58" w:rsidRPr="003A6B6F">
              <w:fldChar w:fldCharType="end"/>
            </w:r>
            <w:bookmarkEnd w:id="0"/>
          </w:p>
          <w:p w:rsidR="00A658DB" w:rsidRPr="003A6B6F" w:rsidRDefault="00C91F58" w:rsidP="007B199D">
            <w:fldSimple w:instr=" FILLIN  &quot;Введите дату документа&quot; \* MERGEFORMAT ">
              <w:r w:rsidR="009D3A94" w:rsidRPr="003A6B6F">
                <w:t>22 August 2016</w:t>
              </w:r>
            </w:fldSimple>
          </w:p>
          <w:p w:rsidR="00A658DB" w:rsidRPr="003A6B6F" w:rsidRDefault="00A658DB" w:rsidP="007B199D">
            <w:r w:rsidRPr="003A6B6F">
              <w:t>Russian</w:t>
            </w:r>
          </w:p>
          <w:p w:rsidR="00A658DB" w:rsidRPr="003A6B6F" w:rsidRDefault="00A658DB" w:rsidP="007B199D">
            <w:r w:rsidRPr="003A6B6F">
              <w:t xml:space="preserve">Original: </w:t>
            </w:r>
            <w:bookmarkStart w:id="1" w:name="ПолеСоСписком2"/>
            <w:r w:rsidR="00C91F58" w:rsidRPr="003A6B6F">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3A6B6F">
              <w:instrText xml:space="preserve"> FORMDROPDOWN </w:instrText>
            </w:r>
            <w:r w:rsidR="00C91F58">
              <w:fldChar w:fldCharType="separate"/>
            </w:r>
            <w:r w:rsidR="00C91F58" w:rsidRPr="003A6B6F">
              <w:fldChar w:fldCharType="end"/>
            </w:r>
            <w:bookmarkEnd w:id="1"/>
          </w:p>
          <w:p w:rsidR="00A658DB" w:rsidRPr="003A6B6F" w:rsidRDefault="00A658DB" w:rsidP="007B199D"/>
        </w:tc>
      </w:tr>
    </w:tbl>
    <w:p w:rsidR="00A658DB" w:rsidRPr="003A6B6F" w:rsidRDefault="00A658DB" w:rsidP="00A658DB">
      <w:pPr>
        <w:spacing w:before="120"/>
        <w:rPr>
          <w:b/>
          <w:sz w:val="28"/>
          <w:szCs w:val="28"/>
        </w:rPr>
      </w:pPr>
      <w:r w:rsidRPr="003A6B6F">
        <w:rPr>
          <w:b/>
          <w:sz w:val="28"/>
          <w:szCs w:val="28"/>
        </w:rPr>
        <w:t>Европейская экономическая комиссия</w:t>
      </w:r>
    </w:p>
    <w:p w:rsidR="00410E5E" w:rsidRPr="003A6B6F" w:rsidRDefault="00410E5E" w:rsidP="00410E5E">
      <w:pPr>
        <w:spacing w:before="120" w:after="120"/>
        <w:rPr>
          <w:sz w:val="28"/>
          <w:szCs w:val="28"/>
        </w:rPr>
      </w:pPr>
      <w:r w:rsidRPr="003A6B6F">
        <w:rPr>
          <w:sz w:val="28"/>
          <w:szCs w:val="28"/>
        </w:rPr>
        <w:t>Комитет по внутреннему транспорту</w:t>
      </w:r>
    </w:p>
    <w:p w:rsidR="00410E5E" w:rsidRPr="003A6B6F" w:rsidRDefault="00410E5E" w:rsidP="00410E5E">
      <w:pPr>
        <w:rPr>
          <w:b/>
          <w:sz w:val="24"/>
          <w:szCs w:val="24"/>
        </w:rPr>
      </w:pPr>
      <w:r w:rsidRPr="003A6B6F">
        <w:rPr>
          <w:b/>
          <w:sz w:val="24"/>
          <w:szCs w:val="24"/>
        </w:rPr>
        <w:t>Рабочая группа по перевозкам опасных грузов</w:t>
      </w:r>
    </w:p>
    <w:p w:rsidR="00410E5E" w:rsidRPr="003A6B6F" w:rsidRDefault="00410E5E" w:rsidP="00410E5E">
      <w:pPr>
        <w:spacing w:before="120"/>
        <w:rPr>
          <w:b/>
        </w:rPr>
      </w:pPr>
      <w:r w:rsidRPr="003A6B6F">
        <w:rPr>
          <w:b/>
        </w:rPr>
        <w:t>101-я сессия</w:t>
      </w:r>
    </w:p>
    <w:p w:rsidR="00410E5E" w:rsidRPr="003A6B6F" w:rsidRDefault="00410E5E" w:rsidP="00410E5E">
      <w:r w:rsidRPr="003A6B6F">
        <w:t>Женева, 8–11 ноября 2016 года</w:t>
      </w:r>
    </w:p>
    <w:p w:rsidR="00410E5E" w:rsidRPr="003A6B6F" w:rsidRDefault="00410E5E" w:rsidP="00410E5E">
      <w:r w:rsidRPr="003A6B6F">
        <w:t>Пункт 5 b) предварительной повестки дня</w:t>
      </w:r>
    </w:p>
    <w:p w:rsidR="00410E5E" w:rsidRPr="003A6B6F" w:rsidRDefault="005164B5" w:rsidP="00410E5E">
      <w:pPr>
        <w:rPr>
          <w:b/>
        </w:rPr>
      </w:pPr>
      <w:r>
        <w:rPr>
          <w:b/>
        </w:rPr>
        <w:t>Предложения о внесении поправок</w:t>
      </w:r>
      <w:r w:rsidR="00410E5E" w:rsidRPr="003A6B6F">
        <w:rPr>
          <w:b/>
        </w:rPr>
        <w:br/>
        <w:t>в приложения A и B к ДОПОГ:</w:t>
      </w:r>
      <w:r w:rsidR="00410E5E" w:rsidRPr="003A6B6F">
        <w:rPr>
          <w:b/>
        </w:rPr>
        <w:br/>
        <w:t>различные предложения</w:t>
      </w:r>
    </w:p>
    <w:p w:rsidR="00410E5E" w:rsidRPr="003A6B6F" w:rsidRDefault="00410E5E" w:rsidP="00410E5E">
      <w:pPr>
        <w:pStyle w:val="HChGR"/>
      </w:pPr>
      <w:r w:rsidRPr="003A6B6F">
        <w:rPr>
          <w:lang w:bidi="ru-RU"/>
        </w:rPr>
        <w:tab/>
      </w:r>
      <w:r w:rsidRPr="003A6B6F">
        <w:rPr>
          <w:lang w:bidi="ru-RU"/>
        </w:rPr>
        <w:tab/>
      </w:r>
      <w:bookmarkStart w:id="2" w:name="OLE_LINK3"/>
      <w:bookmarkStart w:id="3" w:name="OLE_LINK4"/>
      <w:r w:rsidRPr="003A6B6F">
        <w:t>Пункт 5.4.1.1.1 f) и перевозка в соответствии с</w:t>
      </w:r>
      <w:r w:rsidR="009D54F4">
        <w:rPr>
          <w:lang w:val="en-US"/>
        </w:rPr>
        <w:t> </w:t>
      </w:r>
      <w:r w:rsidRPr="003A6B6F">
        <w:t>подразделом 1.1.3.6</w:t>
      </w:r>
      <w:bookmarkEnd w:id="2"/>
      <w:bookmarkEnd w:id="3"/>
    </w:p>
    <w:p w:rsidR="00410E5E" w:rsidRPr="003A6B6F" w:rsidRDefault="00410E5E" w:rsidP="00410E5E">
      <w:pPr>
        <w:pStyle w:val="H1GR"/>
        <w:rPr>
          <w:lang w:bidi="ru-RU"/>
        </w:rPr>
      </w:pPr>
      <w:r w:rsidRPr="003A6B6F">
        <w:rPr>
          <w:lang w:bidi="ru-RU"/>
        </w:rPr>
        <w:tab/>
      </w:r>
      <w:r w:rsidRPr="003A6B6F">
        <w:rPr>
          <w:lang w:bidi="ru-RU"/>
        </w:rPr>
        <w:tab/>
        <w:t>Передано Международным союзом автомобильного транспорта (МСАТ)</w:t>
      </w:r>
      <w:r w:rsidRPr="001674B6">
        <w:rPr>
          <w:rStyle w:val="Appelnotedebasdep"/>
          <w:b w:val="0"/>
          <w:lang w:eastAsia="en-US"/>
        </w:rPr>
        <w:footnoteReference w:id="1"/>
      </w:r>
    </w:p>
    <w:tbl>
      <w:tblPr>
        <w:tblStyle w:val="Grilledutableau"/>
        <w:tblW w:w="0" w:type="auto"/>
        <w:tblBorders>
          <w:insideH w:val="none" w:sz="0" w:space="0" w:color="auto"/>
        </w:tblBorders>
        <w:tblLook w:val="05E0"/>
      </w:tblPr>
      <w:tblGrid>
        <w:gridCol w:w="9854"/>
      </w:tblGrid>
      <w:tr w:rsidR="00E3002F" w:rsidRPr="003A6B6F" w:rsidTr="00E3002F">
        <w:tc>
          <w:tcPr>
            <w:tcW w:w="9854" w:type="dxa"/>
            <w:shd w:val="clear" w:color="auto" w:fill="auto"/>
          </w:tcPr>
          <w:p w:rsidR="00E3002F" w:rsidRPr="003A6B6F" w:rsidRDefault="00E3002F" w:rsidP="00E01FCA">
            <w:pPr>
              <w:suppressAutoHyphens/>
              <w:spacing w:before="240" w:after="120" w:line="220" w:lineRule="atLeast"/>
              <w:ind w:left="255"/>
              <w:rPr>
                <w:i/>
                <w:sz w:val="24"/>
              </w:rPr>
            </w:pPr>
            <w:r w:rsidRPr="003A6B6F">
              <w:rPr>
                <w:i/>
                <w:sz w:val="24"/>
              </w:rPr>
              <w:t>Резюме</w:t>
            </w:r>
          </w:p>
        </w:tc>
      </w:tr>
      <w:tr w:rsidR="00E3002F" w:rsidRPr="003A6B6F" w:rsidTr="00E3002F">
        <w:tc>
          <w:tcPr>
            <w:tcW w:w="9854" w:type="dxa"/>
            <w:shd w:val="clear" w:color="auto" w:fill="auto"/>
          </w:tcPr>
          <w:p w:rsidR="00E3002F" w:rsidRPr="003A6B6F" w:rsidRDefault="0002184B" w:rsidP="00E01FCA">
            <w:pPr>
              <w:pStyle w:val="SingleTxtGR"/>
              <w:tabs>
                <w:tab w:val="clear" w:pos="1701"/>
                <w:tab w:val="clear" w:pos="2268"/>
                <w:tab w:val="clear" w:pos="2835"/>
                <w:tab w:val="clear" w:pos="3402"/>
                <w:tab w:val="clear" w:pos="3969"/>
              </w:tabs>
              <w:spacing w:line="220" w:lineRule="atLeast"/>
              <w:ind w:left="3976" w:hanging="2842"/>
            </w:pPr>
            <w:r w:rsidRPr="003A6B6F">
              <w:rPr>
                <w:b/>
              </w:rPr>
              <w:t>Существо предложения</w:t>
            </w:r>
            <w:r w:rsidRPr="003A6B6F">
              <w:t>:</w:t>
            </w:r>
            <w:r w:rsidRPr="003A6B6F">
              <w:tab/>
              <w:t>МСАТ</w:t>
            </w:r>
            <w:r w:rsidRPr="003A6B6F">
              <w:rPr>
                <w:bCs/>
              </w:rPr>
              <w:t xml:space="preserve"> поддерживает и рекомендует всем договаривающимся сторонам принять представленный Швецией официальный документ</w:t>
            </w:r>
            <w:r w:rsidRPr="003A6B6F">
              <w:rPr>
                <w:iCs/>
              </w:rPr>
              <w:t xml:space="preserve"> ECE/</w:t>
            </w:r>
            <w:r w:rsidR="00716651" w:rsidRPr="003A6B6F">
              <w:rPr>
                <w:iCs/>
              </w:rPr>
              <w:br/>
            </w:r>
            <w:r w:rsidRPr="003A6B6F">
              <w:rPr>
                <w:iCs/>
              </w:rPr>
              <w:t>TRANS/WP.15/2016/10, в котором отмечается, что</w:t>
            </w:r>
            <w:r w:rsidRPr="003A6B6F">
              <w:t xml:space="preserve"> указание рассчитанного значения в</w:t>
            </w:r>
            <w:r w:rsidR="00716651" w:rsidRPr="003A6B6F">
              <w:t xml:space="preserve"> </w:t>
            </w:r>
            <w:r w:rsidRPr="003A6B6F">
              <w:t>транспортном документе</w:t>
            </w:r>
            <w:r w:rsidRPr="003A6B6F">
              <w:rPr>
                <w:iCs/>
              </w:rPr>
              <w:t xml:space="preserve"> </w:t>
            </w:r>
            <w:r w:rsidRPr="003A6B6F">
              <w:t xml:space="preserve">было бы полезным для всех участников перевозки </w:t>
            </w:r>
            <w:r w:rsidRPr="003A6B6F">
              <w:rPr>
                <w:iCs/>
              </w:rPr>
              <w:t>в случае применения подраздела</w:t>
            </w:r>
            <w:r w:rsidR="00C56BEE" w:rsidRPr="003A6B6F">
              <w:rPr>
                <w:iCs/>
              </w:rPr>
              <w:t xml:space="preserve"> </w:t>
            </w:r>
            <w:r w:rsidRPr="003A6B6F">
              <w:rPr>
                <w:iCs/>
              </w:rPr>
              <w:t>1.1.3.6.</w:t>
            </w:r>
          </w:p>
        </w:tc>
      </w:tr>
      <w:tr w:rsidR="00E3002F" w:rsidRPr="003A6B6F" w:rsidTr="00641A99">
        <w:tc>
          <w:tcPr>
            <w:tcW w:w="9854" w:type="dxa"/>
            <w:tcBorders>
              <w:bottom w:val="nil"/>
            </w:tcBorders>
            <w:shd w:val="clear" w:color="auto" w:fill="auto"/>
          </w:tcPr>
          <w:p w:rsidR="00E3002F" w:rsidRPr="003A6B6F" w:rsidRDefault="0002184B" w:rsidP="00E01FCA">
            <w:pPr>
              <w:pStyle w:val="SingleTxtGR"/>
              <w:tabs>
                <w:tab w:val="clear" w:pos="1701"/>
                <w:tab w:val="clear" w:pos="2268"/>
                <w:tab w:val="clear" w:pos="2835"/>
                <w:tab w:val="clear" w:pos="3402"/>
                <w:tab w:val="clear" w:pos="3969"/>
              </w:tabs>
              <w:spacing w:line="220" w:lineRule="atLeast"/>
              <w:ind w:left="3976" w:hanging="2842"/>
              <w:rPr>
                <w:b/>
              </w:rPr>
            </w:pPr>
            <w:r w:rsidRPr="003A6B6F">
              <w:rPr>
                <w:b/>
              </w:rPr>
              <w:t>Предлагаемое решение</w:t>
            </w:r>
            <w:r w:rsidRPr="003A6B6F">
              <w:t>:</w:t>
            </w:r>
            <w:r w:rsidRPr="003A6B6F">
              <w:rPr>
                <w:b/>
              </w:rPr>
              <w:tab/>
            </w:r>
            <w:r w:rsidRPr="003A6B6F">
              <w:t>Изменить с</w:t>
            </w:r>
            <w:r w:rsidR="00F772C7">
              <w:t>оответствующие части подраздела</w:t>
            </w:r>
            <w:r w:rsidR="00F772C7">
              <w:rPr>
                <w:lang w:val="en-US"/>
              </w:rPr>
              <w:t> </w:t>
            </w:r>
            <w:r w:rsidRPr="003A6B6F">
              <w:t>1.1.3.6 и пункт</w:t>
            </w:r>
            <w:r w:rsidR="003671CD">
              <w:t xml:space="preserve"> 5.4.1.1.1 </w:t>
            </w:r>
            <w:r w:rsidRPr="003A6B6F">
              <w:t>f).</w:t>
            </w:r>
          </w:p>
        </w:tc>
      </w:tr>
      <w:tr w:rsidR="00716651" w:rsidRPr="003A6B6F" w:rsidTr="00641A99">
        <w:tc>
          <w:tcPr>
            <w:tcW w:w="9854" w:type="dxa"/>
            <w:tcBorders>
              <w:top w:val="nil"/>
              <w:bottom w:val="nil"/>
            </w:tcBorders>
            <w:shd w:val="clear" w:color="auto" w:fill="auto"/>
          </w:tcPr>
          <w:p w:rsidR="00716651" w:rsidRPr="003A6B6F" w:rsidRDefault="00C56BEE" w:rsidP="003671CD">
            <w:pPr>
              <w:pStyle w:val="SingleTxtGR"/>
              <w:tabs>
                <w:tab w:val="clear" w:pos="1701"/>
                <w:tab w:val="clear" w:pos="2268"/>
                <w:tab w:val="clear" w:pos="2835"/>
                <w:tab w:val="clear" w:pos="3402"/>
                <w:tab w:val="clear" w:pos="3969"/>
              </w:tabs>
              <w:spacing w:line="220" w:lineRule="atLeast"/>
              <w:ind w:left="3976" w:hanging="2842"/>
              <w:jc w:val="left"/>
              <w:rPr>
                <w:b/>
              </w:rPr>
            </w:pPr>
            <w:r w:rsidRPr="003A6B6F">
              <w:rPr>
                <w:b/>
              </w:rPr>
              <w:t>Справочные документы</w:t>
            </w:r>
            <w:r w:rsidRPr="003A6B6F">
              <w:t>:</w:t>
            </w:r>
            <w:r w:rsidRPr="003A6B6F">
              <w:rPr>
                <w:b/>
              </w:rPr>
              <w:tab/>
            </w:r>
            <w:r w:rsidRPr="003A6B6F">
              <w:t>ECE/TRANS/WP.15/2015/14 (МСАТ)</w:t>
            </w:r>
            <w:r w:rsidR="009D54F4" w:rsidRPr="00F772C7">
              <w:br/>
            </w:r>
            <w:r w:rsidRPr="003A6B6F">
              <w:rPr>
                <w:bCs/>
                <w:iCs/>
              </w:rPr>
              <w:t>Неофициальный документ</w:t>
            </w:r>
            <w:r w:rsidRPr="003A6B6F">
              <w:t xml:space="preserve"> INF.10 (ЕСФХП)</w:t>
            </w:r>
            <w:r w:rsidR="009D54F4">
              <w:t>,</w:t>
            </w:r>
            <w:r w:rsidRPr="003A6B6F">
              <w:t xml:space="preserve"> </w:t>
            </w:r>
            <w:r w:rsidR="00434AA0">
              <w:t>п</w:t>
            </w:r>
            <w:r w:rsidRPr="003A6B6F">
              <w:t xml:space="preserve">редставленный на девяносто девятой сессии </w:t>
            </w:r>
            <w:r w:rsidRPr="003A6B6F">
              <w:lastRenderedPageBreak/>
              <w:t>WP.15</w:t>
            </w:r>
            <w:r w:rsidR="009D54F4">
              <w:br/>
            </w:r>
            <w:r w:rsidRPr="003A6B6F">
              <w:t>ECE/TRANS/WP.15/230, доклад о работе девяносто девятой сессии WP</w:t>
            </w:r>
            <w:r w:rsidR="009D54F4">
              <w:t>.15</w:t>
            </w:r>
            <w:r w:rsidR="009D54F4">
              <w:br/>
            </w:r>
            <w:r w:rsidRPr="003A6B6F">
              <w:t>ECE/TRANS/WP.15/2016/3 (МСАТ)</w:t>
            </w:r>
            <w:r w:rsidR="003671CD">
              <w:br/>
            </w:r>
            <w:r w:rsidRPr="003A6B6F">
              <w:rPr>
                <w:bCs/>
                <w:iCs/>
              </w:rPr>
              <w:t>Неофициальный документ</w:t>
            </w:r>
            <w:r w:rsidRPr="003A6B6F">
              <w:t xml:space="preserve"> INF.24 (Швеция), представленный на 100-й сессии WP.15</w:t>
            </w:r>
            <w:r w:rsidR="009D54F4">
              <w:br/>
            </w:r>
            <w:r w:rsidRPr="003A6B6F">
              <w:t xml:space="preserve">ECE/TRANS/WP.15/233, доклад о работе </w:t>
            </w:r>
            <w:r w:rsidR="00232DFC">
              <w:br/>
            </w:r>
            <w:r w:rsidRPr="003A6B6F">
              <w:t>100-й сессии WP.15</w:t>
            </w:r>
            <w:r w:rsidR="00942789">
              <w:br/>
            </w:r>
            <w:r w:rsidRPr="003A6B6F">
              <w:t>ECE/TRANS/WP.15/2016/10 (Швеция)</w:t>
            </w:r>
          </w:p>
        </w:tc>
      </w:tr>
      <w:tr w:rsidR="00E3002F" w:rsidRPr="003A6B6F" w:rsidTr="00641A99">
        <w:tc>
          <w:tcPr>
            <w:tcW w:w="9854" w:type="dxa"/>
            <w:tcBorders>
              <w:top w:val="nil"/>
            </w:tcBorders>
            <w:shd w:val="clear" w:color="auto" w:fill="auto"/>
          </w:tcPr>
          <w:p w:rsidR="00E3002F" w:rsidRPr="003A6B6F" w:rsidRDefault="00E3002F" w:rsidP="00E3002F"/>
        </w:tc>
      </w:tr>
    </w:tbl>
    <w:p w:rsidR="00410E5E" w:rsidRPr="003A6B6F" w:rsidRDefault="00410E5E" w:rsidP="00E3002F">
      <w:pPr>
        <w:pStyle w:val="HChGR"/>
        <w:rPr>
          <w:lang w:bidi="ru-RU"/>
        </w:rPr>
      </w:pPr>
      <w:r w:rsidRPr="003A6B6F">
        <w:tab/>
      </w:r>
      <w:r w:rsidRPr="003A6B6F">
        <w:tab/>
        <w:t>Введение</w:t>
      </w:r>
    </w:p>
    <w:p w:rsidR="00410E5E" w:rsidRPr="003A6B6F" w:rsidRDefault="00410E5E" w:rsidP="00410E5E">
      <w:pPr>
        <w:pStyle w:val="SingleTxtGR"/>
      </w:pPr>
      <w:r w:rsidRPr="003A6B6F">
        <w:t>1.</w:t>
      </w:r>
      <w:r w:rsidRPr="003A6B6F">
        <w:tab/>
        <w:t xml:space="preserve">Следует напомнить, что толкование подпункта 5.4.1.1.1 f) создает проблемы для транспортных компаний, водители которых не ознакомлены с ДОПОГ. </w:t>
      </w:r>
    </w:p>
    <w:p w:rsidR="00410E5E" w:rsidRPr="003A6B6F" w:rsidRDefault="00410E5E" w:rsidP="00410E5E">
      <w:pPr>
        <w:pStyle w:val="SingleTxtGR"/>
      </w:pPr>
      <w:r w:rsidRPr="003A6B6F">
        <w:t>2.</w:t>
      </w:r>
      <w:r w:rsidRPr="003A6B6F">
        <w:tab/>
        <w:t>В подразделе 5.4.1.1 ДОПОГ не указаны рассчитанные значения, необходимые для определения максимального количества согласно подразделу 1.1.3.6. Теоретически это означает, что водители обязательно должны уметь выполнять все расчеты исходя из транспортной категории для каждого типа опасных грузов.</w:t>
      </w:r>
    </w:p>
    <w:p w:rsidR="00410E5E" w:rsidRPr="003A6B6F" w:rsidRDefault="00410E5E" w:rsidP="00410E5E">
      <w:pPr>
        <w:pStyle w:val="SingleTxtGR"/>
      </w:pPr>
      <w:r w:rsidRPr="003A6B6F">
        <w:t>3.</w:t>
      </w:r>
      <w:r w:rsidRPr="003A6B6F">
        <w:tab/>
        <w:t>Вполне возможно, что водители, осуществляющие такую доставку на ежедневной основе, нарушают правила, так как они обычно не имеют в своем распоряжении правила ДОПОГ и, следовательно, не в состоянии вычислить значения (рассчитанные значения) согласно подразделу 1.1.3.6.</w:t>
      </w:r>
    </w:p>
    <w:p w:rsidR="00410E5E" w:rsidRPr="003A6B6F" w:rsidRDefault="00410E5E" w:rsidP="00410E5E">
      <w:pPr>
        <w:pStyle w:val="SingleTxtGR"/>
      </w:pPr>
      <w:r w:rsidRPr="003A6B6F">
        <w:t>4.</w:t>
      </w:r>
      <w:r w:rsidRPr="003A6B6F">
        <w:tab/>
        <w:t>Общее количество опасных грузов каждой транспортной категории и сумма этих рассчитанных значений должны указываться в транспортном документе в соответствии с пунктом 1.1.3.6.3.</w:t>
      </w:r>
    </w:p>
    <w:p w:rsidR="00410E5E" w:rsidRPr="003A6B6F" w:rsidRDefault="00410E5E" w:rsidP="00410E5E">
      <w:pPr>
        <w:pStyle w:val="SingleTxtGR"/>
      </w:pPr>
      <w:r w:rsidRPr="003A6B6F">
        <w:t>5.</w:t>
      </w:r>
      <w:r w:rsidRPr="003A6B6F">
        <w:tab/>
        <w:t xml:space="preserve">Делегация Швеции, поддержавшая нашу инициативу на предыдущей сессии, представила </w:t>
      </w:r>
      <w:r w:rsidRPr="003A6B6F">
        <w:rPr>
          <w:bCs/>
        </w:rPr>
        <w:t>официальный документ</w:t>
      </w:r>
      <w:r w:rsidRPr="003A6B6F">
        <w:t>, в котором отмечается, что во время обсуждений с договаривающимися сторонами было выражено мнение о том, что указание рассчитанного значения в</w:t>
      </w:r>
      <w:r w:rsidR="00C56BEE" w:rsidRPr="003A6B6F">
        <w:t xml:space="preserve"> </w:t>
      </w:r>
      <w:r w:rsidRPr="003A6B6F">
        <w:t>транспортном документе</w:t>
      </w:r>
      <w:r w:rsidRPr="003A6B6F">
        <w:rPr>
          <w:iCs/>
        </w:rPr>
        <w:t xml:space="preserve"> </w:t>
      </w:r>
      <w:r w:rsidRPr="003A6B6F">
        <w:t xml:space="preserve">было бы полезным для всех участников перевозки </w:t>
      </w:r>
      <w:r w:rsidRPr="003A6B6F">
        <w:rPr>
          <w:iCs/>
        </w:rPr>
        <w:t>в случае применения подраздела</w:t>
      </w:r>
      <w:r w:rsidR="00C56BEE" w:rsidRPr="003A6B6F">
        <w:rPr>
          <w:iCs/>
        </w:rPr>
        <w:t xml:space="preserve"> </w:t>
      </w:r>
      <w:r w:rsidRPr="003A6B6F">
        <w:rPr>
          <w:iCs/>
        </w:rPr>
        <w:t>1.1.3.6.</w:t>
      </w:r>
    </w:p>
    <w:p w:rsidR="00410E5E" w:rsidRPr="003A6B6F" w:rsidRDefault="00410E5E" w:rsidP="00E3002F">
      <w:pPr>
        <w:pStyle w:val="H1GR"/>
      </w:pPr>
      <w:r w:rsidRPr="003A6B6F">
        <w:tab/>
      </w:r>
      <w:r w:rsidRPr="003A6B6F">
        <w:tab/>
        <w:t>Замечания и доводы в поддержку документа ECE/TRANS/WP.15/2016/10 (Швеция)</w:t>
      </w:r>
    </w:p>
    <w:p w:rsidR="00410E5E" w:rsidRPr="003A6B6F" w:rsidRDefault="00410E5E" w:rsidP="00410E5E">
      <w:pPr>
        <w:pStyle w:val="SingleTxtGR"/>
      </w:pPr>
      <w:r w:rsidRPr="003A6B6F">
        <w:t>6.</w:t>
      </w:r>
      <w:r w:rsidRPr="003A6B6F">
        <w:tab/>
        <w:t xml:space="preserve">Как отмечалось в ходе предыдущей сессии WP.15, вышеупомянутое предложение, </w:t>
      </w:r>
      <w:r w:rsidRPr="003A6B6F">
        <w:rPr>
          <w:bCs/>
        </w:rPr>
        <w:t>представленное Швецией,</w:t>
      </w:r>
      <w:r w:rsidRPr="003A6B6F">
        <w:t xml:space="preserve"> было в принципе принято договаривающимися сторонами.</w:t>
      </w:r>
    </w:p>
    <w:p w:rsidR="00410E5E" w:rsidRPr="003A6B6F" w:rsidRDefault="00410E5E" w:rsidP="00410E5E">
      <w:pPr>
        <w:pStyle w:val="SingleTxtGR"/>
      </w:pPr>
      <w:r w:rsidRPr="003A6B6F">
        <w:t>7.</w:t>
      </w:r>
      <w:r w:rsidRPr="003A6B6F">
        <w:tab/>
        <w:t xml:space="preserve">МСАТ поддерживает проект предложения 3, подготовленный Швецией с целью упрощения пункта 1.1.3.6.4. </w:t>
      </w:r>
    </w:p>
    <w:p w:rsidR="00410E5E" w:rsidRPr="003A6B6F" w:rsidRDefault="00410E5E" w:rsidP="00410E5E">
      <w:pPr>
        <w:pStyle w:val="SingleTxtGR"/>
      </w:pPr>
      <w:r w:rsidRPr="003A6B6F">
        <w:t>8.</w:t>
      </w:r>
      <w:r w:rsidRPr="003A6B6F">
        <w:tab/>
        <w:t>Данная поправка уточняет, что соответствующее значение должно всегда указываться в транспортном документе, и охватывает все опасные грузы независимо от того, принадлежат ли они к разным транспортным категориям или к одной и той же.</w:t>
      </w:r>
    </w:p>
    <w:p w:rsidR="00410E5E" w:rsidRPr="003A6B6F" w:rsidRDefault="00410E5E" w:rsidP="00410E5E">
      <w:pPr>
        <w:pStyle w:val="SingleTxtGR"/>
      </w:pPr>
      <w:r w:rsidRPr="003A6B6F">
        <w:lastRenderedPageBreak/>
        <w:t>9.</w:t>
      </w:r>
      <w:r w:rsidRPr="003A6B6F">
        <w:tab/>
        <w:t>Поправка, предусматривающая, что в</w:t>
      </w:r>
      <w:r w:rsidR="00434AA0">
        <w:t xml:space="preserve"> конце пункта после «1 </w:t>
      </w:r>
      <w:r w:rsidRPr="003A6B6F">
        <w:t>000» следует добавить «рассчитанных значений», уточняет информацию, содержащуюся в транспортном документе, когда грузоотправители/перевозчики применяют подраздел 1.1.3.6.</w:t>
      </w:r>
    </w:p>
    <w:p w:rsidR="00410E5E" w:rsidRPr="003A6B6F" w:rsidRDefault="00410E5E" w:rsidP="00410E5E">
      <w:pPr>
        <w:pStyle w:val="SingleTxtGR"/>
      </w:pPr>
      <w:r w:rsidRPr="003A6B6F">
        <w:t>10.</w:t>
      </w:r>
      <w:r w:rsidRPr="003A6B6F">
        <w:tab/>
        <w:t>МСАТ приветствует проект предложения 4 об изменении примечания 1 в пункте</w:t>
      </w:r>
      <w:r w:rsidR="00232DFC">
        <w:t xml:space="preserve"> 5.4.1.1.1 </w:t>
      </w:r>
      <w:r w:rsidRPr="003A6B6F">
        <w:t>f) путем добавления после общего количества слов «и рассчитанное значение»; водитель сможет определять значения максимального количества и избегать применения</w:t>
      </w:r>
      <w:bookmarkStart w:id="4" w:name="_GoBack"/>
      <w:bookmarkEnd w:id="4"/>
      <w:r w:rsidRPr="003A6B6F">
        <w:t xml:space="preserve"> в отношении него санкций.</w:t>
      </w:r>
    </w:p>
    <w:p w:rsidR="00410E5E" w:rsidRPr="003A6B6F" w:rsidRDefault="00410E5E" w:rsidP="00410E5E">
      <w:pPr>
        <w:pStyle w:val="SingleTxtGR"/>
      </w:pPr>
      <w:r w:rsidRPr="003A6B6F">
        <w:t>11.</w:t>
      </w:r>
      <w:r w:rsidRPr="003A6B6F">
        <w:tab/>
        <w:t>Что касается предлагаемых поправок, сформулированных в предложениях 1, 2 и 5, то все они явно улучшат текст и тем самым повысят безопасность перевозок, устранив любую путаницу при толковании текстов и при расчете количеств, подпадающих под изъятия, а также</w:t>
      </w:r>
      <w:r w:rsidR="00F772C7">
        <w:t xml:space="preserve"> облегчат применение подраздела</w:t>
      </w:r>
      <w:r w:rsidR="00F772C7">
        <w:rPr>
          <w:lang w:val="en-US"/>
        </w:rPr>
        <w:t> </w:t>
      </w:r>
      <w:r w:rsidRPr="003A6B6F">
        <w:t>1.1.3.6 и пункта 5.4.1.1.1</w:t>
      </w:r>
      <w:r w:rsidR="00232DFC">
        <w:t> </w:t>
      </w:r>
      <w:r w:rsidRPr="003A6B6F">
        <w:t>f).</w:t>
      </w:r>
    </w:p>
    <w:p w:rsidR="00410E5E" w:rsidRPr="003A6B6F" w:rsidRDefault="00410E5E" w:rsidP="00E3002F">
      <w:pPr>
        <w:pStyle w:val="HChGR"/>
      </w:pPr>
      <w:r w:rsidRPr="003A6B6F">
        <w:tab/>
      </w:r>
      <w:r w:rsidRPr="003A6B6F">
        <w:tab/>
        <w:t>Обоснование</w:t>
      </w:r>
    </w:p>
    <w:p w:rsidR="00410E5E" w:rsidRPr="003A6B6F" w:rsidRDefault="00410E5E" w:rsidP="00410E5E">
      <w:pPr>
        <w:pStyle w:val="SingleTxtGR"/>
      </w:pPr>
      <w:r w:rsidRPr="003A6B6F">
        <w:t>Безопасность:</w:t>
      </w:r>
      <w:r w:rsidRPr="003A6B6F">
        <w:tab/>
        <w:t>более ясный текст повышает безопасность перевозок.</w:t>
      </w:r>
    </w:p>
    <w:p w:rsidR="00410E5E" w:rsidRPr="003A6B6F" w:rsidRDefault="00434AA0" w:rsidP="00410E5E">
      <w:pPr>
        <w:pStyle w:val="SingleTxtGR"/>
        <w:rPr>
          <w:b/>
        </w:rPr>
      </w:pPr>
      <w:r>
        <w:t>Осуществимость:</w:t>
      </w:r>
      <w:r>
        <w:tab/>
      </w:r>
      <w:r w:rsidR="00410E5E" w:rsidRPr="003A6B6F">
        <w:t>возможность избежать путаницы при толковании текстов.</w:t>
      </w:r>
    </w:p>
    <w:p w:rsidR="00410E5E" w:rsidRPr="003A6B6F" w:rsidRDefault="00410E5E" w:rsidP="00410E5E">
      <w:pPr>
        <w:pStyle w:val="SingleTxtGR"/>
      </w:pPr>
      <w:r w:rsidRPr="003A6B6F">
        <w:t>Облегчает применение подраздела 1.1.3.6 и пункта 5.4.1.1.1</w:t>
      </w:r>
      <w:r w:rsidR="00232DFC">
        <w:t> </w:t>
      </w:r>
      <w:r w:rsidRPr="003A6B6F">
        <w:t>f).</w:t>
      </w:r>
    </w:p>
    <w:p w:rsidR="00A658DB" w:rsidRPr="00434AA0" w:rsidRDefault="00434AA0" w:rsidP="00434AA0">
      <w:pPr>
        <w:spacing w:before="240"/>
        <w:jc w:val="center"/>
        <w:rPr>
          <w:u w:val="single"/>
        </w:rPr>
      </w:pPr>
      <w:r>
        <w:rPr>
          <w:u w:val="single"/>
        </w:rPr>
        <w:tab/>
      </w:r>
      <w:r>
        <w:rPr>
          <w:u w:val="single"/>
        </w:rPr>
        <w:tab/>
      </w:r>
      <w:r>
        <w:rPr>
          <w:u w:val="single"/>
        </w:rPr>
        <w:tab/>
      </w:r>
    </w:p>
    <w:sectPr w:rsidR="00A658DB" w:rsidRPr="00434AA0" w:rsidSect="004D639B">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0D4" w:rsidRDefault="00AF60D4" w:rsidP="00B471C5">
      <w:r>
        <w:separator/>
      </w:r>
    </w:p>
  </w:endnote>
  <w:endnote w:type="continuationSeparator" w:id="0">
    <w:p w:rsidR="00AF60D4" w:rsidRDefault="00AF60D4" w:rsidP="00B47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EE" w:rsidRPr="009A6F4A" w:rsidRDefault="00C91F58" w:rsidP="007005EE">
    <w:pPr>
      <w:pStyle w:val="Pieddepage"/>
      <w:rPr>
        <w:lang w:val="en-US"/>
      </w:rPr>
    </w:pPr>
    <w:r w:rsidRPr="00BA2D2B">
      <w:rPr>
        <w:b/>
        <w:sz w:val="18"/>
        <w:szCs w:val="18"/>
      </w:rPr>
      <w:fldChar w:fldCharType="begin"/>
    </w:r>
    <w:r w:rsidR="007005EE" w:rsidRPr="00BA2D2B">
      <w:rPr>
        <w:b/>
        <w:sz w:val="18"/>
        <w:szCs w:val="18"/>
      </w:rPr>
      <w:instrText xml:space="preserve"> PAGE  \* Arabic  \* MERGEFORMAT </w:instrText>
    </w:r>
    <w:r w:rsidRPr="00BA2D2B">
      <w:rPr>
        <w:b/>
        <w:sz w:val="18"/>
        <w:szCs w:val="18"/>
      </w:rPr>
      <w:fldChar w:fldCharType="separate"/>
    </w:r>
    <w:r w:rsidR="00501971">
      <w:rPr>
        <w:b/>
        <w:noProof/>
        <w:sz w:val="18"/>
        <w:szCs w:val="18"/>
      </w:rPr>
      <w:t>2</w:t>
    </w:r>
    <w:r w:rsidRPr="00BA2D2B">
      <w:rPr>
        <w:b/>
        <w:sz w:val="18"/>
        <w:szCs w:val="18"/>
      </w:rPr>
      <w:fldChar w:fldCharType="end"/>
    </w:r>
    <w:r w:rsidR="007005EE">
      <w:rPr>
        <w:b/>
        <w:sz w:val="18"/>
        <w:szCs w:val="18"/>
      </w:rPr>
      <w:tab/>
    </w:r>
    <w:r w:rsidR="007005EE">
      <w:rPr>
        <w:lang w:val="en-US"/>
      </w:rPr>
      <w:t>GE.16-</w:t>
    </w:r>
    <w:r w:rsidR="00C92323" w:rsidRPr="00C92323">
      <w:rPr>
        <w:lang w:val="en-US"/>
      </w:rPr>
      <w:t>14508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EE" w:rsidRPr="009A6F4A" w:rsidRDefault="007005EE" w:rsidP="007005EE">
    <w:pPr>
      <w:pStyle w:val="Pieddepage"/>
      <w:rPr>
        <w:lang w:val="en-US"/>
      </w:rPr>
    </w:pPr>
    <w:r>
      <w:rPr>
        <w:lang w:val="en-US"/>
      </w:rPr>
      <w:t>GE.16-</w:t>
    </w:r>
    <w:r w:rsidR="00C92323" w:rsidRPr="00C92323">
      <w:rPr>
        <w:lang w:val="en-US"/>
      </w:rPr>
      <w:t>14508</w:t>
    </w:r>
    <w:r>
      <w:rPr>
        <w:lang w:val="en-US"/>
      </w:rPr>
      <w:tab/>
    </w:r>
    <w:r w:rsidR="00C91F58" w:rsidRPr="00BA2D2B">
      <w:rPr>
        <w:b/>
        <w:sz w:val="18"/>
        <w:szCs w:val="18"/>
      </w:rPr>
      <w:fldChar w:fldCharType="begin"/>
    </w:r>
    <w:r w:rsidRPr="00BA2D2B">
      <w:rPr>
        <w:b/>
        <w:sz w:val="18"/>
        <w:szCs w:val="18"/>
      </w:rPr>
      <w:instrText xml:space="preserve"> PAGE  \* Arabic  \* MERGEFORMAT </w:instrText>
    </w:r>
    <w:r w:rsidR="00C91F58" w:rsidRPr="00BA2D2B">
      <w:rPr>
        <w:b/>
        <w:sz w:val="18"/>
        <w:szCs w:val="18"/>
      </w:rPr>
      <w:fldChar w:fldCharType="separate"/>
    </w:r>
    <w:r w:rsidR="00501971">
      <w:rPr>
        <w:b/>
        <w:noProof/>
        <w:sz w:val="18"/>
        <w:szCs w:val="18"/>
      </w:rPr>
      <w:t>3</w:t>
    </w:r>
    <w:r w:rsidR="00C91F58" w:rsidRPr="00BA2D2B">
      <w:rPr>
        <w:b/>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1C3ABC" w:rsidRDefault="00A9606E" w:rsidP="003D164F">
          <w:pPr>
            <w:spacing w:after="40"/>
            <w:rPr>
              <w:rFonts w:ascii="C39T30Lfz" w:hAnsi="C39T30Lfz"/>
              <w:spacing w:val="0"/>
              <w:w w:val="100"/>
              <w:kern w:val="0"/>
              <w:lang w:val="en-US" w:eastAsia="ru-RU"/>
            </w:rPr>
          </w:pPr>
          <w:r w:rsidRPr="001C3ABC">
            <w:rPr>
              <w:lang w:val="en-US"/>
            </w:rPr>
            <w:t>GE.16-</w:t>
          </w:r>
          <w:r w:rsidR="00C92323" w:rsidRPr="00C92323">
            <w:rPr>
              <w:lang w:val="en-US"/>
            </w:rPr>
            <w:t>14508</w:t>
          </w:r>
          <w:r w:rsidRPr="001C3ABC">
            <w:rPr>
              <w:lang w:val="en-US"/>
            </w:rPr>
            <w:t xml:space="preserve"> (R)</w:t>
          </w:r>
          <w:r w:rsidR="00C92323">
            <w:rPr>
              <w:lang w:val="en-US"/>
            </w:rPr>
            <w:t xml:space="preserve">  250816  2</w:t>
          </w:r>
          <w:r w:rsidR="003D164F">
            <w:rPr>
              <w:lang w:val="en-US"/>
            </w:rPr>
            <w:t>5</w:t>
          </w:r>
          <w:r w:rsidR="00C92323">
            <w:rPr>
              <w:lang w:val="en-US"/>
            </w:rPr>
            <w:t>0816</w:t>
          </w:r>
        </w:p>
      </w:tc>
      <w:tc>
        <w:tcPr>
          <w:tcW w:w="5056" w:type="dxa"/>
          <w:vMerge w:val="restart"/>
          <w:tcMar>
            <w:left w:w="57" w:type="dxa"/>
            <w:right w:w="57" w:type="dxa"/>
          </w:tcMar>
          <w:vAlign w:val="bottom"/>
        </w:tcPr>
        <w:p w:rsidR="00A9606E" w:rsidRDefault="00A9606E" w:rsidP="007B199D">
          <w:pPr>
            <w:jc w:val="right"/>
          </w:pPr>
          <w:r>
            <w:rPr>
              <w:b/>
              <w:noProof/>
              <w:lang w:val="fr-FR" w:eastAsia="fr-FR"/>
            </w:rPr>
            <w:drawing>
              <wp:inline distT="0" distB="0" distL="0" distR="0">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972" w:type="dxa"/>
          <w:vMerge w:val="restart"/>
          <w:tcMar>
            <w:left w:w="57" w:type="dxa"/>
            <w:right w:w="0" w:type="dxa"/>
          </w:tcMar>
          <w:vAlign w:val="bottom"/>
        </w:tcPr>
        <w:p w:rsidR="00A9606E" w:rsidRDefault="00B0378E" w:rsidP="007B199D">
          <w:pPr>
            <w:jc w:val="right"/>
          </w:pPr>
          <w:r>
            <w:rPr>
              <w:noProof/>
              <w:lang w:val="fr-FR" w:eastAsia="fr-FR"/>
            </w:rPr>
            <w:drawing>
              <wp:inline distT="0" distB="0" distL="0" distR="0">
                <wp:extent cx="577850" cy="577850"/>
                <wp:effectExtent l="0" t="0" r="0" b="0"/>
                <wp:docPr id="3" name="Рисунок 3" descr="http://undocs.org/m2/QRCode.ashx?DS=ECE/TRANS/WP.15/2016/17&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6/17&amp;Size=2 &amp;Lang=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850" cy="577850"/>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C92323" w:rsidRDefault="00C92323" w:rsidP="007B199D">
          <w:pPr>
            <w:spacing w:after="40"/>
            <w:rPr>
              <w:rFonts w:ascii="C39T30Lfz" w:hAnsi="C39T30Lfz"/>
              <w:spacing w:val="0"/>
              <w:w w:val="100"/>
              <w:kern w:val="0"/>
              <w:sz w:val="56"/>
              <w:szCs w:val="56"/>
              <w:lang w:val="en-US" w:eastAsia="ru-RU"/>
            </w:rPr>
          </w:pPr>
          <w:r w:rsidRPr="00C92323">
            <w:rPr>
              <w:rFonts w:ascii="C39T30Lfz" w:hAnsi="C39T30Lfz"/>
              <w:spacing w:val="0"/>
              <w:w w:val="100"/>
              <w:kern w:val="0"/>
              <w:sz w:val="56"/>
              <w:szCs w:val="56"/>
              <w:lang w:val="en-US" w:eastAsia="ru-RU"/>
            </w:rPr>
            <w:t></w:t>
          </w:r>
          <w:r w:rsidRPr="00C92323">
            <w:rPr>
              <w:rFonts w:ascii="C39T30Lfz" w:hAnsi="C39T30Lfz"/>
              <w:spacing w:val="0"/>
              <w:w w:val="100"/>
              <w:kern w:val="0"/>
              <w:sz w:val="56"/>
              <w:szCs w:val="56"/>
              <w:lang w:val="en-US" w:eastAsia="ru-RU"/>
            </w:rPr>
            <w:t></w:t>
          </w:r>
          <w:r w:rsidRPr="00C92323">
            <w:rPr>
              <w:rFonts w:ascii="C39T30Lfz" w:hAnsi="C39T30Lfz"/>
              <w:spacing w:val="0"/>
              <w:w w:val="100"/>
              <w:kern w:val="0"/>
              <w:sz w:val="56"/>
              <w:szCs w:val="56"/>
              <w:lang w:val="en-US" w:eastAsia="ru-RU"/>
            </w:rPr>
            <w:t></w:t>
          </w:r>
          <w:r w:rsidRPr="00C92323">
            <w:rPr>
              <w:rFonts w:ascii="C39T30Lfz" w:hAnsi="C39T30Lfz"/>
              <w:spacing w:val="0"/>
              <w:w w:val="100"/>
              <w:kern w:val="0"/>
              <w:sz w:val="56"/>
              <w:szCs w:val="56"/>
              <w:lang w:val="en-US" w:eastAsia="ru-RU"/>
            </w:rPr>
            <w:t></w:t>
          </w:r>
          <w:r w:rsidRPr="00C92323">
            <w:rPr>
              <w:rFonts w:ascii="C39T30Lfz" w:hAnsi="C39T30Lfz"/>
              <w:spacing w:val="0"/>
              <w:w w:val="100"/>
              <w:kern w:val="0"/>
              <w:sz w:val="56"/>
              <w:szCs w:val="56"/>
              <w:lang w:val="en-US" w:eastAsia="ru-RU"/>
            </w:rPr>
            <w:t></w:t>
          </w:r>
          <w:r w:rsidRPr="00C92323">
            <w:rPr>
              <w:rFonts w:ascii="C39T30Lfz" w:hAnsi="C39T30Lfz"/>
              <w:spacing w:val="0"/>
              <w:w w:val="100"/>
              <w:kern w:val="0"/>
              <w:sz w:val="56"/>
              <w:szCs w:val="56"/>
              <w:lang w:val="en-US" w:eastAsia="ru-RU"/>
            </w:rPr>
            <w:t></w:t>
          </w:r>
          <w:r w:rsidRPr="00C92323">
            <w:rPr>
              <w:rFonts w:ascii="C39T30Lfz" w:hAnsi="C39T30Lfz"/>
              <w:spacing w:val="0"/>
              <w:w w:val="100"/>
              <w:kern w:val="0"/>
              <w:sz w:val="56"/>
              <w:szCs w:val="56"/>
              <w:lang w:val="en-US" w:eastAsia="ru-RU"/>
            </w:rPr>
            <w:t></w:t>
          </w:r>
          <w:r w:rsidRPr="00C92323">
            <w:rPr>
              <w:rFonts w:ascii="C39T30Lfz" w:hAnsi="C39T30Lfz"/>
              <w:spacing w:val="0"/>
              <w:w w:val="100"/>
              <w:kern w:val="0"/>
              <w:sz w:val="56"/>
              <w:szCs w:val="56"/>
              <w:lang w:val="en-US" w:eastAsia="ru-RU"/>
            </w:rPr>
            <w:t></w:t>
          </w:r>
          <w:r w:rsidRPr="00C92323">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Pieddepage"/>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0D4" w:rsidRPr="009141DC" w:rsidRDefault="00AF60D4" w:rsidP="00D1261C">
      <w:pPr>
        <w:tabs>
          <w:tab w:val="left" w:pos="2268"/>
        </w:tabs>
        <w:spacing w:after="80"/>
        <w:ind w:left="680"/>
        <w:rPr>
          <w:u w:val="single"/>
          <w:lang w:val="en-US"/>
        </w:rPr>
      </w:pPr>
      <w:r>
        <w:rPr>
          <w:u w:val="single"/>
          <w:lang w:val="en-US"/>
        </w:rPr>
        <w:tab/>
      </w:r>
    </w:p>
  </w:footnote>
  <w:footnote w:type="continuationSeparator" w:id="0">
    <w:p w:rsidR="00AF60D4" w:rsidRPr="00D1261C" w:rsidRDefault="00AF60D4" w:rsidP="00D1261C">
      <w:pPr>
        <w:tabs>
          <w:tab w:val="left" w:pos="2268"/>
        </w:tabs>
        <w:spacing w:after="80"/>
        <w:rPr>
          <w:u w:val="single"/>
          <w:lang w:val="en-US"/>
        </w:rPr>
      </w:pPr>
      <w:r>
        <w:rPr>
          <w:u w:val="single"/>
          <w:lang w:val="en-US"/>
        </w:rPr>
        <w:tab/>
      </w:r>
    </w:p>
  </w:footnote>
  <w:footnote w:id="1">
    <w:p w:rsidR="00410E5E" w:rsidRPr="00DE0688" w:rsidRDefault="00410E5E" w:rsidP="00410E5E">
      <w:pPr>
        <w:pStyle w:val="Notedebasdepage"/>
        <w:spacing w:line="240" w:lineRule="auto"/>
        <w:rPr>
          <w:lang w:val="ru-RU"/>
        </w:rPr>
      </w:pPr>
      <w:r>
        <w:tab/>
      </w:r>
      <w:r>
        <w:rPr>
          <w:rStyle w:val="Appelnotedebasdep"/>
        </w:rPr>
        <w:footnoteRef/>
      </w:r>
      <w:r w:rsidRPr="00DE0688">
        <w:rPr>
          <w:lang w:val="ru-RU"/>
        </w:rPr>
        <w:tab/>
      </w:r>
      <w:r>
        <w:rPr>
          <w:lang w:val="ru-RU"/>
        </w:rPr>
        <w:t>В с</w:t>
      </w:r>
      <w:r w:rsidRPr="00DE0688">
        <w:rPr>
          <w:lang w:val="ru-RU"/>
        </w:rPr>
        <w:t xml:space="preserve">оответствии с программой работы Комитета по внутреннему транспорту </w:t>
      </w:r>
      <w:r w:rsidRPr="00DE0688">
        <w:rPr>
          <w:lang w:val="ru-RU"/>
        </w:rPr>
        <w:br/>
        <w:t>на 2016–2017 годы (</w:t>
      </w:r>
      <w:r w:rsidRPr="00DE0688">
        <w:rPr>
          <w:lang w:val="fr-CH"/>
        </w:rPr>
        <w:t>ECE</w:t>
      </w:r>
      <w:r w:rsidRPr="00DE0688">
        <w:rPr>
          <w:lang w:val="ru-RU"/>
        </w:rPr>
        <w:t>/</w:t>
      </w:r>
      <w:r w:rsidRPr="00DE0688">
        <w:rPr>
          <w:lang w:val="fr-CH"/>
        </w:rPr>
        <w:t>TRANS</w:t>
      </w:r>
      <w:r w:rsidRPr="00DE0688">
        <w:rPr>
          <w:lang w:val="ru-RU"/>
        </w:rPr>
        <w:t>/2016/28/Add.1 (9.</w:t>
      </w:r>
      <w:r>
        <w:rPr>
          <w:lang w:val="ru-RU"/>
        </w:rPr>
        <w:t>1</w:t>
      </w:r>
      <w:r w:rsidRPr="00DE0688">
        <w:rPr>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DB" w:rsidRPr="00242817" w:rsidRDefault="00242817">
    <w:pPr>
      <w:pStyle w:val="En-tte"/>
      <w:rPr>
        <w:lang w:val="ru-RU"/>
      </w:rPr>
    </w:pPr>
    <w:r w:rsidRPr="00242817">
      <w:rPr>
        <w:lang w:val="ru-RU"/>
      </w:rPr>
      <w:t>ECE/TRANS/WP.15/2016/17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DB" w:rsidRPr="00242817" w:rsidRDefault="00242817" w:rsidP="007005EE">
    <w:pPr>
      <w:pStyle w:val="En-tte"/>
      <w:jc w:val="right"/>
      <w:rPr>
        <w:lang w:val="ru-RU"/>
      </w:rPr>
    </w:pPr>
    <w:r w:rsidRPr="00242817">
      <w:rPr>
        <w:lang w:val="ru-RU"/>
      </w:rPr>
      <w:t>ECE/TRANS/WP.15/2016/17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23" w:rsidRDefault="00C92323" w:rsidP="00C92323">
    <w:pPr>
      <w:pStyle w:val="En-tt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9D3A94"/>
    <w:rsid w:val="000118AB"/>
    <w:rsid w:val="0002184B"/>
    <w:rsid w:val="000450D1"/>
    <w:rsid w:val="000746D5"/>
    <w:rsid w:val="000B1FD5"/>
    <w:rsid w:val="000F2A4F"/>
    <w:rsid w:val="001674B6"/>
    <w:rsid w:val="00203F84"/>
    <w:rsid w:val="00232DFC"/>
    <w:rsid w:val="00237268"/>
    <w:rsid w:val="00242817"/>
    <w:rsid w:val="00275188"/>
    <w:rsid w:val="0028687D"/>
    <w:rsid w:val="002B091C"/>
    <w:rsid w:val="002B3D40"/>
    <w:rsid w:val="002D0CCB"/>
    <w:rsid w:val="00345C79"/>
    <w:rsid w:val="00366A39"/>
    <w:rsid w:val="003671CD"/>
    <w:rsid w:val="003A6B6F"/>
    <w:rsid w:val="003D164F"/>
    <w:rsid w:val="00410E5E"/>
    <w:rsid w:val="00434AA0"/>
    <w:rsid w:val="0048005C"/>
    <w:rsid w:val="004D639B"/>
    <w:rsid w:val="004E242B"/>
    <w:rsid w:val="004E3046"/>
    <w:rsid w:val="00501971"/>
    <w:rsid w:val="005164B5"/>
    <w:rsid w:val="00544379"/>
    <w:rsid w:val="0055359F"/>
    <w:rsid w:val="00566944"/>
    <w:rsid w:val="005D56BF"/>
    <w:rsid w:val="0062027E"/>
    <w:rsid w:val="00641A99"/>
    <w:rsid w:val="00643644"/>
    <w:rsid w:val="00665D8D"/>
    <w:rsid w:val="006A7A3B"/>
    <w:rsid w:val="006B6B57"/>
    <w:rsid w:val="006C6562"/>
    <w:rsid w:val="006F49F1"/>
    <w:rsid w:val="007005EE"/>
    <w:rsid w:val="00705394"/>
    <w:rsid w:val="00716651"/>
    <w:rsid w:val="00743F62"/>
    <w:rsid w:val="00760D3A"/>
    <w:rsid w:val="00773BA8"/>
    <w:rsid w:val="007A1F42"/>
    <w:rsid w:val="007D76DD"/>
    <w:rsid w:val="00822F91"/>
    <w:rsid w:val="008717E8"/>
    <w:rsid w:val="008D01AE"/>
    <w:rsid w:val="008E0423"/>
    <w:rsid w:val="009141DC"/>
    <w:rsid w:val="009174A1"/>
    <w:rsid w:val="00942789"/>
    <w:rsid w:val="0098674D"/>
    <w:rsid w:val="00997ACA"/>
    <w:rsid w:val="009D3A94"/>
    <w:rsid w:val="009D54F4"/>
    <w:rsid w:val="00A03FB7"/>
    <w:rsid w:val="00A55C56"/>
    <w:rsid w:val="00A658DB"/>
    <w:rsid w:val="00A75A11"/>
    <w:rsid w:val="00A9606E"/>
    <w:rsid w:val="00AD7EAD"/>
    <w:rsid w:val="00AF60D4"/>
    <w:rsid w:val="00B0378E"/>
    <w:rsid w:val="00B35A32"/>
    <w:rsid w:val="00B432C6"/>
    <w:rsid w:val="00B471C5"/>
    <w:rsid w:val="00B6474A"/>
    <w:rsid w:val="00BB3348"/>
    <w:rsid w:val="00BE1742"/>
    <w:rsid w:val="00C242BA"/>
    <w:rsid w:val="00C56BEE"/>
    <w:rsid w:val="00C91F58"/>
    <w:rsid w:val="00C92323"/>
    <w:rsid w:val="00D1261C"/>
    <w:rsid w:val="00D26030"/>
    <w:rsid w:val="00D75DCE"/>
    <w:rsid w:val="00DD35AC"/>
    <w:rsid w:val="00DD479F"/>
    <w:rsid w:val="00E01FCA"/>
    <w:rsid w:val="00E15E48"/>
    <w:rsid w:val="00E3002F"/>
    <w:rsid w:val="00EB0723"/>
    <w:rsid w:val="00EB2957"/>
    <w:rsid w:val="00EB379B"/>
    <w:rsid w:val="00EE6F37"/>
    <w:rsid w:val="00F1599F"/>
    <w:rsid w:val="00F31EF2"/>
    <w:rsid w:val="00F772C7"/>
    <w:rsid w:val="00F925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1"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Titre1">
    <w:name w:val="heading 1"/>
    <w:aliases w:val="Table_GR"/>
    <w:basedOn w:val="Normal"/>
    <w:next w:val="Normal"/>
    <w:link w:val="Titre1Car"/>
    <w:qFormat/>
    <w:rsid w:val="00BE1742"/>
    <w:pPr>
      <w:keepNext/>
      <w:tabs>
        <w:tab w:val="left" w:pos="567"/>
      </w:tabs>
      <w:jc w:val="both"/>
      <w:outlineLvl w:val="0"/>
    </w:pPr>
    <w:rPr>
      <w:rFonts w:cs="Arial"/>
      <w:b/>
      <w:bCs/>
      <w:szCs w:val="32"/>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auNormal"/>
    <w:rsid w:val="00EB2957"/>
    <w:pPr>
      <w:spacing w:before="40" w:after="40" w:line="220" w:lineRule="exact"/>
      <w:jc w:val="right"/>
    </w:pPr>
    <w:rPr>
      <w:rFonts w:ascii="Times New Roman" w:eastAsia="Times New Roman" w:hAnsi="Times New Roman" w:cs="Times New Roman"/>
      <w:sz w:val="18"/>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Row">
      <w:pPr>
        <w:wordWrap/>
        <w:spacing w:beforeLines="0" w:beforeAutospacing="0" w:afterLines="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BE1742"/>
    <w:pPr>
      <w:spacing w:before="40" w:after="120" w:line="240" w:lineRule="atLeast"/>
    </w:pPr>
    <w:rPr>
      <w:rFonts w:ascii="Times New Roman" w:eastAsia="Times New Roman" w:hAnsi="Times New Roman" w:cs="Times New Roman"/>
      <w:sz w:val="20"/>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R"/>
    <w:basedOn w:val="Normal"/>
    <w:next w:val="Normal"/>
    <w:link w:val="En-tteCar"/>
    <w:qFormat/>
    <w:rsid w:val="00BE1742"/>
    <w:pPr>
      <w:pBdr>
        <w:bottom w:val="single" w:sz="4" w:space="4" w:color="auto"/>
      </w:pBdr>
      <w:tabs>
        <w:tab w:val="right" w:pos="9639"/>
      </w:tabs>
      <w:suppressAutoHyphens/>
    </w:pPr>
    <w:rPr>
      <w:b/>
      <w:sz w:val="18"/>
      <w:lang w:val="en-GB" w:eastAsia="ru-RU"/>
    </w:rPr>
  </w:style>
  <w:style w:type="character" w:customStyle="1" w:styleId="En-tteCar">
    <w:name w:val="En-tête Car"/>
    <w:aliases w:val="6_GR Car"/>
    <w:basedOn w:val="Policepardfaut"/>
    <w:link w:val="En-tte"/>
    <w:rsid w:val="00BE1742"/>
    <w:rPr>
      <w:rFonts w:ascii="Times New Roman" w:eastAsia="Times New Roman" w:hAnsi="Times New Roman" w:cs="Times New Roman"/>
      <w:b/>
      <w:sz w:val="18"/>
      <w:szCs w:val="20"/>
      <w:lang w:val="en-GB" w:eastAsia="ru-RU"/>
    </w:rPr>
  </w:style>
  <w:style w:type="character" w:customStyle="1" w:styleId="Titre1Car">
    <w:name w:val="Titre 1 Car"/>
    <w:aliases w:val="Table_GR Car"/>
    <w:basedOn w:val="Policepardfaut"/>
    <w:link w:val="Titre1"/>
    <w:rsid w:val="00BE1742"/>
    <w:rPr>
      <w:rFonts w:ascii="Times New Roman" w:eastAsia="Times New Roman" w:hAnsi="Times New Roman" w:cs="Arial"/>
      <w:b/>
      <w:bCs/>
      <w:spacing w:val="4"/>
      <w:w w:val="103"/>
      <w:kern w:val="14"/>
      <w:sz w:val="20"/>
      <w:szCs w:val="32"/>
      <w:lang w:eastAsia="ru-RU"/>
    </w:rPr>
  </w:style>
  <w:style w:type="character" w:styleId="Appeldenotedefin">
    <w:name w:val="endnote reference"/>
    <w:aliases w:val="1_GR"/>
    <w:basedOn w:val="Appelnotedebasdep"/>
    <w:qFormat/>
    <w:rsid w:val="00BE1742"/>
    <w:rPr>
      <w:rFonts w:ascii="Times New Roman" w:hAnsi="Times New Roman"/>
      <w:dstrike w:val="0"/>
      <w:sz w:val="18"/>
      <w:vertAlign w:val="superscript"/>
    </w:rPr>
  </w:style>
  <w:style w:type="character" w:styleId="Appelnotedebasdep">
    <w:name w:val="footnote reference"/>
    <w:aliases w:val="4_GR,4_G,Footnote Reference/"/>
    <w:basedOn w:val="Policepardfaut"/>
    <w:uiPriority w:val="1"/>
    <w:qFormat/>
    <w:rsid w:val="00BE1742"/>
    <w:rPr>
      <w:rFonts w:ascii="Times New Roman" w:hAnsi="Times New Roman"/>
      <w:dstrike w:val="0"/>
      <w:sz w:val="18"/>
      <w:vertAlign w:val="superscript"/>
    </w:rPr>
  </w:style>
  <w:style w:type="paragraph" w:styleId="Pieddepage">
    <w:name w:val="footer"/>
    <w:aliases w:val="3_GR"/>
    <w:basedOn w:val="Normal"/>
    <w:link w:val="PieddepageCar"/>
    <w:qFormat/>
    <w:rsid w:val="00BE1742"/>
    <w:pPr>
      <w:tabs>
        <w:tab w:val="right" w:pos="9639"/>
      </w:tabs>
      <w:suppressAutoHyphens/>
    </w:pPr>
    <w:rPr>
      <w:sz w:val="16"/>
      <w:lang w:val="en-GB" w:eastAsia="ru-RU"/>
    </w:rPr>
  </w:style>
  <w:style w:type="character" w:customStyle="1" w:styleId="PieddepageCar">
    <w:name w:val="Pied de page Car"/>
    <w:aliases w:val="3_GR Car"/>
    <w:basedOn w:val="Policepardfaut"/>
    <w:link w:val="Pieddepage"/>
    <w:rsid w:val="00BE1742"/>
    <w:rPr>
      <w:rFonts w:ascii="Times New Roman" w:eastAsia="Times New Roman" w:hAnsi="Times New Roman" w:cs="Times New Roman"/>
      <w:sz w:val="16"/>
      <w:szCs w:val="20"/>
      <w:lang w:val="en-GB" w:eastAsia="ru-RU"/>
    </w:rPr>
  </w:style>
  <w:style w:type="character" w:styleId="Numrodepage">
    <w:name w:val="page number"/>
    <w:aliases w:val="7_GR"/>
    <w:basedOn w:val="Policepardfaut"/>
    <w:qFormat/>
    <w:rsid w:val="00BE1742"/>
    <w:rPr>
      <w:rFonts w:ascii="Times New Roman" w:hAnsi="Times New Roman"/>
      <w:b/>
      <w:sz w:val="18"/>
    </w:rPr>
  </w:style>
  <w:style w:type="paragraph" w:styleId="Notedebasdepage">
    <w:name w:val="footnote text"/>
    <w:aliases w:val="5_GR"/>
    <w:basedOn w:val="Normal"/>
    <w:link w:val="NotedebasdepageC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NotedebasdepageCar">
    <w:name w:val="Note de bas de page Car"/>
    <w:aliases w:val="5_GR Car"/>
    <w:basedOn w:val="Policepardfaut"/>
    <w:link w:val="Notedebasdepage"/>
    <w:rsid w:val="00BE1742"/>
    <w:rPr>
      <w:rFonts w:ascii="Times New Roman" w:eastAsia="Times New Roman" w:hAnsi="Times New Roman" w:cs="Times New Roman"/>
      <w:spacing w:val="5"/>
      <w:w w:val="104"/>
      <w:kern w:val="14"/>
      <w:sz w:val="18"/>
      <w:szCs w:val="20"/>
      <w:lang w:val="en-GB" w:eastAsia="ru-RU"/>
    </w:rPr>
  </w:style>
  <w:style w:type="paragraph" w:styleId="Notedefin">
    <w:name w:val="endnote text"/>
    <w:aliases w:val="2_GR"/>
    <w:basedOn w:val="Notedebasdepage"/>
    <w:link w:val="NotedefinCar"/>
    <w:qFormat/>
    <w:rsid w:val="00BE1742"/>
  </w:style>
  <w:style w:type="character" w:customStyle="1" w:styleId="NotedefinCar">
    <w:name w:val="Note de fin Car"/>
    <w:aliases w:val="2_GR Car"/>
    <w:basedOn w:val="Policepardfaut"/>
    <w:link w:val="Notedefin"/>
    <w:rsid w:val="00BE1742"/>
    <w:rPr>
      <w:rFonts w:ascii="Times New Roman" w:eastAsia="Times New Roman" w:hAnsi="Times New Roman" w:cs="Times New Roman"/>
      <w:spacing w:val="5"/>
      <w:w w:val="104"/>
      <w:kern w:val="14"/>
      <w:sz w:val="18"/>
      <w:szCs w:val="20"/>
      <w:lang w:val="en-GB" w:eastAsia="ru-RU"/>
    </w:rPr>
  </w:style>
  <w:style w:type="table" w:styleId="Grilledutableau">
    <w:name w:val="Table Grid"/>
    <w:basedOn w:val="TableauNormal"/>
    <w:rsid w:val="007A1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772C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72C7"/>
    <w:rPr>
      <w:rFonts w:ascii="Tahoma" w:eastAsia="Times New Roman" w:hAnsi="Tahoma" w:cs="Tahoma"/>
      <w:spacing w:val="4"/>
      <w:w w:val="103"/>
      <w:kern w:val="1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1"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4_G,Footnote Reference/"/>
    <w:basedOn w:val="a0"/>
    <w:uiPriority w:val="1"/>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772C7"/>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772C7"/>
    <w:rPr>
      <w:rFonts w:ascii="Tahoma" w:eastAsia="Times New Roman" w:hAnsi="Tahoma" w:cs="Tahoma"/>
      <w:spacing w:val="4"/>
      <w:w w:val="103"/>
      <w:kern w:val="14"/>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2FF48-A35B-42FA-8DE1-E3E6E9A8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3</Pages>
  <Words>680</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Stepanova</dc:creator>
  <cp:lastModifiedBy>Maison</cp:lastModifiedBy>
  <cp:revision>2</cp:revision>
  <cp:lastPrinted>2016-08-26T06:34:00Z</cp:lastPrinted>
  <dcterms:created xsi:type="dcterms:W3CDTF">2016-09-27T12:39:00Z</dcterms:created>
  <dcterms:modified xsi:type="dcterms:W3CDTF">2016-09-27T12:39:00Z</dcterms:modified>
</cp:coreProperties>
</file>