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E037F0">
            <w:pPr>
              <w:suppressAutoHyphens w:val="0"/>
              <w:spacing w:after="20"/>
              <w:jc w:val="right"/>
            </w:pPr>
            <w:r w:rsidRPr="008D4A19">
              <w:rPr>
                <w:sz w:val="40"/>
              </w:rPr>
              <w:t>ECE</w:t>
            </w:r>
            <w:r>
              <w:t>/TRANS/WP.15/201</w:t>
            </w:r>
            <w:r w:rsidR="00DE40E0">
              <w:t>6</w:t>
            </w:r>
            <w:r>
              <w:t>/</w:t>
            </w:r>
            <w:r w:rsidR="00E037F0">
              <w:t>10</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14:anchorId="49F313E0" wp14:editId="0D4E438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085687" w:rsidP="008D4A19">
            <w:pPr>
              <w:suppressAutoHyphens w:val="0"/>
            </w:pPr>
            <w:r>
              <w:t>22</w:t>
            </w:r>
            <w:bookmarkStart w:id="0" w:name="_GoBack"/>
            <w:bookmarkEnd w:id="0"/>
            <w:r w:rsidR="00E037F0">
              <w:t xml:space="preserve"> 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F563C7" w:rsidP="001330DE">
      <w:pPr>
        <w:spacing w:before="120"/>
        <w:rPr>
          <w:rFonts w:eastAsia="SimSun"/>
          <w:b/>
        </w:rPr>
      </w:pPr>
      <w:r>
        <w:rPr>
          <w:rFonts w:eastAsia="SimSun"/>
          <w:b/>
        </w:rPr>
        <w:t>101st</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8</w:t>
      </w:r>
      <w:r>
        <w:rPr>
          <w:rFonts w:eastAsia="SimSun"/>
        </w:rPr>
        <w:t>–</w:t>
      </w:r>
      <w:r w:rsidR="00F563C7">
        <w:rPr>
          <w:rFonts w:eastAsia="SimSun"/>
        </w:rPr>
        <w:t>11</w:t>
      </w:r>
      <w:r w:rsidRPr="00BA64A8">
        <w:rPr>
          <w:rFonts w:eastAsia="SimSun"/>
        </w:rPr>
        <w:t xml:space="preserve"> </w:t>
      </w:r>
      <w:r w:rsidR="00F563C7">
        <w:rPr>
          <w:rFonts w:eastAsia="SimSun"/>
        </w:rPr>
        <w:t>November</w:t>
      </w:r>
      <w:r w:rsidRPr="00BA64A8">
        <w:rPr>
          <w:rFonts w:eastAsia="SimSun"/>
        </w:rPr>
        <w:t xml:space="preserve"> 201</w:t>
      </w:r>
      <w:r w:rsidR="00DE40E0">
        <w:rPr>
          <w:rFonts w:eastAsia="SimSun"/>
        </w:rPr>
        <w:t>6</w:t>
      </w:r>
      <w:r w:rsidRPr="00BA64A8">
        <w:rPr>
          <w:rFonts w:eastAsia="SimSun"/>
        </w:rPr>
        <w:t xml:space="preserve"> </w:t>
      </w:r>
    </w:p>
    <w:p w:rsidR="00AF2944" w:rsidRDefault="00AF2944" w:rsidP="00AF2944">
      <w:r w:rsidRPr="00E037F0">
        <w:t xml:space="preserve">Item </w:t>
      </w:r>
      <w:r w:rsidR="00E037F0">
        <w:t>5</w:t>
      </w:r>
      <w:r w:rsidR="00C468E4" w:rsidRPr="00E037F0">
        <w:t xml:space="preserve"> </w:t>
      </w:r>
      <w:r w:rsidR="003B1A93" w:rsidRPr="00E037F0">
        <w:t>(</w:t>
      </w:r>
      <w:r w:rsidRPr="00E037F0">
        <w:t>b)</w:t>
      </w:r>
      <w:r>
        <w:t xml:space="preserve"> of the provisional agenda</w:t>
      </w:r>
    </w:p>
    <w:p w:rsidR="00AF2944" w:rsidRPr="003D777F" w:rsidRDefault="00AF2944" w:rsidP="00AF2944">
      <w:pPr>
        <w:rPr>
          <w:b/>
        </w:rPr>
      </w:pPr>
      <w:r w:rsidRPr="003D777F">
        <w:rPr>
          <w:b/>
        </w:rPr>
        <w:t>Proposals for amendments to Annexes A and B of ADR:</w:t>
      </w:r>
    </w:p>
    <w:p w:rsidR="00AF2944" w:rsidRPr="003D777F" w:rsidRDefault="00AF2944" w:rsidP="00AF2944">
      <w:pPr>
        <w:rPr>
          <w:b/>
        </w:rPr>
      </w:pPr>
      <w:r w:rsidRPr="003D777F">
        <w:rPr>
          <w:b/>
        </w:rPr>
        <w:t>miscellaneous proposals</w:t>
      </w:r>
    </w:p>
    <w:p w:rsidR="003B1A93" w:rsidRPr="00511A7F" w:rsidRDefault="00AF2944" w:rsidP="003B1A93">
      <w:pPr>
        <w:pStyle w:val="HChG"/>
      </w:pPr>
      <w:r>
        <w:tab/>
      </w:r>
      <w:r>
        <w:tab/>
      </w:r>
      <w:bookmarkStart w:id="1" w:name="OLE_LINK3"/>
      <w:bookmarkStart w:id="2" w:name="OLE_LINK4"/>
      <w:r w:rsidR="00F563C7">
        <w:t>5.4.1.1.1 (f) and carriage in accordance with 1.1.3.6</w:t>
      </w:r>
      <w:bookmarkEnd w:id="1"/>
      <w:bookmarkEnd w:id="2"/>
    </w:p>
    <w:p w:rsidR="003B1A93" w:rsidRDefault="003B1A93" w:rsidP="002C2F08">
      <w:pPr>
        <w:pStyle w:val="H1G"/>
        <w:spacing w:before="240" w:after="120"/>
      </w:pPr>
      <w:r>
        <w:tab/>
      </w:r>
      <w:r>
        <w:tab/>
        <w:t xml:space="preserve">Transmitted by the Government of </w:t>
      </w:r>
      <w:r w:rsidR="00F563C7">
        <w:t>Sweden</w:t>
      </w:r>
      <w:r w:rsidR="00281C40">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9C23ED">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sidR="00072888">
              <w:t xml:space="preserve">When </w:t>
            </w:r>
            <w:r w:rsidR="009F6986">
              <w:t>goods are carried in accordance with 1.1.3.6, it would simplify for all actors involved</w:t>
            </w:r>
            <w:r w:rsidR="00D07DB9">
              <w:t xml:space="preserve"> to have the total quantity and calculated value/transport category in the transport document.</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9C23ED">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rsidR="00A54B32">
              <w:t>Amend relevant parts of 1.1.3.6 and 5.4.1.1.1 (f).</w:t>
            </w:r>
          </w:p>
        </w:tc>
      </w:tr>
      <w:tr w:rsidR="003B1A93" w:rsidRPr="00E62341" w:rsidTr="00E037F0">
        <w:trPr>
          <w:jc w:val="center"/>
        </w:trPr>
        <w:tc>
          <w:tcPr>
            <w:tcW w:w="9637" w:type="dxa"/>
            <w:tcBorders>
              <w:top w:val="nil"/>
              <w:bottom w:val="nil"/>
            </w:tcBorders>
            <w:shd w:val="clear" w:color="auto" w:fill="auto"/>
          </w:tcPr>
          <w:p w:rsidR="003B1A93" w:rsidRPr="00E132FB" w:rsidRDefault="003B1A93" w:rsidP="009C23ED">
            <w:pPr>
              <w:pStyle w:val="SingleTxtG"/>
              <w:tabs>
                <w:tab w:val="left" w:pos="3260"/>
              </w:tabs>
              <w:spacing w:after="0"/>
              <w:ind w:left="3260" w:hanging="2126"/>
              <w:jc w:val="left"/>
            </w:pPr>
            <w:r w:rsidRPr="00E62341">
              <w:rPr>
                <w:rFonts w:eastAsia="Arial"/>
                <w:b/>
              </w:rPr>
              <w:t>Reference document</w:t>
            </w:r>
            <w:r w:rsidRPr="00E62341">
              <w:rPr>
                <w:rFonts w:eastAsia="Arial"/>
              </w:rPr>
              <w:t>:</w:t>
            </w:r>
            <w:r w:rsidRPr="00E62341">
              <w:rPr>
                <w:rFonts w:eastAsia="Arial"/>
              </w:rPr>
              <w:tab/>
            </w:r>
            <w:r w:rsidR="00A54B32">
              <w:rPr>
                <w:lang w:eastAsia="fr-FR"/>
              </w:rPr>
              <w:t>ECE/TRANS/WP.15</w:t>
            </w:r>
            <w:r>
              <w:rPr>
                <w:lang w:eastAsia="fr-FR"/>
              </w:rPr>
              <w:t>/</w:t>
            </w:r>
            <w:r w:rsidRPr="00B232D3">
              <w:rPr>
                <w:lang w:eastAsia="fr-FR"/>
              </w:rPr>
              <w:t>2015/</w:t>
            </w:r>
            <w:r w:rsidR="00F30062">
              <w:rPr>
                <w:lang w:eastAsia="fr-FR"/>
              </w:rPr>
              <w:t>14</w:t>
            </w:r>
            <w:r w:rsidR="00A54B32">
              <w:rPr>
                <w:lang w:eastAsia="fr-FR"/>
              </w:rPr>
              <w:t xml:space="preserve"> (IRU)</w:t>
            </w:r>
            <w:r w:rsidR="003C0D40">
              <w:rPr>
                <w:lang w:eastAsia="fr-FR"/>
              </w:rPr>
              <w:br/>
            </w:r>
            <w:r w:rsidR="009C23ED">
              <w:rPr>
                <w:lang w:eastAsia="fr-FR"/>
              </w:rPr>
              <w:t xml:space="preserve">Informal document </w:t>
            </w:r>
            <w:r w:rsidR="003C0D40">
              <w:rPr>
                <w:lang w:eastAsia="fr-FR"/>
              </w:rPr>
              <w:t xml:space="preserve">INF.10 (CEFIC) from the </w:t>
            </w:r>
            <w:r w:rsidR="009C23ED">
              <w:rPr>
                <w:lang w:eastAsia="fr-FR"/>
              </w:rPr>
              <w:t>ninety-ninth</w:t>
            </w:r>
            <w:r w:rsidR="003C0D40">
              <w:rPr>
                <w:lang w:eastAsia="fr-FR"/>
              </w:rPr>
              <w:t xml:space="preserve"> session of WP.15</w:t>
            </w:r>
            <w:r w:rsidR="00A54B32">
              <w:rPr>
                <w:lang w:eastAsia="fr-FR"/>
              </w:rPr>
              <w:br/>
            </w:r>
            <w:r w:rsidR="003C0D40">
              <w:rPr>
                <w:lang w:eastAsia="fr-FR"/>
              </w:rPr>
              <w:t xml:space="preserve">ECE/TRANS/WP.15/230, Report from the </w:t>
            </w:r>
            <w:r w:rsidR="009C23ED">
              <w:rPr>
                <w:lang w:eastAsia="fr-FR"/>
              </w:rPr>
              <w:t>ninety-ninth</w:t>
            </w:r>
            <w:r w:rsidR="003C0D40">
              <w:rPr>
                <w:lang w:eastAsia="fr-FR"/>
              </w:rPr>
              <w:t xml:space="preserve"> session of WP.15 </w:t>
            </w:r>
            <w:r w:rsidR="00A54B32">
              <w:br/>
            </w:r>
            <w:r w:rsidR="009C23ED">
              <w:t>ECE/TR</w:t>
            </w:r>
            <w:r w:rsidR="003C0D40">
              <w:t>ANS/WP.15/2016/3 (IRU)</w:t>
            </w:r>
            <w:r w:rsidR="003C0D40">
              <w:br/>
            </w:r>
            <w:r w:rsidR="009C23ED">
              <w:t xml:space="preserve">Informal document </w:t>
            </w:r>
            <w:r w:rsidR="00A54B32">
              <w:t>INF.24 (Sweden) from the 100</w:t>
            </w:r>
            <w:r w:rsidR="00A54B32" w:rsidRPr="00A54B32">
              <w:rPr>
                <w:vertAlign w:val="superscript"/>
              </w:rPr>
              <w:t>th</w:t>
            </w:r>
            <w:r w:rsidR="00A54B32">
              <w:t xml:space="preserve"> session</w:t>
            </w:r>
            <w:r w:rsidR="003C0D40">
              <w:t xml:space="preserve"> of WP.15</w:t>
            </w:r>
            <w:r w:rsidR="00A54B32">
              <w:br/>
              <w:t xml:space="preserve">ECE/TRANS/WP.15/233, Report </w:t>
            </w:r>
            <w:r w:rsidR="003C0D40">
              <w:t>from the 100</w:t>
            </w:r>
            <w:r w:rsidR="003C0D40" w:rsidRPr="003C0D40">
              <w:rPr>
                <w:vertAlign w:val="superscript"/>
              </w:rPr>
              <w:t>th</w:t>
            </w:r>
            <w:r w:rsidR="003C0D40">
              <w:t xml:space="preserve"> session of WP.15</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6E0F9B" w:rsidRPr="00F50D40" w:rsidRDefault="003B1A93" w:rsidP="00E037F0">
      <w:pPr>
        <w:pStyle w:val="HChG"/>
        <w:spacing w:before="120"/>
        <w:rPr>
          <w:rFonts w:eastAsiaTheme="minorHAnsi"/>
        </w:rPr>
      </w:pPr>
      <w:r>
        <w:tab/>
      </w:r>
      <w:r>
        <w:tab/>
      </w:r>
      <w:r w:rsidR="006E0F9B" w:rsidRPr="00A63064">
        <w:rPr>
          <w:rFonts w:eastAsiaTheme="minorHAnsi"/>
        </w:rPr>
        <w:t>Introduction</w:t>
      </w:r>
    </w:p>
    <w:p w:rsidR="006E0F9B" w:rsidRDefault="009C23ED" w:rsidP="00E037F0">
      <w:pPr>
        <w:pStyle w:val="SingleTxtG"/>
        <w:rPr>
          <w:rFonts w:eastAsiaTheme="minorHAnsi"/>
        </w:rPr>
      </w:pPr>
      <w:r>
        <w:rPr>
          <w:rFonts w:eastAsiaTheme="minorHAnsi"/>
        </w:rPr>
        <w:t>1.</w:t>
      </w:r>
      <w:r>
        <w:rPr>
          <w:rFonts w:eastAsiaTheme="minorHAnsi"/>
        </w:rPr>
        <w:tab/>
      </w:r>
      <w:r w:rsidR="006E0F9B">
        <w:rPr>
          <w:rFonts w:eastAsiaTheme="minorHAnsi"/>
        </w:rPr>
        <w:t xml:space="preserve">At the last session of </w:t>
      </w:r>
      <w:r>
        <w:rPr>
          <w:rFonts w:eastAsiaTheme="minorHAnsi"/>
        </w:rPr>
        <w:t>the Working Party</w:t>
      </w:r>
      <w:r w:rsidR="00236DAD">
        <w:rPr>
          <w:rFonts w:eastAsiaTheme="minorHAnsi"/>
        </w:rPr>
        <w:t>,</w:t>
      </w:r>
      <w:r w:rsidR="006E0F9B">
        <w:rPr>
          <w:rFonts w:eastAsiaTheme="minorHAnsi"/>
        </w:rPr>
        <w:t xml:space="preserve"> IRU </w:t>
      </w:r>
      <w:r w:rsidR="00236DAD">
        <w:rPr>
          <w:rFonts w:eastAsiaTheme="minorHAnsi"/>
        </w:rPr>
        <w:t>presented</w:t>
      </w:r>
      <w:r w:rsidR="006E0F9B">
        <w:rPr>
          <w:rFonts w:eastAsiaTheme="minorHAnsi"/>
        </w:rPr>
        <w:t xml:space="preserve"> document </w:t>
      </w:r>
      <w:r>
        <w:rPr>
          <w:rFonts w:eastAsiaTheme="minorHAnsi"/>
        </w:rPr>
        <w:t>ECE/TRANS/WP.15/2016/3</w:t>
      </w:r>
      <w:r w:rsidR="00236DAD">
        <w:rPr>
          <w:rFonts w:eastAsiaTheme="minorHAnsi"/>
        </w:rPr>
        <w:t xml:space="preserve"> which held a proposal to require the </w:t>
      </w:r>
      <w:r w:rsidR="006E0F9B">
        <w:rPr>
          <w:rFonts w:eastAsiaTheme="minorHAnsi"/>
        </w:rPr>
        <w:t>total quantity of dangerous goods for each transport category</w:t>
      </w:r>
      <w:r w:rsidR="00236DAD">
        <w:rPr>
          <w:rFonts w:eastAsiaTheme="minorHAnsi"/>
        </w:rPr>
        <w:t>,</w:t>
      </w:r>
      <w:r w:rsidR="006E0F9B">
        <w:rPr>
          <w:rFonts w:eastAsiaTheme="minorHAnsi"/>
        </w:rPr>
        <w:t xml:space="preserve"> and the sum of these calculated values</w:t>
      </w:r>
      <w:r w:rsidR="00236DAD">
        <w:rPr>
          <w:rFonts w:eastAsiaTheme="minorHAnsi"/>
        </w:rPr>
        <w:t>,</w:t>
      </w:r>
      <w:r w:rsidR="006E0F9B">
        <w:rPr>
          <w:rFonts w:eastAsiaTheme="minorHAnsi"/>
        </w:rPr>
        <w:t xml:space="preserve"> </w:t>
      </w:r>
      <w:r w:rsidR="00236DAD">
        <w:rPr>
          <w:rFonts w:eastAsiaTheme="minorHAnsi"/>
        </w:rPr>
        <w:t xml:space="preserve">to </w:t>
      </w:r>
      <w:r w:rsidR="006E0F9B">
        <w:rPr>
          <w:rFonts w:eastAsiaTheme="minorHAnsi"/>
        </w:rPr>
        <w:t>be indicated in the transport document</w:t>
      </w:r>
      <w:r w:rsidR="008A79A0">
        <w:rPr>
          <w:rFonts w:eastAsiaTheme="minorHAnsi"/>
        </w:rPr>
        <w:t xml:space="preserve"> when 1.1.3.6 is applied</w:t>
      </w:r>
      <w:r w:rsidR="006E0F9B">
        <w:rPr>
          <w:rFonts w:eastAsiaTheme="minorHAnsi"/>
        </w:rPr>
        <w:t>. The principle in IRU’s proposal was</w:t>
      </w:r>
      <w:r w:rsidR="00197422">
        <w:rPr>
          <w:rFonts w:eastAsiaTheme="minorHAnsi"/>
        </w:rPr>
        <w:t xml:space="preserve"> supported by</w:t>
      </w:r>
      <w:r w:rsidR="006E0F9B">
        <w:rPr>
          <w:rFonts w:eastAsiaTheme="minorHAnsi"/>
        </w:rPr>
        <w:t xml:space="preserve"> Sweden</w:t>
      </w:r>
      <w:r w:rsidR="008A79A0">
        <w:rPr>
          <w:rFonts w:eastAsiaTheme="minorHAnsi"/>
        </w:rPr>
        <w:t>,</w:t>
      </w:r>
      <w:r w:rsidR="006E0F9B">
        <w:rPr>
          <w:rFonts w:eastAsiaTheme="minorHAnsi"/>
        </w:rPr>
        <w:t xml:space="preserve"> who submitted an alternative solution in informal document INF.24.</w:t>
      </w:r>
    </w:p>
    <w:p w:rsidR="006E0F9B" w:rsidRDefault="009C23ED" w:rsidP="00E037F0">
      <w:pPr>
        <w:pStyle w:val="SingleTxtG"/>
        <w:rPr>
          <w:rFonts w:eastAsiaTheme="minorHAnsi"/>
        </w:rPr>
      </w:pPr>
      <w:r>
        <w:rPr>
          <w:rFonts w:eastAsiaTheme="minorHAnsi"/>
        </w:rPr>
        <w:lastRenderedPageBreak/>
        <w:t>2.</w:t>
      </w:r>
      <w:r>
        <w:rPr>
          <w:rFonts w:eastAsiaTheme="minorHAnsi"/>
        </w:rPr>
        <w:tab/>
      </w:r>
      <w:r w:rsidR="006E0F9B">
        <w:rPr>
          <w:rFonts w:eastAsiaTheme="minorHAnsi"/>
        </w:rPr>
        <w:t xml:space="preserve">During the discussions, it was expressed that having the calculated value specified in the transport document would be useful for all participants involved in a transport operation when 1.1.3.6 is applied. To take the different views of the meeting into account, a revised document should be submitted at </w:t>
      </w:r>
      <w:r w:rsidR="00197422">
        <w:rPr>
          <w:rFonts w:eastAsiaTheme="minorHAnsi"/>
        </w:rPr>
        <w:t xml:space="preserve">a forthcoming </w:t>
      </w:r>
      <w:r w:rsidR="00AA5A36">
        <w:rPr>
          <w:rFonts w:eastAsiaTheme="minorHAnsi"/>
        </w:rPr>
        <w:t>session</w:t>
      </w:r>
      <w:r w:rsidR="006E0F9B">
        <w:rPr>
          <w:rFonts w:eastAsiaTheme="minorHAnsi"/>
        </w:rPr>
        <w:t>.</w:t>
      </w:r>
    </w:p>
    <w:p w:rsidR="006E0F9B" w:rsidRPr="00A63064" w:rsidRDefault="00E037F0" w:rsidP="00E037F0">
      <w:pPr>
        <w:pStyle w:val="HChG"/>
        <w:rPr>
          <w:rFonts w:eastAsiaTheme="minorHAnsi"/>
        </w:rPr>
      </w:pPr>
      <w:r>
        <w:rPr>
          <w:rFonts w:eastAsiaTheme="minorHAnsi"/>
        </w:rPr>
        <w:tab/>
      </w:r>
      <w:r>
        <w:rPr>
          <w:rFonts w:eastAsiaTheme="minorHAnsi"/>
        </w:rPr>
        <w:tab/>
      </w:r>
      <w:r w:rsidR="006E0F9B" w:rsidRPr="00A63064">
        <w:rPr>
          <w:rFonts w:eastAsiaTheme="minorHAnsi"/>
        </w:rPr>
        <w:t>Background</w:t>
      </w:r>
    </w:p>
    <w:p w:rsidR="006E0F9B" w:rsidRDefault="009C23ED" w:rsidP="00E037F0">
      <w:pPr>
        <w:pStyle w:val="SingleTxtG"/>
        <w:rPr>
          <w:rFonts w:eastAsiaTheme="minorHAnsi"/>
        </w:rPr>
      </w:pPr>
      <w:r>
        <w:rPr>
          <w:rFonts w:eastAsiaTheme="minorHAnsi"/>
        </w:rPr>
        <w:t>3.</w:t>
      </w:r>
      <w:r>
        <w:rPr>
          <w:rFonts w:eastAsiaTheme="minorHAnsi"/>
        </w:rPr>
        <w:tab/>
      </w:r>
      <w:r w:rsidR="006E0F9B">
        <w:rPr>
          <w:rFonts w:eastAsiaTheme="minorHAnsi"/>
        </w:rPr>
        <w:t>Several years ago, the note in 5.4.1.1.1 (g) required the value to be indicated</w:t>
      </w:r>
      <w:r w:rsidR="00B1166F">
        <w:rPr>
          <w:rFonts w:eastAsiaTheme="minorHAnsi"/>
        </w:rPr>
        <w:t xml:space="preserve"> in the transport document</w:t>
      </w:r>
      <w:r w:rsidR="006E0F9B">
        <w:rPr>
          <w:rFonts w:eastAsiaTheme="minorHAnsi"/>
        </w:rPr>
        <w:t xml:space="preserve"> (“</w:t>
      </w:r>
      <w:r w:rsidR="006E0F9B">
        <w:rPr>
          <w:rFonts w:eastAsiaTheme="minorHAnsi"/>
          <w:b/>
          <w:bCs/>
          <w:i/>
          <w:iCs/>
        </w:rPr>
        <w:t xml:space="preserve">NOTE: </w:t>
      </w:r>
      <w:r w:rsidR="006E0F9B">
        <w:rPr>
          <w:rFonts w:eastAsiaTheme="minorHAnsi"/>
          <w:i/>
          <w:iCs/>
        </w:rPr>
        <w:t>In the case of application of 1.1.3.6 the total quantity of dangerous goods carried per transport unit shall be expressed as a</w:t>
      </w:r>
      <w:r w:rsidR="00BA6115">
        <w:rPr>
          <w:rFonts w:eastAsiaTheme="minorHAnsi"/>
          <w:i/>
          <w:iCs/>
        </w:rPr>
        <w:t xml:space="preserve"> </w:t>
      </w:r>
      <w:r w:rsidR="006E0F9B">
        <w:rPr>
          <w:rFonts w:eastAsiaTheme="minorHAnsi"/>
          <w:i/>
          <w:iCs/>
        </w:rPr>
        <w:t>value calculated in accordance with the provisions of 1.1.3.6</w:t>
      </w:r>
      <w:r w:rsidR="006E0F9B">
        <w:rPr>
          <w:rFonts w:eastAsiaTheme="minorHAnsi"/>
        </w:rPr>
        <w:t>.”). This requirement was</w:t>
      </w:r>
      <w:r w:rsidR="00BA6115">
        <w:rPr>
          <w:rFonts w:eastAsiaTheme="minorHAnsi"/>
        </w:rPr>
        <w:t xml:space="preserve"> </w:t>
      </w:r>
      <w:r w:rsidR="006E0F9B">
        <w:rPr>
          <w:rFonts w:eastAsiaTheme="minorHAnsi"/>
        </w:rPr>
        <w:t xml:space="preserve">removed in ADR 2003. </w:t>
      </w:r>
    </w:p>
    <w:p w:rsidR="006E0F9B" w:rsidRDefault="009C23ED" w:rsidP="00E037F0">
      <w:pPr>
        <w:pStyle w:val="SingleTxtG"/>
        <w:rPr>
          <w:rFonts w:eastAsiaTheme="minorHAnsi"/>
        </w:rPr>
      </w:pPr>
      <w:r>
        <w:rPr>
          <w:rFonts w:eastAsiaTheme="minorHAnsi"/>
        </w:rPr>
        <w:t>4.</w:t>
      </w:r>
      <w:r>
        <w:rPr>
          <w:rFonts w:eastAsiaTheme="minorHAnsi"/>
        </w:rPr>
        <w:tab/>
      </w:r>
      <w:r w:rsidR="006E0F9B">
        <w:rPr>
          <w:rFonts w:eastAsiaTheme="minorHAnsi"/>
        </w:rPr>
        <w:t xml:space="preserve">As indicated by several Contracting Parties at previous </w:t>
      </w:r>
      <w:r>
        <w:rPr>
          <w:rFonts w:eastAsiaTheme="minorHAnsi"/>
        </w:rPr>
        <w:t>sessions</w:t>
      </w:r>
      <w:r w:rsidR="006E0F9B">
        <w:rPr>
          <w:rFonts w:eastAsiaTheme="minorHAnsi"/>
        </w:rPr>
        <w:t>, when consignors and carriers choose to</w:t>
      </w:r>
      <w:r w:rsidR="006F7854">
        <w:rPr>
          <w:rFonts w:eastAsiaTheme="minorHAnsi"/>
        </w:rPr>
        <w:t xml:space="preserve"> </w:t>
      </w:r>
      <w:r w:rsidR="006E0F9B">
        <w:rPr>
          <w:rFonts w:eastAsiaTheme="minorHAnsi"/>
        </w:rPr>
        <w:t>avail of 1.1.3.6, this information should be provided in an appropriate way in the transport document. The documentation should include references to transport categories</w:t>
      </w:r>
      <w:r w:rsidR="006F7854">
        <w:rPr>
          <w:rFonts w:eastAsiaTheme="minorHAnsi"/>
        </w:rPr>
        <w:t xml:space="preserve"> and</w:t>
      </w:r>
      <w:r w:rsidR="006E0F9B">
        <w:rPr>
          <w:rFonts w:eastAsiaTheme="minorHAnsi"/>
        </w:rPr>
        <w:t xml:space="preserve"> </w:t>
      </w:r>
      <w:r w:rsidR="00DF05DE">
        <w:rPr>
          <w:rFonts w:eastAsiaTheme="minorHAnsi"/>
        </w:rPr>
        <w:t xml:space="preserve">the </w:t>
      </w:r>
      <w:r w:rsidR="006E0F9B">
        <w:rPr>
          <w:rFonts w:eastAsiaTheme="minorHAnsi"/>
        </w:rPr>
        <w:t>calculated value</w:t>
      </w:r>
      <w:r w:rsidR="00DF05DE">
        <w:rPr>
          <w:rFonts w:eastAsiaTheme="minorHAnsi"/>
        </w:rPr>
        <w:t>(</w:t>
      </w:r>
      <w:r w:rsidR="006E0F9B">
        <w:rPr>
          <w:rFonts w:eastAsiaTheme="minorHAnsi"/>
        </w:rPr>
        <w:t>s</w:t>
      </w:r>
      <w:r w:rsidR="00DF05DE">
        <w:rPr>
          <w:rFonts w:eastAsiaTheme="minorHAnsi"/>
        </w:rPr>
        <w:t>)</w:t>
      </w:r>
      <w:r w:rsidR="006E0F9B">
        <w:rPr>
          <w:rFonts w:eastAsiaTheme="minorHAnsi"/>
        </w:rPr>
        <w:t xml:space="preserve">. This would simplify </w:t>
      </w:r>
      <w:r>
        <w:rPr>
          <w:rFonts w:eastAsiaTheme="minorHAnsi"/>
        </w:rPr>
        <w:t>the tasks</w:t>
      </w:r>
      <w:r w:rsidR="00AA5A36">
        <w:rPr>
          <w:rFonts w:eastAsiaTheme="minorHAnsi"/>
        </w:rPr>
        <w:t xml:space="preserve"> </w:t>
      </w:r>
      <w:r w:rsidR="006E0F9B">
        <w:rPr>
          <w:rFonts w:eastAsiaTheme="minorHAnsi"/>
        </w:rPr>
        <w:t>for carriers as well as for enforcement bodies.</w:t>
      </w:r>
    </w:p>
    <w:p w:rsidR="006E0F9B" w:rsidRDefault="009C23ED" w:rsidP="00E037F0">
      <w:pPr>
        <w:pStyle w:val="SingleTxtG"/>
        <w:rPr>
          <w:rFonts w:eastAsiaTheme="minorHAnsi"/>
        </w:rPr>
      </w:pPr>
      <w:r>
        <w:rPr>
          <w:rFonts w:eastAsiaTheme="minorHAnsi"/>
        </w:rPr>
        <w:t>5.</w:t>
      </w:r>
      <w:r>
        <w:rPr>
          <w:rFonts w:eastAsiaTheme="minorHAnsi"/>
        </w:rPr>
        <w:tab/>
      </w:r>
      <w:r w:rsidR="006E0F9B">
        <w:rPr>
          <w:rFonts w:eastAsiaTheme="minorHAnsi"/>
        </w:rPr>
        <w:t xml:space="preserve">Since a carrier might pick up goods from several consignors, the value should always be indicated in the document irrespective of whether the goods belong to the same transport category or not. Nevertheless, at the last session, some countries expressed concerns about the formulation in 1.1.3.6.2 which currently refers to calculation of the value of </w:t>
      </w:r>
      <w:r w:rsidR="006E0F9B" w:rsidRPr="002E405C">
        <w:rPr>
          <w:rFonts w:eastAsiaTheme="minorHAnsi"/>
          <w:u w:val="single"/>
        </w:rPr>
        <w:t>different</w:t>
      </w:r>
      <w:r w:rsidR="006E0F9B">
        <w:rPr>
          <w:rFonts w:eastAsiaTheme="minorHAnsi"/>
        </w:rPr>
        <w:t xml:space="preserve"> transport categories. This is also the case for the text in 1.1.3.6.4, which states how the value should be calculated.</w:t>
      </w:r>
    </w:p>
    <w:p w:rsidR="006E0F9B" w:rsidRDefault="009C23ED" w:rsidP="00E037F0">
      <w:pPr>
        <w:pStyle w:val="SingleTxtG"/>
        <w:rPr>
          <w:rFonts w:eastAsiaTheme="minorHAnsi"/>
        </w:rPr>
      </w:pPr>
      <w:r>
        <w:rPr>
          <w:rFonts w:eastAsiaTheme="minorHAnsi"/>
        </w:rPr>
        <w:t>6.</w:t>
      </w:r>
      <w:r>
        <w:rPr>
          <w:rFonts w:eastAsiaTheme="minorHAnsi"/>
        </w:rPr>
        <w:tab/>
      </w:r>
      <w:r w:rsidR="006E0F9B">
        <w:rPr>
          <w:rFonts w:eastAsiaTheme="minorHAnsi"/>
        </w:rPr>
        <w:t xml:space="preserve">If amending the text to require that the value should always be indicated in the transport document, calculation is necessary also </w:t>
      </w:r>
      <w:r w:rsidR="0096764A">
        <w:rPr>
          <w:rFonts w:eastAsiaTheme="minorHAnsi"/>
        </w:rPr>
        <w:t>when</w:t>
      </w:r>
      <w:r w:rsidR="006E0F9B">
        <w:rPr>
          <w:rFonts w:eastAsiaTheme="minorHAnsi"/>
        </w:rPr>
        <w:t xml:space="preserve"> the goods belong to the </w:t>
      </w:r>
      <w:r w:rsidR="006E0F9B" w:rsidRPr="000E763B">
        <w:rPr>
          <w:rFonts w:eastAsiaTheme="minorHAnsi"/>
          <w:u w:val="single"/>
        </w:rPr>
        <w:t>same</w:t>
      </w:r>
      <w:r w:rsidR="006E0F9B">
        <w:rPr>
          <w:rFonts w:eastAsiaTheme="minorHAnsi"/>
        </w:rPr>
        <w:t xml:space="preserve"> category since the quantity might fall below the maximum total quantity </w:t>
      </w:r>
      <w:r w:rsidR="00B1166F">
        <w:rPr>
          <w:rFonts w:eastAsiaTheme="minorHAnsi"/>
        </w:rPr>
        <w:t>stated</w:t>
      </w:r>
      <w:r w:rsidR="006E0F9B">
        <w:rPr>
          <w:rFonts w:eastAsiaTheme="minorHAnsi"/>
        </w:rPr>
        <w:t xml:space="preserve"> in column 3 of the table. Consequently, this should</w:t>
      </w:r>
      <w:r w:rsidR="00B1166F">
        <w:rPr>
          <w:rFonts w:eastAsiaTheme="minorHAnsi"/>
        </w:rPr>
        <w:t xml:space="preserve"> also</w:t>
      </w:r>
      <w:r w:rsidR="006E0F9B">
        <w:rPr>
          <w:rFonts w:eastAsiaTheme="minorHAnsi"/>
        </w:rPr>
        <w:t xml:space="preserve"> be reflected in sub-section 1.1.3.6.2.</w:t>
      </w:r>
    </w:p>
    <w:p w:rsidR="006E0F9B" w:rsidRDefault="009C23ED" w:rsidP="00E037F0">
      <w:pPr>
        <w:pStyle w:val="SingleTxtG"/>
        <w:rPr>
          <w:rFonts w:eastAsiaTheme="minorHAnsi"/>
        </w:rPr>
      </w:pPr>
      <w:r>
        <w:rPr>
          <w:rFonts w:eastAsiaTheme="minorHAnsi"/>
        </w:rPr>
        <w:t>7.</w:t>
      </w:r>
      <w:r>
        <w:rPr>
          <w:rFonts w:eastAsiaTheme="minorHAnsi"/>
        </w:rPr>
        <w:tab/>
      </w:r>
      <w:r w:rsidR="006E0F9B">
        <w:rPr>
          <w:rFonts w:eastAsiaTheme="minorHAnsi"/>
        </w:rPr>
        <w:t xml:space="preserve">Moreover, the note in 5.4.1.1.1 (f) refers to calculated values of 1.1.3.6.4. In the current text, 1.1.3.6.4 deals with dangerous goods of </w:t>
      </w:r>
      <w:r w:rsidR="006E0F9B" w:rsidRPr="00996368">
        <w:rPr>
          <w:rFonts w:eastAsiaTheme="minorHAnsi"/>
          <w:u w:val="single"/>
        </w:rPr>
        <w:t>different</w:t>
      </w:r>
      <w:r w:rsidR="006E0F9B">
        <w:rPr>
          <w:rFonts w:eastAsiaTheme="minorHAnsi"/>
        </w:rPr>
        <w:t xml:space="preserve"> transport categories. Following the logic explained above that the value should always be indicated in the transport document, 1.1.3.6.4 should be amended to cover all dangerous goods, whether it belongs to </w:t>
      </w:r>
      <w:r w:rsidR="0096764A">
        <w:rPr>
          <w:rFonts w:eastAsiaTheme="minorHAnsi"/>
        </w:rPr>
        <w:t xml:space="preserve">the same or to </w:t>
      </w:r>
      <w:r w:rsidR="006E0F9B">
        <w:rPr>
          <w:rFonts w:eastAsiaTheme="minorHAnsi"/>
        </w:rPr>
        <w:t>different transport categories.</w:t>
      </w:r>
    </w:p>
    <w:p w:rsidR="006F22D7" w:rsidRDefault="009C23ED" w:rsidP="00E037F0">
      <w:pPr>
        <w:pStyle w:val="SingleTxtG"/>
        <w:rPr>
          <w:rFonts w:eastAsiaTheme="minorHAnsi"/>
        </w:rPr>
      </w:pPr>
      <w:r>
        <w:rPr>
          <w:rFonts w:eastAsiaTheme="minorHAnsi"/>
        </w:rPr>
        <w:t>8.</w:t>
      </w:r>
      <w:r>
        <w:rPr>
          <w:rFonts w:eastAsiaTheme="minorHAnsi"/>
        </w:rPr>
        <w:tab/>
      </w:r>
      <w:r w:rsidR="006E0F9B">
        <w:rPr>
          <w:rFonts w:eastAsiaTheme="minorHAnsi"/>
        </w:rPr>
        <w:t xml:space="preserve">Lastly, while modifying </w:t>
      </w:r>
      <w:r w:rsidR="00597B22">
        <w:rPr>
          <w:rFonts w:eastAsiaTheme="minorHAnsi"/>
        </w:rPr>
        <w:t xml:space="preserve">text in </w:t>
      </w:r>
      <w:r w:rsidR="006815F2">
        <w:rPr>
          <w:rFonts w:eastAsiaTheme="minorHAnsi"/>
        </w:rPr>
        <w:t xml:space="preserve">different sub-sections </w:t>
      </w:r>
      <w:r w:rsidR="006815F2" w:rsidRPr="006815F2">
        <w:rPr>
          <w:rFonts w:eastAsiaTheme="minorHAnsi"/>
        </w:rPr>
        <w:t>in</w:t>
      </w:r>
      <w:r w:rsidR="006E0F9B" w:rsidRPr="006815F2">
        <w:rPr>
          <w:rFonts w:eastAsiaTheme="minorHAnsi"/>
        </w:rPr>
        <w:t xml:space="preserve"> 1.1.3.6,</w:t>
      </w:r>
      <w:r w:rsidR="006E0F9B">
        <w:rPr>
          <w:rFonts w:eastAsiaTheme="minorHAnsi"/>
        </w:rPr>
        <w:t xml:space="preserve"> we would like to </w:t>
      </w:r>
      <w:r w:rsidR="00637C68">
        <w:rPr>
          <w:rFonts w:eastAsiaTheme="minorHAnsi"/>
        </w:rPr>
        <w:t xml:space="preserve">take the opportunity to </w:t>
      </w:r>
      <w:r w:rsidR="006E0F9B">
        <w:rPr>
          <w:rFonts w:eastAsiaTheme="minorHAnsi"/>
        </w:rPr>
        <w:t xml:space="preserve">streamline the text in 1.1.3.6.1 by proposing an editorial </w:t>
      </w:r>
      <w:r w:rsidR="006E0F9B" w:rsidRPr="00A63064">
        <w:rPr>
          <w:rFonts w:eastAsiaTheme="minorHAnsi"/>
        </w:rPr>
        <w:t>amendment. We would also like to simplify the way in which the list in 1.1.3.6.2 is drafted. Currently</w:t>
      </w:r>
      <w:r w:rsidR="00604FD7">
        <w:rPr>
          <w:rFonts w:eastAsiaTheme="minorHAnsi"/>
        </w:rPr>
        <w:t>,</w:t>
      </w:r>
      <w:r w:rsidR="006E0F9B" w:rsidRPr="00A63064">
        <w:rPr>
          <w:rFonts w:eastAsiaTheme="minorHAnsi"/>
        </w:rPr>
        <w:t xml:space="preserve"> the list states which provisions that are not applicable, but </w:t>
      </w:r>
      <w:r w:rsidR="00135344">
        <w:rPr>
          <w:rFonts w:eastAsiaTheme="minorHAnsi"/>
        </w:rPr>
        <w:t xml:space="preserve">there are also some </w:t>
      </w:r>
      <w:r w:rsidR="006E0F9B" w:rsidRPr="00A63064">
        <w:rPr>
          <w:rFonts w:eastAsiaTheme="minorHAnsi"/>
        </w:rPr>
        <w:t>exemptions</w:t>
      </w:r>
      <w:r w:rsidR="00135344">
        <w:rPr>
          <w:rFonts w:eastAsiaTheme="minorHAnsi"/>
        </w:rPr>
        <w:t xml:space="preserve"> from this which</w:t>
      </w:r>
      <w:r w:rsidR="006E0F9B" w:rsidRPr="00A63064">
        <w:rPr>
          <w:rFonts w:eastAsiaTheme="minorHAnsi"/>
        </w:rPr>
        <w:t xml:space="preserve"> makes it confusing. In order to make the text more user-friendly</w:t>
      </w:r>
      <w:r w:rsidR="00604FD7">
        <w:rPr>
          <w:rFonts w:eastAsiaTheme="minorHAnsi"/>
        </w:rPr>
        <w:t>,</w:t>
      </w:r>
      <w:r w:rsidR="006E0F9B" w:rsidRPr="00A63064">
        <w:rPr>
          <w:rFonts w:eastAsiaTheme="minorHAnsi"/>
        </w:rPr>
        <w:t xml:space="preserve"> we would prefer </w:t>
      </w:r>
      <w:r w:rsidR="006F22D7">
        <w:rPr>
          <w:rFonts w:eastAsiaTheme="minorHAnsi"/>
        </w:rPr>
        <w:t xml:space="preserve">to </w:t>
      </w:r>
      <w:r w:rsidR="006E0F9B" w:rsidRPr="00A63064">
        <w:rPr>
          <w:rFonts w:eastAsiaTheme="minorHAnsi"/>
        </w:rPr>
        <w:t>align</w:t>
      </w:r>
      <w:r w:rsidR="006F22D7">
        <w:rPr>
          <w:rFonts w:eastAsiaTheme="minorHAnsi"/>
        </w:rPr>
        <w:t xml:space="preserve"> </w:t>
      </w:r>
      <w:r w:rsidR="00604FD7">
        <w:rPr>
          <w:rFonts w:eastAsiaTheme="minorHAnsi"/>
        </w:rPr>
        <w:t>1.1.3.6.2</w:t>
      </w:r>
      <w:r w:rsidR="008A79A0">
        <w:rPr>
          <w:rFonts w:eastAsiaTheme="minorHAnsi"/>
        </w:rPr>
        <w:t xml:space="preserve"> </w:t>
      </w:r>
      <w:r w:rsidR="006E0F9B" w:rsidRPr="00A63064">
        <w:rPr>
          <w:rFonts w:eastAsiaTheme="minorHAnsi"/>
        </w:rPr>
        <w:t xml:space="preserve">with the way applicable provisions </w:t>
      </w:r>
      <w:r w:rsidR="00A63064">
        <w:rPr>
          <w:rFonts w:eastAsiaTheme="minorHAnsi"/>
        </w:rPr>
        <w:t xml:space="preserve">are specified </w:t>
      </w:r>
      <w:r w:rsidR="006E0F9B" w:rsidRPr="00A63064">
        <w:rPr>
          <w:rFonts w:eastAsiaTheme="minorHAnsi"/>
        </w:rPr>
        <w:t>in Chapter 3.4 (</w:t>
      </w:r>
      <w:r w:rsidR="00A63064">
        <w:rPr>
          <w:rFonts w:eastAsiaTheme="minorHAnsi"/>
        </w:rPr>
        <w:t>Limited Q</w:t>
      </w:r>
      <w:r w:rsidR="006E0F9B" w:rsidRPr="00A63064">
        <w:rPr>
          <w:rFonts w:eastAsiaTheme="minorHAnsi"/>
        </w:rPr>
        <w:t>uantities) and Cha</w:t>
      </w:r>
      <w:r w:rsidR="00332DF3">
        <w:rPr>
          <w:rFonts w:eastAsiaTheme="minorHAnsi"/>
        </w:rPr>
        <w:t>pter 3.5 (Excepted Quantities)</w:t>
      </w:r>
      <w:r w:rsidR="00A82A81">
        <w:rPr>
          <w:rFonts w:eastAsiaTheme="minorHAnsi"/>
        </w:rPr>
        <w:t>, see proposal 2b below</w:t>
      </w:r>
      <w:r w:rsidR="00332DF3">
        <w:rPr>
          <w:rFonts w:eastAsiaTheme="minorHAnsi"/>
        </w:rPr>
        <w:t>.</w:t>
      </w:r>
    </w:p>
    <w:p w:rsidR="00332DF3" w:rsidRDefault="009C23ED" w:rsidP="00E037F0">
      <w:pPr>
        <w:pStyle w:val="SingleTxtG"/>
        <w:rPr>
          <w:rFonts w:eastAsiaTheme="minorHAnsi"/>
        </w:rPr>
      </w:pPr>
      <w:r>
        <w:rPr>
          <w:rFonts w:eastAsiaTheme="minorHAnsi"/>
        </w:rPr>
        <w:t>9.</w:t>
      </w:r>
      <w:r>
        <w:rPr>
          <w:rFonts w:eastAsiaTheme="minorHAnsi"/>
        </w:rPr>
        <w:tab/>
      </w:r>
      <w:r w:rsidR="00332DF3">
        <w:rPr>
          <w:rFonts w:eastAsiaTheme="minorHAnsi"/>
        </w:rPr>
        <w:t xml:space="preserve">Since the proposed amendment </w:t>
      </w:r>
      <w:r w:rsidR="00B9038D">
        <w:rPr>
          <w:rFonts w:eastAsiaTheme="minorHAnsi"/>
        </w:rPr>
        <w:t>for</w:t>
      </w:r>
      <w:r w:rsidR="00332DF3">
        <w:rPr>
          <w:rFonts w:eastAsiaTheme="minorHAnsi"/>
        </w:rPr>
        <w:t xml:space="preserve"> 1.1.3.6.1 and amendment</w:t>
      </w:r>
      <w:r w:rsidR="00604FD7">
        <w:rPr>
          <w:rFonts w:eastAsiaTheme="minorHAnsi"/>
        </w:rPr>
        <w:t>s</w:t>
      </w:r>
      <w:r w:rsidR="00332DF3">
        <w:rPr>
          <w:rFonts w:eastAsiaTheme="minorHAnsi"/>
        </w:rPr>
        <w:t xml:space="preserve"> to the list of applicable provisions</w:t>
      </w:r>
      <w:r w:rsidR="00604FD7">
        <w:rPr>
          <w:rFonts w:eastAsiaTheme="minorHAnsi"/>
        </w:rPr>
        <w:t xml:space="preserve"> in</w:t>
      </w:r>
      <w:r w:rsidR="00332DF3">
        <w:rPr>
          <w:rFonts w:eastAsiaTheme="minorHAnsi"/>
        </w:rPr>
        <w:t xml:space="preserve"> 1.1.3.6.2 are not dependent on the other proposals relating to the value, all proposals are presented separately.</w:t>
      </w:r>
    </w:p>
    <w:p w:rsidR="003B1A93" w:rsidRDefault="00A72C0A" w:rsidP="00E037F0">
      <w:pPr>
        <w:pStyle w:val="HChG"/>
      </w:pPr>
      <w:r>
        <w:tab/>
      </w:r>
      <w:r w:rsidR="00E037F0">
        <w:tab/>
      </w:r>
      <w:r>
        <w:t>Proposals</w:t>
      </w:r>
    </w:p>
    <w:p w:rsidR="00A72C0A" w:rsidRPr="009C23ED" w:rsidRDefault="009C23ED" w:rsidP="00E037F0">
      <w:pPr>
        <w:pStyle w:val="SingleTxtG"/>
      </w:pPr>
      <w:r w:rsidRPr="009C23ED">
        <w:t>10.</w:t>
      </w:r>
      <w:r w:rsidRPr="009C23ED">
        <w:tab/>
      </w:r>
      <w:r w:rsidR="009C00CE" w:rsidRPr="009C23ED">
        <w:t>Changes are underlined or stricken out.</w:t>
      </w:r>
    </w:p>
    <w:p w:rsidR="00A72C0A" w:rsidRPr="00332DF3" w:rsidRDefault="00E037F0" w:rsidP="00E037F0">
      <w:pPr>
        <w:pStyle w:val="H1G"/>
      </w:pPr>
      <w:r>
        <w:tab/>
      </w:r>
      <w:r>
        <w:tab/>
      </w:r>
      <w:r w:rsidR="00332DF3" w:rsidRPr="00332DF3">
        <w:t>Proposal 1</w:t>
      </w:r>
    </w:p>
    <w:p w:rsidR="002E49A7" w:rsidRPr="009C23ED" w:rsidRDefault="009C23ED" w:rsidP="00E037F0">
      <w:pPr>
        <w:pStyle w:val="SingleTxtG"/>
      </w:pPr>
      <w:r w:rsidRPr="009C23ED">
        <w:t>11.</w:t>
      </w:r>
      <w:r w:rsidRPr="009C23ED">
        <w:tab/>
      </w:r>
      <w:r w:rsidR="002E49A7" w:rsidRPr="009C23ED">
        <w:t>Amend the text in 1.1.3.6.1 as follows:</w:t>
      </w:r>
    </w:p>
    <w:p w:rsidR="00A72C0A" w:rsidRDefault="004826B8" w:rsidP="00E037F0">
      <w:pPr>
        <w:pStyle w:val="SingleTxtG"/>
      </w:pPr>
      <w:r>
        <w:lastRenderedPageBreak/>
        <w:t>“</w:t>
      </w:r>
      <w:r w:rsidR="00A72C0A" w:rsidRPr="0092192E">
        <w:t>1.1.3.6.1</w:t>
      </w:r>
      <w:r w:rsidR="00A72C0A" w:rsidRPr="0092192E">
        <w:tab/>
        <w:t xml:space="preserve">For the purposes of this sub-section, dangerous goods are assigned to transport categories 0, 1, 2, 3, or 4, as indicated in Column (15) of Table </w:t>
      </w:r>
      <w:proofErr w:type="gramStart"/>
      <w:r w:rsidR="00A72C0A" w:rsidRPr="0092192E">
        <w:t>A</w:t>
      </w:r>
      <w:proofErr w:type="gramEnd"/>
      <w:r w:rsidR="00A72C0A" w:rsidRPr="0092192E">
        <w:t xml:space="preserve"> of Chapter 3.2. Empty </w:t>
      </w:r>
      <w:proofErr w:type="spellStart"/>
      <w:r w:rsidR="00A72C0A" w:rsidRPr="0092192E">
        <w:t>uncleaned</w:t>
      </w:r>
      <w:proofErr w:type="spellEnd"/>
      <w:r w:rsidR="00A72C0A" w:rsidRPr="0092192E">
        <w:t xml:space="preserve"> </w:t>
      </w:r>
      <w:proofErr w:type="spellStart"/>
      <w:r w:rsidR="00A72C0A" w:rsidRPr="0092192E">
        <w:t>packagings</w:t>
      </w:r>
      <w:proofErr w:type="spellEnd"/>
      <w:r w:rsidR="00A72C0A" w:rsidRPr="0092192E">
        <w:t xml:space="preserve"> </w:t>
      </w:r>
      <w:r w:rsidR="00CC0B95">
        <w:rPr>
          <w:u w:val="single"/>
        </w:rPr>
        <w:t>may be</w:t>
      </w:r>
      <w:r w:rsidR="00A72C0A">
        <w:rPr>
          <w:u w:val="single"/>
        </w:rPr>
        <w:t xml:space="preserve"> assigned to transport category “4”, unless </w:t>
      </w:r>
      <w:r w:rsidR="00A72C0A" w:rsidRPr="0092192E">
        <w:t xml:space="preserve">having contained substances assigned to transport category "0" </w:t>
      </w:r>
      <w:r w:rsidR="00A72C0A" w:rsidRPr="00A72C0A">
        <w:rPr>
          <w:strike/>
        </w:rPr>
        <w:t>are also assigned to transport category "0". Empty </w:t>
      </w:r>
      <w:proofErr w:type="spellStart"/>
      <w:r w:rsidR="00A72C0A" w:rsidRPr="00A72C0A">
        <w:rPr>
          <w:strike/>
        </w:rPr>
        <w:t>uncleaned</w:t>
      </w:r>
      <w:proofErr w:type="spellEnd"/>
      <w:r w:rsidR="00A72C0A" w:rsidRPr="00A72C0A">
        <w:rPr>
          <w:strike/>
        </w:rPr>
        <w:t xml:space="preserve"> </w:t>
      </w:r>
      <w:proofErr w:type="spellStart"/>
      <w:r w:rsidR="00A72C0A" w:rsidRPr="00A72C0A">
        <w:rPr>
          <w:strike/>
        </w:rPr>
        <w:t>packagings</w:t>
      </w:r>
      <w:proofErr w:type="spellEnd"/>
      <w:r w:rsidR="00A72C0A" w:rsidRPr="00A72C0A">
        <w:rPr>
          <w:strike/>
        </w:rPr>
        <w:t xml:space="preserve"> having contained substances assigned to a transport category other than "0" are assigned to transport category "4"</w:t>
      </w:r>
      <w:r w:rsidR="00A72C0A" w:rsidRPr="0092192E">
        <w:t>.</w:t>
      </w:r>
      <w:r>
        <w:t>”</w:t>
      </w:r>
    </w:p>
    <w:p w:rsidR="00332DF3" w:rsidRPr="00332DF3" w:rsidRDefault="00E037F0" w:rsidP="00E037F0">
      <w:pPr>
        <w:pStyle w:val="H1G"/>
      </w:pPr>
      <w:r>
        <w:tab/>
      </w:r>
      <w:r>
        <w:tab/>
      </w:r>
      <w:r w:rsidR="00332DF3" w:rsidRPr="00332DF3">
        <w:t xml:space="preserve">Proposal </w:t>
      </w:r>
      <w:r w:rsidR="00332DF3">
        <w:t>2</w:t>
      </w:r>
    </w:p>
    <w:p w:rsidR="009C00CE" w:rsidRPr="009C23ED" w:rsidRDefault="009C23ED" w:rsidP="00E037F0">
      <w:pPr>
        <w:pStyle w:val="SingleTxtG"/>
      </w:pPr>
      <w:r w:rsidRPr="009C23ED">
        <w:t>12.</w:t>
      </w:r>
      <w:r w:rsidRPr="009C23ED">
        <w:tab/>
      </w:r>
      <w:r w:rsidR="009C00CE" w:rsidRPr="009C23ED">
        <w:t>Amend the text in 1.1.3.6.2 as follows:</w:t>
      </w:r>
    </w:p>
    <w:p w:rsidR="00A72C0A" w:rsidRDefault="008A7ACD" w:rsidP="00281C40">
      <w:pPr>
        <w:pStyle w:val="SingleTxtG"/>
        <w:ind w:left="2268" w:hanging="1134"/>
      </w:pPr>
      <w:r>
        <w:t>“</w:t>
      </w:r>
      <w:r w:rsidR="00A72C0A" w:rsidRPr="0092192E">
        <w:t>1.1.3.6.2</w:t>
      </w:r>
      <w:r w:rsidR="00A72C0A" w:rsidRPr="0092192E">
        <w:tab/>
      </w:r>
      <w:r w:rsidR="00A72C0A" w:rsidRPr="00CC0B95">
        <w:rPr>
          <w:strike/>
        </w:rPr>
        <w:t>Where the quantity of dangerous goods carried on a transport unit does not exceed the values indicated in column (3) of the table in 1.1.3.6.3 for a given transport category (when the dangerous goods carried in the transport unit belong to the same category) or the value calculated in accordance with 1.1.3.6.4 (when the dangerous goods carried in the transport unit belong to different transport categories), they may be carried in packages in one transport unit without application of the following provisions:</w:t>
      </w:r>
      <w:r w:rsidR="00A72C0A" w:rsidRPr="0092192E">
        <w:t xml:space="preserve"> </w:t>
      </w:r>
    </w:p>
    <w:p w:rsidR="00A63064" w:rsidRDefault="00852DC9" w:rsidP="00E037F0">
      <w:pPr>
        <w:pStyle w:val="SingleTxtG"/>
        <w:rPr>
          <w:u w:val="single"/>
        </w:rPr>
      </w:pPr>
      <w:r w:rsidRPr="00EE05DF">
        <w:rPr>
          <w:u w:val="single"/>
        </w:rPr>
        <w:t xml:space="preserve">The total quantity of dangerous goods carried </w:t>
      </w:r>
      <w:r w:rsidR="004F71E2">
        <w:rPr>
          <w:u w:val="single"/>
        </w:rPr>
        <w:t xml:space="preserve">in packages </w:t>
      </w:r>
      <w:r w:rsidRPr="00EE05DF">
        <w:rPr>
          <w:u w:val="single"/>
        </w:rPr>
        <w:t xml:space="preserve">on a transport unit may not exceed a calculated value of “1000”. The maximum total quantity per transport unit indicated for each transport category in column (3) of the table in 1.1.3.6.3 corresponds to a value of “1000”. If the quantity of goods falls below the quantity indicated in column (3), or in case the goods are assigned to different transport categories, the value </w:t>
      </w:r>
      <w:r w:rsidR="00CC0B95" w:rsidRPr="00EE05DF">
        <w:rPr>
          <w:u w:val="single"/>
        </w:rPr>
        <w:t>should</w:t>
      </w:r>
      <w:r w:rsidRPr="00EE05DF">
        <w:rPr>
          <w:u w:val="single"/>
        </w:rPr>
        <w:t xml:space="preserve"> be calculated in accordance with </w:t>
      </w:r>
      <w:r w:rsidR="00CC0B95" w:rsidRPr="00EE05DF">
        <w:rPr>
          <w:u w:val="single"/>
        </w:rPr>
        <w:t>1.1.3.6.4.</w:t>
      </w:r>
      <w:r w:rsidR="004826B8">
        <w:rPr>
          <w:u w:val="single"/>
        </w:rPr>
        <w:t>”</w:t>
      </w:r>
    </w:p>
    <w:p w:rsidR="009C00CE" w:rsidRPr="009C00CE" w:rsidRDefault="00E037F0" w:rsidP="00E037F0">
      <w:pPr>
        <w:pStyle w:val="H1G"/>
      </w:pPr>
      <w:r>
        <w:tab/>
      </w:r>
      <w:r>
        <w:tab/>
      </w:r>
      <w:r w:rsidR="00A25183" w:rsidRPr="009C00CE">
        <w:t xml:space="preserve">Proposal 2a </w:t>
      </w:r>
    </w:p>
    <w:p w:rsidR="009C00CE" w:rsidRPr="009C23ED" w:rsidRDefault="009C23ED" w:rsidP="00E037F0">
      <w:pPr>
        <w:pStyle w:val="SingleTxtG"/>
      </w:pPr>
      <w:r w:rsidRPr="009C23ED">
        <w:t>13.</w:t>
      </w:r>
      <w:r w:rsidRPr="009C23ED">
        <w:tab/>
      </w:r>
      <w:r w:rsidR="009C00CE" w:rsidRPr="009C23ED">
        <w:t>Insert a second paragraph/last sentence in 1.1.3.6.2 as follows (if keeping the curr</w:t>
      </w:r>
      <w:r w:rsidR="00D82D01" w:rsidRPr="009C23ED">
        <w:t>e</w:t>
      </w:r>
      <w:r w:rsidR="009C00CE" w:rsidRPr="009C23ED">
        <w:t>nt list of non-applicable provisions):</w:t>
      </w:r>
    </w:p>
    <w:p w:rsidR="008A7ACD" w:rsidRPr="002E49A7" w:rsidRDefault="00171A3F" w:rsidP="00E037F0">
      <w:pPr>
        <w:pStyle w:val="SingleTxtG"/>
        <w:rPr>
          <w:b/>
          <w:u w:val="single"/>
        </w:rPr>
      </w:pPr>
      <w:r>
        <w:rPr>
          <w:u w:val="single"/>
        </w:rPr>
        <w:t>“</w:t>
      </w:r>
      <w:r w:rsidR="004F71E2">
        <w:rPr>
          <w:u w:val="single"/>
        </w:rPr>
        <w:t xml:space="preserve">Dangerous </w:t>
      </w:r>
      <w:r w:rsidR="008A7ACD">
        <w:rPr>
          <w:u w:val="single"/>
        </w:rPr>
        <w:t xml:space="preserve">goods </w:t>
      </w:r>
      <w:r w:rsidR="004F71E2">
        <w:rPr>
          <w:u w:val="single"/>
        </w:rPr>
        <w:t xml:space="preserve">carried in accordance </w:t>
      </w:r>
      <w:r w:rsidR="004F71E2" w:rsidRPr="006815F2">
        <w:rPr>
          <w:u w:val="single"/>
        </w:rPr>
        <w:t xml:space="preserve">with </w:t>
      </w:r>
      <w:r w:rsidR="008A7ACD" w:rsidRPr="006815F2">
        <w:rPr>
          <w:u w:val="single"/>
        </w:rPr>
        <w:t xml:space="preserve">1.1.3.6, may be carried in </w:t>
      </w:r>
      <w:r w:rsidR="00604FD7" w:rsidRPr="006815F2">
        <w:rPr>
          <w:u w:val="single"/>
        </w:rPr>
        <w:t>a</w:t>
      </w:r>
      <w:r w:rsidR="008A7ACD" w:rsidRPr="006815F2">
        <w:rPr>
          <w:u w:val="single"/>
        </w:rPr>
        <w:t xml:space="preserve"> transport</w:t>
      </w:r>
      <w:r w:rsidR="008A7ACD">
        <w:rPr>
          <w:u w:val="single"/>
        </w:rPr>
        <w:t xml:space="preserve"> unit without application of the following provisions:</w:t>
      </w:r>
    </w:p>
    <w:p w:rsidR="008A7ACD" w:rsidRPr="008A7ACD" w:rsidRDefault="008A7ACD" w:rsidP="00E037F0">
      <w:pPr>
        <w:pStyle w:val="SingleTxtG"/>
      </w:pPr>
      <w:r w:rsidRPr="008A7ACD">
        <w:t>(</w:t>
      </w:r>
      <w:r w:rsidRPr="007937D0">
        <w:rPr>
          <w:i/>
        </w:rPr>
        <w:t>List remains unchanged</w:t>
      </w:r>
      <w:r w:rsidRPr="008A7ACD">
        <w:t>)</w:t>
      </w:r>
      <w:r>
        <w:t>”</w:t>
      </w:r>
    </w:p>
    <w:p w:rsidR="009C00CE" w:rsidRDefault="00E037F0" w:rsidP="00E037F0">
      <w:pPr>
        <w:pStyle w:val="H1G"/>
      </w:pPr>
      <w:r>
        <w:tab/>
      </w:r>
      <w:r>
        <w:tab/>
      </w:r>
      <w:r w:rsidR="001A4375" w:rsidRPr="007937D0">
        <w:t xml:space="preserve">Proposal </w:t>
      </w:r>
      <w:r w:rsidR="009C00CE">
        <w:t>2b</w:t>
      </w:r>
      <w:r w:rsidR="00E2335F">
        <w:t xml:space="preserve"> (alternative to proposal 2a)</w:t>
      </w:r>
    </w:p>
    <w:p w:rsidR="009C00CE" w:rsidRPr="00AA5A36" w:rsidRDefault="00AA5A36" w:rsidP="00E037F0">
      <w:pPr>
        <w:pStyle w:val="SingleTxtG"/>
      </w:pPr>
      <w:r w:rsidRPr="00AA5A36">
        <w:t>14.</w:t>
      </w:r>
      <w:r w:rsidRPr="00AA5A36">
        <w:tab/>
      </w:r>
      <w:r w:rsidR="009C00CE" w:rsidRPr="00AA5A36">
        <w:t>Insert a second paragraph/last sentence in 1.1.3.6.2 as follows (if amending the list into stating applicable provisions):</w:t>
      </w:r>
    </w:p>
    <w:p w:rsidR="00A63064" w:rsidRPr="00EE05DF" w:rsidRDefault="004826B8" w:rsidP="00E037F0">
      <w:pPr>
        <w:pStyle w:val="SingleTxtG"/>
        <w:rPr>
          <w:u w:val="single"/>
        </w:rPr>
      </w:pPr>
      <w:r>
        <w:rPr>
          <w:u w:val="single"/>
        </w:rPr>
        <w:t>“</w:t>
      </w:r>
      <w:r w:rsidR="004F71E2">
        <w:rPr>
          <w:u w:val="single"/>
        </w:rPr>
        <w:t>D</w:t>
      </w:r>
      <w:r w:rsidR="00CC0B95" w:rsidRPr="00EE05DF">
        <w:rPr>
          <w:u w:val="single"/>
        </w:rPr>
        <w:t xml:space="preserve">angerous goods </w:t>
      </w:r>
      <w:r w:rsidR="004F71E2">
        <w:rPr>
          <w:u w:val="single"/>
        </w:rPr>
        <w:t xml:space="preserve">carried in accordance </w:t>
      </w:r>
      <w:r w:rsidR="004F71E2" w:rsidRPr="006815F2">
        <w:rPr>
          <w:u w:val="single"/>
        </w:rPr>
        <w:t>with</w:t>
      </w:r>
      <w:r w:rsidR="00CC7B82" w:rsidRPr="006815F2">
        <w:rPr>
          <w:u w:val="single"/>
        </w:rPr>
        <w:t xml:space="preserve"> 1.1.3.6,</w:t>
      </w:r>
      <w:r w:rsidR="00CC7B82" w:rsidRPr="00EE05DF">
        <w:rPr>
          <w:u w:val="single"/>
        </w:rPr>
        <w:t xml:space="preserve"> </w:t>
      </w:r>
      <w:r w:rsidR="004F71E2">
        <w:rPr>
          <w:u w:val="single"/>
        </w:rPr>
        <w:t>are</w:t>
      </w:r>
      <w:r w:rsidR="00CC7B82" w:rsidRPr="00EE05DF">
        <w:rPr>
          <w:u w:val="single"/>
        </w:rPr>
        <w:t xml:space="preserve"> not subject to any other provisions of ADR except for:</w:t>
      </w:r>
      <w:r w:rsidR="00CC0B95" w:rsidRPr="00EE05DF">
        <w:rPr>
          <w:u w:val="single"/>
        </w:rPr>
        <w:t xml:space="preserve"> </w:t>
      </w:r>
    </w:p>
    <w:p w:rsidR="00CC7B82" w:rsidRPr="003E7B5F" w:rsidRDefault="00EE05DF"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Part</w:t>
      </w:r>
      <w:r w:rsidR="00CC7B82" w:rsidRPr="003E7B5F">
        <w:rPr>
          <w:rFonts w:ascii="TimesNewRomanPSMT" w:eastAsiaTheme="minorHAnsi" w:hAnsi="TimesNewRomanPSMT" w:cs="TimesNewRomanPSMT"/>
          <w:szCs w:val="22"/>
          <w:u w:val="single"/>
        </w:rPr>
        <w:t xml:space="preserve"> 1</w:t>
      </w:r>
      <w:r w:rsidR="00CC7B82" w:rsidRPr="003E7B5F">
        <w:rPr>
          <w:rFonts w:ascii="TimesNewRomanPSMT" w:eastAsiaTheme="minorHAnsi" w:hAnsi="TimesNewRomanPSMT" w:cs="TimesNewRomanPSMT"/>
          <w:szCs w:val="22"/>
          <w:u w:val="single"/>
          <w:vertAlign w:val="superscript"/>
        </w:rPr>
        <w:t>*)</w:t>
      </w:r>
      <w:r w:rsidR="00EB701E" w:rsidRPr="003E7B5F">
        <w:rPr>
          <w:rFonts w:ascii="TimesNewRomanPSMT" w:eastAsiaTheme="minorHAnsi" w:hAnsi="TimesNewRomanPSMT" w:cs="TimesNewRomanPSMT"/>
          <w:szCs w:val="22"/>
          <w:u w:val="single"/>
        </w:rPr>
        <w:t>,</w:t>
      </w:r>
    </w:p>
    <w:p w:rsidR="00053178" w:rsidRPr="003E7B5F" w:rsidRDefault="00EE05DF"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Part</w:t>
      </w:r>
      <w:r w:rsidR="00CC7B82" w:rsidRPr="003E7B5F">
        <w:rPr>
          <w:rFonts w:ascii="TimesNewRomanPSMT" w:eastAsiaTheme="minorHAnsi" w:hAnsi="TimesNewRomanPSMT" w:cs="TimesNewRomanPSMT"/>
          <w:szCs w:val="22"/>
          <w:u w:val="single"/>
        </w:rPr>
        <w:t xml:space="preserve"> 2, </w:t>
      </w:r>
    </w:p>
    <w:p w:rsidR="00053178" w:rsidRPr="003E7B5F" w:rsidRDefault="00053178"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 xml:space="preserve">Part </w:t>
      </w:r>
      <w:r w:rsidR="00CC7B82" w:rsidRPr="003E7B5F">
        <w:rPr>
          <w:rFonts w:ascii="TimesNewRomanPSMT" w:eastAsiaTheme="minorHAnsi" w:hAnsi="TimesNewRomanPSMT" w:cs="TimesNewRomanPSMT"/>
          <w:szCs w:val="22"/>
          <w:u w:val="single"/>
        </w:rPr>
        <w:t xml:space="preserve">3, </w:t>
      </w:r>
    </w:p>
    <w:p w:rsidR="00CC7B82" w:rsidRPr="003E7B5F" w:rsidRDefault="00053178"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 xml:space="preserve">Part </w:t>
      </w:r>
      <w:r w:rsidR="00CC7B82" w:rsidRPr="003E7B5F">
        <w:rPr>
          <w:rFonts w:ascii="TimesNewRomanPSMT" w:eastAsiaTheme="minorHAnsi" w:hAnsi="TimesNewRomanPSMT" w:cs="TimesNewRomanPSMT"/>
          <w:szCs w:val="22"/>
          <w:u w:val="single"/>
        </w:rPr>
        <w:t>4</w:t>
      </w:r>
      <w:r w:rsidR="00EB701E" w:rsidRPr="003E7B5F">
        <w:rPr>
          <w:rFonts w:ascii="TimesNewRomanPSMT" w:eastAsiaTheme="minorHAnsi" w:hAnsi="TimesNewRomanPSMT" w:cs="TimesNewRomanPSMT"/>
          <w:szCs w:val="22"/>
          <w:u w:val="single"/>
        </w:rPr>
        <w:t>,</w:t>
      </w:r>
    </w:p>
    <w:p w:rsidR="00CC7B82" w:rsidRPr="003E7B5F" w:rsidRDefault="00EE05DF"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 xml:space="preserve">Part </w:t>
      </w:r>
      <w:r w:rsidR="00CC7B82" w:rsidRPr="003E7B5F">
        <w:rPr>
          <w:rFonts w:ascii="TimesNewRomanPSMT" w:eastAsiaTheme="minorHAnsi" w:hAnsi="TimesNewRomanPSMT" w:cs="TimesNewRomanPSMT"/>
          <w:szCs w:val="22"/>
          <w:u w:val="single"/>
        </w:rPr>
        <w:t xml:space="preserve">5 </w:t>
      </w:r>
      <w:r w:rsidRPr="003E7B5F">
        <w:rPr>
          <w:rFonts w:ascii="TimesNewRomanPSMT" w:eastAsiaTheme="minorHAnsi" w:hAnsi="TimesNewRomanPSMT" w:cs="TimesNewRomanPSMT"/>
          <w:szCs w:val="22"/>
          <w:u w:val="single"/>
        </w:rPr>
        <w:t>except Chapter</w:t>
      </w:r>
      <w:r w:rsidR="00CC7B82" w:rsidRPr="003E7B5F">
        <w:rPr>
          <w:rFonts w:ascii="TimesNewRomanPSMT" w:eastAsiaTheme="minorHAnsi" w:hAnsi="TimesNewRomanPSMT" w:cs="TimesNewRomanPSMT"/>
          <w:szCs w:val="22"/>
          <w:u w:val="single"/>
        </w:rPr>
        <w:t xml:space="preserve"> 5.3 </w:t>
      </w:r>
      <w:r w:rsidRPr="003E7B5F">
        <w:rPr>
          <w:rFonts w:ascii="TimesNewRomanPSMT" w:eastAsiaTheme="minorHAnsi" w:hAnsi="TimesNewRomanPSMT" w:cs="TimesNewRomanPSMT"/>
          <w:szCs w:val="22"/>
          <w:u w:val="single"/>
        </w:rPr>
        <w:t>and Section</w:t>
      </w:r>
      <w:r w:rsidR="00CC7B82" w:rsidRPr="003E7B5F">
        <w:rPr>
          <w:rFonts w:ascii="TimesNewRomanPSMT" w:eastAsiaTheme="minorHAnsi" w:hAnsi="TimesNewRomanPSMT" w:cs="TimesNewRomanPSMT"/>
          <w:szCs w:val="22"/>
          <w:u w:val="single"/>
        </w:rPr>
        <w:t xml:space="preserve"> 5.4.3</w:t>
      </w:r>
      <w:r w:rsidR="00EB701E" w:rsidRPr="003E7B5F">
        <w:rPr>
          <w:rFonts w:ascii="TimesNewRomanPSMT" w:eastAsiaTheme="minorHAnsi" w:hAnsi="TimesNewRomanPSMT" w:cs="TimesNewRomanPSMT"/>
          <w:szCs w:val="22"/>
          <w:u w:val="single"/>
        </w:rPr>
        <w:t>,</w:t>
      </w:r>
    </w:p>
    <w:p w:rsidR="00CC7B82" w:rsidRPr="003E7B5F" w:rsidRDefault="00EE05DF" w:rsidP="00E037F0">
      <w:pPr>
        <w:pStyle w:val="ListParagraph"/>
        <w:numPr>
          <w:ilvl w:val="0"/>
          <w:numId w:val="21"/>
        </w:numPr>
        <w:ind w:firstLine="414"/>
        <w:rPr>
          <w:rFonts w:ascii="TimesNewRomanPSMT" w:eastAsiaTheme="minorHAnsi" w:hAnsi="TimesNewRomanPSMT" w:cs="TimesNewRomanPSMT"/>
          <w:szCs w:val="22"/>
          <w:u w:val="single"/>
          <w:lang w:val="sv-SE"/>
        </w:rPr>
      </w:pPr>
      <w:r w:rsidRPr="003E7B5F">
        <w:rPr>
          <w:rFonts w:ascii="TimesNewRomanPSMT" w:eastAsiaTheme="minorHAnsi" w:hAnsi="TimesNewRomanPSMT" w:cs="TimesNewRomanPSMT"/>
          <w:szCs w:val="22"/>
          <w:u w:val="single"/>
        </w:rPr>
        <w:t xml:space="preserve">Part </w:t>
      </w:r>
      <w:r w:rsidR="00CC7B82" w:rsidRPr="003E7B5F">
        <w:rPr>
          <w:rFonts w:ascii="TimesNewRomanPSMT" w:eastAsiaTheme="minorHAnsi" w:hAnsi="TimesNewRomanPSMT" w:cs="TimesNewRomanPSMT"/>
          <w:szCs w:val="22"/>
          <w:u w:val="single"/>
          <w:lang w:val="sv-SE"/>
        </w:rPr>
        <w:t>6</w:t>
      </w:r>
      <w:r w:rsidR="00EB701E" w:rsidRPr="003E7B5F">
        <w:rPr>
          <w:rFonts w:ascii="TimesNewRomanPSMT" w:eastAsiaTheme="minorHAnsi" w:hAnsi="TimesNewRomanPSMT" w:cs="TimesNewRomanPSMT"/>
          <w:szCs w:val="22"/>
          <w:u w:val="single"/>
          <w:lang w:val="sv-SE"/>
        </w:rPr>
        <w:t>,</w:t>
      </w:r>
    </w:p>
    <w:p w:rsidR="00EE05DF" w:rsidRPr="003E7B5F" w:rsidRDefault="00EE05DF" w:rsidP="00E037F0">
      <w:pPr>
        <w:pStyle w:val="ListParagraph"/>
        <w:numPr>
          <w:ilvl w:val="0"/>
          <w:numId w:val="21"/>
        </w:numPr>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 xml:space="preserve">Chapter </w:t>
      </w:r>
      <w:r w:rsidR="00CC7B82" w:rsidRPr="003E7B5F">
        <w:rPr>
          <w:rFonts w:ascii="TimesNewRomanPSMT" w:eastAsiaTheme="minorHAnsi" w:hAnsi="TimesNewRomanPSMT" w:cs="TimesNewRomanPSMT"/>
          <w:szCs w:val="22"/>
          <w:u w:val="single"/>
        </w:rPr>
        <w:t>7</w:t>
      </w:r>
      <w:r w:rsidRPr="003E7B5F">
        <w:rPr>
          <w:rFonts w:ascii="TimesNewRomanPSMT" w:eastAsiaTheme="minorHAnsi" w:hAnsi="TimesNewRomanPSMT" w:cs="TimesNewRomanPSMT"/>
          <w:szCs w:val="22"/>
          <w:u w:val="single"/>
        </w:rPr>
        <w:t>.1</w:t>
      </w:r>
      <w:r w:rsidR="00EB701E" w:rsidRPr="003E7B5F">
        <w:rPr>
          <w:rFonts w:ascii="TimesNewRomanPSMT" w:eastAsiaTheme="minorHAnsi" w:hAnsi="TimesNewRomanPSMT" w:cs="TimesNewRomanPSMT"/>
          <w:szCs w:val="22"/>
          <w:u w:val="single"/>
        </w:rPr>
        <w:t>,</w:t>
      </w:r>
      <w:r w:rsidR="00053178" w:rsidRPr="003E7B5F">
        <w:rPr>
          <w:rFonts w:ascii="TimesNewRomanPSMT" w:eastAsiaTheme="minorHAnsi" w:hAnsi="TimesNewRomanPSMT" w:cs="TimesNewRomanPSMT"/>
          <w:szCs w:val="22"/>
          <w:u w:val="single"/>
        </w:rPr>
        <w:t xml:space="preserve"> </w:t>
      </w:r>
      <w:r w:rsidRPr="003E7B5F">
        <w:rPr>
          <w:rFonts w:ascii="TimesNewRomanPSMT" w:eastAsiaTheme="minorHAnsi" w:hAnsi="TimesNewRomanPSMT" w:cs="TimesNewRomanPSMT"/>
          <w:szCs w:val="22"/>
          <w:u w:val="single"/>
        </w:rPr>
        <w:t>V5 and V8 in Chapter</w:t>
      </w:r>
      <w:r w:rsidR="00CC7B82" w:rsidRPr="003E7B5F">
        <w:rPr>
          <w:rFonts w:ascii="TimesNewRomanPSMT" w:eastAsiaTheme="minorHAnsi" w:hAnsi="TimesNewRomanPSMT" w:cs="TimesNewRomanPSMT"/>
          <w:szCs w:val="22"/>
          <w:u w:val="single"/>
        </w:rPr>
        <w:t xml:space="preserve"> 7.2</w:t>
      </w:r>
      <w:r w:rsidR="00EB701E" w:rsidRPr="003E7B5F">
        <w:rPr>
          <w:rFonts w:ascii="TimesNewRomanPSMT" w:eastAsiaTheme="minorHAnsi" w:hAnsi="TimesNewRomanPSMT" w:cs="TimesNewRomanPSMT"/>
          <w:szCs w:val="22"/>
          <w:u w:val="single"/>
        </w:rPr>
        <w:t>,</w:t>
      </w:r>
      <w:r w:rsidR="00053178" w:rsidRPr="003E7B5F">
        <w:rPr>
          <w:rFonts w:ascii="TimesNewRomanPSMT" w:eastAsiaTheme="minorHAnsi" w:hAnsi="TimesNewRomanPSMT" w:cs="TimesNewRomanPSMT"/>
          <w:szCs w:val="22"/>
          <w:u w:val="single"/>
        </w:rPr>
        <w:t xml:space="preserve"> </w:t>
      </w:r>
      <w:r w:rsidRPr="003E7B5F">
        <w:rPr>
          <w:rFonts w:ascii="TimesNewRomanPSMT" w:eastAsiaTheme="minorHAnsi" w:hAnsi="TimesNewRomanPSMT" w:cs="TimesNewRomanPSMT"/>
          <w:szCs w:val="22"/>
          <w:u w:val="single"/>
        </w:rPr>
        <w:t>Chapters 7.3</w:t>
      </w:r>
      <w:r w:rsidR="00EB701E" w:rsidRPr="003E7B5F">
        <w:rPr>
          <w:rFonts w:ascii="TimesNewRomanPSMT" w:eastAsiaTheme="minorHAnsi" w:hAnsi="TimesNewRomanPSMT" w:cs="TimesNewRomanPSMT"/>
          <w:szCs w:val="22"/>
          <w:u w:val="single"/>
        </w:rPr>
        <w:t xml:space="preserve"> – 7.5,</w:t>
      </w:r>
    </w:p>
    <w:p w:rsidR="00CC7B82" w:rsidRPr="003E7B5F" w:rsidRDefault="00CC7B82" w:rsidP="00E037F0">
      <w:pPr>
        <w:pStyle w:val="ListParagraph"/>
        <w:numPr>
          <w:ilvl w:val="0"/>
          <w:numId w:val="21"/>
        </w:numPr>
        <w:suppressAutoHyphens w:val="0"/>
        <w:autoSpaceDE w:val="0"/>
        <w:autoSpaceDN w:val="0"/>
        <w:adjustRightInd w:val="0"/>
        <w:spacing w:line="240" w:lineRule="auto"/>
        <w:ind w:firstLine="414"/>
        <w:rPr>
          <w:rFonts w:ascii="TimesNewRomanPSMT" w:eastAsiaTheme="minorHAnsi" w:hAnsi="TimesNewRomanPSMT" w:cs="TimesNewRomanPSMT"/>
          <w:szCs w:val="22"/>
          <w:u w:val="single"/>
          <w:lang w:val="sv-SE"/>
        </w:rPr>
      </w:pPr>
      <w:r w:rsidRPr="003E7B5F">
        <w:rPr>
          <w:rFonts w:ascii="TimesNewRomanPSMT" w:eastAsiaTheme="minorHAnsi" w:hAnsi="TimesNewRomanPSMT" w:cs="TimesNewRomanPSMT"/>
          <w:szCs w:val="22"/>
          <w:u w:val="single"/>
          <w:lang w:val="sv-SE"/>
        </w:rPr>
        <w:t>8.1.2.1 (a),</w:t>
      </w:r>
      <w:r w:rsidR="00053178" w:rsidRPr="003E7B5F">
        <w:rPr>
          <w:rFonts w:ascii="TimesNewRomanPSMT" w:eastAsiaTheme="minorHAnsi" w:hAnsi="TimesNewRomanPSMT" w:cs="TimesNewRomanPSMT"/>
          <w:szCs w:val="22"/>
          <w:u w:val="single"/>
          <w:lang w:val="sv-SE"/>
        </w:rPr>
        <w:t xml:space="preserve"> </w:t>
      </w:r>
      <w:r w:rsidRPr="003E7B5F">
        <w:rPr>
          <w:rFonts w:ascii="TimesNewRomanPSMT" w:eastAsiaTheme="minorHAnsi" w:hAnsi="TimesNewRomanPSMT" w:cs="TimesNewRomanPSMT"/>
          <w:szCs w:val="22"/>
          <w:u w:val="single"/>
          <w:lang w:val="sv-SE"/>
        </w:rPr>
        <w:t xml:space="preserve">8.1.4.2 </w:t>
      </w:r>
      <w:r w:rsidR="00EB701E" w:rsidRPr="003E7B5F">
        <w:rPr>
          <w:rFonts w:ascii="TimesNewRomanPSMT" w:eastAsiaTheme="minorHAnsi" w:hAnsi="TimesNewRomanPSMT" w:cs="TimesNewRomanPSMT"/>
          <w:szCs w:val="22"/>
          <w:u w:val="single"/>
          <w:lang w:val="sv-SE"/>
        </w:rPr>
        <w:t>– 8.</w:t>
      </w:r>
      <w:r w:rsidRPr="003E7B5F">
        <w:rPr>
          <w:rFonts w:ascii="TimesNewRomanPSMT" w:eastAsiaTheme="minorHAnsi" w:hAnsi="TimesNewRomanPSMT" w:cs="TimesNewRomanPSMT"/>
          <w:szCs w:val="22"/>
          <w:u w:val="single"/>
          <w:lang w:val="sv-SE"/>
        </w:rPr>
        <w:t>1.4.5,</w:t>
      </w:r>
      <w:r w:rsidR="00053178" w:rsidRPr="003E7B5F">
        <w:rPr>
          <w:rFonts w:ascii="TimesNewRomanPSMT" w:eastAsiaTheme="minorHAnsi" w:hAnsi="TimesNewRomanPSMT" w:cs="TimesNewRomanPSMT"/>
          <w:szCs w:val="22"/>
          <w:u w:val="single"/>
          <w:lang w:val="sv-SE"/>
        </w:rPr>
        <w:t xml:space="preserve"> </w:t>
      </w:r>
      <w:r w:rsidRPr="003E7B5F">
        <w:rPr>
          <w:rFonts w:ascii="TimesNewRomanPSMT" w:eastAsiaTheme="minorHAnsi" w:hAnsi="TimesNewRomanPSMT" w:cs="TimesNewRomanPSMT"/>
          <w:szCs w:val="22"/>
          <w:u w:val="single"/>
          <w:lang w:val="sv-SE"/>
        </w:rPr>
        <w:t>8.2.3,</w:t>
      </w:r>
      <w:r w:rsidR="00053178" w:rsidRPr="003E7B5F">
        <w:rPr>
          <w:rFonts w:ascii="TimesNewRomanPSMT" w:eastAsiaTheme="minorHAnsi" w:hAnsi="TimesNewRomanPSMT" w:cs="TimesNewRomanPSMT"/>
          <w:szCs w:val="22"/>
          <w:u w:val="single"/>
          <w:lang w:val="sv-SE"/>
        </w:rPr>
        <w:t xml:space="preserve"> </w:t>
      </w:r>
      <w:r w:rsidRPr="003E7B5F">
        <w:rPr>
          <w:rFonts w:ascii="TimesNewRomanPSMT" w:eastAsiaTheme="minorHAnsi" w:hAnsi="TimesNewRomanPSMT" w:cs="TimesNewRomanPSMT"/>
          <w:szCs w:val="22"/>
          <w:u w:val="single"/>
          <w:lang w:val="sv-SE"/>
        </w:rPr>
        <w:t>8.3.3</w:t>
      </w:r>
      <w:r w:rsidR="00EB701E" w:rsidRPr="003E7B5F">
        <w:rPr>
          <w:rFonts w:ascii="TimesNewRomanPSMT" w:eastAsiaTheme="minorHAnsi" w:hAnsi="TimesNewRomanPSMT" w:cs="TimesNewRomanPSMT"/>
          <w:szCs w:val="22"/>
          <w:u w:val="single"/>
          <w:lang w:val="sv-SE"/>
        </w:rPr>
        <w:t xml:space="preserve"> – 8.</w:t>
      </w:r>
      <w:r w:rsidRPr="003E7B5F">
        <w:rPr>
          <w:rFonts w:ascii="TimesNewRomanPSMT" w:eastAsiaTheme="minorHAnsi" w:hAnsi="TimesNewRomanPSMT" w:cs="TimesNewRomanPSMT"/>
          <w:szCs w:val="22"/>
          <w:u w:val="single"/>
          <w:lang w:val="sv-SE"/>
        </w:rPr>
        <w:t>3.5</w:t>
      </w:r>
      <w:r w:rsidR="00EB701E" w:rsidRPr="003E7B5F">
        <w:rPr>
          <w:rFonts w:ascii="TimesNewRomanPSMT" w:eastAsiaTheme="minorHAnsi" w:hAnsi="TimesNewRomanPSMT" w:cs="TimesNewRomanPSMT"/>
          <w:szCs w:val="22"/>
          <w:u w:val="single"/>
          <w:lang w:val="sv-SE"/>
        </w:rPr>
        <w:t>,</w:t>
      </w:r>
      <w:r w:rsidR="00053178" w:rsidRPr="003E7B5F">
        <w:rPr>
          <w:rFonts w:ascii="TimesNewRomanPSMT" w:eastAsiaTheme="minorHAnsi" w:hAnsi="TimesNewRomanPSMT" w:cs="TimesNewRomanPSMT"/>
          <w:szCs w:val="22"/>
          <w:u w:val="single"/>
          <w:lang w:val="sv-SE"/>
        </w:rPr>
        <w:t xml:space="preserve"> </w:t>
      </w:r>
      <w:r w:rsidR="00EE05DF" w:rsidRPr="003E7B5F">
        <w:rPr>
          <w:rFonts w:ascii="TimesNewRomanPSMT" w:eastAsiaTheme="minorHAnsi" w:hAnsi="TimesNewRomanPSMT" w:cs="TimesNewRomanPSMT"/>
          <w:szCs w:val="22"/>
          <w:u w:val="single"/>
          <w:lang w:val="sv-SE"/>
        </w:rPr>
        <w:t>Chapter</w:t>
      </w:r>
      <w:r w:rsidRPr="003E7B5F">
        <w:rPr>
          <w:rFonts w:ascii="TimesNewRomanPSMT" w:eastAsiaTheme="minorHAnsi" w:hAnsi="TimesNewRomanPSMT" w:cs="TimesNewRomanPSMT"/>
          <w:szCs w:val="22"/>
          <w:u w:val="single"/>
          <w:lang w:val="sv-SE"/>
        </w:rPr>
        <w:t xml:space="preserve"> 8.4</w:t>
      </w:r>
      <w:r w:rsidR="00EB701E" w:rsidRPr="003E7B5F">
        <w:rPr>
          <w:rFonts w:ascii="TimesNewRomanPSMT" w:eastAsiaTheme="minorHAnsi" w:hAnsi="TimesNewRomanPSMT" w:cs="TimesNewRomanPSMT"/>
          <w:szCs w:val="22"/>
          <w:u w:val="single"/>
          <w:lang w:val="sv-SE"/>
        </w:rPr>
        <w:t>,</w:t>
      </w:r>
      <w:r w:rsidR="00053178" w:rsidRPr="003E7B5F">
        <w:rPr>
          <w:rFonts w:ascii="TimesNewRomanPSMT" w:eastAsiaTheme="minorHAnsi" w:hAnsi="TimesNewRomanPSMT" w:cs="TimesNewRomanPSMT"/>
          <w:szCs w:val="22"/>
          <w:u w:val="single"/>
          <w:lang w:val="sv-SE"/>
        </w:rPr>
        <w:t xml:space="preserve"> and</w:t>
      </w:r>
    </w:p>
    <w:p w:rsidR="00EB701E" w:rsidRPr="003E7B5F" w:rsidRDefault="00EB701E" w:rsidP="00E037F0">
      <w:pPr>
        <w:pStyle w:val="ListParagraph"/>
        <w:numPr>
          <w:ilvl w:val="0"/>
          <w:numId w:val="21"/>
        </w:numPr>
        <w:suppressAutoHyphens w:val="0"/>
        <w:autoSpaceDE w:val="0"/>
        <w:autoSpaceDN w:val="0"/>
        <w:adjustRightInd w:val="0"/>
        <w:spacing w:line="240" w:lineRule="auto"/>
        <w:ind w:firstLine="414"/>
        <w:rPr>
          <w:rFonts w:ascii="TimesNewRomanPSMT" w:eastAsiaTheme="minorHAnsi" w:hAnsi="TimesNewRomanPSMT" w:cs="TimesNewRomanPSMT"/>
          <w:szCs w:val="22"/>
          <w:u w:val="single"/>
        </w:rPr>
      </w:pPr>
      <w:r w:rsidRPr="003E7B5F">
        <w:rPr>
          <w:rFonts w:ascii="TimesNewRomanPSMT" w:eastAsiaTheme="minorHAnsi" w:hAnsi="TimesNewRomanPSMT" w:cs="TimesNewRomanPSMT"/>
          <w:szCs w:val="22"/>
          <w:u w:val="single"/>
        </w:rPr>
        <w:t>the following provisions in Chapter 8.5:</w:t>
      </w:r>
    </w:p>
    <w:p w:rsidR="00CC7B82" w:rsidRPr="003E7B5F" w:rsidRDefault="00E037F0" w:rsidP="00E037F0">
      <w:pPr>
        <w:pStyle w:val="ListParagraph"/>
        <w:suppressAutoHyphens w:val="0"/>
        <w:autoSpaceDE w:val="0"/>
        <w:autoSpaceDN w:val="0"/>
        <w:adjustRightInd w:val="0"/>
        <w:spacing w:line="240" w:lineRule="auto"/>
        <w:ind w:left="1134"/>
        <w:rPr>
          <w:rFonts w:ascii="TimesNewRomanPSMT" w:eastAsiaTheme="minorHAnsi" w:hAnsi="TimesNewRomanPSMT" w:cs="TimesNewRomanPSMT"/>
          <w:szCs w:val="22"/>
          <w:u w:val="single"/>
        </w:rPr>
      </w:pPr>
      <w:r>
        <w:rPr>
          <w:rFonts w:ascii="TimesNewRomanPSMT" w:eastAsiaTheme="minorHAnsi" w:hAnsi="TimesNewRomanPSMT" w:cs="TimesNewRomanPSMT"/>
          <w:szCs w:val="22"/>
          <w:u w:val="single"/>
        </w:rPr>
        <w:t>-</w:t>
      </w:r>
      <w:r>
        <w:rPr>
          <w:rFonts w:ascii="TimesNewRomanPSMT" w:eastAsiaTheme="minorHAnsi" w:hAnsi="TimesNewRomanPSMT" w:cs="TimesNewRomanPSMT"/>
          <w:szCs w:val="22"/>
          <w:u w:val="single"/>
        </w:rPr>
        <w:tab/>
        <w:t xml:space="preserve">S1 (3) </w:t>
      </w:r>
      <w:r w:rsidR="009C23ED">
        <w:rPr>
          <w:rFonts w:ascii="TimesNewRomanPSMT" w:eastAsiaTheme="minorHAnsi" w:hAnsi="TimesNewRomanPSMT" w:cs="TimesNewRomanPSMT"/>
          <w:szCs w:val="22"/>
          <w:u w:val="single"/>
        </w:rPr>
        <w:t>and</w:t>
      </w:r>
      <w:r>
        <w:rPr>
          <w:rFonts w:ascii="TimesNewRomanPSMT" w:eastAsiaTheme="minorHAnsi" w:hAnsi="TimesNewRomanPSMT" w:cs="TimesNewRomanPSMT"/>
          <w:szCs w:val="22"/>
          <w:u w:val="single"/>
        </w:rPr>
        <w:t xml:space="preserve"> (6)</w:t>
      </w:r>
      <w:proofErr w:type="gramStart"/>
      <w:r>
        <w:rPr>
          <w:rFonts w:ascii="TimesNewRomanPSMT" w:eastAsiaTheme="minorHAnsi" w:hAnsi="TimesNewRomanPSMT" w:cs="TimesNewRomanPSMT"/>
          <w:szCs w:val="22"/>
          <w:u w:val="single"/>
        </w:rPr>
        <w:t>,</w:t>
      </w:r>
      <w:proofErr w:type="gramEnd"/>
      <w:r>
        <w:rPr>
          <w:rFonts w:ascii="TimesNewRomanPSMT" w:eastAsiaTheme="minorHAnsi" w:hAnsi="TimesNewRomanPSMT" w:cs="TimesNewRomanPSMT"/>
          <w:szCs w:val="22"/>
          <w:u w:val="single"/>
        </w:rPr>
        <w:br/>
        <w:t>-</w:t>
      </w:r>
      <w:r>
        <w:rPr>
          <w:rFonts w:ascii="TimesNewRomanPSMT" w:eastAsiaTheme="minorHAnsi" w:hAnsi="TimesNewRomanPSMT" w:cs="TimesNewRomanPSMT"/>
          <w:szCs w:val="22"/>
          <w:u w:val="single"/>
        </w:rPr>
        <w:tab/>
        <w:t>S2 (1),</w:t>
      </w:r>
      <w:r>
        <w:rPr>
          <w:rFonts w:ascii="TimesNewRomanPSMT" w:eastAsiaTheme="minorHAnsi" w:hAnsi="TimesNewRomanPSMT" w:cs="TimesNewRomanPSMT"/>
          <w:szCs w:val="22"/>
          <w:u w:val="single"/>
        </w:rPr>
        <w:br/>
        <w:t>-</w:t>
      </w:r>
      <w:r>
        <w:rPr>
          <w:rFonts w:ascii="TimesNewRomanPSMT" w:eastAsiaTheme="minorHAnsi" w:hAnsi="TimesNewRomanPSMT" w:cs="TimesNewRomanPSMT"/>
          <w:szCs w:val="22"/>
          <w:u w:val="single"/>
        </w:rPr>
        <w:tab/>
        <w:t>S4,</w:t>
      </w:r>
      <w:r>
        <w:rPr>
          <w:rFonts w:ascii="TimesNewRomanPSMT" w:eastAsiaTheme="minorHAnsi" w:hAnsi="TimesNewRomanPSMT" w:cs="TimesNewRomanPSMT"/>
          <w:szCs w:val="22"/>
          <w:u w:val="single"/>
        </w:rPr>
        <w:br/>
      </w:r>
      <w:r>
        <w:rPr>
          <w:rFonts w:ascii="TimesNewRomanPSMT" w:eastAsiaTheme="minorHAnsi" w:hAnsi="TimesNewRomanPSMT" w:cs="TimesNewRomanPSMT"/>
          <w:szCs w:val="22"/>
          <w:u w:val="single"/>
        </w:rPr>
        <w:lastRenderedPageBreak/>
        <w:t>-</w:t>
      </w:r>
      <w:r>
        <w:rPr>
          <w:rFonts w:ascii="TimesNewRomanPSMT" w:eastAsiaTheme="minorHAnsi" w:hAnsi="TimesNewRomanPSMT" w:cs="TimesNewRomanPSMT"/>
          <w:szCs w:val="22"/>
          <w:u w:val="single"/>
        </w:rPr>
        <w:tab/>
        <w:t>S5</w:t>
      </w:r>
      <w:r>
        <w:rPr>
          <w:rFonts w:ascii="TimesNewRomanPSMT" w:eastAsiaTheme="minorHAnsi" w:hAnsi="TimesNewRomanPSMT" w:cs="TimesNewRomanPSMT"/>
          <w:szCs w:val="22"/>
          <w:u w:val="single"/>
        </w:rPr>
        <w:br/>
        <w:t>-</w:t>
      </w:r>
      <w:r>
        <w:rPr>
          <w:rFonts w:ascii="TimesNewRomanPSMT" w:eastAsiaTheme="minorHAnsi" w:hAnsi="TimesNewRomanPSMT" w:cs="TimesNewRomanPSMT"/>
          <w:szCs w:val="22"/>
          <w:u w:val="single"/>
        </w:rPr>
        <w:tab/>
      </w:r>
      <w:r w:rsidR="00CC7B82" w:rsidRPr="003E7B5F">
        <w:rPr>
          <w:rFonts w:ascii="TimesNewRomanPSMT" w:eastAsiaTheme="minorHAnsi" w:hAnsi="TimesNewRomanPSMT" w:cs="TimesNewRomanPSMT"/>
          <w:szCs w:val="22"/>
          <w:u w:val="single"/>
        </w:rPr>
        <w:t xml:space="preserve">S14-S21 </w:t>
      </w:r>
      <w:r w:rsidR="009C23ED">
        <w:rPr>
          <w:rFonts w:ascii="TimesNewRomanPSMT" w:eastAsiaTheme="minorHAnsi" w:hAnsi="TimesNewRomanPSMT" w:cs="TimesNewRomanPSMT"/>
          <w:szCs w:val="22"/>
          <w:u w:val="single"/>
        </w:rPr>
        <w:t>and</w:t>
      </w:r>
      <w:r w:rsidR="009C23ED">
        <w:rPr>
          <w:rFonts w:ascii="TimesNewRomanPSMT" w:eastAsiaTheme="minorHAnsi" w:hAnsi="TimesNewRomanPSMT" w:cs="TimesNewRomanPSMT"/>
          <w:szCs w:val="22"/>
          <w:u w:val="single"/>
        </w:rPr>
        <w:br/>
        <w:t>-</w:t>
      </w:r>
      <w:r w:rsidR="009C23ED">
        <w:rPr>
          <w:rFonts w:ascii="TimesNewRomanPSMT" w:eastAsiaTheme="minorHAnsi" w:hAnsi="TimesNewRomanPSMT" w:cs="TimesNewRomanPSMT"/>
          <w:szCs w:val="22"/>
          <w:u w:val="single"/>
        </w:rPr>
        <w:tab/>
      </w:r>
      <w:r w:rsidR="00CC7B82" w:rsidRPr="003E7B5F">
        <w:rPr>
          <w:rFonts w:ascii="TimesNewRomanPSMT" w:eastAsiaTheme="minorHAnsi" w:hAnsi="TimesNewRomanPSMT" w:cs="TimesNewRomanPSMT"/>
          <w:szCs w:val="22"/>
          <w:u w:val="single"/>
        </w:rPr>
        <w:t>S24.</w:t>
      </w:r>
    </w:p>
    <w:p w:rsidR="00A9586F" w:rsidRPr="00DB5E7F" w:rsidRDefault="00CC7B82" w:rsidP="00E037F0">
      <w:pPr>
        <w:pStyle w:val="SingleTxtG"/>
        <w:spacing w:before="120"/>
        <w:rPr>
          <w:rFonts w:eastAsiaTheme="minorHAnsi"/>
          <w:sz w:val="22"/>
        </w:rPr>
      </w:pPr>
      <w:r w:rsidRPr="00DB5E7F">
        <w:rPr>
          <w:rFonts w:eastAsiaTheme="minorHAnsi"/>
          <w:u w:val="single"/>
        </w:rPr>
        <w:t xml:space="preserve">*) </w:t>
      </w:r>
      <w:r w:rsidR="00387DA8" w:rsidRPr="00DB5E7F">
        <w:rPr>
          <w:rFonts w:eastAsiaTheme="minorHAnsi"/>
          <w:u w:val="single"/>
        </w:rPr>
        <w:t>Chapter</w:t>
      </w:r>
      <w:r w:rsidRPr="00DB5E7F">
        <w:rPr>
          <w:rFonts w:eastAsiaTheme="minorHAnsi"/>
          <w:u w:val="single"/>
        </w:rPr>
        <w:t xml:space="preserve"> 1.10 </w:t>
      </w:r>
      <w:r w:rsidR="00387DA8" w:rsidRPr="00DB5E7F">
        <w:rPr>
          <w:rFonts w:eastAsiaTheme="minorHAnsi"/>
          <w:u w:val="single"/>
        </w:rPr>
        <w:t xml:space="preserve">only applies </w:t>
      </w:r>
      <w:r w:rsidR="008A7ACD" w:rsidRPr="00DB5E7F">
        <w:rPr>
          <w:rFonts w:eastAsiaTheme="minorHAnsi"/>
          <w:u w:val="single"/>
        </w:rPr>
        <w:t>to</w:t>
      </w:r>
      <w:r w:rsidR="00387DA8" w:rsidRPr="00DB5E7F">
        <w:rPr>
          <w:rFonts w:eastAsiaTheme="minorHAnsi"/>
          <w:u w:val="single"/>
        </w:rPr>
        <w:t xml:space="preserve"> explosive substances and articles </w:t>
      </w:r>
      <w:r w:rsidR="00387DA8" w:rsidRPr="00DB5E7F">
        <w:rPr>
          <w:rFonts w:eastAsiaTheme="minorHAnsi"/>
        </w:rPr>
        <w:t>of</w:t>
      </w:r>
      <w:r w:rsidRPr="00DB5E7F">
        <w:rPr>
          <w:rFonts w:eastAsiaTheme="minorHAnsi"/>
        </w:rPr>
        <w:t xml:space="preserve"> UN 0029, 0030,</w:t>
      </w:r>
      <w:r w:rsidR="00387DA8" w:rsidRPr="00DB5E7F">
        <w:rPr>
          <w:rFonts w:eastAsiaTheme="minorHAnsi"/>
          <w:u w:val="single"/>
        </w:rPr>
        <w:t xml:space="preserve"> </w:t>
      </w:r>
      <w:r w:rsidRPr="00DB5E7F">
        <w:rPr>
          <w:rFonts w:eastAsiaTheme="minorHAnsi"/>
        </w:rPr>
        <w:t xml:space="preserve">0059, 0065, 0073, 0104, 0237, 0255, 0267, 0288, 0289, 0290, 0360, 0361, 0364, 0365, 0366, 0439, 0440, 0441, 0455, 0456 </w:t>
      </w:r>
      <w:r w:rsidR="00DB5E7F" w:rsidRPr="00B757D2">
        <w:rPr>
          <w:rFonts w:eastAsiaTheme="minorHAnsi"/>
        </w:rPr>
        <w:t>and 0500 and except for Class 7 excepted packages of UN Nos. 2910 and 2911 if the activity level exceeds the A2 value</w:t>
      </w:r>
      <w:r w:rsidR="00B757D2" w:rsidRPr="00B757D2">
        <w:rPr>
          <w:rFonts w:eastAsiaTheme="minorHAnsi"/>
        </w:rPr>
        <w:t>.</w:t>
      </w:r>
      <w:r w:rsidR="004826B8">
        <w:rPr>
          <w:rFonts w:eastAsiaTheme="minorHAnsi"/>
        </w:rPr>
        <w:t>”</w:t>
      </w:r>
    </w:p>
    <w:p w:rsidR="00793BB3" w:rsidRDefault="00E037F0" w:rsidP="00E037F0">
      <w:pPr>
        <w:pStyle w:val="H1G"/>
      </w:pPr>
      <w:r>
        <w:tab/>
      </w:r>
      <w:r>
        <w:tab/>
      </w:r>
      <w:r w:rsidR="00793BB3" w:rsidRPr="00793BB3">
        <w:t>Proposal 3</w:t>
      </w:r>
    </w:p>
    <w:p w:rsidR="009C00CE" w:rsidRPr="009C23ED" w:rsidRDefault="009C23ED" w:rsidP="00E037F0">
      <w:pPr>
        <w:pStyle w:val="SingleTxtG"/>
      </w:pPr>
      <w:r w:rsidRPr="009C23ED">
        <w:t>15.</w:t>
      </w:r>
      <w:r w:rsidRPr="009C23ED">
        <w:tab/>
      </w:r>
      <w:r w:rsidR="009C00CE" w:rsidRPr="009C23ED">
        <w:t>Amend the text in 1.1.3.6.4 as follows:</w:t>
      </w:r>
    </w:p>
    <w:p w:rsidR="00A9586F" w:rsidRPr="008A7ACD" w:rsidRDefault="004826B8" w:rsidP="00E037F0">
      <w:pPr>
        <w:pStyle w:val="SingleTxtG"/>
      </w:pPr>
      <w:r>
        <w:t>“</w:t>
      </w:r>
      <w:r w:rsidR="00A9586F" w:rsidRPr="0092192E">
        <w:t>1.1.3.6.4</w:t>
      </w:r>
      <w:r w:rsidR="00A9586F" w:rsidRPr="0092192E">
        <w:tab/>
      </w:r>
      <w:r w:rsidR="001A4375" w:rsidRPr="001A4375">
        <w:rPr>
          <w:strike/>
        </w:rPr>
        <w:t>Where</w:t>
      </w:r>
      <w:r w:rsidR="001A4375">
        <w:t xml:space="preserve"> </w:t>
      </w:r>
      <w:r w:rsidR="001A4375" w:rsidRPr="001A4375">
        <w:rPr>
          <w:u w:val="single"/>
        </w:rPr>
        <w:t>When</w:t>
      </w:r>
      <w:r w:rsidR="001A4375">
        <w:t xml:space="preserve"> </w:t>
      </w:r>
      <w:r w:rsidR="00A9586F" w:rsidRPr="001A4375">
        <w:t>dangerous goods</w:t>
      </w:r>
      <w:r w:rsidR="001A4375">
        <w:t xml:space="preserve"> </w:t>
      </w:r>
      <w:r w:rsidR="001A4375" w:rsidRPr="001A4375">
        <w:rPr>
          <w:strike/>
        </w:rPr>
        <w:t>of different transport categories</w:t>
      </w:r>
      <w:r w:rsidR="00A9586F" w:rsidRPr="001A4375">
        <w:t xml:space="preserve"> </w:t>
      </w:r>
      <w:r w:rsidR="00A9586F" w:rsidRPr="008A7ACD">
        <w:t xml:space="preserve">are carried in </w:t>
      </w:r>
      <w:r w:rsidR="00A9586F" w:rsidRPr="001A4375">
        <w:rPr>
          <w:strike/>
        </w:rPr>
        <w:t>the same</w:t>
      </w:r>
      <w:r w:rsidR="00A9586F" w:rsidRPr="008A7ACD">
        <w:t xml:space="preserve"> </w:t>
      </w:r>
      <w:r w:rsidR="001A4375" w:rsidRPr="001A4375">
        <w:rPr>
          <w:u w:val="single"/>
        </w:rPr>
        <w:t>a</w:t>
      </w:r>
      <w:r w:rsidR="001A4375">
        <w:t xml:space="preserve"> </w:t>
      </w:r>
      <w:r w:rsidR="00A9586F" w:rsidRPr="008A7ACD">
        <w:t>transport unit, the sum of:</w:t>
      </w:r>
    </w:p>
    <w:p w:rsidR="00A9586F" w:rsidRPr="008A7ACD" w:rsidRDefault="00A9586F" w:rsidP="00E037F0">
      <w:pPr>
        <w:pStyle w:val="SingleTxtG"/>
      </w:pPr>
      <w:r w:rsidRPr="008A7ACD">
        <w:t>-</w:t>
      </w:r>
      <w:r w:rsidRPr="008A7ACD">
        <w:tab/>
        <w:t>The quantity of substances and articles of transport category 1 multiplied by "50";</w:t>
      </w:r>
    </w:p>
    <w:p w:rsidR="00A9586F" w:rsidRPr="008A7ACD" w:rsidRDefault="00A9586F" w:rsidP="00E037F0">
      <w:pPr>
        <w:pStyle w:val="SingleTxtG"/>
      </w:pPr>
      <w:r w:rsidRPr="008A7ACD">
        <w:t>-</w:t>
      </w:r>
      <w:r w:rsidRPr="008A7ACD">
        <w:tab/>
        <w:t>The quantity of substances and articles of transport category 1 referred to in Note a to the table in 1.1.3.6.3 multiplied by "20";</w:t>
      </w:r>
    </w:p>
    <w:p w:rsidR="00A9586F" w:rsidRPr="008A7ACD" w:rsidRDefault="00A9586F" w:rsidP="00E037F0">
      <w:pPr>
        <w:pStyle w:val="SingleTxtG"/>
      </w:pPr>
      <w:r w:rsidRPr="008A7ACD">
        <w:t>-</w:t>
      </w:r>
      <w:r w:rsidRPr="008A7ACD">
        <w:tab/>
        <w:t>The quantity of substances and articles of transport category 2 multiplied by "3"; and</w:t>
      </w:r>
    </w:p>
    <w:p w:rsidR="00A9586F" w:rsidRPr="008A7ACD" w:rsidRDefault="00A9586F" w:rsidP="00E037F0">
      <w:pPr>
        <w:pStyle w:val="SingleTxtG"/>
      </w:pPr>
      <w:r w:rsidRPr="008A7ACD">
        <w:t>-</w:t>
      </w:r>
      <w:r w:rsidRPr="008A7ACD">
        <w:tab/>
        <w:t>The quantity of substances and articles of transport category 3;</w:t>
      </w:r>
    </w:p>
    <w:p w:rsidR="00A9586F" w:rsidRPr="008A7ACD" w:rsidRDefault="00A9586F" w:rsidP="00A9586F">
      <w:pPr>
        <w:tabs>
          <w:tab w:val="left" w:pos="-1226"/>
          <w:tab w:val="left" w:pos="-720"/>
          <w:tab w:val="left" w:pos="0"/>
          <w:tab w:val="left" w:pos="1418"/>
          <w:tab w:val="left" w:pos="1985"/>
          <w:tab w:val="left" w:pos="2607"/>
          <w:tab w:val="left" w:pos="3600"/>
          <w:tab w:val="left" w:pos="3686"/>
          <w:tab w:val="left" w:pos="4253"/>
          <w:tab w:val="left" w:pos="5040"/>
          <w:tab w:val="left" w:pos="5760"/>
          <w:tab w:val="left" w:pos="6480"/>
          <w:tab w:val="left" w:pos="7200"/>
          <w:tab w:val="left" w:pos="7920"/>
          <w:tab w:val="left" w:pos="8640"/>
          <w:tab w:val="left" w:pos="9360"/>
        </w:tabs>
      </w:pPr>
      <w:r w:rsidRPr="008A7ACD">
        <w:tab/>
      </w:r>
      <w:proofErr w:type="gramStart"/>
      <w:r w:rsidRPr="008A7ACD">
        <w:t>shall</w:t>
      </w:r>
      <w:proofErr w:type="gramEnd"/>
      <w:r w:rsidRPr="008A7ACD">
        <w:t xml:space="preserve"> not </w:t>
      </w:r>
      <w:r w:rsidRPr="001A4375">
        <w:t>exceed</w:t>
      </w:r>
      <w:r w:rsidR="001A4375">
        <w:t xml:space="preserve"> </w:t>
      </w:r>
      <w:r w:rsidR="001A4375" w:rsidRPr="001A4375">
        <w:rPr>
          <w:u w:val="single"/>
        </w:rPr>
        <w:t>a calculated value of</w:t>
      </w:r>
      <w:r w:rsidRPr="001A4375">
        <w:t xml:space="preserve"> </w:t>
      </w:r>
      <w:r w:rsidRPr="008A7ACD">
        <w:t>"1 000".</w:t>
      </w:r>
      <w:r w:rsidR="004826B8">
        <w:t>”</w:t>
      </w:r>
    </w:p>
    <w:p w:rsidR="00A9586F" w:rsidRPr="00967825" w:rsidRDefault="00E037F0" w:rsidP="00E037F0">
      <w:pPr>
        <w:pStyle w:val="H1G"/>
        <w:rPr>
          <w:rFonts w:eastAsiaTheme="minorHAnsi"/>
        </w:rPr>
      </w:pPr>
      <w:r>
        <w:rPr>
          <w:rFonts w:eastAsiaTheme="minorHAnsi"/>
        </w:rPr>
        <w:tab/>
      </w:r>
      <w:r>
        <w:rPr>
          <w:rFonts w:eastAsiaTheme="minorHAnsi"/>
        </w:rPr>
        <w:tab/>
      </w:r>
      <w:r w:rsidR="00967825" w:rsidRPr="00967825">
        <w:rPr>
          <w:rFonts w:eastAsiaTheme="minorHAnsi"/>
        </w:rPr>
        <w:t>Proposal 4</w:t>
      </w:r>
    </w:p>
    <w:p w:rsidR="00A9586F" w:rsidRPr="009C23ED" w:rsidRDefault="009C23ED" w:rsidP="00E037F0">
      <w:pPr>
        <w:pStyle w:val="SingleTxtG"/>
      </w:pPr>
      <w:r w:rsidRPr="009C23ED">
        <w:t>16.</w:t>
      </w:r>
      <w:r w:rsidRPr="009C23ED">
        <w:tab/>
      </w:r>
      <w:r w:rsidR="00A9586F" w:rsidRPr="009C23ED">
        <w:t>Amend 5.4.1.1.1 (f), NOTE 1, as follows:</w:t>
      </w:r>
    </w:p>
    <w:p w:rsidR="0009185F" w:rsidRDefault="0009185F" w:rsidP="00E037F0">
      <w:pPr>
        <w:pStyle w:val="SingleTxtG"/>
        <w:rPr>
          <w:u w:val="single"/>
        </w:rPr>
      </w:pPr>
      <w:r>
        <w:t>“</w:t>
      </w:r>
      <w:r w:rsidR="00A9586F">
        <w:t xml:space="preserve">NOTE 1: In the case of intended application of 1.1.3.6, the total quantity </w:t>
      </w:r>
      <w:r w:rsidR="00A9586F">
        <w:rPr>
          <w:u w:val="single"/>
        </w:rPr>
        <w:t>and calculated value</w:t>
      </w:r>
      <w:r w:rsidR="00A9586F">
        <w:t xml:space="preserve"> of dangerous goods for each transport category shall be indicated in the transport document </w:t>
      </w:r>
      <w:r w:rsidR="00A9586F">
        <w:rPr>
          <w:strike/>
        </w:rPr>
        <w:t>in accordance with 1.1.3.6.3</w:t>
      </w:r>
      <w:r w:rsidR="00A9586F">
        <w:t xml:space="preserve"> </w:t>
      </w:r>
      <w:r w:rsidR="00A9586F">
        <w:rPr>
          <w:u w:val="single"/>
        </w:rPr>
        <w:t>(see 1.1.3.6.2 and 1.1.3.6.4</w:t>
      </w:r>
      <w:r w:rsidR="00A9586F" w:rsidRPr="0009185F">
        <w:rPr>
          <w:u w:val="single"/>
        </w:rPr>
        <w:t>).</w:t>
      </w:r>
      <w:r>
        <w:rPr>
          <w:u w:val="single"/>
        </w:rPr>
        <w:t>”</w:t>
      </w:r>
    </w:p>
    <w:p w:rsidR="0009185F" w:rsidRPr="00967825" w:rsidRDefault="00E037F0" w:rsidP="00E037F0">
      <w:pPr>
        <w:pStyle w:val="H1G"/>
      </w:pPr>
      <w:r>
        <w:tab/>
      </w:r>
      <w:r>
        <w:tab/>
      </w:r>
      <w:r w:rsidR="0009185F" w:rsidRPr="00967825">
        <w:t>Proposal</w:t>
      </w:r>
      <w:r w:rsidR="00967825" w:rsidRPr="00967825">
        <w:t xml:space="preserve"> 5</w:t>
      </w:r>
    </w:p>
    <w:p w:rsidR="0009185F" w:rsidRPr="009C23ED" w:rsidRDefault="009C23ED" w:rsidP="00E037F0">
      <w:pPr>
        <w:pStyle w:val="SingleTxtG"/>
      </w:pPr>
      <w:r w:rsidRPr="009C23ED">
        <w:t>17.</w:t>
      </w:r>
      <w:r w:rsidRPr="009C23ED">
        <w:tab/>
      </w:r>
      <w:r w:rsidR="0009185F" w:rsidRPr="009C23ED">
        <w:t xml:space="preserve">Insert the following example last in </w:t>
      </w:r>
      <w:r w:rsidR="00967825" w:rsidRPr="009C23ED">
        <w:t xml:space="preserve">5.4.1.1.1 (f), </w:t>
      </w:r>
      <w:r w:rsidR="0009185F" w:rsidRPr="009C23ED">
        <w:t>NOTE 1:</w:t>
      </w:r>
    </w:p>
    <w:p w:rsidR="00A9586F" w:rsidRDefault="0009185F" w:rsidP="00E037F0">
      <w:pPr>
        <w:tabs>
          <w:tab w:val="left" w:pos="11520"/>
          <w:tab w:val="left" w:pos="12240"/>
        </w:tabs>
        <w:spacing w:before="120" w:after="120"/>
        <w:ind w:left="1134" w:right="1134"/>
        <w:jc w:val="both"/>
      </w:pPr>
      <w:r>
        <w:rPr>
          <w:u w:val="single"/>
        </w:rPr>
        <w:t>“</w:t>
      </w:r>
      <w:r w:rsidR="00BC0C6F" w:rsidRPr="0009185F">
        <w:rPr>
          <w:u w:val="single"/>
        </w:rPr>
        <w:t>See example as follows:</w:t>
      </w:r>
    </w:p>
    <w:p w:rsidR="008A32C7" w:rsidRPr="0009185F" w:rsidRDefault="0009185F" w:rsidP="00E037F0">
      <w:pPr>
        <w:ind w:left="1134"/>
        <w:rPr>
          <w:rFonts w:ascii="TimesNewRomanPSMT" w:eastAsiaTheme="minorHAnsi" w:hAnsi="TimesNewRomanPSMT" w:cs="TimesNewRomanPSMT"/>
          <w:sz w:val="22"/>
          <w:szCs w:val="22"/>
          <w:u w:val="single"/>
        </w:rPr>
      </w:pPr>
      <w:r w:rsidRPr="0009185F">
        <w:rPr>
          <w:u w:val="single"/>
        </w:rPr>
        <w:t>“Transport category 2: 44 kg, value 132</w:t>
      </w:r>
      <w:proofErr w:type="gramStart"/>
      <w:r w:rsidRPr="0009185F">
        <w:rPr>
          <w:u w:val="single"/>
        </w:rPr>
        <w:t>,</w:t>
      </w:r>
      <w:proofErr w:type="gramEnd"/>
      <w:r w:rsidRPr="0009185F">
        <w:rPr>
          <w:u w:val="single"/>
        </w:rPr>
        <w:br/>
        <w:t>“Transport category 3: 600 litres, value 600”</w:t>
      </w:r>
      <w:r w:rsidRPr="0009185F">
        <w:t>”</w:t>
      </w:r>
      <w:r w:rsidR="000D1D4B">
        <w:t xml:space="preserve"> </w:t>
      </w:r>
    </w:p>
    <w:p w:rsidR="003B1A93" w:rsidRPr="006815F2" w:rsidRDefault="003B1A93" w:rsidP="003B1A93">
      <w:pPr>
        <w:pStyle w:val="SingleTxtG"/>
        <w:spacing w:before="240" w:after="0"/>
        <w:jc w:val="center"/>
        <w:rPr>
          <w:u w:val="single"/>
        </w:rPr>
      </w:pPr>
      <w:r w:rsidRPr="001D2FAF">
        <w:rPr>
          <w:u w:val="single"/>
        </w:rPr>
        <w:tab/>
      </w:r>
      <w:r w:rsidRPr="001D2FAF">
        <w:rPr>
          <w:u w:val="single"/>
        </w:rPr>
        <w:tab/>
      </w:r>
      <w:r w:rsidRPr="001D2FAF">
        <w:rPr>
          <w:u w:val="single"/>
        </w:rPr>
        <w:tab/>
      </w:r>
    </w:p>
    <w:sectPr w:rsidR="003B1A93" w:rsidRPr="006815F2" w:rsidSect="008A7ACD">
      <w:headerReference w:type="even" r:id="rId10"/>
      <w:headerReference w:type="default" r:id="rId11"/>
      <w:footerReference w:type="even" r:id="rId12"/>
      <w:footerReference w:type="default" r:id="rId13"/>
      <w:endnotePr>
        <w:numFmt w:val="decimal"/>
      </w:endnotePr>
      <w:type w:val="continuous"/>
      <w:pgSz w:w="11907" w:h="16840" w:code="9"/>
      <w:pgMar w:top="1701" w:right="1134" w:bottom="85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F0" w:rsidRDefault="00E037F0"/>
  </w:endnote>
  <w:endnote w:type="continuationSeparator" w:id="0">
    <w:p w:rsidR="00E037F0" w:rsidRDefault="00E037F0"/>
  </w:endnote>
  <w:endnote w:type="continuationNotice" w:id="1">
    <w:p w:rsidR="00E037F0" w:rsidRDefault="00E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0" w:rsidRPr="001330DE" w:rsidRDefault="00E037F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085687">
      <w:rPr>
        <w:b/>
        <w:noProof/>
        <w:sz w:val="18"/>
      </w:rPr>
      <w:t>4</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0" w:rsidRPr="001330DE" w:rsidRDefault="00E037F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085687">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F0" w:rsidRPr="000B175B" w:rsidRDefault="00E037F0" w:rsidP="000B175B">
      <w:pPr>
        <w:tabs>
          <w:tab w:val="right" w:pos="2155"/>
        </w:tabs>
        <w:spacing w:after="80"/>
        <w:ind w:left="680"/>
        <w:rPr>
          <w:u w:val="single"/>
        </w:rPr>
      </w:pPr>
      <w:r>
        <w:rPr>
          <w:u w:val="single"/>
        </w:rPr>
        <w:tab/>
      </w:r>
    </w:p>
  </w:footnote>
  <w:footnote w:type="continuationSeparator" w:id="0">
    <w:p w:rsidR="00E037F0" w:rsidRPr="00FC68B7" w:rsidRDefault="00E037F0" w:rsidP="00FC68B7">
      <w:pPr>
        <w:tabs>
          <w:tab w:val="left" w:pos="2155"/>
        </w:tabs>
        <w:spacing w:after="80"/>
        <w:ind w:left="680"/>
        <w:rPr>
          <w:u w:val="single"/>
        </w:rPr>
      </w:pPr>
      <w:r>
        <w:rPr>
          <w:u w:val="single"/>
        </w:rPr>
        <w:tab/>
      </w:r>
    </w:p>
  </w:footnote>
  <w:footnote w:type="continuationNotice" w:id="1">
    <w:p w:rsidR="00E037F0" w:rsidRDefault="00E037F0"/>
  </w:footnote>
  <w:footnote w:id="2">
    <w:p w:rsidR="00281C40" w:rsidRPr="00741BCC" w:rsidRDefault="00281C40" w:rsidP="00281C40">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0" w:rsidRPr="001330DE" w:rsidRDefault="00E037F0" w:rsidP="001330DE">
    <w:pPr>
      <w:pStyle w:val="Header"/>
    </w:pPr>
    <w:r w:rsidRPr="001330DE">
      <w:t>ECE/TRANS/WP.15/201</w:t>
    </w:r>
    <w:r>
      <w:t>6</w:t>
    </w:r>
    <w:r w:rsidRPr="001330DE">
      <w:t>/</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F0" w:rsidRPr="001330DE" w:rsidRDefault="00E037F0" w:rsidP="001330DE">
    <w:pPr>
      <w:pStyle w:val="Header"/>
      <w:jc w:val="right"/>
    </w:pPr>
    <w:r w:rsidRPr="001330DE">
      <w:t>ECE/TRANS/WP.15/201</w:t>
    </w:r>
    <w:r>
      <w:t>6</w:t>
    </w:r>
    <w:r w:rsidRPr="001330DE">
      <w:t>/</w:t>
    </w: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5"/>
  </w:num>
  <w:num w:numId="19">
    <w:abstractNumId w:val="20"/>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329FF"/>
    <w:rsid w:val="00046B1F"/>
    <w:rsid w:val="00050F6B"/>
    <w:rsid w:val="00053178"/>
    <w:rsid w:val="00057E97"/>
    <w:rsid w:val="00072888"/>
    <w:rsid w:val="00072C8C"/>
    <w:rsid w:val="000733B5"/>
    <w:rsid w:val="00081815"/>
    <w:rsid w:val="00083C51"/>
    <w:rsid w:val="00085687"/>
    <w:rsid w:val="00085A33"/>
    <w:rsid w:val="0009185F"/>
    <w:rsid w:val="000931C0"/>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6AFB"/>
    <w:rsid w:val="00202DA8"/>
    <w:rsid w:val="00207720"/>
    <w:rsid w:val="00211E0B"/>
    <w:rsid w:val="0021665B"/>
    <w:rsid w:val="00236DAD"/>
    <w:rsid w:val="00250738"/>
    <w:rsid w:val="00267F5F"/>
    <w:rsid w:val="00281C40"/>
    <w:rsid w:val="00286B4D"/>
    <w:rsid w:val="002879BE"/>
    <w:rsid w:val="00290814"/>
    <w:rsid w:val="002C2F08"/>
    <w:rsid w:val="002D4643"/>
    <w:rsid w:val="002E49A7"/>
    <w:rsid w:val="002F175C"/>
    <w:rsid w:val="00302E18"/>
    <w:rsid w:val="00313E88"/>
    <w:rsid w:val="003229D8"/>
    <w:rsid w:val="00332DF3"/>
    <w:rsid w:val="00352709"/>
    <w:rsid w:val="003639E8"/>
    <w:rsid w:val="00364574"/>
    <w:rsid w:val="00371178"/>
    <w:rsid w:val="0038358B"/>
    <w:rsid w:val="00387DA8"/>
    <w:rsid w:val="003A6810"/>
    <w:rsid w:val="003A6B33"/>
    <w:rsid w:val="003B1A93"/>
    <w:rsid w:val="003C0D40"/>
    <w:rsid w:val="003C2CC4"/>
    <w:rsid w:val="003C6D1D"/>
    <w:rsid w:val="003D4B23"/>
    <w:rsid w:val="003E0029"/>
    <w:rsid w:val="003E7B5F"/>
    <w:rsid w:val="00410C89"/>
    <w:rsid w:val="00422E03"/>
    <w:rsid w:val="00426B9B"/>
    <w:rsid w:val="00431164"/>
    <w:rsid w:val="004325CB"/>
    <w:rsid w:val="00432E7C"/>
    <w:rsid w:val="00440193"/>
    <w:rsid w:val="00442A83"/>
    <w:rsid w:val="00443EA9"/>
    <w:rsid w:val="0045495B"/>
    <w:rsid w:val="004826B8"/>
    <w:rsid w:val="0048397A"/>
    <w:rsid w:val="004C2461"/>
    <w:rsid w:val="004C7462"/>
    <w:rsid w:val="004E77B2"/>
    <w:rsid w:val="004F71E2"/>
    <w:rsid w:val="00504B2D"/>
    <w:rsid w:val="0052136D"/>
    <w:rsid w:val="00522B58"/>
    <w:rsid w:val="0052699B"/>
    <w:rsid w:val="0052775E"/>
    <w:rsid w:val="005420F2"/>
    <w:rsid w:val="00555858"/>
    <w:rsid w:val="005628B6"/>
    <w:rsid w:val="005666AA"/>
    <w:rsid w:val="00597B22"/>
    <w:rsid w:val="005A3CE6"/>
    <w:rsid w:val="005B3DB3"/>
    <w:rsid w:val="005B4E13"/>
    <w:rsid w:val="005E2EBD"/>
    <w:rsid w:val="005F7B75"/>
    <w:rsid w:val="006001EE"/>
    <w:rsid w:val="00600F71"/>
    <w:rsid w:val="00603CB2"/>
    <w:rsid w:val="00604FD7"/>
    <w:rsid w:val="00605042"/>
    <w:rsid w:val="00607DA4"/>
    <w:rsid w:val="00611FC4"/>
    <w:rsid w:val="006176FB"/>
    <w:rsid w:val="00637C68"/>
    <w:rsid w:val="00640B26"/>
    <w:rsid w:val="00644E68"/>
    <w:rsid w:val="00652D0A"/>
    <w:rsid w:val="006623D5"/>
    <w:rsid w:val="00662BB6"/>
    <w:rsid w:val="006815F2"/>
    <w:rsid w:val="00684C21"/>
    <w:rsid w:val="006919E4"/>
    <w:rsid w:val="00696D0A"/>
    <w:rsid w:val="006A2530"/>
    <w:rsid w:val="006C3589"/>
    <w:rsid w:val="006C7D40"/>
    <w:rsid w:val="006D266F"/>
    <w:rsid w:val="006D37AF"/>
    <w:rsid w:val="006D51D0"/>
    <w:rsid w:val="006E0F9B"/>
    <w:rsid w:val="006E564B"/>
    <w:rsid w:val="006E7191"/>
    <w:rsid w:val="006F22D7"/>
    <w:rsid w:val="006F7854"/>
    <w:rsid w:val="00703577"/>
    <w:rsid w:val="00705894"/>
    <w:rsid w:val="0072632A"/>
    <w:rsid w:val="007327D5"/>
    <w:rsid w:val="00735B31"/>
    <w:rsid w:val="007618D9"/>
    <w:rsid w:val="007629C8"/>
    <w:rsid w:val="0077047D"/>
    <w:rsid w:val="007937D0"/>
    <w:rsid w:val="00793BB3"/>
    <w:rsid w:val="007A3C5F"/>
    <w:rsid w:val="007A5056"/>
    <w:rsid w:val="007B01E5"/>
    <w:rsid w:val="007B6BA5"/>
    <w:rsid w:val="007C3390"/>
    <w:rsid w:val="007C4F4B"/>
    <w:rsid w:val="007E01E9"/>
    <w:rsid w:val="007E63F3"/>
    <w:rsid w:val="007F6611"/>
    <w:rsid w:val="00811920"/>
    <w:rsid w:val="00815AD0"/>
    <w:rsid w:val="008242D7"/>
    <w:rsid w:val="008257B1"/>
    <w:rsid w:val="00830A44"/>
    <w:rsid w:val="00843767"/>
    <w:rsid w:val="00852DC9"/>
    <w:rsid w:val="008679D9"/>
    <w:rsid w:val="008878DE"/>
    <w:rsid w:val="008979B1"/>
    <w:rsid w:val="008A32C7"/>
    <w:rsid w:val="008A6B25"/>
    <w:rsid w:val="008A6C4F"/>
    <w:rsid w:val="008A79A0"/>
    <w:rsid w:val="008A7ACD"/>
    <w:rsid w:val="008B2335"/>
    <w:rsid w:val="008C048F"/>
    <w:rsid w:val="008C2B69"/>
    <w:rsid w:val="008D4A19"/>
    <w:rsid w:val="008E0678"/>
    <w:rsid w:val="008F0240"/>
    <w:rsid w:val="009223CA"/>
    <w:rsid w:val="00940F93"/>
    <w:rsid w:val="009471BA"/>
    <w:rsid w:val="0096764A"/>
    <w:rsid w:val="00967825"/>
    <w:rsid w:val="009760F3"/>
    <w:rsid w:val="009A0E8D"/>
    <w:rsid w:val="009B26E7"/>
    <w:rsid w:val="009C00CE"/>
    <w:rsid w:val="009C126A"/>
    <w:rsid w:val="009C23ED"/>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A5A36"/>
    <w:rsid w:val="00AF2746"/>
    <w:rsid w:val="00AF2944"/>
    <w:rsid w:val="00B1166F"/>
    <w:rsid w:val="00B30179"/>
    <w:rsid w:val="00B31E80"/>
    <w:rsid w:val="00B421C1"/>
    <w:rsid w:val="00B54192"/>
    <w:rsid w:val="00B55C71"/>
    <w:rsid w:val="00B56E4A"/>
    <w:rsid w:val="00B56E9C"/>
    <w:rsid w:val="00B64B1F"/>
    <w:rsid w:val="00B6553F"/>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7336"/>
    <w:rsid w:val="00C4527F"/>
    <w:rsid w:val="00C463DD"/>
    <w:rsid w:val="00C468E4"/>
    <w:rsid w:val="00C4724C"/>
    <w:rsid w:val="00C629A0"/>
    <w:rsid w:val="00C64629"/>
    <w:rsid w:val="00C745C3"/>
    <w:rsid w:val="00C86220"/>
    <w:rsid w:val="00CB3E03"/>
    <w:rsid w:val="00CC0B95"/>
    <w:rsid w:val="00CC7B82"/>
    <w:rsid w:val="00CE0C77"/>
    <w:rsid w:val="00CE4A8F"/>
    <w:rsid w:val="00CF49FD"/>
    <w:rsid w:val="00D02AF5"/>
    <w:rsid w:val="00D07DB9"/>
    <w:rsid w:val="00D2031B"/>
    <w:rsid w:val="00D25FE2"/>
    <w:rsid w:val="00D43252"/>
    <w:rsid w:val="00D47EEA"/>
    <w:rsid w:val="00D6286A"/>
    <w:rsid w:val="00D773DF"/>
    <w:rsid w:val="00D77865"/>
    <w:rsid w:val="00D82D01"/>
    <w:rsid w:val="00D94296"/>
    <w:rsid w:val="00D95303"/>
    <w:rsid w:val="00D978C6"/>
    <w:rsid w:val="00DA3C1C"/>
    <w:rsid w:val="00DA4986"/>
    <w:rsid w:val="00DB5E7F"/>
    <w:rsid w:val="00DD0A3E"/>
    <w:rsid w:val="00DE40E0"/>
    <w:rsid w:val="00DE7E52"/>
    <w:rsid w:val="00DF05DE"/>
    <w:rsid w:val="00E037F0"/>
    <w:rsid w:val="00E046DF"/>
    <w:rsid w:val="00E132FB"/>
    <w:rsid w:val="00E17F13"/>
    <w:rsid w:val="00E2335F"/>
    <w:rsid w:val="00E27346"/>
    <w:rsid w:val="00E359A5"/>
    <w:rsid w:val="00E557A2"/>
    <w:rsid w:val="00E71BC8"/>
    <w:rsid w:val="00E7260F"/>
    <w:rsid w:val="00E73F5D"/>
    <w:rsid w:val="00E77E4E"/>
    <w:rsid w:val="00E96630"/>
    <w:rsid w:val="00EB701E"/>
    <w:rsid w:val="00EC012D"/>
    <w:rsid w:val="00ED41D7"/>
    <w:rsid w:val="00ED7A2A"/>
    <w:rsid w:val="00EE05DF"/>
    <w:rsid w:val="00EE2B2E"/>
    <w:rsid w:val="00EF1D7F"/>
    <w:rsid w:val="00F13FB9"/>
    <w:rsid w:val="00F30062"/>
    <w:rsid w:val="00F31E5F"/>
    <w:rsid w:val="00F44B02"/>
    <w:rsid w:val="00F563C7"/>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5A61-FE52-4467-A2A2-746FE29C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1306</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8</cp:revision>
  <cp:lastPrinted>2016-08-22T09:08:00Z</cp:lastPrinted>
  <dcterms:created xsi:type="dcterms:W3CDTF">2016-08-17T09:48:00Z</dcterms:created>
  <dcterms:modified xsi:type="dcterms:W3CDTF">2016-08-22T09:08:00Z</dcterms:modified>
</cp:coreProperties>
</file>