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752906" w14:paraId="2A2A5E51" w14:textId="77777777" w:rsidTr="00B11BB4">
        <w:trPr>
          <w:cantSplit/>
          <w:trHeight w:hRule="exact" w:val="851"/>
        </w:trPr>
        <w:tc>
          <w:tcPr>
            <w:tcW w:w="1276" w:type="dxa"/>
            <w:tcBorders>
              <w:bottom w:val="single" w:sz="4" w:space="0" w:color="auto"/>
            </w:tcBorders>
            <w:shd w:val="clear" w:color="auto" w:fill="auto"/>
            <w:vAlign w:val="bottom"/>
          </w:tcPr>
          <w:p w14:paraId="0EF76DC8" w14:textId="77777777" w:rsidR="00B56E9C" w:rsidRPr="00752906" w:rsidRDefault="00B56E9C" w:rsidP="00B11BB4">
            <w:pPr>
              <w:spacing w:after="80"/>
            </w:pPr>
          </w:p>
        </w:tc>
        <w:tc>
          <w:tcPr>
            <w:tcW w:w="2268" w:type="dxa"/>
            <w:tcBorders>
              <w:bottom w:val="single" w:sz="4" w:space="0" w:color="auto"/>
            </w:tcBorders>
            <w:shd w:val="clear" w:color="auto" w:fill="auto"/>
            <w:vAlign w:val="bottom"/>
          </w:tcPr>
          <w:p w14:paraId="453B3A58" w14:textId="77777777" w:rsidR="00B56E9C" w:rsidRPr="00752906"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0C3A0DA6" w14:textId="6D0118E9" w:rsidR="00B56E9C" w:rsidRPr="00752906" w:rsidRDefault="00CD57D2" w:rsidP="001650E6">
            <w:pPr>
              <w:suppressAutoHyphens w:val="0"/>
              <w:spacing w:after="20"/>
              <w:jc w:val="right"/>
              <w:rPr>
                <w:b/>
                <w:sz w:val="28"/>
                <w:szCs w:val="28"/>
              </w:rPr>
            </w:pPr>
            <w:r w:rsidRPr="00752906">
              <w:rPr>
                <w:b/>
                <w:sz w:val="28"/>
                <w:szCs w:val="28"/>
              </w:rPr>
              <w:t>INF.</w:t>
            </w:r>
            <w:r w:rsidR="001650E6">
              <w:rPr>
                <w:b/>
                <w:sz w:val="28"/>
                <w:szCs w:val="28"/>
              </w:rPr>
              <w:t>13</w:t>
            </w:r>
            <w:r w:rsidR="001650E6" w:rsidRPr="00752906">
              <w:rPr>
                <w:b/>
                <w:sz w:val="28"/>
                <w:szCs w:val="28"/>
              </w:rPr>
              <w:t xml:space="preserve"> </w:t>
            </w:r>
          </w:p>
        </w:tc>
      </w:tr>
    </w:tbl>
    <w:p w14:paraId="36710811" w14:textId="77777777" w:rsidR="00AB32F7" w:rsidRPr="00752906" w:rsidRDefault="00AB32F7" w:rsidP="00AB32F7">
      <w:pPr>
        <w:spacing w:before="120"/>
        <w:rPr>
          <w:b/>
          <w:sz w:val="28"/>
          <w:szCs w:val="28"/>
        </w:rPr>
      </w:pPr>
      <w:r w:rsidRPr="00752906">
        <w:rPr>
          <w:b/>
          <w:sz w:val="28"/>
          <w:szCs w:val="28"/>
        </w:rPr>
        <w:t>Economic Commission for Europe</w:t>
      </w:r>
    </w:p>
    <w:p w14:paraId="294F4852" w14:textId="77777777" w:rsidR="00AB32F7" w:rsidRPr="00752906" w:rsidRDefault="00AB32F7" w:rsidP="00AB32F7">
      <w:pPr>
        <w:spacing w:before="120"/>
        <w:rPr>
          <w:sz w:val="28"/>
          <w:szCs w:val="28"/>
        </w:rPr>
      </w:pPr>
      <w:r w:rsidRPr="00752906">
        <w:rPr>
          <w:sz w:val="28"/>
          <w:szCs w:val="28"/>
        </w:rPr>
        <w:t>Inland Transport Committee</w:t>
      </w:r>
    </w:p>
    <w:p w14:paraId="61964AF4" w14:textId="77777777" w:rsidR="00AB32F7" w:rsidRPr="00752906" w:rsidRDefault="00AB32F7" w:rsidP="00AB32F7">
      <w:pPr>
        <w:spacing w:before="120"/>
        <w:rPr>
          <w:b/>
          <w:sz w:val="24"/>
          <w:szCs w:val="24"/>
        </w:rPr>
      </w:pPr>
      <w:r w:rsidRPr="00752906">
        <w:rPr>
          <w:b/>
          <w:sz w:val="24"/>
          <w:szCs w:val="24"/>
        </w:rPr>
        <w:t>Working Party on the Transport of Dangerous Goods</w:t>
      </w:r>
    </w:p>
    <w:p w14:paraId="5DC65253" w14:textId="7D5CFB43" w:rsidR="00AB32F7" w:rsidRPr="00752906" w:rsidRDefault="00B25EB2" w:rsidP="00AB32F7">
      <w:pPr>
        <w:spacing w:before="120"/>
        <w:rPr>
          <w:b/>
        </w:rPr>
      </w:pPr>
      <w:proofErr w:type="gramStart"/>
      <w:r w:rsidRPr="00752906">
        <w:rPr>
          <w:b/>
        </w:rPr>
        <w:t>10</w:t>
      </w:r>
      <w:r w:rsidR="00192D6D" w:rsidRPr="00752906">
        <w:rPr>
          <w:b/>
        </w:rPr>
        <w:t>1st</w:t>
      </w:r>
      <w:proofErr w:type="gramEnd"/>
      <w:r w:rsidR="00AB32F7" w:rsidRPr="00752906">
        <w:rPr>
          <w:b/>
        </w:rPr>
        <w:t xml:space="preserve"> session</w:t>
      </w:r>
      <w:r w:rsidR="00AB32F7" w:rsidRPr="00752906">
        <w:rPr>
          <w:b/>
        </w:rPr>
        <w:tab/>
      </w:r>
      <w:r w:rsidR="00AB32F7" w:rsidRPr="00752906">
        <w:rPr>
          <w:b/>
        </w:rPr>
        <w:tab/>
      </w:r>
      <w:r w:rsidR="00AB32F7" w:rsidRPr="00752906">
        <w:rPr>
          <w:b/>
        </w:rPr>
        <w:tab/>
      </w:r>
      <w:r w:rsidR="00AB32F7" w:rsidRPr="00752906">
        <w:rPr>
          <w:b/>
        </w:rPr>
        <w:tab/>
      </w:r>
      <w:r w:rsidR="00AB32F7" w:rsidRPr="00752906">
        <w:rPr>
          <w:b/>
        </w:rPr>
        <w:tab/>
      </w:r>
      <w:r w:rsidR="00AB32F7" w:rsidRPr="00752906">
        <w:rPr>
          <w:b/>
        </w:rPr>
        <w:tab/>
      </w:r>
      <w:r w:rsidR="00AB32F7" w:rsidRPr="00752906">
        <w:rPr>
          <w:b/>
        </w:rPr>
        <w:tab/>
      </w:r>
      <w:r w:rsidR="00AB32F7" w:rsidRPr="00752906">
        <w:rPr>
          <w:b/>
        </w:rPr>
        <w:tab/>
      </w:r>
      <w:r w:rsidR="00AB32F7" w:rsidRPr="00752906">
        <w:rPr>
          <w:b/>
        </w:rPr>
        <w:tab/>
      </w:r>
      <w:r w:rsidR="00AB32F7" w:rsidRPr="00752906">
        <w:rPr>
          <w:b/>
        </w:rPr>
        <w:tab/>
      </w:r>
      <w:r w:rsidR="00AB32F7" w:rsidRPr="00752906">
        <w:rPr>
          <w:b/>
        </w:rPr>
        <w:tab/>
      </w:r>
      <w:r w:rsidR="001650E6">
        <w:rPr>
          <w:b/>
        </w:rPr>
        <w:t>31</w:t>
      </w:r>
      <w:r w:rsidR="000C4768" w:rsidRPr="00752906">
        <w:rPr>
          <w:b/>
        </w:rPr>
        <w:t xml:space="preserve"> October 2016</w:t>
      </w:r>
    </w:p>
    <w:p w14:paraId="1C511245" w14:textId="77777777" w:rsidR="00AB32F7" w:rsidRPr="00752906" w:rsidRDefault="00AB32F7" w:rsidP="00AB32F7">
      <w:r w:rsidRPr="00752906">
        <w:t xml:space="preserve">Geneva, </w:t>
      </w:r>
      <w:r w:rsidR="00192D6D" w:rsidRPr="00752906">
        <w:t>8</w:t>
      </w:r>
      <w:r w:rsidRPr="00752906">
        <w:t>–</w:t>
      </w:r>
      <w:r w:rsidR="00192D6D" w:rsidRPr="00752906">
        <w:t>11</w:t>
      </w:r>
      <w:r w:rsidRPr="00752906">
        <w:t xml:space="preserve"> </w:t>
      </w:r>
      <w:r w:rsidR="00192D6D" w:rsidRPr="00752906">
        <w:t>November</w:t>
      </w:r>
      <w:r w:rsidRPr="00752906">
        <w:t xml:space="preserve"> </w:t>
      </w:r>
      <w:r w:rsidR="00B25EB2" w:rsidRPr="00752906">
        <w:t>2016</w:t>
      </w:r>
    </w:p>
    <w:p w14:paraId="76E70DA5" w14:textId="77777777" w:rsidR="001650E6" w:rsidRPr="004119B5" w:rsidRDefault="001650E6" w:rsidP="001650E6">
      <w:r w:rsidRPr="004119B5">
        <w:t xml:space="preserve">Item </w:t>
      </w:r>
      <w:r>
        <w:t>5 (b)</w:t>
      </w:r>
      <w:r w:rsidRPr="004119B5">
        <w:t xml:space="preserve"> of the provisional agenda</w:t>
      </w:r>
    </w:p>
    <w:p w14:paraId="19035BEB" w14:textId="77777777" w:rsidR="001650E6" w:rsidRPr="004119B5" w:rsidRDefault="001650E6" w:rsidP="001650E6">
      <w:pPr>
        <w:rPr>
          <w:b/>
          <w:bCs/>
        </w:rPr>
      </w:pPr>
      <w:r w:rsidRPr="004119B5">
        <w:rPr>
          <w:b/>
          <w:bCs/>
        </w:rPr>
        <w:t>Proposals for amendments to annexes A and B of ADR:</w:t>
      </w:r>
    </w:p>
    <w:p w14:paraId="51DFDB0C" w14:textId="30EA0C48" w:rsidR="000C4768" w:rsidRPr="00752906" w:rsidRDefault="001650E6" w:rsidP="001650E6">
      <w:pPr>
        <w:rPr>
          <w:b/>
        </w:rPr>
      </w:pPr>
      <w:proofErr w:type="gramStart"/>
      <w:r>
        <w:rPr>
          <w:b/>
          <w:bCs/>
        </w:rPr>
        <w:t>m</w:t>
      </w:r>
      <w:r w:rsidRPr="004119B5">
        <w:rPr>
          <w:b/>
          <w:bCs/>
        </w:rPr>
        <w:t>iscellaneous</w:t>
      </w:r>
      <w:proofErr w:type="gramEnd"/>
      <w:r w:rsidRPr="004119B5">
        <w:rPr>
          <w:b/>
          <w:bCs/>
        </w:rPr>
        <w:t xml:space="preserve"> proposals</w:t>
      </w:r>
    </w:p>
    <w:p w14:paraId="13E33953" w14:textId="77777777" w:rsidR="00192D6D" w:rsidRPr="00752906" w:rsidRDefault="003D3380" w:rsidP="00192D6D">
      <w:pPr>
        <w:pStyle w:val="HChG"/>
        <w:rPr>
          <w:lang w:val="en-GB"/>
        </w:rPr>
      </w:pPr>
      <w:r w:rsidRPr="00752906">
        <w:rPr>
          <w:lang w:val="en-GB"/>
        </w:rPr>
        <w:tab/>
      </w:r>
      <w:r w:rsidRPr="00752906">
        <w:rPr>
          <w:lang w:val="en-GB"/>
        </w:rPr>
        <w:tab/>
      </w:r>
      <w:r w:rsidR="000C4768" w:rsidRPr="00752906">
        <w:rPr>
          <w:lang w:val="en-GB"/>
        </w:rPr>
        <w:t>Increase of amount of explosives per transport unit</w:t>
      </w:r>
    </w:p>
    <w:p w14:paraId="0F1AD017" w14:textId="5FC899B4" w:rsidR="003D3380" w:rsidRPr="00752906" w:rsidRDefault="00192D6D" w:rsidP="003D0D2E">
      <w:pPr>
        <w:pStyle w:val="H1G"/>
      </w:pPr>
      <w:r w:rsidRPr="00752906">
        <w:tab/>
      </w:r>
      <w:r w:rsidRPr="00752906">
        <w:tab/>
        <w:t xml:space="preserve">Transmitted by the Government of </w:t>
      </w:r>
      <w:r w:rsidR="000C4768" w:rsidRPr="00752906">
        <w:t xml:space="preserve">Spain </w:t>
      </w:r>
    </w:p>
    <w:p w14:paraId="12ADB8E8" w14:textId="77777777" w:rsidR="00253B7F" w:rsidRPr="00752906" w:rsidRDefault="00A46694" w:rsidP="001650E6">
      <w:pPr>
        <w:pStyle w:val="HChG"/>
      </w:pPr>
      <w:r w:rsidRPr="00752906">
        <w:tab/>
      </w:r>
      <w:r w:rsidRPr="00752906">
        <w:tab/>
      </w:r>
      <w:r w:rsidR="000C4768" w:rsidRPr="00752906">
        <w:t>Introduction</w:t>
      </w:r>
    </w:p>
    <w:p w14:paraId="2D9B58C0" w14:textId="6C4186A3" w:rsidR="000C4768" w:rsidRPr="00752906" w:rsidRDefault="000C4768" w:rsidP="001650E6">
      <w:pPr>
        <w:pStyle w:val="SingleTxtG"/>
        <w:rPr>
          <w:rStyle w:val="location"/>
          <w:lang w:val="en-GB"/>
        </w:rPr>
      </w:pPr>
      <w:r w:rsidRPr="00752906">
        <w:rPr>
          <w:rStyle w:val="location"/>
          <w:lang w:val="en-GB"/>
        </w:rPr>
        <w:t xml:space="preserve">This document </w:t>
      </w:r>
      <w:r w:rsidR="002E5465" w:rsidRPr="00752906">
        <w:rPr>
          <w:rStyle w:val="location"/>
          <w:lang w:val="en-GB"/>
        </w:rPr>
        <w:t>analyses</w:t>
      </w:r>
      <w:r w:rsidRPr="00752906">
        <w:rPr>
          <w:rStyle w:val="location"/>
          <w:lang w:val="en-GB"/>
        </w:rPr>
        <w:t xml:space="preserve"> the </w:t>
      </w:r>
      <w:r w:rsidR="00154173" w:rsidRPr="00752906">
        <w:rPr>
          <w:rStyle w:val="location"/>
          <w:lang w:val="en-GB"/>
        </w:rPr>
        <w:t>possibility</w:t>
      </w:r>
      <w:r w:rsidRPr="00752906">
        <w:rPr>
          <w:rStyle w:val="location"/>
          <w:lang w:val="en-GB"/>
        </w:rPr>
        <w:t xml:space="preserve"> of increasing the quantities of explosives that </w:t>
      </w:r>
      <w:proofErr w:type="gramStart"/>
      <w:r w:rsidRPr="00752906">
        <w:rPr>
          <w:rStyle w:val="location"/>
          <w:lang w:val="en-GB"/>
        </w:rPr>
        <w:t>are authorized</w:t>
      </w:r>
      <w:proofErr w:type="gramEnd"/>
      <w:r w:rsidRPr="00752906">
        <w:rPr>
          <w:rStyle w:val="location"/>
          <w:lang w:val="en-GB"/>
        </w:rPr>
        <w:t xml:space="preserve"> for road transport in EX</w:t>
      </w:r>
      <w:r w:rsidR="00C63A1C">
        <w:rPr>
          <w:rStyle w:val="location"/>
          <w:lang w:val="en-GB"/>
        </w:rPr>
        <w:t xml:space="preserve"> </w:t>
      </w:r>
      <w:r w:rsidRPr="00752906">
        <w:rPr>
          <w:rStyle w:val="location"/>
          <w:lang w:val="en-GB"/>
        </w:rPr>
        <w:t xml:space="preserve">III vehicles, which are currently limited to transport 16 t of explosives. </w:t>
      </w:r>
    </w:p>
    <w:p w14:paraId="3BA887A1" w14:textId="77777777" w:rsidR="000C4768" w:rsidRPr="00752906" w:rsidRDefault="000C4768" w:rsidP="000C4768">
      <w:pPr>
        <w:pStyle w:val="H1G"/>
        <w:ind w:firstLine="0"/>
      </w:pPr>
      <w:r w:rsidRPr="00752906">
        <w:t>Analysis of current requirements</w:t>
      </w:r>
    </w:p>
    <w:p w14:paraId="4B680913" w14:textId="77777777" w:rsidR="00D62AE5" w:rsidRPr="00752906" w:rsidRDefault="00D62AE5" w:rsidP="001650E6">
      <w:pPr>
        <w:pStyle w:val="SingleTxtG"/>
        <w:rPr>
          <w:rStyle w:val="location"/>
          <w:lang w:val="en-GB"/>
        </w:rPr>
      </w:pPr>
      <w:r w:rsidRPr="00752906">
        <w:rPr>
          <w:rStyle w:val="location"/>
          <w:lang w:val="en-GB"/>
        </w:rPr>
        <w:t xml:space="preserve">The current requirements for transport of explosives are limited to 5t for EX II vehicles, and </w:t>
      </w:r>
      <w:r w:rsidR="00154173" w:rsidRPr="00752906">
        <w:rPr>
          <w:rStyle w:val="location"/>
          <w:lang w:val="en-GB"/>
        </w:rPr>
        <w:t>to</w:t>
      </w:r>
      <w:r w:rsidRPr="00752906">
        <w:rPr>
          <w:rStyle w:val="location"/>
          <w:lang w:val="en-GB"/>
        </w:rPr>
        <w:t xml:space="preserve"> 16 t for EX III vehicles. These requirements have been in place since 1968, when the ADR</w:t>
      </w:r>
      <w:r w:rsidR="00B76A96" w:rsidRPr="00752906">
        <w:rPr>
          <w:rStyle w:val="location"/>
          <w:lang w:val="en-GB"/>
        </w:rPr>
        <w:t xml:space="preserve"> entered into force.</w:t>
      </w:r>
    </w:p>
    <w:p w14:paraId="7130F2B8" w14:textId="77777777" w:rsidR="000C4768" w:rsidRPr="00752906" w:rsidRDefault="00752906" w:rsidP="000C4768">
      <w:pPr>
        <w:pStyle w:val="SingleTxtG"/>
        <w:rPr>
          <w:rStyle w:val="location"/>
          <w:lang w:val="en-GB"/>
        </w:rPr>
      </w:pPr>
      <w:proofErr w:type="gramStart"/>
      <w:r w:rsidRPr="00752906">
        <w:rPr>
          <w:rStyle w:val="location"/>
          <w:lang w:val="en-GB"/>
        </w:rPr>
        <w:t>Analysing</w:t>
      </w:r>
      <w:r w:rsidR="00154173" w:rsidRPr="00752906">
        <w:rPr>
          <w:rStyle w:val="location"/>
          <w:lang w:val="en-GB"/>
        </w:rPr>
        <w:t xml:space="preserve"> the</w:t>
      </w:r>
      <w:r w:rsidR="000C4768" w:rsidRPr="00752906">
        <w:rPr>
          <w:rStyle w:val="location"/>
          <w:lang w:val="en-GB"/>
        </w:rPr>
        <w:t xml:space="preserve"> differences between the requirements of the ADR for EX</w:t>
      </w:r>
      <w:r w:rsidR="00C63A1C">
        <w:rPr>
          <w:rStyle w:val="location"/>
          <w:lang w:val="en-GB"/>
        </w:rPr>
        <w:t xml:space="preserve"> </w:t>
      </w:r>
      <w:r w:rsidR="000C4768" w:rsidRPr="00752906">
        <w:rPr>
          <w:rStyle w:val="location"/>
          <w:lang w:val="en-GB"/>
        </w:rPr>
        <w:t>II and EX</w:t>
      </w:r>
      <w:r w:rsidR="00C63A1C">
        <w:rPr>
          <w:rStyle w:val="location"/>
          <w:lang w:val="en-GB"/>
        </w:rPr>
        <w:t xml:space="preserve"> </w:t>
      </w:r>
      <w:r w:rsidR="000C4768" w:rsidRPr="00752906">
        <w:rPr>
          <w:rStyle w:val="location"/>
          <w:lang w:val="en-GB"/>
        </w:rPr>
        <w:t>III vehicles (basically electrical protection and braking systems) and the differences in the quantities that are authorized for one and the other (5 tons for EX</w:t>
      </w:r>
      <w:r w:rsidR="00C63A1C">
        <w:rPr>
          <w:rStyle w:val="location"/>
          <w:lang w:val="en-GB"/>
        </w:rPr>
        <w:t xml:space="preserve"> </w:t>
      </w:r>
      <w:r w:rsidR="000C4768" w:rsidRPr="00752906">
        <w:rPr>
          <w:rStyle w:val="location"/>
          <w:lang w:val="en-GB"/>
        </w:rPr>
        <w:t>II and 16 tons for EX</w:t>
      </w:r>
      <w:r w:rsidR="00C63A1C">
        <w:rPr>
          <w:rStyle w:val="location"/>
          <w:lang w:val="en-GB"/>
        </w:rPr>
        <w:t xml:space="preserve"> </w:t>
      </w:r>
      <w:r w:rsidR="000C4768" w:rsidRPr="00752906">
        <w:rPr>
          <w:rStyle w:val="location"/>
          <w:lang w:val="en-GB"/>
        </w:rPr>
        <w:t>III),</w:t>
      </w:r>
      <w:r w:rsidR="00D62AE5" w:rsidRPr="00752906">
        <w:rPr>
          <w:rStyle w:val="location"/>
          <w:lang w:val="en-GB"/>
        </w:rPr>
        <w:t xml:space="preserve"> it seems that</w:t>
      </w:r>
      <w:r w:rsidR="000C4768" w:rsidRPr="00752906">
        <w:rPr>
          <w:rStyle w:val="location"/>
          <w:lang w:val="en-GB"/>
        </w:rPr>
        <w:t xml:space="preserve"> the principal regulatory concern is focused on the possibility of a fire due to problems caused by electrical faults or problems d</w:t>
      </w:r>
      <w:r w:rsidR="00D62AE5" w:rsidRPr="00752906">
        <w:rPr>
          <w:rStyle w:val="location"/>
          <w:lang w:val="en-GB"/>
        </w:rPr>
        <w:t>eriving from the braking system;</w:t>
      </w:r>
      <w:r w:rsidR="000C4768" w:rsidRPr="00752906">
        <w:rPr>
          <w:rStyle w:val="location"/>
          <w:lang w:val="en-GB"/>
        </w:rPr>
        <w:t xml:space="preserve"> the rest of requirements are practically </w:t>
      </w:r>
      <w:r w:rsidR="00154173" w:rsidRPr="00752906">
        <w:rPr>
          <w:rStyle w:val="location"/>
          <w:lang w:val="en-GB"/>
        </w:rPr>
        <w:t>identical</w:t>
      </w:r>
      <w:r w:rsidR="000C4768" w:rsidRPr="00752906">
        <w:rPr>
          <w:rStyle w:val="location"/>
          <w:lang w:val="en-GB"/>
        </w:rPr>
        <w:t xml:space="preserve"> for EX</w:t>
      </w:r>
      <w:r w:rsidR="00C63A1C">
        <w:rPr>
          <w:rStyle w:val="location"/>
          <w:lang w:val="en-GB"/>
        </w:rPr>
        <w:t xml:space="preserve"> </w:t>
      </w:r>
      <w:r w:rsidR="000C4768" w:rsidRPr="00752906">
        <w:rPr>
          <w:rStyle w:val="location"/>
          <w:lang w:val="en-GB"/>
        </w:rPr>
        <w:t>II and EX</w:t>
      </w:r>
      <w:r w:rsidR="00C63A1C">
        <w:rPr>
          <w:rStyle w:val="location"/>
          <w:lang w:val="en-GB"/>
        </w:rPr>
        <w:t xml:space="preserve"> </w:t>
      </w:r>
      <w:r w:rsidR="000C4768" w:rsidRPr="00752906">
        <w:rPr>
          <w:rStyle w:val="location"/>
          <w:lang w:val="en-GB"/>
        </w:rPr>
        <w:t>III vehicles.</w:t>
      </w:r>
      <w:proofErr w:type="gramEnd"/>
    </w:p>
    <w:p w14:paraId="7DDC6E5B" w14:textId="77777777" w:rsidR="00B76A96" w:rsidRPr="00752906" w:rsidRDefault="000C4768" w:rsidP="000C4768">
      <w:pPr>
        <w:pStyle w:val="SingleTxtG"/>
        <w:rPr>
          <w:rStyle w:val="location"/>
          <w:lang w:val="en-GB"/>
        </w:rPr>
      </w:pPr>
      <w:r w:rsidRPr="00752906">
        <w:rPr>
          <w:rStyle w:val="location"/>
          <w:lang w:val="en-GB"/>
        </w:rPr>
        <w:t xml:space="preserve">While the reasons for restricting quantities to 5 and 16 tons are </w:t>
      </w:r>
      <w:r w:rsidR="00B76A96" w:rsidRPr="00752906">
        <w:rPr>
          <w:rStyle w:val="location"/>
          <w:lang w:val="en-GB"/>
        </w:rPr>
        <w:t>unclear</w:t>
      </w:r>
      <w:r w:rsidRPr="00752906">
        <w:rPr>
          <w:rStyle w:val="location"/>
          <w:lang w:val="en-GB"/>
        </w:rPr>
        <w:t xml:space="preserve">, </w:t>
      </w:r>
      <w:r w:rsidR="00B76A96" w:rsidRPr="00752906">
        <w:rPr>
          <w:rStyle w:val="location"/>
          <w:lang w:val="en-GB"/>
        </w:rPr>
        <w:t xml:space="preserve">they seem to </w:t>
      </w:r>
      <w:proofErr w:type="gramStart"/>
      <w:r w:rsidR="00B76A96" w:rsidRPr="00752906">
        <w:rPr>
          <w:rStyle w:val="location"/>
          <w:lang w:val="en-GB"/>
        </w:rPr>
        <w:t>be related</w:t>
      </w:r>
      <w:proofErr w:type="gramEnd"/>
      <w:r w:rsidR="00B76A96" w:rsidRPr="00752906">
        <w:rPr>
          <w:rStyle w:val="location"/>
          <w:lang w:val="en-GB"/>
        </w:rPr>
        <w:t xml:space="preserve"> to</w:t>
      </w:r>
      <w:r w:rsidRPr="00752906">
        <w:rPr>
          <w:rStyle w:val="location"/>
          <w:lang w:val="en-GB"/>
        </w:rPr>
        <w:t xml:space="preserve"> limit</w:t>
      </w:r>
      <w:r w:rsidR="00B76A96" w:rsidRPr="00752906">
        <w:rPr>
          <w:rStyle w:val="location"/>
          <w:lang w:val="en-GB"/>
        </w:rPr>
        <w:t>ing</w:t>
      </w:r>
      <w:r w:rsidRPr="00752906">
        <w:rPr>
          <w:rStyle w:val="location"/>
          <w:lang w:val="en-GB"/>
        </w:rPr>
        <w:t xml:space="preserve"> the consequences of an explosion (affected area).</w:t>
      </w:r>
      <w:r w:rsidR="00B76A96" w:rsidRPr="00752906">
        <w:rPr>
          <w:rStyle w:val="location"/>
          <w:lang w:val="en-GB"/>
        </w:rPr>
        <w:t xml:space="preserve"> </w:t>
      </w:r>
    </w:p>
    <w:p w14:paraId="0C82A075" w14:textId="77777777" w:rsidR="000C4768" w:rsidRPr="00752906" w:rsidRDefault="00B76A96" w:rsidP="000C4768">
      <w:pPr>
        <w:pStyle w:val="SingleTxtG"/>
        <w:rPr>
          <w:rStyle w:val="location"/>
          <w:lang w:val="en-GB"/>
        </w:rPr>
      </w:pPr>
      <w:r w:rsidRPr="00752906">
        <w:rPr>
          <w:rStyle w:val="location"/>
          <w:lang w:val="en-GB"/>
        </w:rPr>
        <w:t xml:space="preserve">Nevertheless, it has to </w:t>
      </w:r>
      <w:proofErr w:type="gramStart"/>
      <w:r w:rsidRPr="00752906">
        <w:rPr>
          <w:rStyle w:val="location"/>
          <w:lang w:val="en-GB"/>
        </w:rPr>
        <w:t>be remembered</w:t>
      </w:r>
      <w:proofErr w:type="gramEnd"/>
      <w:r w:rsidRPr="00752906">
        <w:rPr>
          <w:rStyle w:val="location"/>
          <w:lang w:val="en-GB"/>
        </w:rPr>
        <w:t xml:space="preserve"> that the general requirements for vehicles have changed a lot in the past 50 years. The limit of 16 t for EX III vehicles </w:t>
      </w:r>
      <w:proofErr w:type="gramStart"/>
      <w:r w:rsidRPr="00752906">
        <w:rPr>
          <w:rStyle w:val="location"/>
          <w:lang w:val="en-GB"/>
        </w:rPr>
        <w:t>has not been revised</w:t>
      </w:r>
      <w:proofErr w:type="gramEnd"/>
      <w:r w:rsidRPr="00752906">
        <w:rPr>
          <w:rStyle w:val="location"/>
          <w:lang w:val="en-GB"/>
        </w:rPr>
        <w:t>, but both the maximum capacity of the road vehicle and its technical requirements have changed completely.</w:t>
      </w:r>
    </w:p>
    <w:p w14:paraId="0A5264AD" w14:textId="28D71C18" w:rsidR="000C4768" w:rsidRPr="00752906" w:rsidRDefault="000C4768" w:rsidP="000C4768">
      <w:pPr>
        <w:pStyle w:val="H1G"/>
        <w:ind w:firstLine="0"/>
      </w:pPr>
      <w:r w:rsidRPr="00752906">
        <w:t xml:space="preserve">Analysis of transported </w:t>
      </w:r>
      <w:r w:rsidR="00C63A1C">
        <w:t>mass of explosives</w:t>
      </w:r>
      <w:r w:rsidRPr="00752906">
        <w:t>-range of affection-number of trips</w:t>
      </w:r>
    </w:p>
    <w:p w14:paraId="15ECEEDB" w14:textId="6AAC2E83" w:rsidR="00B76A96" w:rsidRPr="00752906" w:rsidRDefault="00B76A96" w:rsidP="000C4768">
      <w:pPr>
        <w:pStyle w:val="SingleTxtG"/>
        <w:rPr>
          <w:rStyle w:val="location"/>
          <w:lang w:val="en-GB"/>
        </w:rPr>
      </w:pPr>
      <w:r w:rsidRPr="00752906">
        <w:rPr>
          <w:rStyle w:val="location"/>
          <w:lang w:val="en-GB"/>
        </w:rPr>
        <w:t xml:space="preserve">When restricting the </w:t>
      </w:r>
      <w:r w:rsidR="00C63A1C">
        <w:rPr>
          <w:rStyle w:val="location"/>
          <w:lang w:val="en-GB"/>
        </w:rPr>
        <w:t xml:space="preserve">permitted mass </w:t>
      </w:r>
      <w:proofErr w:type="gramStart"/>
      <w:r w:rsidR="00C63A1C">
        <w:rPr>
          <w:rStyle w:val="location"/>
          <w:lang w:val="en-GB"/>
        </w:rPr>
        <w:t xml:space="preserve">of </w:t>
      </w:r>
      <w:r w:rsidRPr="00752906">
        <w:rPr>
          <w:rStyle w:val="location"/>
          <w:lang w:val="en-GB"/>
        </w:rPr>
        <w:t xml:space="preserve"> explosives</w:t>
      </w:r>
      <w:proofErr w:type="gramEnd"/>
      <w:r w:rsidRPr="00752906">
        <w:rPr>
          <w:rStyle w:val="location"/>
          <w:lang w:val="en-GB"/>
        </w:rPr>
        <w:t xml:space="preserve"> to be </w:t>
      </w:r>
      <w:r w:rsidR="00752906" w:rsidRPr="00752906">
        <w:rPr>
          <w:rStyle w:val="location"/>
          <w:lang w:val="en-GB"/>
        </w:rPr>
        <w:t>transported</w:t>
      </w:r>
      <w:r w:rsidRPr="00752906">
        <w:rPr>
          <w:rStyle w:val="location"/>
          <w:lang w:val="en-GB"/>
        </w:rPr>
        <w:t xml:space="preserve"> per vehicle, the interaction of the transported amount, the range of affection in case o</w:t>
      </w:r>
      <w:r w:rsidR="00A1664A" w:rsidRPr="00752906">
        <w:rPr>
          <w:rStyle w:val="location"/>
          <w:lang w:val="en-GB"/>
        </w:rPr>
        <w:t>f an explosi</w:t>
      </w:r>
      <w:r w:rsidR="00C63A1C">
        <w:rPr>
          <w:rStyle w:val="location"/>
          <w:lang w:val="en-GB"/>
        </w:rPr>
        <w:t>o</w:t>
      </w:r>
      <w:r w:rsidR="00A1664A" w:rsidRPr="00752906">
        <w:rPr>
          <w:rStyle w:val="location"/>
          <w:lang w:val="en-GB"/>
        </w:rPr>
        <w:t>n and the number of</w:t>
      </w:r>
      <w:r w:rsidRPr="00752906">
        <w:rPr>
          <w:rStyle w:val="location"/>
          <w:lang w:val="en-GB"/>
        </w:rPr>
        <w:t xml:space="preserve"> trips necessary to transport the explosives has to be analysed.</w:t>
      </w:r>
    </w:p>
    <w:p w14:paraId="3D940F44" w14:textId="6A81505F" w:rsidR="000C4768" w:rsidRPr="00752906" w:rsidRDefault="000C4768" w:rsidP="000C4768">
      <w:pPr>
        <w:pStyle w:val="SingleTxtG"/>
        <w:rPr>
          <w:rStyle w:val="location"/>
          <w:lang w:val="en-GB"/>
        </w:rPr>
      </w:pPr>
      <w:r w:rsidRPr="00752906">
        <w:rPr>
          <w:rStyle w:val="location"/>
          <w:lang w:val="en-GB"/>
        </w:rPr>
        <w:lastRenderedPageBreak/>
        <w:t xml:space="preserve">The limitation of </w:t>
      </w:r>
      <w:r w:rsidR="00B76A96" w:rsidRPr="00752906">
        <w:rPr>
          <w:rStyle w:val="location"/>
          <w:lang w:val="en-GB"/>
        </w:rPr>
        <w:t xml:space="preserve">the </w:t>
      </w:r>
      <w:r w:rsidRPr="00752906">
        <w:rPr>
          <w:rStyle w:val="location"/>
          <w:lang w:val="en-GB"/>
        </w:rPr>
        <w:t>quantit</w:t>
      </w:r>
      <w:r w:rsidR="00B76A96" w:rsidRPr="00752906">
        <w:rPr>
          <w:rStyle w:val="location"/>
          <w:lang w:val="en-GB"/>
        </w:rPr>
        <w:t>y of transported explosives</w:t>
      </w:r>
      <w:r w:rsidRPr="00752906">
        <w:rPr>
          <w:rStyle w:val="location"/>
          <w:lang w:val="en-GB"/>
        </w:rPr>
        <w:t xml:space="preserve"> has positive aspects (smaller affected area in case of an explosion) and negative aspects (the need to make a </w:t>
      </w:r>
      <w:r w:rsidR="00C63A1C">
        <w:rPr>
          <w:rStyle w:val="location"/>
          <w:lang w:val="en-GB"/>
        </w:rPr>
        <w:t>high</w:t>
      </w:r>
      <w:r w:rsidR="00C63A1C" w:rsidRPr="00752906">
        <w:rPr>
          <w:rStyle w:val="location"/>
          <w:lang w:val="en-GB"/>
        </w:rPr>
        <w:t xml:space="preserve">er </w:t>
      </w:r>
      <w:r w:rsidRPr="00752906">
        <w:rPr>
          <w:rStyle w:val="location"/>
          <w:lang w:val="en-GB"/>
        </w:rPr>
        <w:t>number of trips to transport a given quantity of product).</w:t>
      </w:r>
    </w:p>
    <w:p w14:paraId="741A7705" w14:textId="77777777" w:rsidR="000C4768" w:rsidRPr="00752906" w:rsidRDefault="000C4768" w:rsidP="000C4768">
      <w:pPr>
        <w:pStyle w:val="SingleTxtG"/>
        <w:rPr>
          <w:rStyle w:val="location"/>
          <w:lang w:val="en-GB"/>
        </w:rPr>
      </w:pPr>
      <w:r w:rsidRPr="00752906">
        <w:rPr>
          <w:rStyle w:val="location"/>
          <w:lang w:val="en-GB"/>
        </w:rPr>
        <w:t xml:space="preserve">Given the same type of truck and the same route, the probability of the occurrence of an accident or incident of any type is directly proportional to the </w:t>
      </w:r>
      <w:r w:rsidR="00154173" w:rsidRPr="00752906">
        <w:rPr>
          <w:rStyle w:val="location"/>
          <w:lang w:val="en-GB"/>
        </w:rPr>
        <w:t>time spent</w:t>
      </w:r>
      <w:r w:rsidRPr="00752906">
        <w:rPr>
          <w:rStyle w:val="location"/>
          <w:lang w:val="en-GB"/>
        </w:rPr>
        <w:t xml:space="preserve"> on the road.</w:t>
      </w:r>
    </w:p>
    <w:p w14:paraId="3654FA6C" w14:textId="77777777" w:rsidR="00B76A96" w:rsidRPr="00752906" w:rsidRDefault="00B76A96" w:rsidP="000C4768">
      <w:pPr>
        <w:pStyle w:val="SingleTxtG"/>
        <w:rPr>
          <w:rStyle w:val="location"/>
          <w:u w:val="single"/>
          <w:lang w:val="en-GB"/>
        </w:rPr>
      </w:pPr>
      <w:r w:rsidRPr="00752906">
        <w:rPr>
          <w:rStyle w:val="location"/>
          <w:u w:val="single"/>
          <w:lang w:val="en-GB"/>
        </w:rPr>
        <w:t>Calculation of affected area</w:t>
      </w:r>
    </w:p>
    <w:p w14:paraId="7517C198" w14:textId="77777777" w:rsidR="000C4768" w:rsidRPr="00752906" w:rsidRDefault="00B76A96" w:rsidP="000C4768">
      <w:pPr>
        <w:pStyle w:val="SingleTxtG"/>
        <w:rPr>
          <w:rStyle w:val="location"/>
          <w:lang w:val="en-GB"/>
        </w:rPr>
      </w:pPr>
      <w:r w:rsidRPr="00752906">
        <w:rPr>
          <w:rStyle w:val="location"/>
          <w:lang w:val="en-GB"/>
        </w:rPr>
        <w:t>The</w:t>
      </w:r>
      <w:r w:rsidR="000C4768" w:rsidRPr="00752906">
        <w:rPr>
          <w:rStyle w:val="location"/>
          <w:lang w:val="en-GB"/>
        </w:rPr>
        <w:t xml:space="preserve"> area affected by an explosion </w:t>
      </w:r>
      <w:proofErr w:type="gramStart"/>
      <w:r w:rsidR="000C4768" w:rsidRPr="00752906">
        <w:rPr>
          <w:rStyle w:val="location"/>
          <w:lang w:val="en-GB"/>
        </w:rPr>
        <w:t>can be calculated</w:t>
      </w:r>
      <w:proofErr w:type="gramEnd"/>
      <w:r w:rsidR="000C4768" w:rsidRPr="00752906">
        <w:rPr>
          <w:rStyle w:val="location"/>
          <w:lang w:val="en-GB"/>
        </w:rPr>
        <w:t xml:space="preserve"> using tables designed for this purpose</w:t>
      </w:r>
      <w:r w:rsidRPr="00752906">
        <w:rPr>
          <w:rStyle w:val="location"/>
          <w:lang w:val="en-GB"/>
        </w:rPr>
        <w:t>, considering the amount of explosives transported</w:t>
      </w:r>
      <w:r w:rsidR="000C4768" w:rsidRPr="00752906">
        <w:rPr>
          <w:rStyle w:val="location"/>
          <w:lang w:val="en-GB"/>
        </w:rPr>
        <w:t xml:space="preserve">. </w:t>
      </w:r>
    </w:p>
    <w:p w14:paraId="2B6AE58C" w14:textId="77777777" w:rsidR="000C4768" w:rsidRPr="00752906" w:rsidRDefault="000C4768" w:rsidP="000C4768">
      <w:pPr>
        <w:pStyle w:val="SingleTxtG"/>
        <w:rPr>
          <w:rStyle w:val="location"/>
          <w:lang w:val="en-GB"/>
        </w:rPr>
      </w:pPr>
      <w:r w:rsidRPr="00752906">
        <w:rPr>
          <w:rStyle w:val="location"/>
          <w:lang w:val="en-GB"/>
        </w:rPr>
        <w:t xml:space="preserve">The ATF (USA, Bureau of Alcohol, Tobacco, Firearms and Explosives) has tabulated quantities / distances </w:t>
      </w:r>
      <w:r w:rsidR="00B76A96" w:rsidRPr="00752906">
        <w:rPr>
          <w:rStyle w:val="location"/>
          <w:lang w:val="en-GB"/>
        </w:rPr>
        <w:t xml:space="preserve">of influence </w:t>
      </w:r>
      <w:r w:rsidRPr="00752906">
        <w:rPr>
          <w:rStyle w:val="location"/>
          <w:lang w:val="en-GB"/>
        </w:rPr>
        <w:t>for the case of vehicle explosions</w:t>
      </w:r>
      <w:r w:rsidR="00B76A96" w:rsidRPr="00752906">
        <w:rPr>
          <w:rStyle w:val="location"/>
          <w:lang w:val="en-GB"/>
        </w:rPr>
        <w:t xml:space="preserve"> (see Figure 1)</w:t>
      </w:r>
      <w:r w:rsidRPr="00752906">
        <w:rPr>
          <w:rStyle w:val="location"/>
          <w:lang w:val="en-GB"/>
        </w:rPr>
        <w:t>.</w:t>
      </w:r>
    </w:p>
    <w:p w14:paraId="3EF4F31E" w14:textId="77777777" w:rsidR="000C4768" w:rsidRPr="00752906" w:rsidRDefault="000C4768" w:rsidP="000C4768">
      <w:pPr>
        <w:pStyle w:val="ListParagraph"/>
        <w:jc w:val="both"/>
        <w:rPr>
          <w:lang w:val="en-GB"/>
        </w:rPr>
      </w:pPr>
    </w:p>
    <w:p w14:paraId="561F95C5" w14:textId="77777777" w:rsidR="000C4768" w:rsidRPr="00752906" w:rsidRDefault="000C4768" w:rsidP="000C4768">
      <w:pPr>
        <w:pStyle w:val="ListParagraph"/>
        <w:jc w:val="both"/>
        <w:rPr>
          <w:lang w:val="en-GB"/>
        </w:rPr>
      </w:pPr>
    </w:p>
    <w:p w14:paraId="14C19889" w14:textId="77777777" w:rsidR="000C4768" w:rsidRPr="00752906" w:rsidRDefault="000C4768" w:rsidP="00D62AE5">
      <w:pPr>
        <w:pStyle w:val="ListParagraph"/>
        <w:jc w:val="center"/>
        <w:rPr>
          <w:lang w:val="en-GB"/>
        </w:rPr>
      </w:pPr>
      <w:r w:rsidRPr="00752906">
        <w:rPr>
          <w:noProof/>
          <w:lang w:val="en-GB" w:eastAsia="en-GB"/>
        </w:rPr>
        <w:drawing>
          <wp:inline distT="0" distB="0" distL="0" distR="0" wp14:anchorId="343E1DCC" wp14:editId="4E09D87A">
            <wp:extent cx="4228186" cy="2712174"/>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9234" cy="2719261"/>
                    </a:xfrm>
                    <a:prstGeom prst="rect">
                      <a:avLst/>
                    </a:prstGeom>
                    <a:noFill/>
                    <a:ln>
                      <a:noFill/>
                    </a:ln>
                  </pic:spPr>
                </pic:pic>
              </a:graphicData>
            </a:graphic>
          </wp:inline>
        </w:drawing>
      </w:r>
    </w:p>
    <w:p w14:paraId="62057DCF" w14:textId="77777777" w:rsidR="000C4768" w:rsidRPr="00752906" w:rsidRDefault="000C4768" w:rsidP="000C4768">
      <w:pPr>
        <w:jc w:val="both"/>
      </w:pPr>
    </w:p>
    <w:p w14:paraId="07B85754" w14:textId="7DF54538" w:rsidR="00F46263" w:rsidRPr="00752906" w:rsidRDefault="00F46263" w:rsidP="00F46263">
      <w:pPr>
        <w:pStyle w:val="SingleTxtG"/>
        <w:jc w:val="center"/>
        <w:rPr>
          <w:lang w:val="en-GB"/>
        </w:rPr>
      </w:pPr>
      <w:r w:rsidRPr="00752906">
        <w:rPr>
          <w:lang w:val="en-GB"/>
        </w:rPr>
        <w:t xml:space="preserve">Figure 1: Influence of </w:t>
      </w:r>
      <w:r w:rsidR="00C63A1C">
        <w:rPr>
          <w:lang w:val="en-GB"/>
        </w:rPr>
        <w:t>transported mass</w:t>
      </w:r>
      <w:r w:rsidR="00C63A1C" w:rsidRPr="00752906">
        <w:rPr>
          <w:lang w:val="en-GB"/>
        </w:rPr>
        <w:t xml:space="preserve"> </w:t>
      </w:r>
      <w:r w:rsidRPr="00752906">
        <w:rPr>
          <w:lang w:val="en-GB"/>
        </w:rPr>
        <w:t>of explosives and range of influence (ATF)</w:t>
      </w:r>
    </w:p>
    <w:p w14:paraId="45FADEEC" w14:textId="77777777" w:rsidR="000C4768" w:rsidRPr="00752906" w:rsidRDefault="000C4768" w:rsidP="000C4768">
      <w:pPr>
        <w:pStyle w:val="SingleTxtG"/>
        <w:rPr>
          <w:lang w:val="en-GB"/>
        </w:rPr>
      </w:pPr>
      <w:r w:rsidRPr="00752906">
        <w:rPr>
          <w:lang w:val="en-GB"/>
        </w:rPr>
        <w:t>Since the quantities included in the table cover large ranges</w:t>
      </w:r>
      <w:r w:rsidR="00154173" w:rsidRPr="00752906">
        <w:rPr>
          <w:lang w:val="en-GB"/>
        </w:rPr>
        <w:t xml:space="preserve"> </w:t>
      </w:r>
      <w:r w:rsidRPr="00752906">
        <w:rPr>
          <w:lang w:val="en-GB"/>
        </w:rPr>
        <w:t xml:space="preserve">intermediate segments can be easily calculated taking into account that the effects of an explosion are a function of the cube root of the quantity that explodes (D = K * Q 1/3), where D is the radius of the affected area, K a constant, and Q the quantity of explosive. Although the value that is normally assigned to the constant K differs significantly from one country to another, it is true that the values chosen by the ATF are very restrictive, or in other words, very high K values. For example, in Spain, the value used for the affected area is 34, and as shown in table 1, the ATF uses K values between 69 and 82. </w:t>
      </w:r>
    </w:p>
    <w:p w14:paraId="4446E06C" w14:textId="74F21EA3" w:rsidR="000C4768" w:rsidRPr="00752906" w:rsidRDefault="000C4768" w:rsidP="000C4768">
      <w:pPr>
        <w:pStyle w:val="SingleTxtG"/>
        <w:rPr>
          <w:lang w:val="en-GB"/>
        </w:rPr>
      </w:pPr>
      <w:r w:rsidRPr="00752906">
        <w:rPr>
          <w:lang w:val="en-GB"/>
        </w:rPr>
        <w:t xml:space="preserve">It is interesting to note that the ATF table includes “lethal” and “evacuation” (damage) distances, which is not common in this type of table. This means that for the purposes of this study, there are two different distances to be </w:t>
      </w:r>
      <w:r w:rsidR="002E5465" w:rsidRPr="00752906">
        <w:rPr>
          <w:lang w:val="en-GB"/>
        </w:rPr>
        <w:t>anal</w:t>
      </w:r>
      <w:r w:rsidR="002E5465">
        <w:rPr>
          <w:lang w:val="en-GB"/>
        </w:rPr>
        <w:t>y</w:t>
      </w:r>
      <w:r w:rsidR="002E5465" w:rsidRPr="00752906">
        <w:rPr>
          <w:lang w:val="en-GB"/>
        </w:rPr>
        <w:t>sed</w:t>
      </w:r>
      <w:r w:rsidRPr="00752906">
        <w:rPr>
          <w:lang w:val="en-GB"/>
        </w:rPr>
        <w:t xml:space="preserve"> / </w:t>
      </w:r>
      <w:proofErr w:type="gramStart"/>
      <w:r w:rsidRPr="00752906">
        <w:rPr>
          <w:lang w:val="en-GB"/>
        </w:rPr>
        <w:t>compared</w:t>
      </w:r>
      <w:proofErr w:type="gramEnd"/>
      <w:r w:rsidRPr="00752906">
        <w:rPr>
          <w:lang w:val="en-GB"/>
        </w:rPr>
        <w:t>.</w:t>
      </w:r>
    </w:p>
    <w:p w14:paraId="6E1C5D28" w14:textId="77D2DC42" w:rsidR="000C4768" w:rsidRPr="00752906" w:rsidRDefault="000C4768" w:rsidP="000C4768">
      <w:pPr>
        <w:pStyle w:val="SingleTxtG"/>
        <w:rPr>
          <w:lang w:val="en-GB"/>
        </w:rPr>
      </w:pPr>
      <w:r w:rsidRPr="00752906">
        <w:rPr>
          <w:lang w:val="en-GB"/>
        </w:rPr>
        <w:t>Taking all of this into account, the K values used by the ATF</w:t>
      </w:r>
      <w:r w:rsidR="00F46263" w:rsidRPr="00752906">
        <w:rPr>
          <w:lang w:val="en-GB"/>
        </w:rPr>
        <w:t xml:space="preserve"> in Figure 1</w:t>
      </w:r>
      <w:r w:rsidRPr="00752906">
        <w:rPr>
          <w:lang w:val="en-GB"/>
        </w:rPr>
        <w:t xml:space="preserve"> </w:t>
      </w:r>
      <w:r w:rsidR="00F46263" w:rsidRPr="00752906">
        <w:rPr>
          <w:lang w:val="en-GB"/>
        </w:rPr>
        <w:t>to calculate the range of influe</w:t>
      </w:r>
      <w:r w:rsidR="00C63A1C">
        <w:rPr>
          <w:lang w:val="en-GB"/>
        </w:rPr>
        <w:t>n</w:t>
      </w:r>
      <w:r w:rsidR="00F46263" w:rsidRPr="00752906">
        <w:rPr>
          <w:lang w:val="en-GB"/>
        </w:rPr>
        <w:t xml:space="preserve">ces for the explosions </w:t>
      </w:r>
      <w:r w:rsidR="00C63A1C">
        <w:rPr>
          <w:lang w:val="en-GB"/>
        </w:rPr>
        <w:t xml:space="preserve">can de deduced and </w:t>
      </w:r>
      <w:proofErr w:type="gramStart"/>
      <w:r w:rsidR="00C63A1C">
        <w:rPr>
          <w:lang w:val="en-GB"/>
        </w:rPr>
        <w:t>are shown</w:t>
      </w:r>
      <w:proofErr w:type="gramEnd"/>
      <w:r w:rsidR="00F46263" w:rsidRPr="00752906">
        <w:rPr>
          <w:lang w:val="en-GB"/>
        </w:rPr>
        <w:t xml:space="preserve"> in Table 1.</w:t>
      </w:r>
    </w:p>
    <w:p w14:paraId="512EC423" w14:textId="77777777" w:rsidR="000C4768" w:rsidRPr="00752906" w:rsidRDefault="000C4768" w:rsidP="000C4768">
      <w:pPr>
        <w:pStyle w:val="ListParagraph"/>
        <w:jc w:val="both"/>
        <w:rPr>
          <w:lang w:val="en-GB"/>
        </w:rPr>
      </w:pPr>
    </w:p>
    <w:tbl>
      <w:tblPr>
        <w:tblStyle w:val="TableGrid"/>
        <w:tblW w:w="0" w:type="auto"/>
        <w:tblInd w:w="2184" w:type="dxa"/>
        <w:tblLook w:val="04A0" w:firstRow="1" w:lastRow="0" w:firstColumn="1" w:lastColumn="0" w:noHBand="0" w:noVBand="1"/>
      </w:tblPr>
      <w:tblGrid>
        <w:gridCol w:w="1370"/>
        <w:gridCol w:w="1621"/>
        <w:gridCol w:w="1759"/>
      </w:tblGrid>
      <w:tr w:rsidR="000C4768" w:rsidRPr="00752906" w14:paraId="7485F1AC" w14:textId="77777777" w:rsidTr="00F46263">
        <w:trPr>
          <w:trHeight w:val="318"/>
        </w:trPr>
        <w:tc>
          <w:tcPr>
            <w:tcW w:w="1370" w:type="dxa"/>
            <w:noWrap/>
            <w:hideMark/>
          </w:tcPr>
          <w:p w14:paraId="0A274F41" w14:textId="77777777" w:rsidR="000C4768" w:rsidRPr="00752906" w:rsidRDefault="000C4768" w:rsidP="00D62AE5">
            <w:pPr>
              <w:jc w:val="center"/>
              <w:rPr>
                <w:b/>
              </w:rPr>
            </w:pPr>
            <w:r w:rsidRPr="00752906">
              <w:rPr>
                <w:b/>
                <w:bCs/>
              </w:rPr>
              <w:t>Tons</w:t>
            </w:r>
          </w:p>
        </w:tc>
        <w:tc>
          <w:tcPr>
            <w:tcW w:w="1621" w:type="dxa"/>
            <w:noWrap/>
            <w:hideMark/>
          </w:tcPr>
          <w:p w14:paraId="2118309B" w14:textId="77777777" w:rsidR="000C4768" w:rsidRPr="00752906" w:rsidRDefault="000C4768" w:rsidP="00D62AE5">
            <w:pPr>
              <w:jc w:val="center"/>
              <w:rPr>
                <w:b/>
              </w:rPr>
            </w:pPr>
            <w:r w:rsidRPr="00752906">
              <w:rPr>
                <w:b/>
                <w:bCs/>
              </w:rPr>
              <w:t>Lethal K</w:t>
            </w:r>
          </w:p>
        </w:tc>
        <w:tc>
          <w:tcPr>
            <w:tcW w:w="1759" w:type="dxa"/>
            <w:noWrap/>
            <w:hideMark/>
          </w:tcPr>
          <w:p w14:paraId="380D626E" w14:textId="77777777" w:rsidR="000C4768" w:rsidRPr="00752906" w:rsidRDefault="000C4768" w:rsidP="00D62AE5">
            <w:pPr>
              <w:jc w:val="center"/>
              <w:rPr>
                <w:b/>
              </w:rPr>
            </w:pPr>
            <w:r w:rsidRPr="00752906">
              <w:rPr>
                <w:b/>
                <w:bCs/>
              </w:rPr>
              <w:t>Evacuation K</w:t>
            </w:r>
          </w:p>
        </w:tc>
      </w:tr>
      <w:tr w:rsidR="000C4768" w:rsidRPr="00752906" w14:paraId="5144022D" w14:textId="77777777" w:rsidTr="00F46263">
        <w:trPr>
          <w:trHeight w:val="303"/>
        </w:trPr>
        <w:tc>
          <w:tcPr>
            <w:tcW w:w="1370" w:type="dxa"/>
            <w:noWrap/>
            <w:hideMark/>
          </w:tcPr>
          <w:p w14:paraId="519539E9" w14:textId="77777777" w:rsidR="000C4768" w:rsidRPr="00752906" w:rsidRDefault="000C4768" w:rsidP="00D62AE5">
            <w:pPr>
              <w:jc w:val="center"/>
            </w:pPr>
            <w:r w:rsidRPr="00752906">
              <w:t>14</w:t>
            </w:r>
          </w:p>
        </w:tc>
        <w:tc>
          <w:tcPr>
            <w:tcW w:w="1621" w:type="dxa"/>
            <w:noWrap/>
            <w:hideMark/>
          </w:tcPr>
          <w:p w14:paraId="64DB852C" w14:textId="77777777" w:rsidR="000C4768" w:rsidRPr="00752906" w:rsidRDefault="000C4768" w:rsidP="00D62AE5">
            <w:pPr>
              <w:jc w:val="center"/>
            </w:pPr>
            <w:r w:rsidRPr="00752906">
              <w:t>5.7</w:t>
            </w:r>
          </w:p>
        </w:tc>
        <w:tc>
          <w:tcPr>
            <w:tcW w:w="1759" w:type="dxa"/>
            <w:noWrap/>
            <w:hideMark/>
          </w:tcPr>
          <w:p w14:paraId="5490C78B" w14:textId="77777777" w:rsidR="000C4768" w:rsidRPr="00752906" w:rsidRDefault="000C4768" w:rsidP="00D62AE5">
            <w:pPr>
              <w:jc w:val="center"/>
            </w:pPr>
            <w:r w:rsidRPr="00752906">
              <w:t>82.5</w:t>
            </w:r>
          </w:p>
        </w:tc>
      </w:tr>
      <w:tr w:rsidR="000C4768" w:rsidRPr="00752906" w14:paraId="4607BD73" w14:textId="77777777" w:rsidTr="00F46263">
        <w:trPr>
          <w:trHeight w:val="303"/>
        </w:trPr>
        <w:tc>
          <w:tcPr>
            <w:tcW w:w="1370" w:type="dxa"/>
            <w:noWrap/>
            <w:hideMark/>
          </w:tcPr>
          <w:p w14:paraId="39145AA8" w14:textId="77777777" w:rsidR="000C4768" w:rsidRPr="00752906" w:rsidRDefault="000C4768" w:rsidP="00D62AE5">
            <w:pPr>
              <w:jc w:val="center"/>
            </w:pPr>
            <w:r w:rsidRPr="00752906">
              <w:t>15</w:t>
            </w:r>
          </w:p>
        </w:tc>
        <w:tc>
          <w:tcPr>
            <w:tcW w:w="1621" w:type="dxa"/>
            <w:noWrap/>
            <w:hideMark/>
          </w:tcPr>
          <w:p w14:paraId="5CE69E7E" w14:textId="77777777" w:rsidR="000C4768" w:rsidRPr="00752906" w:rsidRDefault="000C4768" w:rsidP="00D62AE5">
            <w:pPr>
              <w:jc w:val="center"/>
            </w:pPr>
            <w:r w:rsidRPr="00752906">
              <w:t>5.8</w:t>
            </w:r>
          </w:p>
        </w:tc>
        <w:tc>
          <w:tcPr>
            <w:tcW w:w="1759" w:type="dxa"/>
            <w:noWrap/>
            <w:hideMark/>
          </w:tcPr>
          <w:p w14:paraId="165B4236" w14:textId="77777777" w:rsidR="000C4768" w:rsidRPr="00752906" w:rsidRDefault="000C4768" w:rsidP="00D62AE5">
            <w:pPr>
              <w:jc w:val="center"/>
            </w:pPr>
            <w:r w:rsidRPr="00752906">
              <w:t>81.5</w:t>
            </w:r>
          </w:p>
        </w:tc>
      </w:tr>
      <w:tr w:rsidR="000C4768" w:rsidRPr="00752906" w14:paraId="37E30FA8" w14:textId="77777777" w:rsidTr="00F46263">
        <w:trPr>
          <w:trHeight w:val="303"/>
        </w:trPr>
        <w:tc>
          <w:tcPr>
            <w:tcW w:w="1370" w:type="dxa"/>
            <w:noWrap/>
            <w:hideMark/>
          </w:tcPr>
          <w:p w14:paraId="31FBC895" w14:textId="77777777" w:rsidR="000C4768" w:rsidRPr="00752906" w:rsidRDefault="000C4768" w:rsidP="00D62AE5">
            <w:pPr>
              <w:jc w:val="center"/>
            </w:pPr>
            <w:r w:rsidRPr="00752906">
              <w:t>16</w:t>
            </w:r>
          </w:p>
        </w:tc>
        <w:tc>
          <w:tcPr>
            <w:tcW w:w="1621" w:type="dxa"/>
            <w:noWrap/>
            <w:hideMark/>
          </w:tcPr>
          <w:p w14:paraId="234AD3DF" w14:textId="77777777" w:rsidR="000C4768" w:rsidRPr="00752906" w:rsidRDefault="000C4768" w:rsidP="00D62AE5">
            <w:pPr>
              <w:jc w:val="center"/>
            </w:pPr>
            <w:r w:rsidRPr="00752906">
              <w:t>5.8</w:t>
            </w:r>
          </w:p>
        </w:tc>
        <w:tc>
          <w:tcPr>
            <w:tcW w:w="1759" w:type="dxa"/>
            <w:noWrap/>
            <w:hideMark/>
          </w:tcPr>
          <w:p w14:paraId="08AEE064" w14:textId="77777777" w:rsidR="000C4768" w:rsidRPr="00752906" w:rsidRDefault="000C4768" w:rsidP="00D62AE5">
            <w:pPr>
              <w:jc w:val="center"/>
            </w:pPr>
            <w:r w:rsidRPr="00752906">
              <w:t>80.4</w:t>
            </w:r>
          </w:p>
        </w:tc>
      </w:tr>
      <w:tr w:rsidR="000C4768" w:rsidRPr="00752906" w14:paraId="3F8E6924" w14:textId="77777777" w:rsidTr="00F46263">
        <w:trPr>
          <w:trHeight w:val="303"/>
        </w:trPr>
        <w:tc>
          <w:tcPr>
            <w:tcW w:w="1370" w:type="dxa"/>
            <w:noWrap/>
            <w:hideMark/>
          </w:tcPr>
          <w:p w14:paraId="1CDC63C5" w14:textId="77777777" w:rsidR="000C4768" w:rsidRPr="00752906" w:rsidRDefault="000C4768" w:rsidP="00D62AE5">
            <w:pPr>
              <w:jc w:val="center"/>
            </w:pPr>
            <w:r w:rsidRPr="00752906">
              <w:t>17</w:t>
            </w:r>
          </w:p>
        </w:tc>
        <w:tc>
          <w:tcPr>
            <w:tcW w:w="1621" w:type="dxa"/>
            <w:noWrap/>
            <w:hideMark/>
          </w:tcPr>
          <w:p w14:paraId="4DEC37D6" w14:textId="77777777" w:rsidR="000C4768" w:rsidRPr="00752906" w:rsidRDefault="000C4768" w:rsidP="00D62AE5">
            <w:pPr>
              <w:jc w:val="center"/>
            </w:pPr>
            <w:r w:rsidRPr="00752906">
              <w:t>5.8</w:t>
            </w:r>
          </w:p>
        </w:tc>
        <w:tc>
          <w:tcPr>
            <w:tcW w:w="1759" w:type="dxa"/>
            <w:noWrap/>
            <w:hideMark/>
          </w:tcPr>
          <w:p w14:paraId="7A26DA37" w14:textId="77777777" w:rsidR="000C4768" w:rsidRPr="00752906" w:rsidRDefault="000C4768" w:rsidP="00D62AE5">
            <w:pPr>
              <w:jc w:val="center"/>
            </w:pPr>
            <w:r w:rsidRPr="00752906">
              <w:t>79.4</w:t>
            </w:r>
          </w:p>
        </w:tc>
      </w:tr>
      <w:tr w:rsidR="000C4768" w:rsidRPr="00752906" w14:paraId="6C5E0995" w14:textId="77777777" w:rsidTr="00F46263">
        <w:trPr>
          <w:trHeight w:val="303"/>
        </w:trPr>
        <w:tc>
          <w:tcPr>
            <w:tcW w:w="1370" w:type="dxa"/>
            <w:noWrap/>
            <w:hideMark/>
          </w:tcPr>
          <w:p w14:paraId="556458FA" w14:textId="77777777" w:rsidR="000C4768" w:rsidRPr="00752906" w:rsidRDefault="000C4768" w:rsidP="00D62AE5">
            <w:pPr>
              <w:jc w:val="center"/>
            </w:pPr>
            <w:r w:rsidRPr="00752906">
              <w:t>18</w:t>
            </w:r>
          </w:p>
        </w:tc>
        <w:tc>
          <w:tcPr>
            <w:tcW w:w="1621" w:type="dxa"/>
            <w:noWrap/>
            <w:hideMark/>
          </w:tcPr>
          <w:p w14:paraId="05B652EE" w14:textId="77777777" w:rsidR="000C4768" w:rsidRPr="00752906" w:rsidRDefault="000C4768" w:rsidP="00D62AE5">
            <w:pPr>
              <w:jc w:val="center"/>
            </w:pPr>
            <w:r w:rsidRPr="00752906">
              <w:t>5.8</w:t>
            </w:r>
          </w:p>
        </w:tc>
        <w:tc>
          <w:tcPr>
            <w:tcW w:w="1759" w:type="dxa"/>
            <w:noWrap/>
            <w:hideMark/>
          </w:tcPr>
          <w:p w14:paraId="3E981B59" w14:textId="77777777" w:rsidR="000C4768" w:rsidRPr="00752906" w:rsidRDefault="000C4768" w:rsidP="00D62AE5">
            <w:pPr>
              <w:jc w:val="center"/>
            </w:pPr>
            <w:r w:rsidRPr="00752906">
              <w:t>78.4</w:t>
            </w:r>
          </w:p>
        </w:tc>
      </w:tr>
      <w:tr w:rsidR="000C4768" w:rsidRPr="00752906" w14:paraId="0DDA8FC0" w14:textId="77777777" w:rsidTr="00F46263">
        <w:trPr>
          <w:trHeight w:val="303"/>
        </w:trPr>
        <w:tc>
          <w:tcPr>
            <w:tcW w:w="1370" w:type="dxa"/>
            <w:noWrap/>
            <w:hideMark/>
          </w:tcPr>
          <w:p w14:paraId="6EA29AAD" w14:textId="77777777" w:rsidR="000C4768" w:rsidRPr="00752906" w:rsidRDefault="000C4768" w:rsidP="00D62AE5">
            <w:pPr>
              <w:jc w:val="center"/>
            </w:pPr>
            <w:r w:rsidRPr="00752906">
              <w:t>19</w:t>
            </w:r>
          </w:p>
        </w:tc>
        <w:tc>
          <w:tcPr>
            <w:tcW w:w="1621" w:type="dxa"/>
            <w:noWrap/>
            <w:hideMark/>
          </w:tcPr>
          <w:p w14:paraId="6F14E14C" w14:textId="77777777" w:rsidR="000C4768" w:rsidRPr="00752906" w:rsidRDefault="000C4768" w:rsidP="00D62AE5">
            <w:pPr>
              <w:jc w:val="center"/>
            </w:pPr>
            <w:r w:rsidRPr="00752906">
              <w:t>5.9</w:t>
            </w:r>
          </w:p>
        </w:tc>
        <w:tc>
          <w:tcPr>
            <w:tcW w:w="1759" w:type="dxa"/>
            <w:noWrap/>
            <w:hideMark/>
          </w:tcPr>
          <w:p w14:paraId="0F140398" w14:textId="77777777" w:rsidR="000C4768" w:rsidRPr="00752906" w:rsidRDefault="000C4768" w:rsidP="00D62AE5">
            <w:pPr>
              <w:jc w:val="center"/>
            </w:pPr>
            <w:r w:rsidRPr="00752906">
              <w:t>77.4</w:t>
            </w:r>
          </w:p>
        </w:tc>
      </w:tr>
      <w:tr w:rsidR="000C4768" w:rsidRPr="00752906" w14:paraId="734DFF6C" w14:textId="77777777" w:rsidTr="00F46263">
        <w:trPr>
          <w:trHeight w:val="303"/>
        </w:trPr>
        <w:tc>
          <w:tcPr>
            <w:tcW w:w="1370" w:type="dxa"/>
            <w:noWrap/>
            <w:hideMark/>
          </w:tcPr>
          <w:p w14:paraId="14C96EB4" w14:textId="77777777" w:rsidR="000C4768" w:rsidRPr="00752906" w:rsidRDefault="000C4768" w:rsidP="00D62AE5">
            <w:pPr>
              <w:jc w:val="center"/>
            </w:pPr>
            <w:r w:rsidRPr="00752906">
              <w:t>20</w:t>
            </w:r>
          </w:p>
        </w:tc>
        <w:tc>
          <w:tcPr>
            <w:tcW w:w="1621" w:type="dxa"/>
            <w:noWrap/>
            <w:hideMark/>
          </w:tcPr>
          <w:p w14:paraId="0EA89A7A" w14:textId="77777777" w:rsidR="000C4768" w:rsidRPr="00752906" w:rsidRDefault="000C4768" w:rsidP="00D62AE5">
            <w:pPr>
              <w:jc w:val="center"/>
            </w:pPr>
            <w:r w:rsidRPr="00752906">
              <w:t>5.9</w:t>
            </w:r>
          </w:p>
        </w:tc>
        <w:tc>
          <w:tcPr>
            <w:tcW w:w="1759" w:type="dxa"/>
            <w:noWrap/>
            <w:hideMark/>
          </w:tcPr>
          <w:p w14:paraId="753AFECD" w14:textId="77777777" w:rsidR="000C4768" w:rsidRPr="00752906" w:rsidRDefault="000C4768" w:rsidP="00D62AE5">
            <w:pPr>
              <w:jc w:val="center"/>
            </w:pPr>
            <w:r w:rsidRPr="00752906">
              <w:t>76.3</w:t>
            </w:r>
          </w:p>
        </w:tc>
      </w:tr>
      <w:tr w:rsidR="000C4768" w:rsidRPr="00752906" w14:paraId="3C73F8B8" w14:textId="77777777" w:rsidTr="00F46263">
        <w:trPr>
          <w:trHeight w:val="303"/>
        </w:trPr>
        <w:tc>
          <w:tcPr>
            <w:tcW w:w="1370" w:type="dxa"/>
            <w:noWrap/>
            <w:hideMark/>
          </w:tcPr>
          <w:p w14:paraId="124CC34E" w14:textId="77777777" w:rsidR="000C4768" w:rsidRPr="00752906" w:rsidRDefault="000C4768" w:rsidP="00D62AE5">
            <w:pPr>
              <w:jc w:val="center"/>
            </w:pPr>
            <w:r w:rsidRPr="00752906">
              <w:t>21</w:t>
            </w:r>
          </w:p>
        </w:tc>
        <w:tc>
          <w:tcPr>
            <w:tcW w:w="1621" w:type="dxa"/>
            <w:noWrap/>
            <w:hideMark/>
          </w:tcPr>
          <w:p w14:paraId="25ED3E8F" w14:textId="77777777" w:rsidR="000C4768" w:rsidRPr="00752906" w:rsidRDefault="000C4768" w:rsidP="00D62AE5">
            <w:pPr>
              <w:jc w:val="center"/>
            </w:pPr>
            <w:r w:rsidRPr="00752906">
              <w:t>5.9</w:t>
            </w:r>
          </w:p>
        </w:tc>
        <w:tc>
          <w:tcPr>
            <w:tcW w:w="1759" w:type="dxa"/>
            <w:noWrap/>
            <w:hideMark/>
          </w:tcPr>
          <w:p w14:paraId="1985C8C5" w14:textId="77777777" w:rsidR="000C4768" w:rsidRPr="00752906" w:rsidRDefault="000C4768" w:rsidP="00D62AE5">
            <w:pPr>
              <w:jc w:val="center"/>
            </w:pPr>
            <w:r w:rsidRPr="00752906">
              <w:t>75.3</w:t>
            </w:r>
          </w:p>
        </w:tc>
      </w:tr>
      <w:tr w:rsidR="000C4768" w:rsidRPr="00752906" w14:paraId="77E44E47" w14:textId="77777777" w:rsidTr="00F46263">
        <w:trPr>
          <w:trHeight w:val="303"/>
        </w:trPr>
        <w:tc>
          <w:tcPr>
            <w:tcW w:w="1370" w:type="dxa"/>
            <w:noWrap/>
            <w:hideMark/>
          </w:tcPr>
          <w:p w14:paraId="48198BCD" w14:textId="77777777" w:rsidR="000C4768" w:rsidRPr="00752906" w:rsidRDefault="000C4768" w:rsidP="00D62AE5">
            <w:pPr>
              <w:jc w:val="center"/>
            </w:pPr>
            <w:r w:rsidRPr="00752906">
              <w:t>22</w:t>
            </w:r>
          </w:p>
        </w:tc>
        <w:tc>
          <w:tcPr>
            <w:tcW w:w="1621" w:type="dxa"/>
            <w:noWrap/>
            <w:hideMark/>
          </w:tcPr>
          <w:p w14:paraId="171512F7" w14:textId="77777777" w:rsidR="000C4768" w:rsidRPr="00752906" w:rsidRDefault="000C4768" w:rsidP="00D62AE5">
            <w:pPr>
              <w:jc w:val="center"/>
            </w:pPr>
            <w:r w:rsidRPr="00752906">
              <w:t>5.9</w:t>
            </w:r>
          </w:p>
        </w:tc>
        <w:tc>
          <w:tcPr>
            <w:tcW w:w="1759" w:type="dxa"/>
            <w:noWrap/>
            <w:hideMark/>
          </w:tcPr>
          <w:p w14:paraId="1E8538E4" w14:textId="77777777" w:rsidR="000C4768" w:rsidRPr="00752906" w:rsidRDefault="000C4768" w:rsidP="00D62AE5">
            <w:pPr>
              <w:jc w:val="center"/>
            </w:pPr>
            <w:r w:rsidRPr="00752906">
              <w:t>74.3</w:t>
            </w:r>
          </w:p>
        </w:tc>
      </w:tr>
      <w:tr w:rsidR="000C4768" w:rsidRPr="00752906" w14:paraId="39D8103D" w14:textId="77777777" w:rsidTr="00F46263">
        <w:trPr>
          <w:trHeight w:val="303"/>
        </w:trPr>
        <w:tc>
          <w:tcPr>
            <w:tcW w:w="1370" w:type="dxa"/>
            <w:noWrap/>
            <w:hideMark/>
          </w:tcPr>
          <w:p w14:paraId="0C9BF6A1" w14:textId="77777777" w:rsidR="000C4768" w:rsidRPr="00752906" w:rsidRDefault="000C4768" w:rsidP="00D62AE5">
            <w:pPr>
              <w:jc w:val="center"/>
            </w:pPr>
            <w:r w:rsidRPr="00752906">
              <w:t>23</w:t>
            </w:r>
          </w:p>
        </w:tc>
        <w:tc>
          <w:tcPr>
            <w:tcW w:w="1621" w:type="dxa"/>
            <w:noWrap/>
            <w:hideMark/>
          </w:tcPr>
          <w:p w14:paraId="56512347" w14:textId="77777777" w:rsidR="000C4768" w:rsidRPr="00752906" w:rsidRDefault="000C4768" w:rsidP="00D62AE5">
            <w:pPr>
              <w:jc w:val="center"/>
            </w:pPr>
            <w:r w:rsidRPr="00752906">
              <w:t>6.0</w:t>
            </w:r>
          </w:p>
        </w:tc>
        <w:tc>
          <w:tcPr>
            <w:tcW w:w="1759" w:type="dxa"/>
            <w:noWrap/>
            <w:hideMark/>
          </w:tcPr>
          <w:p w14:paraId="01C33BC1" w14:textId="77777777" w:rsidR="000C4768" w:rsidRPr="00752906" w:rsidRDefault="000C4768" w:rsidP="00D62AE5">
            <w:pPr>
              <w:jc w:val="center"/>
            </w:pPr>
            <w:r w:rsidRPr="00752906">
              <w:t>73.3</w:t>
            </w:r>
          </w:p>
        </w:tc>
      </w:tr>
      <w:tr w:rsidR="000C4768" w:rsidRPr="00752906" w14:paraId="5E3A7786" w14:textId="77777777" w:rsidTr="00F46263">
        <w:trPr>
          <w:trHeight w:val="303"/>
        </w:trPr>
        <w:tc>
          <w:tcPr>
            <w:tcW w:w="1370" w:type="dxa"/>
            <w:noWrap/>
            <w:hideMark/>
          </w:tcPr>
          <w:p w14:paraId="30F3C5B0" w14:textId="77777777" w:rsidR="000C4768" w:rsidRPr="00752906" w:rsidRDefault="000C4768" w:rsidP="00D62AE5">
            <w:pPr>
              <w:jc w:val="center"/>
            </w:pPr>
            <w:r w:rsidRPr="00752906">
              <w:t>24</w:t>
            </w:r>
          </w:p>
        </w:tc>
        <w:tc>
          <w:tcPr>
            <w:tcW w:w="1621" w:type="dxa"/>
            <w:noWrap/>
            <w:hideMark/>
          </w:tcPr>
          <w:p w14:paraId="12F3AD08" w14:textId="77777777" w:rsidR="000C4768" w:rsidRPr="00752906" w:rsidRDefault="000C4768" w:rsidP="00D62AE5">
            <w:pPr>
              <w:jc w:val="center"/>
            </w:pPr>
            <w:r w:rsidRPr="00752906">
              <w:t>6.0</w:t>
            </w:r>
          </w:p>
        </w:tc>
        <w:tc>
          <w:tcPr>
            <w:tcW w:w="1759" w:type="dxa"/>
            <w:noWrap/>
            <w:hideMark/>
          </w:tcPr>
          <w:p w14:paraId="2941D94F" w14:textId="77777777" w:rsidR="000C4768" w:rsidRPr="00752906" w:rsidRDefault="000C4768" w:rsidP="00D62AE5">
            <w:pPr>
              <w:jc w:val="center"/>
            </w:pPr>
            <w:r w:rsidRPr="00752906">
              <w:t>72.3</w:t>
            </w:r>
          </w:p>
        </w:tc>
      </w:tr>
      <w:tr w:rsidR="000C4768" w:rsidRPr="00752906" w14:paraId="2898885D" w14:textId="77777777" w:rsidTr="00F46263">
        <w:trPr>
          <w:trHeight w:val="303"/>
        </w:trPr>
        <w:tc>
          <w:tcPr>
            <w:tcW w:w="1370" w:type="dxa"/>
            <w:noWrap/>
            <w:hideMark/>
          </w:tcPr>
          <w:p w14:paraId="040848FE" w14:textId="77777777" w:rsidR="000C4768" w:rsidRPr="00752906" w:rsidRDefault="000C4768" w:rsidP="00D62AE5">
            <w:pPr>
              <w:jc w:val="center"/>
            </w:pPr>
            <w:r w:rsidRPr="00752906">
              <w:t>25</w:t>
            </w:r>
          </w:p>
        </w:tc>
        <w:tc>
          <w:tcPr>
            <w:tcW w:w="1621" w:type="dxa"/>
            <w:noWrap/>
            <w:hideMark/>
          </w:tcPr>
          <w:p w14:paraId="4CE4EEAC" w14:textId="77777777" w:rsidR="000C4768" w:rsidRPr="00752906" w:rsidRDefault="000C4768" w:rsidP="00D62AE5">
            <w:pPr>
              <w:jc w:val="center"/>
            </w:pPr>
            <w:r w:rsidRPr="00752906">
              <w:t>6.0</w:t>
            </w:r>
          </w:p>
        </w:tc>
        <w:tc>
          <w:tcPr>
            <w:tcW w:w="1759" w:type="dxa"/>
            <w:noWrap/>
            <w:hideMark/>
          </w:tcPr>
          <w:p w14:paraId="05A51162" w14:textId="77777777" w:rsidR="000C4768" w:rsidRPr="00752906" w:rsidRDefault="000C4768" w:rsidP="00D62AE5">
            <w:pPr>
              <w:jc w:val="center"/>
            </w:pPr>
            <w:r w:rsidRPr="00752906">
              <w:t>71.2</w:t>
            </w:r>
          </w:p>
        </w:tc>
      </w:tr>
      <w:tr w:rsidR="000C4768" w:rsidRPr="00752906" w14:paraId="68A913C2" w14:textId="77777777" w:rsidTr="00F46263">
        <w:trPr>
          <w:trHeight w:val="303"/>
        </w:trPr>
        <w:tc>
          <w:tcPr>
            <w:tcW w:w="1370" w:type="dxa"/>
            <w:noWrap/>
            <w:hideMark/>
          </w:tcPr>
          <w:p w14:paraId="7EB40E41" w14:textId="77777777" w:rsidR="000C4768" w:rsidRPr="00752906" w:rsidRDefault="000C4768" w:rsidP="00D62AE5">
            <w:pPr>
              <w:jc w:val="center"/>
            </w:pPr>
            <w:r w:rsidRPr="00752906">
              <w:t>26</w:t>
            </w:r>
          </w:p>
        </w:tc>
        <w:tc>
          <w:tcPr>
            <w:tcW w:w="1621" w:type="dxa"/>
            <w:noWrap/>
            <w:hideMark/>
          </w:tcPr>
          <w:p w14:paraId="5C93D5D6" w14:textId="77777777" w:rsidR="000C4768" w:rsidRPr="00752906" w:rsidRDefault="000C4768" w:rsidP="00D62AE5">
            <w:pPr>
              <w:jc w:val="center"/>
            </w:pPr>
            <w:r w:rsidRPr="00752906">
              <w:t>6.0</w:t>
            </w:r>
          </w:p>
        </w:tc>
        <w:tc>
          <w:tcPr>
            <w:tcW w:w="1759" w:type="dxa"/>
            <w:noWrap/>
            <w:hideMark/>
          </w:tcPr>
          <w:p w14:paraId="2E7F6742" w14:textId="77777777" w:rsidR="000C4768" w:rsidRPr="00752906" w:rsidRDefault="000C4768" w:rsidP="00D62AE5">
            <w:pPr>
              <w:jc w:val="center"/>
            </w:pPr>
            <w:r w:rsidRPr="00752906">
              <w:t>70.2</w:t>
            </w:r>
          </w:p>
        </w:tc>
      </w:tr>
      <w:tr w:rsidR="000C4768" w:rsidRPr="00752906" w14:paraId="75EE51A3" w14:textId="77777777" w:rsidTr="00F46263">
        <w:trPr>
          <w:trHeight w:val="303"/>
        </w:trPr>
        <w:tc>
          <w:tcPr>
            <w:tcW w:w="1370" w:type="dxa"/>
            <w:noWrap/>
            <w:hideMark/>
          </w:tcPr>
          <w:p w14:paraId="3967EFF0" w14:textId="77777777" w:rsidR="000C4768" w:rsidRPr="00752906" w:rsidRDefault="000C4768" w:rsidP="00D62AE5">
            <w:pPr>
              <w:jc w:val="center"/>
            </w:pPr>
            <w:r w:rsidRPr="00752906">
              <w:t>27</w:t>
            </w:r>
          </w:p>
        </w:tc>
        <w:tc>
          <w:tcPr>
            <w:tcW w:w="1621" w:type="dxa"/>
            <w:noWrap/>
            <w:hideMark/>
          </w:tcPr>
          <w:p w14:paraId="636CAAB1" w14:textId="77777777" w:rsidR="000C4768" w:rsidRPr="00752906" w:rsidRDefault="000C4768" w:rsidP="00D62AE5">
            <w:pPr>
              <w:jc w:val="center"/>
            </w:pPr>
            <w:r w:rsidRPr="00752906">
              <w:t>6.1</w:t>
            </w:r>
          </w:p>
        </w:tc>
        <w:tc>
          <w:tcPr>
            <w:tcW w:w="1759" w:type="dxa"/>
            <w:noWrap/>
            <w:hideMark/>
          </w:tcPr>
          <w:p w14:paraId="5ADD46B4" w14:textId="77777777" w:rsidR="000C4768" w:rsidRPr="00752906" w:rsidRDefault="000C4768" w:rsidP="00D62AE5">
            <w:pPr>
              <w:jc w:val="center"/>
            </w:pPr>
            <w:r w:rsidRPr="00752906">
              <w:t>69.2</w:t>
            </w:r>
          </w:p>
        </w:tc>
      </w:tr>
    </w:tbl>
    <w:p w14:paraId="7C4FE953" w14:textId="77777777" w:rsidR="00F46263" w:rsidRPr="00752906" w:rsidRDefault="00F46263" w:rsidP="001650E6">
      <w:pPr>
        <w:pStyle w:val="SingleTxtG"/>
        <w:spacing w:before="120"/>
        <w:jc w:val="center"/>
        <w:rPr>
          <w:lang w:val="en-GB"/>
        </w:rPr>
      </w:pPr>
      <w:r w:rsidRPr="00752906">
        <w:rPr>
          <w:lang w:val="en-GB"/>
        </w:rPr>
        <w:t>Table 1: Values of K used for Figure 1, deduced by inverse calculation</w:t>
      </w:r>
    </w:p>
    <w:p w14:paraId="20B71608" w14:textId="77777777" w:rsidR="00703692" w:rsidRPr="00752906" w:rsidRDefault="00703692" w:rsidP="000C4768">
      <w:pPr>
        <w:pStyle w:val="SingleTxtG"/>
        <w:rPr>
          <w:u w:val="single"/>
          <w:lang w:val="en-GB"/>
        </w:rPr>
      </w:pPr>
      <w:r w:rsidRPr="00752906">
        <w:rPr>
          <w:u w:val="single"/>
          <w:lang w:val="en-GB"/>
        </w:rPr>
        <w:t xml:space="preserve">Probability of </w:t>
      </w:r>
      <w:r w:rsidR="003964DB" w:rsidRPr="00752906">
        <w:rPr>
          <w:u w:val="single"/>
          <w:lang w:val="en-GB"/>
        </w:rPr>
        <w:t>occurrence</w:t>
      </w:r>
      <w:r w:rsidRPr="00752906">
        <w:rPr>
          <w:u w:val="single"/>
          <w:lang w:val="en-GB"/>
        </w:rPr>
        <w:t xml:space="preserve"> of an accident</w:t>
      </w:r>
    </w:p>
    <w:p w14:paraId="2AD4F491" w14:textId="0375A395" w:rsidR="000C4768" w:rsidRPr="00752906" w:rsidRDefault="000C4768" w:rsidP="000C4768">
      <w:pPr>
        <w:pStyle w:val="SingleTxtG"/>
        <w:rPr>
          <w:lang w:val="en-GB"/>
        </w:rPr>
      </w:pPr>
      <w:r w:rsidRPr="00752906">
        <w:rPr>
          <w:lang w:val="en-GB"/>
        </w:rPr>
        <w:t xml:space="preserve">As mentioned earlier, the probability of the occurrence of an accident will decrease or increase in the same measure as the time </w:t>
      </w:r>
      <w:r w:rsidR="00C63A1C">
        <w:rPr>
          <w:lang w:val="en-GB"/>
        </w:rPr>
        <w:t>the vehicle spends</w:t>
      </w:r>
      <w:r w:rsidRPr="00752906">
        <w:rPr>
          <w:lang w:val="en-GB"/>
        </w:rPr>
        <w:t xml:space="preserve"> on the road decreases or increases. Since EX III trucks </w:t>
      </w:r>
      <w:proofErr w:type="gramStart"/>
      <w:r w:rsidRPr="00752906">
        <w:rPr>
          <w:lang w:val="en-GB"/>
        </w:rPr>
        <w:t>are used</w:t>
      </w:r>
      <w:proofErr w:type="gramEnd"/>
      <w:r w:rsidRPr="00752906">
        <w:rPr>
          <w:lang w:val="en-GB"/>
        </w:rPr>
        <w:t xml:space="preserve"> for supply</w:t>
      </w:r>
      <w:r w:rsidR="00C63A1C">
        <w:rPr>
          <w:lang w:val="en-GB"/>
        </w:rPr>
        <w:t>-</w:t>
      </w:r>
      <w:r w:rsidRPr="00752906">
        <w:rPr>
          <w:lang w:val="en-GB"/>
        </w:rPr>
        <w:t xml:space="preserve">deliveries between factories and magazines, or between magazines, </w:t>
      </w:r>
      <w:r w:rsidR="00F46263" w:rsidRPr="00752906">
        <w:rPr>
          <w:lang w:val="en-GB"/>
        </w:rPr>
        <w:t>they are normally fully loaded</w:t>
      </w:r>
      <w:r w:rsidR="00C63A1C">
        <w:rPr>
          <w:lang w:val="en-GB"/>
        </w:rPr>
        <w:t xml:space="preserve">. </w:t>
      </w:r>
      <w:proofErr w:type="gramStart"/>
      <w:r w:rsidR="00C63A1C">
        <w:rPr>
          <w:lang w:val="en-GB"/>
        </w:rPr>
        <w:t>Therefore</w:t>
      </w:r>
      <w:proofErr w:type="gramEnd"/>
      <w:r w:rsidRPr="00752906">
        <w:rPr>
          <w:lang w:val="en-GB"/>
        </w:rPr>
        <w:t xml:space="preserve"> the probability </w:t>
      </w:r>
      <w:r w:rsidR="00F46263" w:rsidRPr="00752906">
        <w:rPr>
          <w:lang w:val="en-GB"/>
        </w:rPr>
        <w:t>of occu</w:t>
      </w:r>
      <w:r w:rsidR="00C63A1C">
        <w:rPr>
          <w:lang w:val="en-GB"/>
        </w:rPr>
        <w:t>r</w:t>
      </w:r>
      <w:r w:rsidR="00F46263" w:rsidRPr="00752906">
        <w:rPr>
          <w:lang w:val="en-GB"/>
        </w:rPr>
        <w:t xml:space="preserve">rence of an accident </w:t>
      </w:r>
      <w:r w:rsidRPr="00752906">
        <w:rPr>
          <w:lang w:val="en-GB"/>
        </w:rPr>
        <w:t xml:space="preserve">will be reduced in the same measure as the number of trips needed to transport the same quantity. These values </w:t>
      </w:r>
      <w:proofErr w:type="gramStart"/>
      <w:r w:rsidRPr="00752906">
        <w:rPr>
          <w:lang w:val="en-GB"/>
        </w:rPr>
        <w:t>are shown</w:t>
      </w:r>
      <w:proofErr w:type="gramEnd"/>
      <w:r w:rsidRPr="00752906">
        <w:rPr>
          <w:lang w:val="en-GB"/>
        </w:rPr>
        <w:t xml:space="preserve"> in the table below</w:t>
      </w:r>
      <w:r w:rsidR="00F46263" w:rsidRPr="00752906">
        <w:rPr>
          <w:lang w:val="en-GB"/>
        </w:rPr>
        <w:t xml:space="preserve"> (Table 2)</w:t>
      </w:r>
      <w:r w:rsidRPr="00752906">
        <w:rPr>
          <w:lang w:val="en-GB"/>
        </w:rPr>
        <w:t>.</w:t>
      </w:r>
    </w:p>
    <w:p w14:paraId="46B73957" w14:textId="77777777" w:rsidR="000C4768" w:rsidRPr="00752906" w:rsidRDefault="000C4768" w:rsidP="000C4768">
      <w:pPr>
        <w:jc w:val="both"/>
      </w:pPr>
    </w:p>
    <w:tbl>
      <w:tblPr>
        <w:tblStyle w:val="TableGrid"/>
        <w:tblW w:w="0" w:type="auto"/>
        <w:tblInd w:w="2328" w:type="dxa"/>
        <w:tblLook w:val="04A0" w:firstRow="1" w:lastRow="0" w:firstColumn="1" w:lastColumn="0" w:noHBand="0" w:noVBand="1"/>
      </w:tblPr>
      <w:tblGrid>
        <w:gridCol w:w="1848"/>
        <w:gridCol w:w="2021"/>
      </w:tblGrid>
      <w:tr w:rsidR="000C4768" w:rsidRPr="00752906" w14:paraId="44FBE869" w14:textId="77777777" w:rsidTr="000C4768">
        <w:trPr>
          <w:trHeight w:val="615"/>
        </w:trPr>
        <w:tc>
          <w:tcPr>
            <w:tcW w:w="1848" w:type="dxa"/>
            <w:noWrap/>
            <w:hideMark/>
          </w:tcPr>
          <w:p w14:paraId="7E1F9033" w14:textId="77777777" w:rsidR="000C4768" w:rsidRPr="00752906" w:rsidRDefault="00F46263" w:rsidP="000C4768">
            <w:pPr>
              <w:jc w:val="both"/>
              <w:rPr>
                <w:b/>
              </w:rPr>
            </w:pPr>
            <w:r w:rsidRPr="00752906">
              <w:rPr>
                <w:b/>
                <w:bCs/>
              </w:rPr>
              <w:t>Increase of tons</w:t>
            </w:r>
            <w:r w:rsidR="000C4768" w:rsidRPr="00752906">
              <w:rPr>
                <w:b/>
                <w:bCs/>
              </w:rPr>
              <w:t xml:space="preserve"> per trip</w:t>
            </w:r>
          </w:p>
        </w:tc>
        <w:tc>
          <w:tcPr>
            <w:tcW w:w="2021" w:type="dxa"/>
            <w:hideMark/>
          </w:tcPr>
          <w:p w14:paraId="1BEBED50" w14:textId="77777777" w:rsidR="000C4768" w:rsidRPr="00752906" w:rsidRDefault="000C4768" w:rsidP="000C4768">
            <w:pPr>
              <w:jc w:val="both"/>
              <w:rPr>
                <w:b/>
              </w:rPr>
            </w:pPr>
            <w:r w:rsidRPr="00752906">
              <w:rPr>
                <w:b/>
                <w:bCs/>
              </w:rPr>
              <w:t>% decrease</w:t>
            </w:r>
            <w:r w:rsidRPr="00752906">
              <w:br/>
            </w:r>
            <w:r w:rsidR="00F46263" w:rsidRPr="00752906">
              <w:rPr>
                <w:b/>
                <w:bCs/>
              </w:rPr>
              <w:t xml:space="preserve">number of </w:t>
            </w:r>
            <w:r w:rsidRPr="00752906">
              <w:rPr>
                <w:b/>
                <w:bCs/>
              </w:rPr>
              <w:t>trips</w:t>
            </w:r>
          </w:p>
        </w:tc>
      </w:tr>
      <w:tr w:rsidR="000C4768" w:rsidRPr="00752906" w14:paraId="481B0ED6" w14:textId="77777777" w:rsidTr="000C4768">
        <w:trPr>
          <w:trHeight w:val="300"/>
        </w:trPr>
        <w:tc>
          <w:tcPr>
            <w:tcW w:w="1848" w:type="dxa"/>
            <w:noWrap/>
            <w:hideMark/>
          </w:tcPr>
          <w:p w14:paraId="0F0FCF87" w14:textId="77777777" w:rsidR="000C4768" w:rsidRPr="00752906" w:rsidRDefault="000C4768" w:rsidP="000C4768">
            <w:pPr>
              <w:jc w:val="both"/>
            </w:pPr>
            <w:r w:rsidRPr="00752906">
              <w:t>from 16 to 17</w:t>
            </w:r>
          </w:p>
        </w:tc>
        <w:tc>
          <w:tcPr>
            <w:tcW w:w="2021" w:type="dxa"/>
            <w:noWrap/>
            <w:hideMark/>
          </w:tcPr>
          <w:p w14:paraId="6C99172D" w14:textId="77777777" w:rsidR="000C4768" w:rsidRPr="00752906" w:rsidRDefault="000C4768" w:rsidP="000C4768">
            <w:pPr>
              <w:ind w:left="720"/>
              <w:jc w:val="both"/>
            </w:pPr>
            <w:r w:rsidRPr="00752906">
              <w:t>5.88</w:t>
            </w:r>
          </w:p>
        </w:tc>
      </w:tr>
      <w:tr w:rsidR="000C4768" w:rsidRPr="00752906" w14:paraId="3E41165C" w14:textId="77777777" w:rsidTr="000C4768">
        <w:trPr>
          <w:trHeight w:val="300"/>
        </w:trPr>
        <w:tc>
          <w:tcPr>
            <w:tcW w:w="1848" w:type="dxa"/>
            <w:noWrap/>
            <w:hideMark/>
          </w:tcPr>
          <w:p w14:paraId="5114FA63" w14:textId="77777777" w:rsidR="000C4768" w:rsidRPr="00752906" w:rsidRDefault="000C4768" w:rsidP="000C4768">
            <w:pPr>
              <w:jc w:val="both"/>
            </w:pPr>
            <w:r w:rsidRPr="00752906">
              <w:t>from 16 to 18</w:t>
            </w:r>
          </w:p>
        </w:tc>
        <w:tc>
          <w:tcPr>
            <w:tcW w:w="2021" w:type="dxa"/>
            <w:noWrap/>
            <w:hideMark/>
          </w:tcPr>
          <w:p w14:paraId="2CD68F38" w14:textId="77777777" w:rsidR="000C4768" w:rsidRPr="00752906" w:rsidRDefault="000C4768" w:rsidP="000C4768">
            <w:pPr>
              <w:ind w:left="720"/>
              <w:jc w:val="both"/>
            </w:pPr>
            <w:r w:rsidRPr="00752906">
              <w:t>11.11</w:t>
            </w:r>
          </w:p>
        </w:tc>
      </w:tr>
      <w:tr w:rsidR="000C4768" w:rsidRPr="00752906" w14:paraId="1CE4C0EE" w14:textId="77777777" w:rsidTr="000C4768">
        <w:trPr>
          <w:trHeight w:val="300"/>
        </w:trPr>
        <w:tc>
          <w:tcPr>
            <w:tcW w:w="1848" w:type="dxa"/>
            <w:noWrap/>
            <w:hideMark/>
          </w:tcPr>
          <w:p w14:paraId="6203980B" w14:textId="77777777" w:rsidR="000C4768" w:rsidRPr="00752906" w:rsidRDefault="000C4768" w:rsidP="000C4768">
            <w:pPr>
              <w:jc w:val="both"/>
            </w:pPr>
            <w:r w:rsidRPr="00752906">
              <w:t>from 16 to 19</w:t>
            </w:r>
          </w:p>
        </w:tc>
        <w:tc>
          <w:tcPr>
            <w:tcW w:w="2021" w:type="dxa"/>
            <w:noWrap/>
            <w:hideMark/>
          </w:tcPr>
          <w:p w14:paraId="3EECC8EB" w14:textId="77777777" w:rsidR="000C4768" w:rsidRPr="00752906" w:rsidRDefault="000C4768" w:rsidP="000C4768">
            <w:pPr>
              <w:ind w:left="720"/>
              <w:jc w:val="both"/>
            </w:pPr>
            <w:r w:rsidRPr="00752906">
              <w:t>15.79</w:t>
            </w:r>
          </w:p>
        </w:tc>
      </w:tr>
      <w:tr w:rsidR="000C4768" w:rsidRPr="00752906" w14:paraId="1A8D4E8B" w14:textId="77777777" w:rsidTr="000C4768">
        <w:trPr>
          <w:trHeight w:val="300"/>
        </w:trPr>
        <w:tc>
          <w:tcPr>
            <w:tcW w:w="1848" w:type="dxa"/>
            <w:noWrap/>
            <w:hideMark/>
          </w:tcPr>
          <w:p w14:paraId="0ECA30F9" w14:textId="77777777" w:rsidR="000C4768" w:rsidRPr="00752906" w:rsidRDefault="000C4768" w:rsidP="000C4768">
            <w:pPr>
              <w:jc w:val="both"/>
            </w:pPr>
            <w:r w:rsidRPr="00752906">
              <w:t>from 16 to 20</w:t>
            </w:r>
          </w:p>
        </w:tc>
        <w:tc>
          <w:tcPr>
            <w:tcW w:w="2021" w:type="dxa"/>
            <w:noWrap/>
            <w:hideMark/>
          </w:tcPr>
          <w:p w14:paraId="7DC57102" w14:textId="77777777" w:rsidR="000C4768" w:rsidRPr="00752906" w:rsidRDefault="000C4768" w:rsidP="000C4768">
            <w:pPr>
              <w:ind w:left="720"/>
              <w:jc w:val="both"/>
            </w:pPr>
            <w:r w:rsidRPr="00752906">
              <w:t>20.00</w:t>
            </w:r>
          </w:p>
        </w:tc>
      </w:tr>
      <w:tr w:rsidR="000C4768" w:rsidRPr="00752906" w14:paraId="0952B853" w14:textId="77777777" w:rsidTr="000C4768">
        <w:trPr>
          <w:trHeight w:val="300"/>
        </w:trPr>
        <w:tc>
          <w:tcPr>
            <w:tcW w:w="1848" w:type="dxa"/>
            <w:noWrap/>
            <w:hideMark/>
          </w:tcPr>
          <w:p w14:paraId="3A0AE4DE" w14:textId="77777777" w:rsidR="000C4768" w:rsidRPr="00752906" w:rsidRDefault="000C4768" w:rsidP="000C4768">
            <w:pPr>
              <w:jc w:val="both"/>
            </w:pPr>
            <w:r w:rsidRPr="00752906">
              <w:t>from 16 to 21</w:t>
            </w:r>
          </w:p>
        </w:tc>
        <w:tc>
          <w:tcPr>
            <w:tcW w:w="2021" w:type="dxa"/>
            <w:noWrap/>
            <w:hideMark/>
          </w:tcPr>
          <w:p w14:paraId="4EFADF3B" w14:textId="77777777" w:rsidR="000C4768" w:rsidRPr="00752906" w:rsidRDefault="000C4768" w:rsidP="000C4768">
            <w:pPr>
              <w:ind w:left="720"/>
              <w:jc w:val="both"/>
            </w:pPr>
            <w:r w:rsidRPr="00752906">
              <w:t>23.81</w:t>
            </w:r>
          </w:p>
        </w:tc>
      </w:tr>
      <w:tr w:rsidR="000C4768" w:rsidRPr="00752906" w14:paraId="316C5BEB" w14:textId="77777777" w:rsidTr="000C4768">
        <w:trPr>
          <w:trHeight w:val="300"/>
        </w:trPr>
        <w:tc>
          <w:tcPr>
            <w:tcW w:w="1848" w:type="dxa"/>
            <w:noWrap/>
            <w:hideMark/>
          </w:tcPr>
          <w:p w14:paraId="4575EC1E" w14:textId="77777777" w:rsidR="000C4768" w:rsidRPr="00752906" w:rsidRDefault="000C4768" w:rsidP="000C4768">
            <w:pPr>
              <w:jc w:val="both"/>
            </w:pPr>
            <w:r w:rsidRPr="00752906">
              <w:t>from 16 to 22</w:t>
            </w:r>
          </w:p>
        </w:tc>
        <w:tc>
          <w:tcPr>
            <w:tcW w:w="2021" w:type="dxa"/>
            <w:noWrap/>
            <w:hideMark/>
          </w:tcPr>
          <w:p w14:paraId="57F01BEE" w14:textId="77777777" w:rsidR="000C4768" w:rsidRPr="00752906" w:rsidRDefault="000C4768" w:rsidP="000C4768">
            <w:pPr>
              <w:ind w:left="720"/>
              <w:jc w:val="both"/>
            </w:pPr>
            <w:r w:rsidRPr="00752906">
              <w:t>27.27</w:t>
            </w:r>
          </w:p>
        </w:tc>
      </w:tr>
      <w:tr w:rsidR="000C4768" w:rsidRPr="00752906" w14:paraId="2E1E0B6C" w14:textId="77777777" w:rsidTr="000C4768">
        <w:trPr>
          <w:trHeight w:val="300"/>
        </w:trPr>
        <w:tc>
          <w:tcPr>
            <w:tcW w:w="1848" w:type="dxa"/>
            <w:noWrap/>
            <w:hideMark/>
          </w:tcPr>
          <w:p w14:paraId="250F13C6" w14:textId="77777777" w:rsidR="000C4768" w:rsidRPr="00752906" w:rsidRDefault="000C4768" w:rsidP="000C4768">
            <w:pPr>
              <w:jc w:val="both"/>
            </w:pPr>
            <w:r w:rsidRPr="00752906">
              <w:t>from 16 to 23</w:t>
            </w:r>
          </w:p>
        </w:tc>
        <w:tc>
          <w:tcPr>
            <w:tcW w:w="2021" w:type="dxa"/>
            <w:noWrap/>
            <w:hideMark/>
          </w:tcPr>
          <w:p w14:paraId="4E765EC2" w14:textId="77777777" w:rsidR="000C4768" w:rsidRPr="00752906" w:rsidRDefault="000C4768" w:rsidP="000C4768">
            <w:pPr>
              <w:ind w:left="720"/>
              <w:jc w:val="both"/>
            </w:pPr>
            <w:r w:rsidRPr="00752906">
              <w:t>30.43</w:t>
            </w:r>
          </w:p>
        </w:tc>
      </w:tr>
      <w:tr w:rsidR="000C4768" w:rsidRPr="00752906" w14:paraId="70690C86" w14:textId="77777777" w:rsidTr="000C4768">
        <w:trPr>
          <w:trHeight w:val="300"/>
        </w:trPr>
        <w:tc>
          <w:tcPr>
            <w:tcW w:w="1848" w:type="dxa"/>
            <w:noWrap/>
            <w:hideMark/>
          </w:tcPr>
          <w:p w14:paraId="51A90AFF" w14:textId="77777777" w:rsidR="000C4768" w:rsidRPr="00752906" w:rsidRDefault="000C4768" w:rsidP="000C4768">
            <w:pPr>
              <w:jc w:val="both"/>
            </w:pPr>
            <w:r w:rsidRPr="00752906">
              <w:t>from 16 to 24</w:t>
            </w:r>
          </w:p>
        </w:tc>
        <w:tc>
          <w:tcPr>
            <w:tcW w:w="2021" w:type="dxa"/>
            <w:noWrap/>
            <w:hideMark/>
          </w:tcPr>
          <w:p w14:paraId="5D17AD87" w14:textId="77777777" w:rsidR="000C4768" w:rsidRPr="00752906" w:rsidRDefault="000C4768" w:rsidP="000C4768">
            <w:pPr>
              <w:ind w:left="720"/>
              <w:jc w:val="both"/>
            </w:pPr>
            <w:r w:rsidRPr="00752906">
              <w:t>33.33</w:t>
            </w:r>
          </w:p>
        </w:tc>
      </w:tr>
      <w:tr w:rsidR="000C4768" w:rsidRPr="00752906" w14:paraId="704773D0" w14:textId="77777777" w:rsidTr="000C4768">
        <w:trPr>
          <w:trHeight w:val="300"/>
        </w:trPr>
        <w:tc>
          <w:tcPr>
            <w:tcW w:w="1848" w:type="dxa"/>
            <w:noWrap/>
            <w:hideMark/>
          </w:tcPr>
          <w:p w14:paraId="091273E2" w14:textId="77777777" w:rsidR="000C4768" w:rsidRPr="00752906" w:rsidRDefault="000C4768" w:rsidP="000C4768">
            <w:pPr>
              <w:jc w:val="both"/>
            </w:pPr>
            <w:r w:rsidRPr="00752906">
              <w:t>from 16 to 25</w:t>
            </w:r>
          </w:p>
        </w:tc>
        <w:tc>
          <w:tcPr>
            <w:tcW w:w="2021" w:type="dxa"/>
            <w:noWrap/>
            <w:hideMark/>
          </w:tcPr>
          <w:p w14:paraId="23F45AAD" w14:textId="77777777" w:rsidR="000C4768" w:rsidRPr="00752906" w:rsidRDefault="000C4768" w:rsidP="000C4768">
            <w:pPr>
              <w:ind w:left="720"/>
              <w:jc w:val="both"/>
            </w:pPr>
            <w:r w:rsidRPr="00752906">
              <w:t>36.00</w:t>
            </w:r>
          </w:p>
        </w:tc>
      </w:tr>
    </w:tbl>
    <w:p w14:paraId="0032F205" w14:textId="77777777" w:rsidR="00F46263" w:rsidRPr="00752906" w:rsidRDefault="00F46263" w:rsidP="001650E6">
      <w:pPr>
        <w:pStyle w:val="SingleTxtG"/>
        <w:spacing w:before="120"/>
        <w:jc w:val="center"/>
        <w:rPr>
          <w:lang w:val="en-GB"/>
        </w:rPr>
      </w:pPr>
      <w:r w:rsidRPr="00C63A1C">
        <w:rPr>
          <w:lang w:val="en-GB"/>
        </w:rPr>
        <w:t>Table 2</w:t>
      </w:r>
      <w:r w:rsidR="00D24DA9">
        <w:rPr>
          <w:lang w:val="en-GB"/>
        </w:rPr>
        <w:t xml:space="preserve">. </w:t>
      </w:r>
      <w:r w:rsidRPr="00752906">
        <w:rPr>
          <w:lang w:val="en-GB"/>
        </w:rPr>
        <w:t>Decrease of probability of occurrence of an ac</w:t>
      </w:r>
      <w:r w:rsidR="00D24DA9">
        <w:rPr>
          <w:lang w:val="en-GB"/>
        </w:rPr>
        <w:t xml:space="preserve">cident (directly related to the </w:t>
      </w:r>
      <w:r w:rsidRPr="00752906">
        <w:rPr>
          <w:lang w:val="en-GB"/>
        </w:rPr>
        <w:t>decrease of number of trips) with increase of the transported t</w:t>
      </w:r>
      <w:r w:rsidR="00C63A1C">
        <w:rPr>
          <w:lang w:val="en-GB"/>
        </w:rPr>
        <w:t xml:space="preserve"> of explosives</w:t>
      </w:r>
    </w:p>
    <w:p w14:paraId="3D7B5C3E" w14:textId="50461279" w:rsidR="001650E6" w:rsidRDefault="001650E6">
      <w:pPr>
        <w:suppressAutoHyphens w:val="0"/>
        <w:spacing w:line="240" w:lineRule="auto"/>
        <w:rPr>
          <w:u w:val="single"/>
        </w:rPr>
      </w:pPr>
      <w:r>
        <w:rPr>
          <w:u w:val="single"/>
        </w:rPr>
        <w:br w:type="page"/>
      </w:r>
    </w:p>
    <w:p w14:paraId="27452A66" w14:textId="77777777" w:rsidR="00703692" w:rsidRPr="00752906" w:rsidRDefault="00703692" w:rsidP="000C4768">
      <w:pPr>
        <w:pStyle w:val="SingleTxtG"/>
        <w:rPr>
          <w:u w:val="single"/>
          <w:lang w:val="en-GB"/>
        </w:rPr>
      </w:pPr>
      <w:r w:rsidRPr="00752906">
        <w:rPr>
          <w:u w:val="single"/>
          <w:lang w:val="en-GB"/>
        </w:rPr>
        <w:t>Influence of explosion</w:t>
      </w:r>
    </w:p>
    <w:p w14:paraId="237849C6" w14:textId="77777777" w:rsidR="000C4768" w:rsidRPr="0031709F" w:rsidRDefault="000C4768" w:rsidP="000C4768">
      <w:pPr>
        <w:pStyle w:val="SingleTxtG"/>
        <w:rPr>
          <w:lang w:val="en-GB"/>
        </w:rPr>
      </w:pPr>
      <w:r w:rsidRPr="00752906">
        <w:rPr>
          <w:lang w:val="en-GB"/>
        </w:rPr>
        <w:t>With the values specified in tables 1 and 2 above, and by applying the formula for the calculation of distances</w:t>
      </w:r>
      <w:r w:rsidR="00E31ED4">
        <w:rPr>
          <w:lang w:val="en-GB"/>
        </w:rPr>
        <w:t xml:space="preserve"> influences by </w:t>
      </w:r>
      <w:proofErr w:type="spellStart"/>
      <w:proofErr w:type="gramStart"/>
      <w:r w:rsidR="00E31ED4">
        <w:rPr>
          <w:lang w:val="en-GB"/>
        </w:rPr>
        <w:t>a</w:t>
      </w:r>
      <w:proofErr w:type="spellEnd"/>
      <w:proofErr w:type="gramEnd"/>
      <w:r w:rsidR="00F46263" w:rsidRPr="00752906">
        <w:rPr>
          <w:lang w:val="en-GB"/>
        </w:rPr>
        <w:t xml:space="preserve"> explosion</w:t>
      </w:r>
      <w:r w:rsidRPr="00752906">
        <w:rPr>
          <w:lang w:val="en-GB"/>
        </w:rPr>
        <w:t xml:space="preserve"> (D = K * Q 1/3), the </w:t>
      </w:r>
      <w:r w:rsidRPr="0031709F">
        <w:rPr>
          <w:lang w:val="en-GB"/>
        </w:rPr>
        <w:t xml:space="preserve">following </w:t>
      </w:r>
      <w:r w:rsidR="00E31ED4" w:rsidRPr="0031709F">
        <w:rPr>
          <w:lang w:val="en-GB"/>
        </w:rPr>
        <w:t>figures</w:t>
      </w:r>
      <w:r w:rsidRPr="0031709F">
        <w:rPr>
          <w:lang w:val="en-GB"/>
        </w:rPr>
        <w:t xml:space="preserve"> </w:t>
      </w:r>
      <w:r w:rsidR="00E31ED4" w:rsidRPr="0031709F">
        <w:rPr>
          <w:lang w:val="en-GB"/>
        </w:rPr>
        <w:t>are obtained.</w:t>
      </w:r>
    </w:p>
    <w:tbl>
      <w:tblPr>
        <w:tblStyle w:val="TableGrid"/>
        <w:tblW w:w="8364" w:type="dxa"/>
        <w:tblInd w:w="675" w:type="dxa"/>
        <w:tblLook w:val="04A0" w:firstRow="1" w:lastRow="0" w:firstColumn="1" w:lastColumn="0" w:noHBand="0" w:noVBand="1"/>
      </w:tblPr>
      <w:tblGrid>
        <w:gridCol w:w="992"/>
        <w:gridCol w:w="1418"/>
        <w:gridCol w:w="1134"/>
        <w:gridCol w:w="1276"/>
        <w:gridCol w:w="1276"/>
        <w:gridCol w:w="992"/>
        <w:gridCol w:w="1276"/>
      </w:tblGrid>
      <w:tr w:rsidR="000C4768" w:rsidRPr="00752906" w14:paraId="51F1E65F" w14:textId="77777777" w:rsidTr="000C4768">
        <w:trPr>
          <w:trHeight w:val="915"/>
        </w:trPr>
        <w:tc>
          <w:tcPr>
            <w:tcW w:w="992" w:type="dxa"/>
            <w:noWrap/>
            <w:hideMark/>
          </w:tcPr>
          <w:p w14:paraId="58B2E5AE" w14:textId="53112AAC" w:rsidR="000C4768" w:rsidRPr="00752906" w:rsidRDefault="00C63A1C" w:rsidP="00C63A1C">
            <w:pPr>
              <w:jc w:val="center"/>
              <w:rPr>
                <w:b/>
                <w:sz w:val="16"/>
                <w:szCs w:val="16"/>
              </w:rPr>
            </w:pPr>
            <w:r>
              <w:rPr>
                <w:b/>
                <w:bCs/>
                <w:sz w:val="16"/>
                <w:szCs w:val="16"/>
              </w:rPr>
              <w:t>Increase of explosives per transport unit</w:t>
            </w:r>
          </w:p>
        </w:tc>
        <w:tc>
          <w:tcPr>
            <w:tcW w:w="1418" w:type="dxa"/>
            <w:hideMark/>
          </w:tcPr>
          <w:p w14:paraId="62221941" w14:textId="77777777" w:rsidR="000C4768" w:rsidRPr="00752906" w:rsidRDefault="000C4768" w:rsidP="000C4768">
            <w:pPr>
              <w:jc w:val="center"/>
              <w:rPr>
                <w:b/>
                <w:sz w:val="16"/>
                <w:szCs w:val="16"/>
              </w:rPr>
            </w:pPr>
            <w:r w:rsidRPr="00752906">
              <w:rPr>
                <w:b/>
                <w:bCs/>
                <w:sz w:val="16"/>
                <w:szCs w:val="16"/>
              </w:rPr>
              <w:t xml:space="preserve">Radius </w:t>
            </w:r>
            <w:r w:rsidR="00E31ED4">
              <w:rPr>
                <w:b/>
                <w:bCs/>
                <w:sz w:val="16"/>
                <w:szCs w:val="16"/>
              </w:rPr>
              <w:t xml:space="preserve">of </w:t>
            </w:r>
            <w:r w:rsidRPr="00752906">
              <w:rPr>
                <w:b/>
                <w:bCs/>
                <w:sz w:val="16"/>
                <w:szCs w:val="16"/>
              </w:rPr>
              <w:t>lethal area</w:t>
            </w:r>
            <w:r w:rsidRPr="00752906">
              <w:rPr>
                <w:sz w:val="16"/>
                <w:szCs w:val="16"/>
              </w:rPr>
              <w:br/>
            </w:r>
            <w:r w:rsidRPr="00752906">
              <w:rPr>
                <w:b/>
                <w:bCs/>
                <w:sz w:val="16"/>
                <w:szCs w:val="16"/>
              </w:rPr>
              <w:t>for 16 t</w:t>
            </w:r>
          </w:p>
          <w:p w14:paraId="512FB2AC" w14:textId="77777777" w:rsidR="000C4768" w:rsidRPr="00752906" w:rsidRDefault="000C4768" w:rsidP="000C4768">
            <w:pPr>
              <w:jc w:val="center"/>
              <w:rPr>
                <w:b/>
                <w:sz w:val="16"/>
                <w:szCs w:val="16"/>
              </w:rPr>
            </w:pPr>
            <w:r w:rsidRPr="00752906">
              <w:rPr>
                <w:b/>
                <w:bCs/>
                <w:sz w:val="16"/>
                <w:szCs w:val="16"/>
              </w:rPr>
              <w:t>(m)</w:t>
            </w:r>
          </w:p>
        </w:tc>
        <w:tc>
          <w:tcPr>
            <w:tcW w:w="1134" w:type="dxa"/>
            <w:hideMark/>
          </w:tcPr>
          <w:p w14:paraId="2DE64514" w14:textId="77777777" w:rsidR="000C4768" w:rsidRPr="00752906" w:rsidRDefault="000C4768" w:rsidP="000C4768">
            <w:pPr>
              <w:jc w:val="center"/>
              <w:rPr>
                <w:b/>
                <w:sz w:val="16"/>
                <w:szCs w:val="16"/>
              </w:rPr>
            </w:pPr>
            <w:r w:rsidRPr="00752906">
              <w:rPr>
                <w:b/>
                <w:bCs/>
                <w:sz w:val="16"/>
                <w:szCs w:val="16"/>
              </w:rPr>
              <w:t xml:space="preserve">Radius </w:t>
            </w:r>
            <w:r w:rsidR="00E31ED4">
              <w:rPr>
                <w:b/>
                <w:bCs/>
                <w:sz w:val="16"/>
                <w:szCs w:val="16"/>
              </w:rPr>
              <w:t xml:space="preserve">of </w:t>
            </w:r>
            <w:r w:rsidRPr="00752906">
              <w:rPr>
                <w:b/>
                <w:bCs/>
                <w:sz w:val="16"/>
                <w:szCs w:val="16"/>
              </w:rPr>
              <w:t xml:space="preserve">lethal area </w:t>
            </w:r>
            <w:r w:rsidRPr="00752906">
              <w:rPr>
                <w:sz w:val="16"/>
                <w:szCs w:val="16"/>
              </w:rPr>
              <w:br/>
            </w:r>
            <w:r w:rsidRPr="00752906">
              <w:rPr>
                <w:b/>
                <w:bCs/>
                <w:sz w:val="16"/>
                <w:szCs w:val="16"/>
              </w:rPr>
              <w:t>for the increase</w:t>
            </w:r>
          </w:p>
          <w:p w14:paraId="75F4ECE0" w14:textId="77777777" w:rsidR="000C4768" w:rsidRPr="00752906" w:rsidRDefault="000C4768" w:rsidP="000C4768">
            <w:pPr>
              <w:jc w:val="center"/>
              <w:rPr>
                <w:b/>
                <w:sz w:val="16"/>
                <w:szCs w:val="16"/>
              </w:rPr>
            </w:pPr>
            <w:r w:rsidRPr="00752906">
              <w:rPr>
                <w:b/>
                <w:bCs/>
                <w:sz w:val="16"/>
                <w:szCs w:val="16"/>
              </w:rPr>
              <w:t>(m)</w:t>
            </w:r>
          </w:p>
        </w:tc>
        <w:tc>
          <w:tcPr>
            <w:tcW w:w="1276" w:type="dxa"/>
            <w:hideMark/>
          </w:tcPr>
          <w:p w14:paraId="50303AB2" w14:textId="77777777" w:rsidR="000C4768" w:rsidRPr="00E31ED4" w:rsidRDefault="00E31ED4" w:rsidP="00E31ED4">
            <w:pPr>
              <w:jc w:val="center"/>
              <w:rPr>
                <w:b/>
                <w:bCs/>
                <w:sz w:val="16"/>
                <w:szCs w:val="16"/>
              </w:rPr>
            </w:pPr>
            <w:r>
              <w:rPr>
                <w:b/>
                <w:bCs/>
                <w:sz w:val="16"/>
                <w:szCs w:val="16"/>
              </w:rPr>
              <w:t>Lethal area</w:t>
            </w:r>
            <w:r w:rsidR="000C4768" w:rsidRPr="00752906">
              <w:rPr>
                <w:sz w:val="16"/>
                <w:szCs w:val="16"/>
              </w:rPr>
              <w:br/>
            </w:r>
            <w:r w:rsidR="000C4768" w:rsidRPr="00752906">
              <w:rPr>
                <w:b/>
                <w:bCs/>
                <w:sz w:val="16"/>
                <w:szCs w:val="16"/>
              </w:rPr>
              <w:t>for 16 t</w:t>
            </w:r>
          </w:p>
          <w:p w14:paraId="6548991A" w14:textId="77777777" w:rsidR="000C4768" w:rsidRPr="00752906" w:rsidRDefault="000C4768" w:rsidP="000C4768">
            <w:pPr>
              <w:jc w:val="center"/>
              <w:rPr>
                <w:b/>
                <w:sz w:val="16"/>
                <w:szCs w:val="16"/>
              </w:rPr>
            </w:pPr>
          </w:p>
          <w:p w14:paraId="2D265D81" w14:textId="77777777" w:rsidR="000C4768" w:rsidRPr="00752906" w:rsidRDefault="000C4768" w:rsidP="000C4768">
            <w:pPr>
              <w:jc w:val="center"/>
              <w:rPr>
                <w:b/>
                <w:sz w:val="16"/>
                <w:szCs w:val="16"/>
              </w:rPr>
            </w:pPr>
            <w:r w:rsidRPr="00752906">
              <w:rPr>
                <w:b/>
                <w:bCs/>
                <w:sz w:val="16"/>
                <w:szCs w:val="16"/>
              </w:rPr>
              <w:t>(m2)</w:t>
            </w:r>
          </w:p>
        </w:tc>
        <w:tc>
          <w:tcPr>
            <w:tcW w:w="1276" w:type="dxa"/>
            <w:hideMark/>
          </w:tcPr>
          <w:p w14:paraId="33DDD649" w14:textId="77777777" w:rsidR="000C4768" w:rsidRPr="00752906" w:rsidRDefault="00E31ED4" w:rsidP="000C4768">
            <w:pPr>
              <w:jc w:val="center"/>
              <w:rPr>
                <w:b/>
                <w:sz w:val="16"/>
                <w:szCs w:val="16"/>
              </w:rPr>
            </w:pPr>
            <w:r>
              <w:rPr>
                <w:b/>
                <w:bCs/>
                <w:sz w:val="16"/>
                <w:szCs w:val="16"/>
              </w:rPr>
              <w:t xml:space="preserve">Lethal area </w:t>
            </w:r>
            <w:r w:rsidR="000C4768" w:rsidRPr="00752906">
              <w:rPr>
                <w:b/>
                <w:bCs/>
                <w:sz w:val="16"/>
                <w:szCs w:val="16"/>
              </w:rPr>
              <w:t>for the</w:t>
            </w:r>
            <w:r w:rsidR="000C4768" w:rsidRPr="00752906">
              <w:rPr>
                <w:sz w:val="16"/>
                <w:szCs w:val="16"/>
              </w:rPr>
              <w:br/>
            </w:r>
            <w:r w:rsidR="000C4768" w:rsidRPr="00752906">
              <w:rPr>
                <w:b/>
                <w:bCs/>
                <w:sz w:val="16"/>
                <w:szCs w:val="16"/>
              </w:rPr>
              <w:t>increase</w:t>
            </w:r>
          </w:p>
          <w:p w14:paraId="60727FBD" w14:textId="77777777" w:rsidR="000C4768" w:rsidRPr="00752906" w:rsidRDefault="000C4768" w:rsidP="000C4768">
            <w:pPr>
              <w:jc w:val="center"/>
              <w:rPr>
                <w:b/>
                <w:sz w:val="16"/>
                <w:szCs w:val="16"/>
              </w:rPr>
            </w:pPr>
            <w:r w:rsidRPr="00752906">
              <w:rPr>
                <w:b/>
                <w:bCs/>
                <w:sz w:val="16"/>
                <w:szCs w:val="16"/>
              </w:rPr>
              <w:t>(m2)</w:t>
            </w:r>
          </w:p>
        </w:tc>
        <w:tc>
          <w:tcPr>
            <w:tcW w:w="992" w:type="dxa"/>
            <w:hideMark/>
          </w:tcPr>
          <w:p w14:paraId="239B71F8" w14:textId="77777777" w:rsidR="000C4768" w:rsidRPr="00752906" w:rsidRDefault="000C4768" w:rsidP="000C4768">
            <w:pPr>
              <w:jc w:val="center"/>
              <w:rPr>
                <w:b/>
                <w:sz w:val="16"/>
                <w:szCs w:val="16"/>
              </w:rPr>
            </w:pPr>
            <w:r w:rsidRPr="00752906">
              <w:rPr>
                <w:b/>
                <w:bCs/>
                <w:sz w:val="16"/>
                <w:szCs w:val="16"/>
              </w:rPr>
              <w:t xml:space="preserve">Corrected </w:t>
            </w:r>
            <w:r w:rsidR="00E31ED4">
              <w:rPr>
                <w:b/>
                <w:bCs/>
                <w:sz w:val="16"/>
                <w:szCs w:val="16"/>
              </w:rPr>
              <w:t>area</w:t>
            </w:r>
          </w:p>
          <w:p w14:paraId="1D6FF7AF" w14:textId="77777777" w:rsidR="000C4768" w:rsidRPr="00752906" w:rsidRDefault="000C4768" w:rsidP="000C4768">
            <w:pPr>
              <w:jc w:val="center"/>
              <w:rPr>
                <w:b/>
                <w:sz w:val="16"/>
                <w:szCs w:val="16"/>
              </w:rPr>
            </w:pPr>
            <w:r w:rsidRPr="00752906">
              <w:rPr>
                <w:b/>
                <w:bCs/>
                <w:sz w:val="16"/>
                <w:szCs w:val="16"/>
              </w:rPr>
              <w:t>for the increase</w:t>
            </w:r>
          </w:p>
        </w:tc>
        <w:tc>
          <w:tcPr>
            <w:tcW w:w="1276" w:type="dxa"/>
          </w:tcPr>
          <w:p w14:paraId="6B7DBE14" w14:textId="77777777" w:rsidR="000C4768" w:rsidRPr="00752906" w:rsidRDefault="00E31ED4" w:rsidP="000C4768">
            <w:pPr>
              <w:jc w:val="center"/>
              <w:rPr>
                <w:b/>
                <w:sz w:val="16"/>
                <w:szCs w:val="16"/>
              </w:rPr>
            </w:pPr>
            <w:r>
              <w:rPr>
                <w:b/>
                <w:bCs/>
                <w:sz w:val="16"/>
                <w:szCs w:val="16"/>
              </w:rPr>
              <w:t>% decrease of lethal area</w:t>
            </w:r>
          </w:p>
        </w:tc>
      </w:tr>
      <w:tr w:rsidR="000C4768" w:rsidRPr="00752906" w14:paraId="10811D0C" w14:textId="77777777" w:rsidTr="000C4768">
        <w:trPr>
          <w:trHeight w:val="300"/>
        </w:trPr>
        <w:tc>
          <w:tcPr>
            <w:tcW w:w="992" w:type="dxa"/>
            <w:noWrap/>
            <w:hideMark/>
          </w:tcPr>
          <w:p w14:paraId="481FB3F0" w14:textId="77777777" w:rsidR="000C4768" w:rsidRPr="00752906" w:rsidRDefault="000C4768" w:rsidP="000C4768">
            <w:pPr>
              <w:jc w:val="center"/>
            </w:pPr>
            <w:r w:rsidRPr="00752906">
              <w:t>16 to 17</w:t>
            </w:r>
          </w:p>
        </w:tc>
        <w:tc>
          <w:tcPr>
            <w:tcW w:w="1418" w:type="dxa"/>
            <w:noWrap/>
            <w:hideMark/>
          </w:tcPr>
          <w:p w14:paraId="0346C779" w14:textId="77777777" w:rsidR="000C4768" w:rsidRPr="00752906" w:rsidRDefault="000C4768" w:rsidP="000C4768">
            <w:pPr>
              <w:jc w:val="center"/>
            </w:pPr>
            <w:r w:rsidRPr="00752906">
              <w:t>146</w:t>
            </w:r>
          </w:p>
        </w:tc>
        <w:tc>
          <w:tcPr>
            <w:tcW w:w="1134" w:type="dxa"/>
            <w:noWrap/>
            <w:hideMark/>
          </w:tcPr>
          <w:p w14:paraId="4D5F12CC" w14:textId="77777777" w:rsidR="000C4768" w:rsidRPr="00752906" w:rsidRDefault="000C4768" w:rsidP="000C4768">
            <w:pPr>
              <w:jc w:val="center"/>
            </w:pPr>
            <w:r w:rsidRPr="00752906">
              <w:t>150</w:t>
            </w:r>
          </w:p>
        </w:tc>
        <w:tc>
          <w:tcPr>
            <w:tcW w:w="1276" w:type="dxa"/>
            <w:noWrap/>
            <w:hideMark/>
          </w:tcPr>
          <w:p w14:paraId="5360EB89" w14:textId="77777777" w:rsidR="000C4768" w:rsidRPr="00752906" w:rsidRDefault="000C4768" w:rsidP="000C4768">
            <w:pPr>
              <w:jc w:val="center"/>
            </w:pPr>
            <w:r w:rsidRPr="00752906">
              <w:t>66972</w:t>
            </w:r>
          </w:p>
        </w:tc>
        <w:tc>
          <w:tcPr>
            <w:tcW w:w="1276" w:type="dxa"/>
            <w:noWrap/>
            <w:hideMark/>
          </w:tcPr>
          <w:p w14:paraId="4838C5EE" w14:textId="77777777" w:rsidR="000C4768" w:rsidRPr="00752906" w:rsidRDefault="000C4768" w:rsidP="000C4768">
            <w:pPr>
              <w:jc w:val="center"/>
            </w:pPr>
            <w:r w:rsidRPr="00752906">
              <w:t>70345</w:t>
            </w:r>
          </w:p>
        </w:tc>
        <w:tc>
          <w:tcPr>
            <w:tcW w:w="992" w:type="dxa"/>
            <w:noWrap/>
            <w:hideMark/>
          </w:tcPr>
          <w:p w14:paraId="450E0929" w14:textId="77777777" w:rsidR="000C4768" w:rsidRPr="00752906" w:rsidRDefault="000C4768" w:rsidP="000C4768">
            <w:pPr>
              <w:jc w:val="center"/>
            </w:pPr>
            <w:r w:rsidRPr="00752906">
              <w:t>66207</w:t>
            </w:r>
          </w:p>
        </w:tc>
        <w:tc>
          <w:tcPr>
            <w:tcW w:w="1276" w:type="dxa"/>
            <w:vAlign w:val="bottom"/>
          </w:tcPr>
          <w:p w14:paraId="46825198" w14:textId="77777777" w:rsidR="000C4768" w:rsidRPr="00752906" w:rsidRDefault="000C4768" w:rsidP="000C4768">
            <w:pPr>
              <w:jc w:val="center"/>
              <w:rPr>
                <w:rFonts w:ascii="Calibri" w:hAnsi="Calibri"/>
              </w:rPr>
            </w:pPr>
            <w:r w:rsidRPr="00752906">
              <w:rPr>
                <w:rFonts w:ascii="Calibri" w:hAnsi="Calibri"/>
              </w:rPr>
              <w:t>1.14</w:t>
            </w:r>
          </w:p>
        </w:tc>
      </w:tr>
      <w:tr w:rsidR="000C4768" w:rsidRPr="00752906" w14:paraId="645FF9AC" w14:textId="77777777" w:rsidTr="000C4768">
        <w:trPr>
          <w:trHeight w:val="300"/>
        </w:trPr>
        <w:tc>
          <w:tcPr>
            <w:tcW w:w="992" w:type="dxa"/>
            <w:noWrap/>
            <w:hideMark/>
          </w:tcPr>
          <w:p w14:paraId="44440D42" w14:textId="77777777" w:rsidR="000C4768" w:rsidRPr="00752906" w:rsidRDefault="000C4768" w:rsidP="000C4768">
            <w:pPr>
              <w:jc w:val="center"/>
            </w:pPr>
            <w:r w:rsidRPr="00752906">
              <w:t>16 to 18</w:t>
            </w:r>
          </w:p>
        </w:tc>
        <w:tc>
          <w:tcPr>
            <w:tcW w:w="1418" w:type="dxa"/>
            <w:noWrap/>
            <w:hideMark/>
          </w:tcPr>
          <w:p w14:paraId="01BD63CA" w14:textId="77777777" w:rsidR="000C4768" w:rsidRPr="00752906" w:rsidRDefault="000C4768" w:rsidP="000C4768">
            <w:pPr>
              <w:jc w:val="center"/>
            </w:pPr>
            <w:r w:rsidRPr="00752906">
              <w:t>146</w:t>
            </w:r>
          </w:p>
        </w:tc>
        <w:tc>
          <w:tcPr>
            <w:tcW w:w="1134" w:type="dxa"/>
            <w:noWrap/>
            <w:hideMark/>
          </w:tcPr>
          <w:p w14:paraId="59A9E272" w14:textId="77777777" w:rsidR="000C4768" w:rsidRPr="00752906" w:rsidRDefault="000C4768" w:rsidP="000C4768">
            <w:pPr>
              <w:jc w:val="center"/>
            </w:pPr>
            <w:r w:rsidRPr="00752906">
              <w:t>153</w:t>
            </w:r>
          </w:p>
        </w:tc>
        <w:tc>
          <w:tcPr>
            <w:tcW w:w="1276" w:type="dxa"/>
            <w:noWrap/>
            <w:hideMark/>
          </w:tcPr>
          <w:p w14:paraId="656113BE" w14:textId="77777777" w:rsidR="000C4768" w:rsidRPr="00752906" w:rsidRDefault="000C4768" w:rsidP="000C4768">
            <w:pPr>
              <w:jc w:val="center"/>
            </w:pPr>
            <w:r w:rsidRPr="00752906">
              <w:t>66972</w:t>
            </w:r>
          </w:p>
        </w:tc>
        <w:tc>
          <w:tcPr>
            <w:tcW w:w="1276" w:type="dxa"/>
            <w:noWrap/>
            <w:hideMark/>
          </w:tcPr>
          <w:p w14:paraId="583F592E" w14:textId="77777777" w:rsidR="000C4768" w:rsidRPr="00752906" w:rsidRDefault="000C4768" w:rsidP="000C4768">
            <w:pPr>
              <w:jc w:val="center"/>
            </w:pPr>
            <w:r w:rsidRPr="00752906">
              <w:t>73714</w:t>
            </w:r>
          </w:p>
        </w:tc>
        <w:tc>
          <w:tcPr>
            <w:tcW w:w="992" w:type="dxa"/>
            <w:noWrap/>
            <w:hideMark/>
          </w:tcPr>
          <w:p w14:paraId="114D2EE7" w14:textId="77777777" w:rsidR="000C4768" w:rsidRPr="00752906" w:rsidRDefault="000C4768" w:rsidP="000C4768">
            <w:pPr>
              <w:jc w:val="center"/>
            </w:pPr>
            <w:r w:rsidRPr="00752906">
              <w:t>65524</w:t>
            </w:r>
          </w:p>
        </w:tc>
        <w:tc>
          <w:tcPr>
            <w:tcW w:w="1276" w:type="dxa"/>
            <w:vAlign w:val="bottom"/>
          </w:tcPr>
          <w:p w14:paraId="590D0AB0" w14:textId="77777777" w:rsidR="000C4768" w:rsidRPr="00752906" w:rsidRDefault="000C4768" w:rsidP="000C4768">
            <w:pPr>
              <w:jc w:val="center"/>
              <w:rPr>
                <w:rFonts w:ascii="Calibri" w:hAnsi="Calibri"/>
              </w:rPr>
            </w:pPr>
            <w:r w:rsidRPr="00752906">
              <w:rPr>
                <w:rFonts w:ascii="Calibri" w:hAnsi="Calibri"/>
              </w:rPr>
              <w:t>2.16</w:t>
            </w:r>
          </w:p>
        </w:tc>
      </w:tr>
      <w:tr w:rsidR="000C4768" w:rsidRPr="00752906" w14:paraId="580657BF" w14:textId="77777777" w:rsidTr="000C4768">
        <w:trPr>
          <w:trHeight w:val="300"/>
        </w:trPr>
        <w:tc>
          <w:tcPr>
            <w:tcW w:w="992" w:type="dxa"/>
            <w:noWrap/>
            <w:hideMark/>
          </w:tcPr>
          <w:p w14:paraId="50FA1F5D" w14:textId="77777777" w:rsidR="000C4768" w:rsidRPr="00752906" w:rsidRDefault="000C4768" w:rsidP="000C4768">
            <w:pPr>
              <w:jc w:val="center"/>
            </w:pPr>
            <w:r w:rsidRPr="00752906">
              <w:t>16 to 19</w:t>
            </w:r>
          </w:p>
        </w:tc>
        <w:tc>
          <w:tcPr>
            <w:tcW w:w="1418" w:type="dxa"/>
            <w:noWrap/>
            <w:hideMark/>
          </w:tcPr>
          <w:p w14:paraId="2692117F" w14:textId="77777777" w:rsidR="000C4768" w:rsidRPr="00752906" w:rsidRDefault="000C4768" w:rsidP="000C4768">
            <w:pPr>
              <w:jc w:val="center"/>
            </w:pPr>
            <w:r w:rsidRPr="00752906">
              <w:t>146</w:t>
            </w:r>
          </w:p>
        </w:tc>
        <w:tc>
          <w:tcPr>
            <w:tcW w:w="1134" w:type="dxa"/>
            <w:noWrap/>
            <w:hideMark/>
          </w:tcPr>
          <w:p w14:paraId="4CB5FF64" w14:textId="77777777" w:rsidR="000C4768" w:rsidRPr="00752906" w:rsidRDefault="000C4768" w:rsidP="000C4768">
            <w:pPr>
              <w:jc w:val="center"/>
            </w:pPr>
            <w:r w:rsidRPr="00752906">
              <w:t>157</w:t>
            </w:r>
          </w:p>
        </w:tc>
        <w:tc>
          <w:tcPr>
            <w:tcW w:w="1276" w:type="dxa"/>
            <w:noWrap/>
            <w:hideMark/>
          </w:tcPr>
          <w:p w14:paraId="7D137963" w14:textId="77777777" w:rsidR="000C4768" w:rsidRPr="00752906" w:rsidRDefault="000C4768" w:rsidP="000C4768">
            <w:pPr>
              <w:jc w:val="center"/>
            </w:pPr>
            <w:r w:rsidRPr="00752906">
              <w:t>66972</w:t>
            </w:r>
          </w:p>
        </w:tc>
        <w:tc>
          <w:tcPr>
            <w:tcW w:w="1276" w:type="dxa"/>
            <w:noWrap/>
            <w:hideMark/>
          </w:tcPr>
          <w:p w14:paraId="6F24D7E7" w14:textId="77777777" w:rsidR="000C4768" w:rsidRPr="00752906" w:rsidRDefault="000C4768" w:rsidP="000C4768">
            <w:pPr>
              <w:jc w:val="center"/>
            </w:pPr>
            <w:r w:rsidRPr="00752906">
              <w:t>77083</w:t>
            </w:r>
          </w:p>
        </w:tc>
        <w:tc>
          <w:tcPr>
            <w:tcW w:w="992" w:type="dxa"/>
            <w:noWrap/>
            <w:hideMark/>
          </w:tcPr>
          <w:p w14:paraId="737BAC61" w14:textId="77777777" w:rsidR="000C4768" w:rsidRPr="00752906" w:rsidRDefault="000C4768" w:rsidP="000C4768">
            <w:pPr>
              <w:jc w:val="center"/>
            </w:pPr>
            <w:r w:rsidRPr="00752906">
              <w:t>64912</w:t>
            </w:r>
          </w:p>
        </w:tc>
        <w:tc>
          <w:tcPr>
            <w:tcW w:w="1276" w:type="dxa"/>
            <w:vAlign w:val="bottom"/>
          </w:tcPr>
          <w:p w14:paraId="6A9101FE" w14:textId="77777777" w:rsidR="000C4768" w:rsidRPr="00752906" w:rsidRDefault="000C4768" w:rsidP="000C4768">
            <w:pPr>
              <w:jc w:val="center"/>
              <w:rPr>
                <w:rFonts w:ascii="Calibri" w:hAnsi="Calibri"/>
              </w:rPr>
            </w:pPr>
            <w:r w:rsidRPr="00752906">
              <w:rPr>
                <w:rFonts w:ascii="Calibri" w:hAnsi="Calibri"/>
              </w:rPr>
              <w:t>3.08</w:t>
            </w:r>
          </w:p>
        </w:tc>
      </w:tr>
      <w:tr w:rsidR="000C4768" w:rsidRPr="00C63A1C" w14:paraId="72A51CA6" w14:textId="77777777" w:rsidTr="000C4768">
        <w:trPr>
          <w:trHeight w:val="300"/>
        </w:trPr>
        <w:tc>
          <w:tcPr>
            <w:tcW w:w="992" w:type="dxa"/>
            <w:noWrap/>
            <w:hideMark/>
          </w:tcPr>
          <w:p w14:paraId="06611880" w14:textId="77777777" w:rsidR="000C4768" w:rsidRPr="00C63A1C" w:rsidRDefault="000C4768" w:rsidP="000C4768">
            <w:pPr>
              <w:jc w:val="center"/>
            </w:pPr>
            <w:r w:rsidRPr="00C63A1C">
              <w:rPr>
                <w:bCs/>
              </w:rPr>
              <w:t>16 to 20</w:t>
            </w:r>
          </w:p>
        </w:tc>
        <w:tc>
          <w:tcPr>
            <w:tcW w:w="1418" w:type="dxa"/>
            <w:noWrap/>
            <w:hideMark/>
          </w:tcPr>
          <w:p w14:paraId="55F59F5F" w14:textId="77777777" w:rsidR="000C4768" w:rsidRPr="00C63A1C" w:rsidRDefault="000C4768" w:rsidP="000C4768">
            <w:pPr>
              <w:jc w:val="center"/>
            </w:pPr>
            <w:r w:rsidRPr="00C63A1C">
              <w:rPr>
                <w:bCs/>
              </w:rPr>
              <w:t>146</w:t>
            </w:r>
          </w:p>
        </w:tc>
        <w:tc>
          <w:tcPr>
            <w:tcW w:w="1134" w:type="dxa"/>
            <w:noWrap/>
            <w:hideMark/>
          </w:tcPr>
          <w:p w14:paraId="4AEFD42E" w14:textId="77777777" w:rsidR="000C4768" w:rsidRPr="00C63A1C" w:rsidRDefault="000C4768" w:rsidP="000C4768">
            <w:pPr>
              <w:jc w:val="center"/>
            </w:pPr>
            <w:r w:rsidRPr="00C63A1C">
              <w:rPr>
                <w:bCs/>
              </w:rPr>
              <w:t>160</w:t>
            </w:r>
          </w:p>
        </w:tc>
        <w:tc>
          <w:tcPr>
            <w:tcW w:w="1276" w:type="dxa"/>
            <w:noWrap/>
            <w:hideMark/>
          </w:tcPr>
          <w:p w14:paraId="6DABCC4A" w14:textId="77777777" w:rsidR="000C4768" w:rsidRPr="00C63A1C" w:rsidRDefault="000C4768" w:rsidP="000C4768">
            <w:pPr>
              <w:jc w:val="center"/>
            </w:pPr>
            <w:r w:rsidRPr="00C63A1C">
              <w:rPr>
                <w:bCs/>
              </w:rPr>
              <w:t>66972</w:t>
            </w:r>
          </w:p>
        </w:tc>
        <w:tc>
          <w:tcPr>
            <w:tcW w:w="1276" w:type="dxa"/>
            <w:noWrap/>
            <w:hideMark/>
          </w:tcPr>
          <w:p w14:paraId="72C91C14" w14:textId="77777777" w:rsidR="000C4768" w:rsidRPr="00C63A1C" w:rsidRDefault="000C4768" w:rsidP="000C4768">
            <w:pPr>
              <w:jc w:val="center"/>
            </w:pPr>
            <w:r w:rsidRPr="00C63A1C">
              <w:rPr>
                <w:bCs/>
              </w:rPr>
              <w:t>80454</w:t>
            </w:r>
          </w:p>
        </w:tc>
        <w:tc>
          <w:tcPr>
            <w:tcW w:w="992" w:type="dxa"/>
            <w:noWrap/>
            <w:hideMark/>
          </w:tcPr>
          <w:p w14:paraId="28472C5E" w14:textId="77777777" w:rsidR="000C4768" w:rsidRPr="00C63A1C" w:rsidRDefault="000C4768" w:rsidP="000C4768">
            <w:pPr>
              <w:jc w:val="center"/>
            </w:pPr>
            <w:r w:rsidRPr="00C63A1C">
              <w:rPr>
                <w:bCs/>
              </w:rPr>
              <w:t>64363</w:t>
            </w:r>
          </w:p>
        </w:tc>
        <w:tc>
          <w:tcPr>
            <w:tcW w:w="1276" w:type="dxa"/>
            <w:vAlign w:val="bottom"/>
          </w:tcPr>
          <w:p w14:paraId="4D7DEACA" w14:textId="77777777" w:rsidR="000C4768" w:rsidRPr="00C63A1C" w:rsidRDefault="000C4768" w:rsidP="000C4768">
            <w:pPr>
              <w:jc w:val="center"/>
              <w:rPr>
                <w:rFonts w:ascii="Calibri" w:hAnsi="Calibri"/>
              </w:rPr>
            </w:pPr>
            <w:r w:rsidRPr="00C63A1C">
              <w:rPr>
                <w:rFonts w:ascii="Calibri" w:hAnsi="Calibri"/>
                <w:bCs/>
              </w:rPr>
              <w:t>3.90</w:t>
            </w:r>
          </w:p>
        </w:tc>
      </w:tr>
      <w:tr w:rsidR="000C4768" w:rsidRPr="00752906" w14:paraId="7CAFBFC1" w14:textId="77777777" w:rsidTr="000C4768">
        <w:trPr>
          <w:trHeight w:val="300"/>
        </w:trPr>
        <w:tc>
          <w:tcPr>
            <w:tcW w:w="992" w:type="dxa"/>
            <w:noWrap/>
            <w:hideMark/>
          </w:tcPr>
          <w:p w14:paraId="43490145" w14:textId="77777777" w:rsidR="000C4768" w:rsidRPr="00752906" w:rsidRDefault="000C4768" w:rsidP="000C4768">
            <w:pPr>
              <w:jc w:val="center"/>
            </w:pPr>
            <w:r w:rsidRPr="00752906">
              <w:t>16 to 21</w:t>
            </w:r>
          </w:p>
        </w:tc>
        <w:tc>
          <w:tcPr>
            <w:tcW w:w="1418" w:type="dxa"/>
            <w:noWrap/>
            <w:hideMark/>
          </w:tcPr>
          <w:p w14:paraId="62C27C5F" w14:textId="77777777" w:rsidR="000C4768" w:rsidRPr="00752906" w:rsidRDefault="000C4768" w:rsidP="000C4768">
            <w:pPr>
              <w:jc w:val="center"/>
            </w:pPr>
            <w:r w:rsidRPr="00752906">
              <w:t>146</w:t>
            </w:r>
          </w:p>
        </w:tc>
        <w:tc>
          <w:tcPr>
            <w:tcW w:w="1134" w:type="dxa"/>
            <w:noWrap/>
            <w:hideMark/>
          </w:tcPr>
          <w:p w14:paraId="5A2A2D37" w14:textId="77777777" w:rsidR="000C4768" w:rsidRPr="00752906" w:rsidRDefault="000C4768" w:rsidP="000C4768">
            <w:pPr>
              <w:jc w:val="center"/>
            </w:pPr>
            <w:r w:rsidRPr="00752906">
              <w:t>163</w:t>
            </w:r>
          </w:p>
        </w:tc>
        <w:tc>
          <w:tcPr>
            <w:tcW w:w="1276" w:type="dxa"/>
            <w:noWrap/>
            <w:hideMark/>
          </w:tcPr>
          <w:p w14:paraId="1F15759E" w14:textId="77777777" w:rsidR="000C4768" w:rsidRPr="00752906" w:rsidRDefault="000C4768" w:rsidP="000C4768">
            <w:pPr>
              <w:jc w:val="center"/>
            </w:pPr>
            <w:r w:rsidRPr="00752906">
              <w:t>66972</w:t>
            </w:r>
          </w:p>
        </w:tc>
        <w:tc>
          <w:tcPr>
            <w:tcW w:w="1276" w:type="dxa"/>
            <w:noWrap/>
            <w:hideMark/>
          </w:tcPr>
          <w:p w14:paraId="154DF1B0" w14:textId="77777777" w:rsidR="000C4768" w:rsidRPr="00752906" w:rsidRDefault="000C4768" w:rsidP="000C4768">
            <w:pPr>
              <w:jc w:val="center"/>
            </w:pPr>
            <w:r w:rsidRPr="00752906">
              <w:t>83829</w:t>
            </w:r>
          </w:p>
        </w:tc>
        <w:tc>
          <w:tcPr>
            <w:tcW w:w="992" w:type="dxa"/>
            <w:noWrap/>
            <w:hideMark/>
          </w:tcPr>
          <w:p w14:paraId="6A3DA4C2" w14:textId="77777777" w:rsidR="000C4768" w:rsidRPr="00752906" w:rsidRDefault="000C4768" w:rsidP="000C4768">
            <w:pPr>
              <w:jc w:val="center"/>
            </w:pPr>
            <w:r w:rsidRPr="00752906">
              <w:t>63870</w:t>
            </w:r>
          </w:p>
        </w:tc>
        <w:tc>
          <w:tcPr>
            <w:tcW w:w="1276" w:type="dxa"/>
            <w:vAlign w:val="bottom"/>
          </w:tcPr>
          <w:p w14:paraId="59E68CAD" w14:textId="77777777" w:rsidR="000C4768" w:rsidRPr="00752906" w:rsidRDefault="000C4768" w:rsidP="000C4768">
            <w:pPr>
              <w:jc w:val="center"/>
              <w:rPr>
                <w:rFonts w:ascii="Calibri" w:hAnsi="Calibri"/>
              </w:rPr>
            </w:pPr>
            <w:r w:rsidRPr="00752906">
              <w:rPr>
                <w:rFonts w:ascii="Calibri" w:hAnsi="Calibri"/>
              </w:rPr>
              <w:t>4.63</w:t>
            </w:r>
          </w:p>
        </w:tc>
      </w:tr>
      <w:tr w:rsidR="000C4768" w:rsidRPr="00752906" w14:paraId="1450A1F6" w14:textId="77777777" w:rsidTr="000C4768">
        <w:trPr>
          <w:trHeight w:val="300"/>
        </w:trPr>
        <w:tc>
          <w:tcPr>
            <w:tcW w:w="992" w:type="dxa"/>
            <w:noWrap/>
            <w:hideMark/>
          </w:tcPr>
          <w:p w14:paraId="7D5C596D" w14:textId="77777777" w:rsidR="000C4768" w:rsidRPr="00752906" w:rsidRDefault="000C4768" w:rsidP="000C4768">
            <w:pPr>
              <w:jc w:val="center"/>
            </w:pPr>
            <w:r w:rsidRPr="00752906">
              <w:t>16 to 22</w:t>
            </w:r>
          </w:p>
        </w:tc>
        <w:tc>
          <w:tcPr>
            <w:tcW w:w="1418" w:type="dxa"/>
            <w:noWrap/>
            <w:hideMark/>
          </w:tcPr>
          <w:p w14:paraId="5ADFB6CA" w14:textId="77777777" w:rsidR="000C4768" w:rsidRPr="00752906" w:rsidRDefault="000C4768" w:rsidP="000C4768">
            <w:pPr>
              <w:jc w:val="center"/>
            </w:pPr>
            <w:r w:rsidRPr="00752906">
              <w:t>146</w:t>
            </w:r>
          </w:p>
        </w:tc>
        <w:tc>
          <w:tcPr>
            <w:tcW w:w="1134" w:type="dxa"/>
            <w:noWrap/>
            <w:hideMark/>
          </w:tcPr>
          <w:p w14:paraId="53743787" w14:textId="77777777" w:rsidR="000C4768" w:rsidRPr="00752906" w:rsidRDefault="000C4768" w:rsidP="000C4768">
            <w:pPr>
              <w:jc w:val="center"/>
            </w:pPr>
            <w:r w:rsidRPr="00752906">
              <w:t>167</w:t>
            </w:r>
          </w:p>
        </w:tc>
        <w:tc>
          <w:tcPr>
            <w:tcW w:w="1276" w:type="dxa"/>
            <w:noWrap/>
            <w:hideMark/>
          </w:tcPr>
          <w:p w14:paraId="2C830F36" w14:textId="77777777" w:rsidR="000C4768" w:rsidRPr="00752906" w:rsidRDefault="000C4768" w:rsidP="000C4768">
            <w:pPr>
              <w:jc w:val="center"/>
            </w:pPr>
            <w:r w:rsidRPr="00752906">
              <w:t>66972</w:t>
            </w:r>
          </w:p>
        </w:tc>
        <w:tc>
          <w:tcPr>
            <w:tcW w:w="1276" w:type="dxa"/>
            <w:noWrap/>
            <w:hideMark/>
          </w:tcPr>
          <w:p w14:paraId="3AEB43F0" w14:textId="77777777" w:rsidR="000C4768" w:rsidRPr="00752906" w:rsidRDefault="000C4768" w:rsidP="000C4768">
            <w:pPr>
              <w:jc w:val="center"/>
            </w:pPr>
            <w:r w:rsidRPr="00752906">
              <w:t>87210</w:t>
            </w:r>
          </w:p>
        </w:tc>
        <w:tc>
          <w:tcPr>
            <w:tcW w:w="992" w:type="dxa"/>
            <w:noWrap/>
            <w:hideMark/>
          </w:tcPr>
          <w:p w14:paraId="6E9A264D" w14:textId="77777777" w:rsidR="000C4768" w:rsidRPr="00752906" w:rsidRDefault="000C4768" w:rsidP="000C4768">
            <w:pPr>
              <w:jc w:val="center"/>
            </w:pPr>
            <w:r w:rsidRPr="00752906">
              <w:t>63426</w:t>
            </w:r>
          </w:p>
        </w:tc>
        <w:tc>
          <w:tcPr>
            <w:tcW w:w="1276" w:type="dxa"/>
            <w:vAlign w:val="bottom"/>
          </w:tcPr>
          <w:p w14:paraId="2ABC4931" w14:textId="77777777" w:rsidR="000C4768" w:rsidRPr="00752906" w:rsidRDefault="000C4768" w:rsidP="000C4768">
            <w:pPr>
              <w:jc w:val="center"/>
              <w:rPr>
                <w:rFonts w:ascii="Calibri" w:hAnsi="Calibri"/>
              </w:rPr>
            </w:pPr>
            <w:r w:rsidRPr="00752906">
              <w:rPr>
                <w:rFonts w:ascii="Calibri" w:hAnsi="Calibri"/>
              </w:rPr>
              <w:t>5.30</w:t>
            </w:r>
          </w:p>
        </w:tc>
      </w:tr>
      <w:tr w:rsidR="000C4768" w:rsidRPr="00752906" w14:paraId="3817ABD8" w14:textId="77777777" w:rsidTr="000C4768">
        <w:trPr>
          <w:trHeight w:val="300"/>
        </w:trPr>
        <w:tc>
          <w:tcPr>
            <w:tcW w:w="992" w:type="dxa"/>
            <w:noWrap/>
            <w:hideMark/>
          </w:tcPr>
          <w:p w14:paraId="746226F1" w14:textId="77777777" w:rsidR="000C4768" w:rsidRPr="00752906" w:rsidRDefault="000C4768" w:rsidP="000C4768">
            <w:pPr>
              <w:jc w:val="center"/>
            </w:pPr>
            <w:r w:rsidRPr="00752906">
              <w:t>16 to 23</w:t>
            </w:r>
          </w:p>
        </w:tc>
        <w:tc>
          <w:tcPr>
            <w:tcW w:w="1418" w:type="dxa"/>
            <w:noWrap/>
            <w:hideMark/>
          </w:tcPr>
          <w:p w14:paraId="747CDDD0" w14:textId="77777777" w:rsidR="000C4768" w:rsidRPr="00752906" w:rsidRDefault="000C4768" w:rsidP="000C4768">
            <w:pPr>
              <w:jc w:val="center"/>
            </w:pPr>
            <w:r w:rsidRPr="00752906">
              <w:t>146</w:t>
            </w:r>
          </w:p>
        </w:tc>
        <w:tc>
          <w:tcPr>
            <w:tcW w:w="1134" w:type="dxa"/>
            <w:noWrap/>
            <w:hideMark/>
          </w:tcPr>
          <w:p w14:paraId="755674E9" w14:textId="77777777" w:rsidR="000C4768" w:rsidRPr="00752906" w:rsidRDefault="000C4768" w:rsidP="000C4768">
            <w:pPr>
              <w:jc w:val="center"/>
            </w:pPr>
            <w:r w:rsidRPr="00752906">
              <w:t>170</w:t>
            </w:r>
          </w:p>
        </w:tc>
        <w:tc>
          <w:tcPr>
            <w:tcW w:w="1276" w:type="dxa"/>
            <w:noWrap/>
            <w:hideMark/>
          </w:tcPr>
          <w:p w14:paraId="10D014B2" w14:textId="77777777" w:rsidR="000C4768" w:rsidRPr="00752906" w:rsidRDefault="000C4768" w:rsidP="000C4768">
            <w:pPr>
              <w:jc w:val="center"/>
            </w:pPr>
            <w:r w:rsidRPr="00752906">
              <w:t>66972</w:t>
            </w:r>
          </w:p>
        </w:tc>
        <w:tc>
          <w:tcPr>
            <w:tcW w:w="1276" w:type="dxa"/>
            <w:noWrap/>
            <w:hideMark/>
          </w:tcPr>
          <w:p w14:paraId="19B6A27E" w14:textId="77777777" w:rsidR="000C4768" w:rsidRPr="00752906" w:rsidRDefault="000C4768" w:rsidP="000C4768">
            <w:pPr>
              <w:jc w:val="center"/>
            </w:pPr>
            <w:r w:rsidRPr="00752906">
              <w:t>90600</w:t>
            </w:r>
          </w:p>
        </w:tc>
        <w:tc>
          <w:tcPr>
            <w:tcW w:w="992" w:type="dxa"/>
            <w:noWrap/>
            <w:hideMark/>
          </w:tcPr>
          <w:p w14:paraId="0E848D99" w14:textId="77777777" w:rsidR="000C4768" w:rsidRPr="00752906" w:rsidRDefault="000C4768" w:rsidP="000C4768">
            <w:pPr>
              <w:jc w:val="center"/>
            </w:pPr>
            <w:r w:rsidRPr="00752906">
              <w:t>63026</w:t>
            </w:r>
          </w:p>
        </w:tc>
        <w:tc>
          <w:tcPr>
            <w:tcW w:w="1276" w:type="dxa"/>
            <w:vAlign w:val="bottom"/>
          </w:tcPr>
          <w:p w14:paraId="0E38E78C" w14:textId="77777777" w:rsidR="000C4768" w:rsidRPr="00752906" w:rsidRDefault="000C4768" w:rsidP="000C4768">
            <w:pPr>
              <w:jc w:val="center"/>
              <w:rPr>
                <w:rFonts w:ascii="Calibri" w:hAnsi="Calibri"/>
              </w:rPr>
            </w:pPr>
            <w:r w:rsidRPr="00752906">
              <w:rPr>
                <w:rFonts w:ascii="Calibri" w:hAnsi="Calibri"/>
              </w:rPr>
              <w:t>5.89</w:t>
            </w:r>
          </w:p>
        </w:tc>
      </w:tr>
      <w:tr w:rsidR="000C4768" w:rsidRPr="00752906" w14:paraId="5F631BFA" w14:textId="77777777" w:rsidTr="000C4768">
        <w:trPr>
          <w:trHeight w:val="300"/>
        </w:trPr>
        <w:tc>
          <w:tcPr>
            <w:tcW w:w="992" w:type="dxa"/>
            <w:noWrap/>
            <w:hideMark/>
          </w:tcPr>
          <w:p w14:paraId="7F2849F8" w14:textId="77777777" w:rsidR="000C4768" w:rsidRPr="00752906" w:rsidRDefault="000C4768" w:rsidP="000C4768">
            <w:pPr>
              <w:jc w:val="center"/>
            </w:pPr>
            <w:r w:rsidRPr="00752906">
              <w:t>16 to 24</w:t>
            </w:r>
          </w:p>
        </w:tc>
        <w:tc>
          <w:tcPr>
            <w:tcW w:w="1418" w:type="dxa"/>
            <w:noWrap/>
            <w:hideMark/>
          </w:tcPr>
          <w:p w14:paraId="47AA9A64" w14:textId="77777777" w:rsidR="000C4768" w:rsidRPr="00752906" w:rsidRDefault="000C4768" w:rsidP="000C4768">
            <w:pPr>
              <w:jc w:val="center"/>
            </w:pPr>
            <w:r w:rsidRPr="00752906">
              <w:t>146</w:t>
            </w:r>
          </w:p>
        </w:tc>
        <w:tc>
          <w:tcPr>
            <w:tcW w:w="1134" w:type="dxa"/>
            <w:noWrap/>
            <w:hideMark/>
          </w:tcPr>
          <w:p w14:paraId="76F1CC5C" w14:textId="77777777" w:rsidR="000C4768" w:rsidRPr="00752906" w:rsidRDefault="000C4768" w:rsidP="000C4768">
            <w:pPr>
              <w:jc w:val="center"/>
            </w:pPr>
            <w:r w:rsidRPr="00752906">
              <w:t>173</w:t>
            </w:r>
          </w:p>
        </w:tc>
        <w:tc>
          <w:tcPr>
            <w:tcW w:w="1276" w:type="dxa"/>
            <w:noWrap/>
            <w:hideMark/>
          </w:tcPr>
          <w:p w14:paraId="3539E40D" w14:textId="77777777" w:rsidR="000C4768" w:rsidRPr="00752906" w:rsidRDefault="000C4768" w:rsidP="000C4768">
            <w:pPr>
              <w:jc w:val="center"/>
            </w:pPr>
            <w:r w:rsidRPr="00752906">
              <w:t>66972</w:t>
            </w:r>
          </w:p>
        </w:tc>
        <w:tc>
          <w:tcPr>
            <w:tcW w:w="1276" w:type="dxa"/>
            <w:noWrap/>
            <w:hideMark/>
          </w:tcPr>
          <w:p w14:paraId="08EE9FAB" w14:textId="77777777" w:rsidR="000C4768" w:rsidRPr="00752906" w:rsidRDefault="000C4768" w:rsidP="000C4768">
            <w:pPr>
              <w:jc w:val="center"/>
            </w:pPr>
            <w:r w:rsidRPr="00752906">
              <w:t>93999</w:t>
            </w:r>
          </w:p>
        </w:tc>
        <w:tc>
          <w:tcPr>
            <w:tcW w:w="992" w:type="dxa"/>
            <w:noWrap/>
            <w:hideMark/>
          </w:tcPr>
          <w:p w14:paraId="45700789" w14:textId="77777777" w:rsidR="000C4768" w:rsidRPr="00752906" w:rsidRDefault="000C4768" w:rsidP="000C4768">
            <w:pPr>
              <w:jc w:val="center"/>
            </w:pPr>
            <w:r w:rsidRPr="00752906">
              <w:t>62666</w:t>
            </w:r>
          </w:p>
        </w:tc>
        <w:tc>
          <w:tcPr>
            <w:tcW w:w="1276" w:type="dxa"/>
            <w:vAlign w:val="bottom"/>
          </w:tcPr>
          <w:p w14:paraId="75DDF73F" w14:textId="77777777" w:rsidR="000C4768" w:rsidRPr="00752906" w:rsidRDefault="000C4768" w:rsidP="000C4768">
            <w:pPr>
              <w:jc w:val="center"/>
              <w:rPr>
                <w:rFonts w:ascii="Calibri" w:hAnsi="Calibri"/>
              </w:rPr>
            </w:pPr>
            <w:r w:rsidRPr="00752906">
              <w:rPr>
                <w:rFonts w:ascii="Calibri" w:hAnsi="Calibri"/>
              </w:rPr>
              <w:t>6.43</w:t>
            </w:r>
          </w:p>
        </w:tc>
      </w:tr>
      <w:tr w:rsidR="000C4768" w:rsidRPr="00752906" w14:paraId="50636E3E" w14:textId="77777777" w:rsidTr="000C4768">
        <w:trPr>
          <w:trHeight w:val="300"/>
        </w:trPr>
        <w:tc>
          <w:tcPr>
            <w:tcW w:w="992" w:type="dxa"/>
            <w:noWrap/>
            <w:hideMark/>
          </w:tcPr>
          <w:p w14:paraId="78353BD4" w14:textId="77777777" w:rsidR="000C4768" w:rsidRPr="00752906" w:rsidRDefault="000C4768" w:rsidP="000C4768">
            <w:pPr>
              <w:jc w:val="center"/>
            </w:pPr>
            <w:r w:rsidRPr="00752906">
              <w:t>16 to 25</w:t>
            </w:r>
          </w:p>
        </w:tc>
        <w:tc>
          <w:tcPr>
            <w:tcW w:w="1418" w:type="dxa"/>
            <w:noWrap/>
            <w:hideMark/>
          </w:tcPr>
          <w:p w14:paraId="2D453771" w14:textId="77777777" w:rsidR="000C4768" w:rsidRPr="00752906" w:rsidRDefault="000C4768" w:rsidP="000C4768">
            <w:pPr>
              <w:jc w:val="center"/>
            </w:pPr>
            <w:r w:rsidRPr="00752906">
              <w:t>146</w:t>
            </w:r>
          </w:p>
        </w:tc>
        <w:tc>
          <w:tcPr>
            <w:tcW w:w="1134" w:type="dxa"/>
            <w:noWrap/>
            <w:hideMark/>
          </w:tcPr>
          <w:p w14:paraId="536CB49B" w14:textId="77777777" w:rsidR="000C4768" w:rsidRPr="00752906" w:rsidRDefault="000C4768" w:rsidP="000C4768">
            <w:pPr>
              <w:jc w:val="center"/>
            </w:pPr>
            <w:r w:rsidRPr="00752906">
              <w:t>176</w:t>
            </w:r>
          </w:p>
        </w:tc>
        <w:tc>
          <w:tcPr>
            <w:tcW w:w="1276" w:type="dxa"/>
            <w:noWrap/>
            <w:hideMark/>
          </w:tcPr>
          <w:p w14:paraId="0C596DE3" w14:textId="77777777" w:rsidR="000C4768" w:rsidRPr="00752906" w:rsidRDefault="000C4768" w:rsidP="000C4768">
            <w:pPr>
              <w:jc w:val="center"/>
            </w:pPr>
            <w:r w:rsidRPr="00752906">
              <w:t>66972</w:t>
            </w:r>
          </w:p>
        </w:tc>
        <w:tc>
          <w:tcPr>
            <w:tcW w:w="1276" w:type="dxa"/>
            <w:noWrap/>
            <w:hideMark/>
          </w:tcPr>
          <w:p w14:paraId="5DD94D31" w14:textId="77777777" w:rsidR="000C4768" w:rsidRPr="00752906" w:rsidRDefault="000C4768" w:rsidP="000C4768">
            <w:pPr>
              <w:jc w:val="center"/>
            </w:pPr>
            <w:r w:rsidRPr="00752906">
              <w:t>97409</w:t>
            </w:r>
          </w:p>
        </w:tc>
        <w:tc>
          <w:tcPr>
            <w:tcW w:w="992" w:type="dxa"/>
            <w:noWrap/>
            <w:hideMark/>
          </w:tcPr>
          <w:p w14:paraId="747345B0" w14:textId="77777777" w:rsidR="000C4768" w:rsidRPr="00752906" w:rsidRDefault="000C4768" w:rsidP="000C4768">
            <w:pPr>
              <w:jc w:val="center"/>
            </w:pPr>
            <w:r w:rsidRPr="00752906">
              <w:t>62342</w:t>
            </w:r>
          </w:p>
        </w:tc>
        <w:tc>
          <w:tcPr>
            <w:tcW w:w="1276" w:type="dxa"/>
            <w:vAlign w:val="bottom"/>
          </w:tcPr>
          <w:p w14:paraId="05455891" w14:textId="77777777" w:rsidR="000C4768" w:rsidRPr="00752906" w:rsidRDefault="000C4768" w:rsidP="000C4768">
            <w:pPr>
              <w:jc w:val="center"/>
              <w:rPr>
                <w:rFonts w:ascii="Calibri" w:hAnsi="Calibri"/>
              </w:rPr>
            </w:pPr>
            <w:r w:rsidRPr="00752906">
              <w:rPr>
                <w:rFonts w:ascii="Calibri" w:hAnsi="Calibri"/>
              </w:rPr>
              <w:t>6.91</w:t>
            </w:r>
          </w:p>
        </w:tc>
      </w:tr>
    </w:tbl>
    <w:p w14:paraId="561838AF" w14:textId="606D00B2" w:rsidR="000C4768" w:rsidRPr="00C63A1C" w:rsidRDefault="000C4768" w:rsidP="001650E6">
      <w:pPr>
        <w:pStyle w:val="SingleTxtG"/>
        <w:spacing w:before="120"/>
        <w:jc w:val="center"/>
        <w:rPr>
          <w:lang w:val="en-GB"/>
        </w:rPr>
      </w:pPr>
      <w:proofErr w:type="gramStart"/>
      <w:r w:rsidRPr="00C63A1C">
        <w:rPr>
          <w:lang w:val="en-GB"/>
        </w:rPr>
        <w:t>Table 3</w:t>
      </w:r>
      <w:r w:rsidR="00C63A1C">
        <w:rPr>
          <w:lang w:val="en-GB"/>
        </w:rPr>
        <w:t>.</w:t>
      </w:r>
      <w:proofErr w:type="gramEnd"/>
      <w:r w:rsidR="00C63A1C">
        <w:rPr>
          <w:lang w:val="en-GB"/>
        </w:rPr>
        <w:t xml:space="preserve"> </w:t>
      </w:r>
      <w:r w:rsidRPr="00C63A1C">
        <w:rPr>
          <w:lang w:val="en-GB"/>
        </w:rPr>
        <w:t xml:space="preserve"> Lethal</w:t>
      </w:r>
      <w:r w:rsidR="00C63A1C">
        <w:rPr>
          <w:lang w:val="en-GB"/>
        </w:rPr>
        <w:t xml:space="preserve"> area for different increases in the mass of permitted explosives per transport unit </w:t>
      </w:r>
    </w:p>
    <w:p w14:paraId="7A438842" w14:textId="77777777" w:rsidR="000C4768" w:rsidRDefault="000C4768" w:rsidP="000C4768">
      <w:pPr>
        <w:jc w:val="both"/>
      </w:pPr>
    </w:p>
    <w:p w14:paraId="290C6515" w14:textId="77777777" w:rsidR="00D24DA9" w:rsidRPr="00752906" w:rsidRDefault="00D24DA9" w:rsidP="000C4768">
      <w:pPr>
        <w:jc w:val="both"/>
      </w:pPr>
    </w:p>
    <w:tbl>
      <w:tblPr>
        <w:tblStyle w:val="TableGrid"/>
        <w:tblW w:w="8377" w:type="dxa"/>
        <w:tblInd w:w="675" w:type="dxa"/>
        <w:tblLook w:val="04A0" w:firstRow="1" w:lastRow="0" w:firstColumn="1" w:lastColumn="0" w:noHBand="0" w:noVBand="1"/>
      </w:tblPr>
      <w:tblGrid>
        <w:gridCol w:w="993"/>
        <w:gridCol w:w="1280"/>
        <w:gridCol w:w="1280"/>
        <w:gridCol w:w="1280"/>
        <w:gridCol w:w="1211"/>
        <w:gridCol w:w="1057"/>
        <w:gridCol w:w="1276"/>
      </w:tblGrid>
      <w:tr w:rsidR="000C4768" w:rsidRPr="00752906" w14:paraId="3B1152F3" w14:textId="77777777" w:rsidTr="000C4768">
        <w:trPr>
          <w:trHeight w:val="915"/>
        </w:trPr>
        <w:tc>
          <w:tcPr>
            <w:tcW w:w="993" w:type="dxa"/>
            <w:noWrap/>
            <w:hideMark/>
          </w:tcPr>
          <w:p w14:paraId="5B8EA29B" w14:textId="71121CA7" w:rsidR="000C4768" w:rsidRPr="00752906" w:rsidRDefault="00C63A1C" w:rsidP="00C63A1C">
            <w:pPr>
              <w:jc w:val="center"/>
              <w:rPr>
                <w:b/>
                <w:sz w:val="16"/>
                <w:szCs w:val="16"/>
              </w:rPr>
            </w:pPr>
            <w:r>
              <w:rPr>
                <w:b/>
                <w:bCs/>
                <w:sz w:val="16"/>
                <w:szCs w:val="16"/>
              </w:rPr>
              <w:t xml:space="preserve">Increase of explosives per </w:t>
            </w:r>
            <w:proofErr w:type="spellStart"/>
            <w:r>
              <w:rPr>
                <w:b/>
                <w:bCs/>
                <w:sz w:val="16"/>
                <w:szCs w:val="16"/>
              </w:rPr>
              <w:t>transpot</w:t>
            </w:r>
            <w:proofErr w:type="spellEnd"/>
            <w:r>
              <w:rPr>
                <w:b/>
                <w:bCs/>
                <w:sz w:val="16"/>
                <w:szCs w:val="16"/>
              </w:rPr>
              <w:t xml:space="preserve"> unit</w:t>
            </w:r>
          </w:p>
        </w:tc>
        <w:tc>
          <w:tcPr>
            <w:tcW w:w="1280" w:type="dxa"/>
            <w:noWrap/>
          </w:tcPr>
          <w:p w14:paraId="0A00F532" w14:textId="77777777" w:rsidR="000C4768" w:rsidRPr="00752906" w:rsidRDefault="000C4768" w:rsidP="000C4768">
            <w:pPr>
              <w:jc w:val="center"/>
              <w:rPr>
                <w:b/>
                <w:sz w:val="16"/>
                <w:szCs w:val="16"/>
              </w:rPr>
            </w:pPr>
            <w:r w:rsidRPr="00752906">
              <w:rPr>
                <w:b/>
                <w:bCs/>
                <w:sz w:val="16"/>
                <w:szCs w:val="16"/>
              </w:rPr>
              <w:t xml:space="preserve">Radius </w:t>
            </w:r>
            <w:r w:rsidR="00E31ED4">
              <w:rPr>
                <w:b/>
                <w:bCs/>
                <w:sz w:val="16"/>
                <w:szCs w:val="16"/>
              </w:rPr>
              <w:t xml:space="preserve">of </w:t>
            </w:r>
            <w:r w:rsidRPr="00752906">
              <w:rPr>
                <w:b/>
                <w:bCs/>
                <w:sz w:val="16"/>
                <w:szCs w:val="16"/>
              </w:rPr>
              <w:t>damage area</w:t>
            </w:r>
          </w:p>
          <w:p w14:paraId="61CB2D51" w14:textId="77777777" w:rsidR="000C4768" w:rsidRPr="00752906" w:rsidRDefault="000C4768" w:rsidP="000C4768">
            <w:pPr>
              <w:jc w:val="center"/>
              <w:rPr>
                <w:b/>
                <w:sz w:val="16"/>
                <w:szCs w:val="16"/>
              </w:rPr>
            </w:pPr>
            <w:r w:rsidRPr="00752906">
              <w:rPr>
                <w:b/>
                <w:bCs/>
                <w:sz w:val="16"/>
                <w:szCs w:val="16"/>
              </w:rPr>
              <w:t>for 16 t</w:t>
            </w:r>
          </w:p>
          <w:p w14:paraId="4A96786F" w14:textId="77777777" w:rsidR="000C4768" w:rsidRPr="00752906" w:rsidRDefault="000C4768" w:rsidP="000C4768">
            <w:pPr>
              <w:jc w:val="center"/>
              <w:rPr>
                <w:b/>
                <w:sz w:val="16"/>
                <w:szCs w:val="16"/>
              </w:rPr>
            </w:pPr>
            <w:r w:rsidRPr="00752906">
              <w:rPr>
                <w:b/>
                <w:bCs/>
                <w:sz w:val="16"/>
                <w:szCs w:val="16"/>
              </w:rPr>
              <w:t>(m)</w:t>
            </w:r>
          </w:p>
        </w:tc>
        <w:tc>
          <w:tcPr>
            <w:tcW w:w="1280" w:type="dxa"/>
            <w:hideMark/>
          </w:tcPr>
          <w:p w14:paraId="09970568" w14:textId="77777777" w:rsidR="000C4768" w:rsidRPr="00752906" w:rsidRDefault="000C4768" w:rsidP="000C4768">
            <w:pPr>
              <w:jc w:val="center"/>
              <w:rPr>
                <w:b/>
                <w:sz w:val="16"/>
                <w:szCs w:val="16"/>
              </w:rPr>
            </w:pPr>
            <w:r w:rsidRPr="00752906">
              <w:rPr>
                <w:b/>
                <w:bCs/>
                <w:sz w:val="16"/>
                <w:szCs w:val="16"/>
              </w:rPr>
              <w:t xml:space="preserve">Radius </w:t>
            </w:r>
            <w:r w:rsidR="00E31ED4">
              <w:rPr>
                <w:b/>
                <w:bCs/>
                <w:sz w:val="16"/>
                <w:szCs w:val="16"/>
              </w:rPr>
              <w:t xml:space="preserve">of </w:t>
            </w:r>
            <w:r w:rsidRPr="00752906">
              <w:rPr>
                <w:b/>
                <w:bCs/>
                <w:sz w:val="16"/>
                <w:szCs w:val="16"/>
              </w:rPr>
              <w:t>damage area for the increase</w:t>
            </w:r>
          </w:p>
          <w:p w14:paraId="01B71A69" w14:textId="77777777" w:rsidR="000C4768" w:rsidRPr="00752906" w:rsidRDefault="000C4768" w:rsidP="000C4768">
            <w:pPr>
              <w:jc w:val="center"/>
              <w:rPr>
                <w:b/>
                <w:sz w:val="16"/>
                <w:szCs w:val="16"/>
              </w:rPr>
            </w:pPr>
            <w:r w:rsidRPr="00752906">
              <w:rPr>
                <w:b/>
                <w:bCs/>
                <w:sz w:val="16"/>
                <w:szCs w:val="16"/>
              </w:rPr>
              <w:t>(m)</w:t>
            </w:r>
          </w:p>
        </w:tc>
        <w:tc>
          <w:tcPr>
            <w:tcW w:w="1280" w:type="dxa"/>
            <w:noWrap/>
            <w:hideMark/>
          </w:tcPr>
          <w:p w14:paraId="687CE763" w14:textId="77777777" w:rsidR="000C4768" w:rsidRPr="00752906" w:rsidRDefault="00E31ED4" w:rsidP="000C4768">
            <w:pPr>
              <w:jc w:val="center"/>
              <w:rPr>
                <w:b/>
                <w:sz w:val="16"/>
                <w:szCs w:val="16"/>
              </w:rPr>
            </w:pPr>
            <w:r>
              <w:rPr>
                <w:b/>
                <w:bCs/>
                <w:sz w:val="16"/>
                <w:szCs w:val="16"/>
              </w:rPr>
              <w:t>Damage area</w:t>
            </w:r>
            <w:r w:rsidR="000C4768" w:rsidRPr="00752906">
              <w:rPr>
                <w:b/>
                <w:bCs/>
                <w:sz w:val="16"/>
                <w:szCs w:val="16"/>
              </w:rPr>
              <w:t xml:space="preserve"> for 16 t</w:t>
            </w:r>
          </w:p>
          <w:p w14:paraId="1AC5B87B" w14:textId="77777777" w:rsidR="000C4768" w:rsidRPr="00752906" w:rsidRDefault="000C4768" w:rsidP="000C4768">
            <w:pPr>
              <w:jc w:val="center"/>
              <w:rPr>
                <w:b/>
                <w:sz w:val="16"/>
                <w:szCs w:val="16"/>
              </w:rPr>
            </w:pPr>
            <w:r w:rsidRPr="00752906">
              <w:rPr>
                <w:b/>
                <w:bCs/>
                <w:sz w:val="16"/>
                <w:szCs w:val="16"/>
              </w:rPr>
              <w:t>(m2)</w:t>
            </w:r>
          </w:p>
        </w:tc>
        <w:tc>
          <w:tcPr>
            <w:tcW w:w="1211" w:type="dxa"/>
            <w:hideMark/>
          </w:tcPr>
          <w:p w14:paraId="2E43064D" w14:textId="77777777" w:rsidR="000C4768" w:rsidRPr="00752906" w:rsidRDefault="00E31ED4" w:rsidP="000C4768">
            <w:pPr>
              <w:jc w:val="center"/>
              <w:rPr>
                <w:b/>
                <w:sz w:val="16"/>
                <w:szCs w:val="16"/>
              </w:rPr>
            </w:pPr>
            <w:r>
              <w:rPr>
                <w:b/>
                <w:bCs/>
                <w:sz w:val="16"/>
                <w:szCs w:val="16"/>
              </w:rPr>
              <w:t xml:space="preserve">Damage area </w:t>
            </w:r>
            <w:r w:rsidR="000C4768" w:rsidRPr="00752906">
              <w:rPr>
                <w:sz w:val="16"/>
                <w:szCs w:val="16"/>
              </w:rPr>
              <w:br/>
            </w:r>
            <w:r w:rsidR="000C4768" w:rsidRPr="00752906">
              <w:rPr>
                <w:b/>
                <w:bCs/>
                <w:sz w:val="16"/>
                <w:szCs w:val="16"/>
              </w:rPr>
              <w:t>for the increase</w:t>
            </w:r>
          </w:p>
          <w:p w14:paraId="5C55739D" w14:textId="77777777" w:rsidR="000C4768" w:rsidRPr="00752906" w:rsidRDefault="000C4768" w:rsidP="000C4768">
            <w:pPr>
              <w:jc w:val="center"/>
              <w:rPr>
                <w:b/>
                <w:sz w:val="16"/>
                <w:szCs w:val="16"/>
              </w:rPr>
            </w:pPr>
            <w:r w:rsidRPr="00752906">
              <w:rPr>
                <w:b/>
                <w:bCs/>
                <w:sz w:val="16"/>
                <w:szCs w:val="16"/>
              </w:rPr>
              <w:t>(m2)</w:t>
            </w:r>
          </w:p>
        </w:tc>
        <w:tc>
          <w:tcPr>
            <w:tcW w:w="1057" w:type="dxa"/>
            <w:hideMark/>
          </w:tcPr>
          <w:p w14:paraId="55413E5A" w14:textId="77777777" w:rsidR="000C4768" w:rsidRPr="00752906" w:rsidRDefault="000C4768" w:rsidP="00E31ED4">
            <w:pPr>
              <w:jc w:val="center"/>
              <w:rPr>
                <w:b/>
                <w:sz w:val="16"/>
                <w:szCs w:val="16"/>
              </w:rPr>
            </w:pPr>
            <w:r w:rsidRPr="00752906">
              <w:rPr>
                <w:b/>
                <w:bCs/>
                <w:sz w:val="16"/>
                <w:szCs w:val="16"/>
              </w:rPr>
              <w:t xml:space="preserve">Corrected </w:t>
            </w:r>
            <w:r w:rsidR="00E31ED4">
              <w:rPr>
                <w:b/>
                <w:bCs/>
                <w:sz w:val="16"/>
                <w:szCs w:val="16"/>
              </w:rPr>
              <w:t>area</w:t>
            </w:r>
            <w:r w:rsidRPr="00752906">
              <w:rPr>
                <w:b/>
                <w:bCs/>
                <w:sz w:val="16"/>
                <w:szCs w:val="16"/>
              </w:rPr>
              <w:t xml:space="preserve"> for the increase</w:t>
            </w:r>
          </w:p>
        </w:tc>
        <w:tc>
          <w:tcPr>
            <w:tcW w:w="1276" w:type="dxa"/>
            <w:hideMark/>
          </w:tcPr>
          <w:p w14:paraId="4301E740" w14:textId="77777777" w:rsidR="000C4768" w:rsidRPr="00752906" w:rsidRDefault="000C4768" w:rsidP="00DB31EC">
            <w:pPr>
              <w:jc w:val="center"/>
              <w:rPr>
                <w:b/>
                <w:sz w:val="16"/>
                <w:szCs w:val="16"/>
              </w:rPr>
            </w:pPr>
            <w:r w:rsidRPr="00752906">
              <w:rPr>
                <w:b/>
                <w:bCs/>
                <w:sz w:val="16"/>
                <w:szCs w:val="16"/>
              </w:rPr>
              <w:t>% decrease</w:t>
            </w:r>
            <w:r w:rsidR="00DB31EC">
              <w:rPr>
                <w:b/>
                <w:bCs/>
                <w:sz w:val="16"/>
                <w:szCs w:val="16"/>
              </w:rPr>
              <w:t xml:space="preserve"> of</w:t>
            </w:r>
            <w:r w:rsidRPr="00752906">
              <w:rPr>
                <w:sz w:val="16"/>
                <w:szCs w:val="16"/>
              </w:rPr>
              <w:br/>
            </w:r>
            <w:r w:rsidR="00DB31EC">
              <w:rPr>
                <w:b/>
                <w:bCs/>
                <w:sz w:val="16"/>
                <w:szCs w:val="16"/>
              </w:rPr>
              <w:t>damage area</w:t>
            </w:r>
          </w:p>
        </w:tc>
      </w:tr>
      <w:tr w:rsidR="000C4768" w:rsidRPr="00752906" w14:paraId="6DAEE3C1" w14:textId="77777777" w:rsidTr="000C4768">
        <w:trPr>
          <w:trHeight w:val="300"/>
        </w:trPr>
        <w:tc>
          <w:tcPr>
            <w:tcW w:w="993" w:type="dxa"/>
            <w:noWrap/>
            <w:hideMark/>
          </w:tcPr>
          <w:p w14:paraId="22A7FFCF" w14:textId="77777777" w:rsidR="000C4768" w:rsidRPr="00752906" w:rsidRDefault="000C4768" w:rsidP="000C4768">
            <w:pPr>
              <w:jc w:val="center"/>
            </w:pPr>
            <w:r w:rsidRPr="00752906">
              <w:t>16 to 17</w:t>
            </w:r>
          </w:p>
        </w:tc>
        <w:tc>
          <w:tcPr>
            <w:tcW w:w="1280" w:type="dxa"/>
            <w:noWrap/>
            <w:hideMark/>
          </w:tcPr>
          <w:p w14:paraId="220D5F46" w14:textId="77777777" w:rsidR="000C4768" w:rsidRPr="00752906" w:rsidRDefault="000C4768" w:rsidP="000C4768">
            <w:pPr>
              <w:jc w:val="center"/>
            </w:pPr>
            <w:r w:rsidRPr="00752906">
              <w:t>2027</w:t>
            </w:r>
          </w:p>
        </w:tc>
        <w:tc>
          <w:tcPr>
            <w:tcW w:w="1280" w:type="dxa"/>
            <w:noWrap/>
            <w:hideMark/>
          </w:tcPr>
          <w:p w14:paraId="760CC74F" w14:textId="77777777" w:rsidR="000C4768" w:rsidRPr="00752906" w:rsidRDefault="000C4768" w:rsidP="000C4768">
            <w:pPr>
              <w:jc w:val="center"/>
            </w:pPr>
            <w:r w:rsidRPr="00752906">
              <w:t>2042</w:t>
            </w:r>
          </w:p>
        </w:tc>
        <w:tc>
          <w:tcPr>
            <w:tcW w:w="1280" w:type="dxa"/>
            <w:noWrap/>
            <w:hideMark/>
          </w:tcPr>
          <w:p w14:paraId="63471B75" w14:textId="77777777" w:rsidR="000C4768" w:rsidRPr="00752906" w:rsidRDefault="000C4768" w:rsidP="000C4768">
            <w:pPr>
              <w:jc w:val="center"/>
            </w:pPr>
            <w:r w:rsidRPr="00752906">
              <w:t>12910158</w:t>
            </w:r>
          </w:p>
        </w:tc>
        <w:tc>
          <w:tcPr>
            <w:tcW w:w="1211" w:type="dxa"/>
            <w:noWrap/>
            <w:hideMark/>
          </w:tcPr>
          <w:p w14:paraId="39F537CA" w14:textId="77777777" w:rsidR="000C4768" w:rsidRPr="00752906" w:rsidRDefault="000C4768" w:rsidP="000C4768">
            <w:pPr>
              <w:jc w:val="center"/>
            </w:pPr>
            <w:r w:rsidRPr="00752906">
              <w:t>13102743</w:t>
            </w:r>
          </w:p>
        </w:tc>
        <w:tc>
          <w:tcPr>
            <w:tcW w:w="1057" w:type="dxa"/>
            <w:noWrap/>
            <w:hideMark/>
          </w:tcPr>
          <w:p w14:paraId="0F6A0386" w14:textId="77777777" w:rsidR="000C4768" w:rsidRPr="00752906" w:rsidRDefault="000C4768" w:rsidP="000C4768">
            <w:pPr>
              <w:jc w:val="center"/>
            </w:pPr>
            <w:r w:rsidRPr="00752906">
              <w:t>12331993</w:t>
            </w:r>
          </w:p>
        </w:tc>
        <w:tc>
          <w:tcPr>
            <w:tcW w:w="1276" w:type="dxa"/>
            <w:noWrap/>
            <w:hideMark/>
          </w:tcPr>
          <w:p w14:paraId="7115D590" w14:textId="77777777" w:rsidR="000C4768" w:rsidRPr="00752906" w:rsidRDefault="000C4768" w:rsidP="000C4768">
            <w:pPr>
              <w:jc w:val="center"/>
            </w:pPr>
            <w:r w:rsidRPr="00752906">
              <w:t>4.48</w:t>
            </w:r>
          </w:p>
        </w:tc>
      </w:tr>
      <w:tr w:rsidR="000C4768" w:rsidRPr="00752906" w14:paraId="6251E881" w14:textId="77777777" w:rsidTr="000C4768">
        <w:trPr>
          <w:trHeight w:val="300"/>
        </w:trPr>
        <w:tc>
          <w:tcPr>
            <w:tcW w:w="993" w:type="dxa"/>
            <w:noWrap/>
            <w:hideMark/>
          </w:tcPr>
          <w:p w14:paraId="6964596C" w14:textId="77777777" w:rsidR="000C4768" w:rsidRPr="00752906" w:rsidRDefault="000C4768" w:rsidP="000C4768">
            <w:pPr>
              <w:jc w:val="center"/>
            </w:pPr>
            <w:r w:rsidRPr="00752906">
              <w:t>16 to 18</w:t>
            </w:r>
          </w:p>
        </w:tc>
        <w:tc>
          <w:tcPr>
            <w:tcW w:w="1280" w:type="dxa"/>
            <w:noWrap/>
            <w:hideMark/>
          </w:tcPr>
          <w:p w14:paraId="49C77D3E" w14:textId="77777777" w:rsidR="000C4768" w:rsidRPr="00752906" w:rsidRDefault="000C4768" w:rsidP="000C4768">
            <w:pPr>
              <w:jc w:val="center"/>
            </w:pPr>
            <w:r w:rsidRPr="00752906">
              <w:t>2027</w:t>
            </w:r>
          </w:p>
        </w:tc>
        <w:tc>
          <w:tcPr>
            <w:tcW w:w="1280" w:type="dxa"/>
            <w:noWrap/>
            <w:hideMark/>
          </w:tcPr>
          <w:p w14:paraId="051C9AC7" w14:textId="77777777" w:rsidR="000C4768" w:rsidRPr="00752906" w:rsidRDefault="000C4768" w:rsidP="000C4768">
            <w:pPr>
              <w:jc w:val="center"/>
            </w:pPr>
            <w:r w:rsidRPr="00752906">
              <w:t>2055</w:t>
            </w:r>
          </w:p>
        </w:tc>
        <w:tc>
          <w:tcPr>
            <w:tcW w:w="1280" w:type="dxa"/>
            <w:noWrap/>
            <w:hideMark/>
          </w:tcPr>
          <w:p w14:paraId="356A834F" w14:textId="77777777" w:rsidR="000C4768" w:rsidRPr="00752906" w:rsidRDefault="000C4768" w:rsidP="000C4768">
            <w:pPr>
              <w:jc w:val="center"/>
            </w:pPr>
            <w:r w:rsidRPr="00752906">
              <w:t>12910158</w:t>
            </w:r>
          </w:p>
        </w:tc>
        <w:tc>
          <w:tcPr>
            <w:tcW w:w="1211" w:type="dxa"/>
            <w:noWrap/>
            <w:hideMark/>
          </w:tcPr>
          <w:p w14:paraId="523C3E52" w14:textId="77777777" w:rsidR="000C4768" w:rsidRPr="00752906" w:rsidRDefault="000C4768" w:rsidP="000C4768">
            <w:pPr>
              <w:jc w:val="center"/>
            </w:pPr>
            <w:r w:rsidRPr="00752906">
              <w:t>13263100</w:t>
            </w:r>
          </w:p>
        </w:tc>
        <w:tc>
          <w:tcPr>
            <w:tcW w:w="1057" w:type="dxa"/>
            <w:noWrap/>
            <w:hideMark/>
          </w:tcPr>
          <w:p w14:paraId="6C2FBAB6" w14:textId="77777777" w:rsidR="000C4768" w:rsidRPr="00752906" w:rsidRDefault="000C4768" w:rsidP="000C4768">
            <w:pPr>
              <w:jc w:val="center"/>
            </w:pPr>
            <w:r w:rsidRPr="00752906">
              <w:t>11789422</w:t>
            </w:r>
          </w:p>
        </w:tc>
        <w:tc>
          <w:tcPr>
            <w:tcW w:w="1276" w:type="dxa"/>
            <w:noWrap/>
            <w:hideMark/>
          </w:tcPr>
          <w:p w14:paraId="7E1AB9AC" w14:textId="77777777" w:rsidR="000C4768" w:rsidRPr="00752906" w:rsidRDefault="000C4768" w:rsidP="000C4768">
            <w:pPr>
              <w:jc w:val="center"/>
            </w:pPr>
            <w:r w:rsidRPr="00752906">
              <w:t>8.68</w:t>
            </w:r>
          </w:p>
        </w:tc>
      </w:tr>
      <w:tr w:rsidR="000C4768" w:rsidRPr="00752906" w14:paraId="795D9BCA" w14:textId="77777777" w:rsidTr="000C4768">
        <w:trPr>
          <w:trHeight w:val="300"/>
        </w:trPr>
        <w:tc>
          <w:tcPr>
            <w:tcW w:w="993" w:type="dxa"/>
            <w:noWrap/>
            <w:hideMark/>
          </w:tcPr>
          <w:p w14:paraId="7B5181CA" w14:textId="77777777" w:rsidR="000C4768" w:rsidRPr="00752906" w:rsidRDefault="000C4768" w:rsidP="000C4768">
            <w:pPr>
              <w:jc w:val="center"/>
            </w:pPr>
            <w:r w:rsidRPr="00752906">
              <w:t>16 to 19</w:t>
            </w:r>
          </w:p>
        </w:tc>
        <w:tc>
          <w:tcPr>
            <w:tcW w:w="1280" w:type="dxa"/>
            <w:noWrap/>
            <w:hideMark/>
          </w:tcPr>
          <w:p w14:paraId="00ED15ED" w14:textId="77777777" w:rsidR="000C4768" w:rsidRPr="00752906" w:rsidRDefault="000C4768" w:rsidP="000C4768">
            <w:pPr>
              <w:jc w:val="center"/>
            </w:pPr>
            <w:r w:rsidRPr="00752906">
              <w:t>2027</w:t>
            </w:r>
          </w:p>
        </w:tc>
        <w:tc>
          <w:tcPr>
            <w:tcW w:w="1280" w:type="dxa"/>
            <w:noWrap/>
            <w:hideMark/>
          </w:tcPr>
          <w:p w14:paraId="226EDC2C" w14:textId="77777777" w:rsidR="000C4768" w:rsidRPr="00752906" w:rsidRDefault="000C4768" w:rsidP="000C4768">
            <w:pPr>
              <w:jc w:val="center"/>
            </w:pPr>
            <w:r w:rsidRPr="00752906">
              <w:t>2065</w:t>
            </w:r>
          </w:p>
        </w:tc>
        <w:tc>
          <w:tcPr>
            <w:tcW w:w="1280" w:type="dxa"/>
            <w:noWrap/>
            <w:hideMark/>
          </w:tcPr>
          <w:p w14:paraId="12014ADF" w14:textId="77777777" w:rsidR="000C4768" w:rsidRPr="00752906" w:rsidRDefault="000C4768" w:rsidP="000C4768">
            <w:pPr>
              <w:jc w:val="center"/>
            </w:pPr>
            <w:r w:rsidRPr="00752906">
              <w:t>12910158</w:t>
            </w:r>
          </w:p>
        </w:tc>
        <w:tc>
          <w:tcPr>
            <w:tcW w:w="1211" w:type="dxa"/>
            <w:noWrap/>
            <w:hideMark/>
          </w:tcPr>
          <w:p w14:paraId="56A2058B" w14:textId="77777777" w:rsidR="000C4768" w:rsidRPr="00752906" w:rsidRDefault="000C4768" w:rsidP="000C4768">
            <w:pPr>
              <w:jc w:val="center"/>
            </w:pPr>
            <w:r w:rsidRPr="00752906">
              <w:t>13393215</w:t>
            </w:r>
          </w:p>
        </w:tc>
        <w:tc>
          <w:tcPr>
            <w:tcW w:w="1057" w:type="dxa"/>
            <w:noWrap/>
            <w:hideMark/>
          </w:tcPr>
          <w:p w14:paraId="20BB945B" w14:textId="77777777" w:rsidR="000C4768" w:rsidRPr="00752906" w:rsidRDefault="000C4768" w:rsidP="000C4768">
            <w:pPr>
              <w:jc w:val="center"/>
            </w:pPr>
            <w:r w:rsidRPr="00752906">
              <w:t>11278496</w:t>
            </w:r>
          </w:p>
        </w:tc>
        <w:tc>
          <w:tcPr>
            <w:tcW w:w="1276" w:type="dxa"/>
            <w:noWrap/>
            <w:hideMark/>
          </w:tcPr>
          <w:p w14:paraId="57372399" w14:textId="77777777" w:rsidR="000C4768" w:rsidRPr="00752906" w:rsidRDefault="000C4768" w:rsidP="000C4768">
            <w:pPr>
              <w:jc w:val="center"/>
            </w:pPr>
            <w:r w:rsidRPr="00752906">
              <w:t>12.64</w:t>
            </w:r>
          </w:p>
        </w:tc>
      </w:tr>
      <w:tr w:rsidR="000C4768" w:rsidRPr="00C63A1C" w14:paraId="5A4649EC" w14:textId="77777777" w:rsidTr="000C4768">
        <w:trPr>
          <w:trHeight w:val="300"/>
        </w:trPr>
        <w:tc>
          <w:tcPr>
            <w:tcW w:w="993" w:type="dxa"/>
            <w:noWrap/>
            <w:hideMark/>
          </w:tcPr>
          <w:p w14:paraId="172E9437" w14:textId="77777777" w:rsidR="000C4768" w:rsidRPr="00C63A1C" w:rsidRDefault="000C4768" w:rsidP="000C4768">
            <w:pPr>
              <w:jc w:val="center"/>
            </w:pPr>
            <w:r w:rsidRPr="00C63A1C">
              <w:rPr>
                <w:bCs/>
              </w:rPr>
              <w:t>16 to 20</w:t>
            </w:r>
          </w:p>
        </w:tc>
        <w:tc>
          <w:tcPr>
            <w:tcW w:w="1280" w:type="dxa"/>
            <w:noWrap/>
            <w:hideMark/>
          </w:tcPr>
          <w:p w14:paraId="70F8B0F5" w14:textId="77777777" w:rsidR="000C4768" w:rsidRPr="00C63A1C" w:rsidRDefault="000C4768" w:rsidP="000C4768">
            <w:pPr>
              <w:jc w:val="center"/>
            </w:pPr>
            <w:r w:rsidRPr="00C63A1C">
              <w:rPr>
                <w:bCs/>
              </w:rPr>
              <w:t>2027</w:t>
            </w:r>
          </w:p>
        </w:tc>
        <w:tc>
          <w:tcPr>
            <w:tcW w:w="1280" w:type="dxa"/>
            <w:noWrap/>
            <w:hideMark/>
          </w:tcPr>
          <w:p w14:paraId="0FA9A2F0" w14:textId="77777777" w:rsidR="000C4768" w:rsidRPr="00C63A1C" w:rsidRDefault="000C4768" w:rsidP="000C4768">
            <w:pPr>
              <w:jc w:val="center"/>
            </w:pPr>
            <w:r w:rsidRPr="00C63A1C">
              <w:rPr>
                <w:bCs/>
              </w:rPr>
              <w:t>2073</w:t>
            </w:r>
          </w:p>
        </w:tc>
        <w:tc>
          <w:tcPr>
            <w:tcW w:w="1280" w:type="dxa"/>
            <w:noWrap/>
            <w:hideMark/>
          </w:tcPr>
          <w:p w14:paraId="79DC9572" w14:textId="77777777" w:rsidR="000C4768" w:rsidRPr="00C63A1C" w:rsidRDefault="000C4768" w:rsidP="000C4768">
            <w:pPr>
              <w:jc w:val="center"/>
            </w:pPr>
            <w:r w:rsidRPr="00C63A1C">
              <w:rPr>
                <w:bCs/>
              </w:rPr>
              <w:t>12910158</w:t>
            </w:r>
          </w:p>
        </w:tc>
        <w:tc>
          <w:tcPr>
            <w:tcW w:w="1211" w:type="dxa"/>
            <w:noWrap/>
            <w:hideMark/>
          </w:tcPr>
          <w:p w14:paraId="1E5E2277" w14:textId="77777777" w:rsidR="000C4768" w:rsidRPr="00C63A1C" w:rsidRDefault="000C4768" w:rsidP="000C4768">
            <w:pPr>
              <w:jc w:val="center"/>
            </w:pPr>
            <w:r w:rsidRPr="00C63A1C">
              <w:rPr>
                <w:bCs/>
              </w:rPr>
              <w:t>13494894</w:t>
            </w:r>
          </w:p>
        </w:tc>
        <w:tc>
          <w:tcPr>
            <w:tcW w:w="1057" w:type="dxa"/>
            <w:noWrap/>
            <w:hideMark/>
          </w:tcPr>
          <w:p w14:paraId="1C5CE003" w14:textId="77777777" w:rsidR="000C4768" w:rsidRPr="00C63A1C" w:rsidRDefault="000C4768" w:rsidP="000C4768">
            <w:pPr>
              <w:jc w:val="center"/>
            </w:pPr>
            <w:r w:rsidRPr="00C63A1C">
              <w:rPr>
                <w:bCs/>
              </w:rPr>
              <w:t>10795915</w:t>
            </w:r>
          </w:p>
        </w:tc>
        <w:tc>
          <w:tcPr>
            <w:tcW w:w="1276" w:type="dxa"/>
            <w:noWrap/>
            <w:hideMark/>
          </w:tcPr>
          <w:p w14:paraId="320A9015" w14:textId="77777777" w:rsidR="000C4768" w:rsidRPr="00C63A1C" w:rsidRDefault="000C4768" w:rsidP="000C4768">
            <w:pPr>
              <w:jc w:val="center"/>
            </w:pPr>
            <w:r w:rsidRPr="00C63A1C">
              <w:rPr>
                <w:bCs/>
              </w:rPr>
              <w:t>16.38</w:t>
            </w:r>
          </w:p>
        </w:tc>
      </w:tr>
      <w:tr w:rsidR="000C4768" w:rsidRPr="00752906" w14:paraId="252D9201" w14:textId="77777777" w:rsidTr="000C4768">
        <w:trPr>
          <w:trHeight w:val="300"/>
        </w:trPr>
        <w:tc>
          <w:tcPr>
            <w:tcW w:w="993" w:type="dxa"/>
            <w:noWrap/>
            <w:hideMark/>
          </w:tcPr>
          <w:p w14:paraId="558EC9D6" w14:textId="77777777" w:rsidR="000C4768" w:rsidRPr="00752906" w:rsidRDefault="000C4768" w:rsidP="000C4768">
            <w:pPr>
              <w:jc w:val="center"/>
            </w:pPr>
            <w:r w:rsidRPr="00752906">
              <w:t>16 to 21</w:t>
            </w:r>
          </w:p>
        </w:tc>
        <w:tc>
          <w:tcPr>
            <w:tcW w:w="1280" w:type="dxa"/>
            <w:noWrap/>
            <w:hideMark/>
          </w:tcPr>
          <w:p w14:paraId="61E1EE2F" w14:textId="77777777" w:rsidR="000C4768" w:rsidRPr="00752906" w:rsidRDefault="000C4768" w:rsidP="000C4768">
            <w:pPr>
              <w:jc w:val="center"/>
            </w:pPr>
            <w:r w:rsidRPr="00752906">
              <w:t>2027</w:t>
            </w:r>
          </w:p>
        </w:tc>
        <w:tc>
          <w:tcPr>
            <w:tcW w:w="1280" w:type="dxa"/>
            <w:noWrap/>
            <w:hideMark/>
          </w:tcPr>
          <w:p w14:paraId="337B59F1" w14:textId="77777777" w:rsidR="000C4768" w:rsidRPr="00752906" w:rsidRDefault="000C4768" w:rsidP="000C4768">
            <w:pPr>
              <w:jc w:val="center"/>
            </w:pPr>
            <w:r w:rsidRPr="00752906">
              <w:t>2078</w:t>
            </w:r>
          </w:p>
        </w:tc>
        <w:tc>
          <w:tcPr>
            <w:tcW w:w="1280" w:type="dxa"/>
            <w:noWrap/>
            <w:hideMark/>
          </w:tcPr>
          <w:p w14:paraId="1E36365D" w14:textId="77777777" w:rsidR="000C4768" w:rsidRPr="00752906" w:rsidRDefault="000C4768" w:rsidP="000C4768">
            <w:pPr>
              <w:jc w:val="center"/>
            </w:pPr>
            <w:r w:rsidRPr="00752906">
              <w:t>12910158</w:t>
            </w:r>
          </w:p>
        </w:tc>
        <w:tc>
          <w:tcPr>
            <w:tcW w:w="1211" w:type="dxa"/>
            <w:noWrap/>
            <w:hideMark/>
          </w:tcPr>
          <w:p w14:paraId="20D05006" w14:textId="77777777" w:rsidR="000C4768" w:rsidRPr="00752906" w:rsidRDefault="000C4768" w:rsidP="000C4768">
            <w:pPr>
              <w:jc w:val="center"/>
            </w:pPr>
            <w:r w:rsidRPr="00752906">
              <w:t>13569795</w:t>
            </w:r>
          </w:p>
        </w:tc>
        <w:tc>
          <w:tcPr>
            <w:tcW w:w="1057" w:type="dxa"/>
            <w:noWrap/>
            <w:hideMark/>
          </w:tcPr>
          <w:p w14:paraId="729ABF88" w14:textId="77777777" w:rsidR="000C4768" w:rsidRPr="00752906" w:rsidRDefault="000C4768" w:rsidP="000C4768">
            <w:pPr>
              <w:jc w:val="center"/>
            </w:pPr>
            <w:r w:rsidRPr="00752906">
              <w:t>10338891</w:t>
            </w:r>
          </w:p>
        </w:tc>
        <w:tc>
          <w:tcPr>
            <w:tcW w:w="1276" w:type="dxa"/>
            <w:noWrap/>
            <w:hideMark/>
          </w:tcPr>
          <w:p w14:paraId="35B2BDF1" w14:textId="77777777" w:rsidR="000C4768" w:rsidRPr="00752906" w:rsidRDefault="000C4768" w:rsidP="000C4768">
            <w:pPr>
              <w:jc w:val="center"/>
            </w:pPr>
            <w:r w:rsidRPr="00752906">
              <w:t>19.92</w:t>
            </w:r>
          </w:p>
        </w:tc>
      </w:tr>
      <w:tr w:rsidR="000C4768" w:rsidRPr="00752906" w14:paraId="44B57DEA" w14:textId="77777777" w:rsidTr="000C4768">
        <w:trPr>
          <w:trHeight w:val="300"/>
        </w:trPr>
        <w:tc>
          <w:tcPr>
            <w:tcW w:w="993" w:type="dxa"/>
            <w:noWrap/>
            <w:hideMark/>
          </w:tcPr>
          <w:p w14:paraId="604706D4" w14:textId="77777777" w:rsidR="000C4768" w:rsidRPr="00752906" w:rsidRDefault="000C4768" w:rsidP="000C4768">
            <w:pPr>
              <w:jc w:val="center"/>
            </w:pPr>
            <w:r w:rsidRPr="00752906">
              <w:t>16 to 22</w:t>
            </w:r>
          </w:p>
        </w:tc>
        <w:tc>
          <w:tcPr>
            <w:tcW w:w="1280" w:type="dxa"/>
            <w:noWrap/>
            <w:hideMark/>
          </w:tcPr>
          <w:p w14:paraId="1FDDE462" w14:textId="77777777" w:rsidR="000C4768" w:rsidRPr="00752906" w:rsidRDefault="000C4768" w:rsidP="000C4768">
            <w:pPr>
              <w:jc w:val="center"/>
            </w:pPr>
            <w:r w:rsidRPr="00752906">
              <w:t>2027</w:t>
            </w:r>
          </w:p>
        </w:tc>
        <w:tc>
          <w:tcPr>
            <w:tcW w:w="1280" w:type="dxa"/>
            <w:noWrap/>
            <w:hideMark/>
          </w:tcPr>
          <w:p w14:paraId="1E8F56A0" w14:textId="77777777" w:rsidR="000C4768" w:rsidRPr="00752906" w:rsidRDefault="000C4768" w:rsidP="000C4768">
            <w:pPr>
              <w:jc w:val="center"/>
            </w:pPr>
            <w:r w:rsidRPr="00752906">
              <w:t>2082</w:t>
            </w:r>
          </w:p>
        </w:tc>
        <w:tc>
          <w:tcPr>
            <w:tcW w:w="1280" w:type="dxa"/>
            <w:noWrap/>
            <w:hideMark/>
          </w:tcPr>
          <w:p w14:paraId="7BFAF57D" w14:textId="77777777" w:rsidR="000C4768" w:rsidRPr="00752906" w:rsidRDefault="000C4768" w:rsidP="000C4768">
            <w:pPr>
              <w:jc w:val="center"/>
            </w:pPr>
            <w:r w:rsidRPr="00752906">
              <w:t>12910158</w:t>
            </w:r>
          </w:p>
        </w:tc>
        <w:tc>
          <w:tcPr>
            <w:tcW w:w="1211" w:type="dxa"/>
            <w:noWrap/>
            <w:hideMark/>
          </w:tcPr>
          <w:p w14:paraId="65A8B38B" w14:textId="77777777" w:rsidR="000C4768" w:rsidRPr="00752906" w:rsidRDefault="000C4768" w:rsidP="000C4768">
            <w:pPr>
              <w:jc w:val="center"/>
            </w:pPr>
            <w:r w:rsidRPr="00752906">
              <w:t>13619447</w:t>
            </w:r>
          </w:p>
        </w:tc>
        <w:tc>
          <w:tcPr>
            <w:tcW w:w="1057" w:type="dxa"/>
            <w:noWrap/>
            <w:hideMark/>
          </w:tcPr>
          <w:p w14:paraId="13FCD482" w14:textId="77777777" w:rsidR="000C4768" w:rsidRPr="00752906" w:rsidRDefault="000C4768" w:rsidP="000C4768">
            <w:pPr>
              <w:jc w:val="center"/>
            </w:pPr>
            <w:r w:rsidRPr="00752906">
              <w:t>9905052</w:t>
            </w:r>
          </w:p>
        </w:tc>
        <w:tc>
          <w:tcPr>
            <w:tcW w:w="1276" w:type="dxa"/>
            <w:noWrap/>
            <w:hideMark/>
          </w:tcPr>
          <w:p w14:paraId="6571401D" w14:textId="77777777" w:rsidR="000C4768" w:rsidRPr="00752906" w:rsidRDefault="000C4768" w:rsidP="000C4768">
            <w:pPr>
              <w:jc w:val="center"/>
            </w:pPr>
            <w:r w:rsidRPr="00752906">
              <w:t>23.28</w:t>
            </w:r>
          </w:p>
        </w:tc>
      </w:tr>
      <w:tr w:rsidR="000C4768" w:rsidRPr="00752906" w14:paraId="3ACD35F3" w14:textId="77777777" w:rsidTr="000C4768">
        <w:trPr>
          <w:trHeight w:val="300"/>
        </w:trPr>
        <w:tc>
          <w:tcPr>
            <w:tcW w:w="993" w:type="dxa"/>
            <w:noWrap/>
            <w:hideMark/>
          </w:tcPr>
          <w:p w14:paraId="01AC4AA3" w14:textId="77777777" w:rsidR="000C4768" w:rsidRPr="00752906" w:rsidRDefault="000C4768" w:rsidP="000C4768">
            <w:pPr>
              <w:jc w:val="center"/>
            </w:pPr>
            <w:r w:rsidRPr="00752906">
              <w:t>16 to 23</w:t>
            </w:r>
          </w:p>
        </w:tc>
        <w:tc>
          <w:tcPr>
            <w:tcW w:w="1280" w:type="dxa"/>
            <w:noWrap/>
            <w:hideMark/>
          </w:tcPr>
          <w:p w14:paraId="49B7ED69" w14:textId="77777777" w:rsidR="000C4768" w:rsidRPr="00752906" w:rsidRDefault="000C4768" w:rsidP="000C4768">
            <w:pPr>
              <w:jc w:val="center"/>
            </w:pPr>
            <w:r w:rsidRPr="00752906">
              <w:t>2027</w:t>
            </w:r>
          </w:p>
        </w:tc>
        <w:tc>
          <w:tcPr>
            <w:tcW w:w="1280" w:type="dxa"/>
            <w:noWrap/>
            <w:hideMark/>
          </w:tcPr>
          <w:p w14:paraId="301BB6B4" w14:textId="77777777" w:rsidR="000C4768" w:rsidRPr="00752906" w:rsidRDefault="000C4768" w:rsidP="000C4768">
            <w:pPr>
              <w:jc w:val="center"/>
            </w:pPr>
            <w:r w:rsidRPr="00752906">
              <w:t>2084</w:t>
            </w:r>
          </w:p>
        </w:tc>
        <w:tc>
          <w:tcPr>
            <w:tcW w:w="1280" w:type="dxa"/>
            <w:noWrap/>
            <w:hideMark/>
          </w:tcPr>
          <w:p w14:paraId="323CF4E7" w14:textId="77777777" w:rsidR="000C4768" w:rsidRPr="00752906" w:rsidRDefault="000C4768" w:rsidP="000C4768">
            <w:pPr>
              <w:jc w:val="center"/>
            </w:pPr>
            <w:r w:rsidRPr="00752906">
              <w:t>12910158</w:t>
            </w:r>
          </w:p>
        </w:tc>
        <w:tc>
          <w:tcPr>
            <w:tcW w:w="1211" w:type="dxa"/>
            <w:noWrap/>
            <w:hideMark/>
          </w:tcPr>
          <w:p w14:paraId="678C0FC4" w14:textId="77777777" w:rsidR="000C4768" w:rsidRPr="00752906" w:rsidRDefault="000C4768" w:rsidP="000C4768">
            <w:pPr>
              <w:jc w:val="center"/>
            </w:pPr>
            <w:r w:rsidRPr="00752906">
              <w:t>13645265</w:t>
            </w:r>
          </w:p>
        </w:tc>
        <w:tc>
          <w:tcPr>
            <w:tcW w:w="1057" w:type="dxa"/>
            <w:noWrap/>
            <w:hideMark/>
          </w:tcPr>
          <w:p w14:paraId="0345C7D8" w14:textId="77777777" w:rsidR="000C4768" w:rsidRPr="00752906" w:rsidRDefault="000C4768" w:rsidP="000C4768">
            <w:pPr>
              <w:jc w:val="center"/>
            </w:pPr>
            <w:r w:rsidRPr="00752906">
              <w:t>9492359</w:t>
            </w:r>
          </w:p>
        </w:tc>
        <w:tc>
          <w:tcPr>
            <w:tcW w:w="1276" w:type="dxa"/>
            <w:noWrap/>
            <w:hideMark/>
          </w:tcPr>
          <w:p w14:paraId="271063B1" w14:textId="77777777" w:rsidR="000C4768" w:rsidRPr="00752906" w:rsidRDefault="000C4768" w:rsidP="000C4768">
            <w:pPr>
              <w:jc w:val="center"/>
            </w:pPr>
            <w:r w:rsidRPr="00752906">
              <w:t>26.47</w:t>
            </w:r>
          </w:p>
        </w:tc>
      </w:tr>
      <w:tr w:rsidR="000C4768" w:rsidRPr="00752906" w14:paraId="6D7A6A60" w14:textId="77777777" w:rsidTr="000C4768">
        <w:trPr>
          <w:trHeight w:val="300"/>
        </w:trPr>
        <w:tc>
          <w:tcPr>
            <w:tcW w:w="993" w:type="dxa"/>
            <w:noWrap/>
            <w:hideMark/>
          </w:tcPr>
          <w:p w14:paraId="6D9B820B" w14:textId="77777777" w:rsidR="000C4768" w:rsidRPr="00752906" w:rsidRDefault="000C4768" w:rsidP="000C4768">
            <w:pPr>
              <w:jc w:val="center"/>
            </w:pPr>
            <w:r w:rsidRPr="00752906">
              <w:t>16 to 24</w:t>
            </w:r>
          </w:p>
        </w:tc>
        <w:tc>
          <w:tcPr>
            <w:tcW w:w="1280" w:type="dxa"/>
            <w:noWrap/>
            <w:hideMark/>
          </w:tcPr>
          <w:p w14:paraId="01D8C6E0" w14:textId="5EE236B1" w:rsidR="000C4768" w:rsidRPr="00752906" w:rsidRDefault="000C4768" w:rsidP="00E82425">
            <w:pPr>
              <w:jc w:val="center"/>
            </w:pPr>
            <w:r w:rsidRPr="00752906">
              <w:t>2027</w:t>
            </w:r>
          </w:p>
        </w:tc>
        <w:tc>
          <w:tcPr>
            <w:tcW w:w="1280" w:type="dxa"/>
            <w:noWrap/>
            <w:hideMark/>
          </w:tcPr>
          <w:p w14:paraId="745241FC" w14:textId="2759003D" w:rsidR="000C4768" w:rsidRPr="00752906" w:rsidRDefault="000C4768" w:rsidP="00E82425">
            <w:pPr>
              <w:jc w:val="center"/>
            </w:pPr>
            <w:r w:rsidRPr="00752906">
              <w:t>2084</w:t>
            </w:r>
          </w:p>
        </w:tc>
        <w:tc>
          <w:tcPr>
            <w:tcW w:w="1280" w:type="dxa"/>
            <w:noWrap/>
            <w:hideMark/>
          </w:tcPr>
          <w:p w14:paraId="12BA4CC0" w14:textId="1C6AF922" w:rsidR="000C4768" w:rsidRPr="00752906" w:rsidRDefault="000C4768" w:rsidP="00E82425">
            <w:pPr>
              <w:jc w:val="center"/>
            </w:pPr>
            <w:r w:rsidRPr="00752906">
              <w:t>12910158</w:t>
            </w:r>
          </w:p>
        </w:tc>
        <w:tc>
          <w:tcPr>
            <w:tcW w:w="1211" w:type="dxa"/>
            <w:noWrap/>
            <w:hideMark/>
          </w:tcPr>
          <w:p w14:paraId="101F1108" w14:textId="77777777" w:rsidR="000C4768" w:rsidRPr="00752906" w:rsidRDefault="000C4768" w:rsidP="000C4768">
            <w:pPr>
              <w:jc w:val="center"/>
            </w:pPr>
            <w:r w:rsidRPr="00752906">
              <w:t>13648573</w:t>
            </w:r>
          </w:p>
        </w:tc>
        <w:tc>
          <w:tcPr>
            <w:tcW w:w="1057" w:type="dxa"/>
            <w:noWrap/>
            <w:hideMark/>
          </w:tcPr>
          <w:p w14:paraId="12DD2AFD" w14:textId="77777777" w:rsidR="000C4768" w:rsidRPr="00752906" w:rsidRDefault="000C4768" w:rsidP="000C4768">
            <w:pPr>
              <w:jc w:val="center"/>
            </w:pPr>
            <w:r w:rsidRPr="00752906">
              <w:t>9099048</w:t>
            </w:r>
          </w:p>
        </w:tc>
        <w:tc>
          <w:tcPr>
            <w:tcW w:w="1276" w:type="dxa"/>
            <w:noWrap/>
            <w:hideMark/>
          </w:tcPr>
          <w:p w14:paraId="49C6DF89" w14:textId="77777777" w:rsidR="000C4768" w:rsidRPr="00752906" w:rsidRDefault="000C4768" w:rsidP="000C4768">
            <w:pPr>
              <w:jc w:val="center"/>
            </w:pPr>
            <w:r w:rsidRPr="00752906">
              <w:t>29.52</w:t>
            </w:r>
          </w:p>
        </w:tc>
      </w:tr>
      <w:tr w:rsidR="000C4768" w:rsidRPr="00752906" w14:paraId="774AC830" w14:textId="77777777" w:rsidTr="000C4768">
        <w:trPr>
          <w:trHeight w:val="274"/>
        </w:trPr>
        <w:tc>
          <w:tcPr>
            <w:tcW w:w="993" w:type="dxa"/>
            <w:noWrap/>
            <w:hideMark/>
          </w:tcPr>
          <w:p w14:paraId="0C4FDC64" w14:textId="77777777" w:rsidR="000C4768" w:rsidRPr="00752906" w:rsidRDefault="000C4768" w:rsidP="000C4768">
            <w:pPr>
              <w:jc w:val="center"/>
            </w:pPr>
            <w:r w:rsidRPr="00752906">
              <w:t>16 to 25</w:t>
            </w:r>
          </w:p>
        </w:tc>
        <w:tc>
          <w:tcPr>
            <w:tcW w:w="1280" w:type="dxa"/>
            <w:noWrap/>
            <w:hideMark/>
          </w:tcPr>
          <w:p w14:paraId="6EC69103" w14:textId="4EE44014" w:rsidR="000C4768" w:rsidRPr="00752906" w:rsidRDefault="000C4768" w:rsidP="00E82425">
            <w:pPr>
              <w:jc w:val="center"/>
            </w:pPr>
            <w:r w:rsidRPr="00752906">
              <w:t>2027</w:t>
            </w:r>
          </w:p>
        </w:tc>
        <w:tc>
          <w:tcPr>
            <w:tcW w:w="1280" w:type="dxa"/>
            <w:noWrap/>
            <w:hideMark/>
          </w:tcPr>
          <w:p w14:paraId="52B61221" w14:textId="257B17FC" w:rsidR="000C4768" w:rsidRPr="00752906" w:rsidRDefault="000C4768" w:rsidP="00E82425">
            <w:pPr>
              <w:jc w:val="center"/>
            </w:pPr>
            <w:r w:rsidRPr="00752906">
              <w:t>208</w:t>
            </w:r>
            <w:r w:rsidR="00E82425">
              <w:t>4</w:t>
            </w:r>
          </w:p>
        </w:tc>
        <w:tc>
          <w:tcPr>
            <w:tcW w:w="1280" w:type="dxa"/>
            <w:noWrap/>
            <w:hideMark/>
          </w:tcPr>
          <w:p w14:paraId="2DE26783" w14:textId="7E53D46B" w:rsidR="000C4768" w:rsidRPr="00752906" w:rsidRDefault="000C4768" w:rsidP="00E82425">
            <w:pPr>
              <w:jc w:val="center"/>
            </w:pPr>
            <w:r w:rsidRPr="00752906">
              <w:t>12910158</w:t>
            </w:r>
          </w:p>
        </w:tc>
        <w:tc>
          <w:tcPr>
            <w:tcW w:w="1211" w:type="dxa"/>
            <w:noWrap/>
            <w:hideMark/>
          </w:tcPr>
          <w:p w14:paraId="61A9D92A" w14:textId="7108FDB6" w:rsidR="000C4768" w:rsidRPr="00752906" w:rsidRDefault="000C4768" w:rsidP="000C4768">
            <w:pPr>
              <w:jc w:val="center"/>
            </w:pPr>
            <w:r w:rsidRPr="00752906">
              <w:t>136</w:t>
            </w:r>
            <w:r w:rsidR="00E82425">
              <w:t>44145</w:t>
            </w:r>
          </w:p>
          <w:p w14:paraId="4BFD1286" w14:textId="77777777" w:rsidR="000C4768" w:rsidRPr="00752906" w:rsidRDefault="000C4768" w:rsidP="000C4768">
            <w:pPr>
              <w:jc w:val="center"/>
            </w:pPr>
          </w:p>
        </w:tc>
        <w:tc>
          <w:tcPr>
            <w:tcW w:w="1057" w:type="dxa"/>
            <w:noWrap/>
            <w:hideMark/>
          </w:tcPr>
          <w:p w14:paraId="46BC7898" w14:textId="00FA1E3D" w:rsidR="000C4768" w:rsidRPr="00752906" w:rsidRDefault="000C4768" w:rsidP="00E82425">
            <w:pPr>
              <w:jc w:val="center"/>
            </w:pPr>
            <w:r w:rsidRPr="00752906">
              <w:t>87</w:t>
            </w:r>
            <w:r w:rsidR="00E82425">
              <w:t>32253</w:t>
            </w:r>
          </w:p>
        </w:tc>
        <w:tc>
          <w:tcPr>
            <w:tcW w:w="1276" w:type="dxa"/>
            <w:noWrap/>
            <w:hideMark/>
          </w:tcPr>
          <w:p w14:paraId="476B37DC" w14:textId="1666CC06" w:rsidR="000C4768" w:rsidRPr="00752906" w:rsidRDefault="000C4768" w:rsidP="00E82425">
            <w:pPr>
              <w:jc w:val="center"/>
            </w:pPr>
            <w:r w:rsidRPr="00752906">
              <w:t>32</w:t>
            </w:r>
            <w:r w:rsidR="00E82425">
              <w:t>,36</w:t>
            </w:r>
          </w:p>
        </w:tc>
      </w:tr>
    </w:tbl>
    <w:p w14:paraId="06710DBA" w14:textId="3AD415F5" w:rsidR="000C4768" w:rsidRPr="00C63A1C" w:rsidRDefault="00D24DA9" w:rsidP="001650E6">
      <w:pPr>
        <w:pStyle w:val="SingleTxtG"/>
        <w:spacing w:before="120"/>
        <w:jc w:val="center"/>
        <w:rPr>
          <w:lang w:val="en-GB"/>
        </w:rPr>
      </w:pPr>
      <w:r>
        <w:tab/>
      </w:r>
      <w:proofErr w:type="gramStart"/>
      <w:r w:rsidR="000C4768" w:rsidRPr="00C63A1C">
        <w:rPr>
          <w:lang w:val="en-GB"/>
        </w:rPr>
        <w:t>Table 4.</w:t>
      </w:r>
      <w:proofErr w:type="gramEnd"/>
      <w:r w:rsidR="000C4768" w:rsidRPr="00C63A1C">
        <w:rPr>
          <w:lang w:val="en-GB"/>
        </w:rPr>
        <w:t xml:space="preserve"> Damage area</w:t>
      </w:r>
      <w:r w:rsidR="00C63A1C">
        <w:rPr>
          <w:lang w:val="en-GB"/>
        </w:rPr>
        <w:t xml:space="preserve"> for different increases in the mass of permitted explosives per transport unit</w:t>
      </w:r>
    </w:p>
    <w:p w14:paraId="389B0748" w14:textId="77777777" w:rsidR="00C63A1C" w:rsidRDefault="00C63A1C" w:rsidP="00464E13">
      <w:pPr>
        <w:pStyle w:val="SingleTxtG"/>
        <w:rPr>
          <w:lang w:val="en-GB"/>
        </w:rPr>
      </w:pPr>
      <w:r>
        <w:rPr>
          <w:lang w:val="en-GB"/>
        </w:rPr>
        <w:t xml:space="preserve">In both tables, the following columns have been included, in table 3 for the </w:t>
      </w:r>
      <w:r w:rsidR="00464E13">
        <w:rPr>
          <w:lang w:val="en-GB"/>
        </w:rPr>
        <w:t>lethal affection, and in table 4 for the damage affection:</w:t>
      </w:r>
    </w:p>
    <w:p w14:paraId="2E731871" w14:textId="77777777" w:rsidR="00464E13" w:rsidRDefault="00464E13" w:rsidP="00464E13">
      <w:pPr>
        <w:pStyle w:val="SingleTxtG"/>
        <w:numPr>
          <w:ilvl w:val="0"/>
          <w:numId w:val="24"/>
        </w:numPr>
        <w:rPr>
          <w:lang w:val="en-GB"/>
        </w:rPr>
      </w:pPr>
      <w:r>
        <w:rPr>
          <w:lang w:val="en-GB"/>
        </w:rPr>
        <w:t>Increase of explosives per transport unit</w:t>
      </w:r>
    </w:p>
    <w:p w14:paraId="107D853D" w14:textId="77777777" w:rsidR="00464E13" w:rsidRDefault="00464E13" w:rsidP="00464E13">
      <w:pPr>
        <w:pStyle w:val="SingleTxtG"/>
        <w:numPr>
          <w:ilvl w:val="0"/>
          <w:numId w:val="24"/>
        </w:numPr>
        <w:rPr>
          <w:lang w:val="en-GB"/>
        </w:rPr>
      </w:pPr>
      <w:r>
        <w:rPr>
          <w:lang w:val="en-GB"/>
        </w:rPr>
        <w:lastRenderedPageBreak/>
        <w:t>Radius (m) for the lethal/damage area for the specific case of transport of 16 t (maximum limit according to present ADR regulation)</w:t>
      </w:r>
    </w:p>
    <w:p w14:paraId="3A6D3500" w14:textId="26ED3F5D" w:rsidR="00464E13" w:rsidRDefault="00464E13" w:rsidP="00464E13">
      <w:pPr>
        <w:pStyle w:val="SingleTxtG"/>
        <w:numPr>
          <w:ilvl w:val="0"/>
          <w:numId w:val="24"/>
        </w:numPr>
        <w:rPr>
          <w:lang w:val="en-GB"/>
        </w:rPr>
      </w:pPr>
      <w:r>
        <w:rPr>
          <w:lang w:val="en-GB"/>
        </w:rPr>
        <w:t>Radius (m) for the lethal/damage in case the increase shown in column (1) would be permitted</w:t>
      </w:r>
    </w:p>
    <w:p w14:paraId="0A97118D" w14:textId="77777777" w:rsidR="00464E13" w:rsidRDefault="00464E13" w:rsidP="00464E13">
      <w:pPr>
        <w:pStyle w:val="SingleTxtG"/>
        <w:numPr>
          <w:ilvl w:val="0"/>
          <w:numId w:val="24"/>
        </w:numPr>
        <w:rPr>
          <w:lang w:val="en-GB"/>
        </w:rPr>
      </w:pPr>
      <w:r>
        <w:rPr>
          <w:lang w:val="en-GB"/>
        </w:rPr>
        <w:t>Area (m</w:t>
      </w:r>
      <w:r w:rsidRPr="00464E13">
        <w:rPr>
          <w:vertAlign w:val="superscript"/>
          <w:lang w:val="en-GB"/>
        </w:rPr>
        <w:t>2</w:t>
      </w:r>
      <w:r>
        <w:rPr>
          <w:lang w:val="en-GB"/>
        </w:rPr>
        <w:t>) for the lethal/damage are for the specific case of transport of 16 t (maximum limit according to present ADR regulation)</w:t>
      </w:r>
    </w:p>
    <w:p w14:paraId="60890BD0" w14:textId="263BC657" w:rsidR="00464E13" w:rsidRDefault="00464E13" w:rsidP="00464E13">
      <w:pPr>
        <w:pStyle w:val="SingleTxtG"/>
        <w:numPr>
          <w:ilvl w:val="0"/>
          <w:numId w:val="24"/>
        </w:numPr>
        <w:rPr>
          <w:lang w:val="en-GB"/>
        </w:rPr>
      </w:pPr>
      <w:r>
        <w:rPr>
          <w:lang w:val="en-GB"/>
        </w:rPr>
        <w:t>Area (m</w:t>
      </w:r>
      <w:r w:rsidRPr="00464E13">
        <w:rPr>
          <w:vertAlign w:val="superscript"/>
          <w:lang w:val="en-GB"/>
        </w:rPr>
        <w:t>2</w:t>
      </w:r>
      <w:r>
        <w:rPr>
          <w:lang w:val="en-GB"/>
        </w:rPr>
        <w:t>)  for the lethal/damage in case the increase shown</w:t>
      </w:r>
      <w:r w:rsidR="002E5465">
        <w:rPr>
          <w:lang w:val="en-GB"/>
        </w:rPr>
        <w:t xml:space="preserve"> </w:t>
      </w:r>
      <w:r>
        <w:rPr>
          <w:lang w:val="en-GB"/>
        </w:rPr>
        <w:t>in column (1) would be permitted</w:t>
      </w:r>
    </w:p>
    <w:p w14:paraId="0497103F" w14:textId="27DE7BEC" w:rsidR="00464E13" w:rsidRPr="002E5465" w:rsidRDefault="00464E13" w:rsidP="00464E13">
      <w:pPr>
        <w:pStyle w:val="SingleTxtG"/>
        <w:numPr>
          <w:ilvl w:val="0"/>
          <w:numId w:val="24"/>
        </w:numPr>
        <w:rPr>
          <w:lang w:val="en-US"/>
        </w:rPr>
      </w:pPr>
      <w:r w:rsidRPr="002E5465">
        <w:rPr>
          <w:lang w:val="en-US"/>
        </w:rPr>
        <w:t>Corrected area (m</w:t>
      </w:r>
      <w:r w:rsidRPr="002E5465">
        <w:rPr>
          <w:vertAlign w:val="superscript"/>
          <w:lang w:val="en-US"/>
        </w:rPr>
        <w:t>2</w:t>
      </w:r>
      <w:r w:rsidRPr="002E5465">
        <w:rPr>
          <w:lang w:val="en-US"/>
        </w:rPr>
        <w:t xml:space="preserve">) for the increase: </w:t>
      </w:r>
      <w:r w:rsidR="002E5465" w:rsidRPr="002E5465">
        <w:rPr>
          <w:lang w:val="en-US"/>
        </w:rPr>
        <w:t>area corrected with the factor obtained in  table 2</w:t>
      </w:r>
    </w:p>
    <w:p w14:paraId="3256E0A8" w14:textId="71FBE45F" w:rsidR="00464E13" w:rsidRPr="002E5465" w:rsidRDefault="002E5465" w:rsidP="00464E13">
      <w:pPr>
        <w:pStyle w:val="SingleTxtG"/>
        <w:numPr>
          <w:ilvl w:val="0"/>
          <w:numId w:val="24"/>
        </w:numPr>
        <w:rPr>
          <w:lang w:val="en-US"/>
        </w:rPr>
      </w:pPr>
      <w:r w:rsidRPr="002E5465">
        <w:rPr>
          <w:lang w:val="en-US"/>
        </w:rPr>
        <w:t>Percentage of decrease of lethal/affected area per transported ton: decrease of area, compared to the case of transport of 16 t, expressed in %</w:t>
      </w:r>
    </w:p>
    <w:p w14:paraId="49F56778" w14:textId="77777777" w:rsidR="00464E13" w:rsidRDefault="000C4768" w:rsidP="00464E13">
      <w:pPr>
        <w:pStyle w:val="SingleTxtG"/>
        <w:rPr>
          <w:lang w:val="en-GB"/>
        </w:rPr>
      </w:pPr>
      <w:r w:rsidRPr="00752906">
        <w:rPr>
          <w:lang w:val="en-GB"/>
        </w:rPr>
        <w:t xml:space="preserve">To summarize the information above, the increase in transported quantities </w:t>
      </w:r>
      <w:proofErr w:type="gramStart"/>
      <w:r w:rsidRPr="00752906">
        <w:rPr>
          <w:lang w:val="en-GB"/>
        </w:rPr>
        <w:t>would, in statistical terms, decrease</w:t>
      </w:r>
      <w:proofErr w:type="gramEnd"/>
      <w:r w:rsidRPr="00752906">
        <w:rPr>
          <w:lang w:val="en-GB"/>
        </w:rPr>
        <w:t xml:space="preserve"> both the risk of lethality as well as of damage if an explosion were to occur. </w:t>
      </w:r>
    </w:p>
    <w:p w14:paraId="668F49A6" w14:textId="77777777" w:rsidR="000C4768" w:rsidRPr="00752906" w:rsidRDefault="00DB31EC" w:rsidP="00464E13">
      <w:pPr>
        <w:pStyle w:val="SingleTxtG"/>
        <w:rPr>
          <w:lang w:val="en-GB"/>
        </w:rPr>
      </w:pPr>
      <w:r w:rsidRPr="00752906">
        <w:rPr>
          <w:lang w:val="en-GB"/>
        </w:rPr>
        <w:t>Figure</w:t>
      </w:r>
      <w:r w:rsidR="00A1664A" w:rsidRPr="00752906">
        <w:rPr>
          <w:lang w:val="en-GB"/>
        </w:rPr>
        <w:t xml:space="preserve"> 2</w:t>
      </w:r>
      <w:r w:rsidR="000C4768" w:rsidRPr="00752906">
        <w:rPr>
          <w:lang w:val="en-GB"/>
        </w:rPr>
        <w:t xml:space="preserve"> shows the evolution of the decrease in the lethality and damage areas that correspond to increases of 1 ton in the quantity transported, with respect to the current</w:t>
      </w:r>
      <w:r w:rsidR="00464E13">
        <w:rPr>
          <w:lang w:val="en-GB"/>
        </w:rPr>
        <w:t xml:space="preserve"> maximum</w:t>
      </w:r>
      <w:r w:rsidR="000C4768" w:rsidRPr="00752906">
        <w:rPr>
          <w:lang w:val="en-GB"/>
        </w:rPr>
        <w:t xml:space="preserve"> value of 16 tons.</w:t>
      </w:r>
    </w:p>
    <w:p w14:paraId="22094417" w14:textId="77777777" w:rsidR="000C4768" w:rsidRPr="00752906" w:rsidRDefault="000C4768" w:rsidP="000C4768">
      <w:pPr>
        <w:jc w:val="both"/>
        <w:rPr>
          <w:b/>
        </w:rPr>
      </w:pPr>
    </w:p>
    <w:tbl>
      <w:tblPr>
        <w:tblStyle w:val="TableGrid"/>
        <w:tblW w:w="0" w:type="auto"/>
        <w:tblInd w:w="1384" w:type="dxa"/>
        <w:tblLook w:val="04A0" w:firstRow="1" w:lastRow="0" w:firstColumn="1" w:lastColumn="0" w:noHBand="0" w:noVBand="1"/>
      </w:tblPr>
      <w:tblGrid>
        <w:gridCol w:w="7146"/>
      </w:tblGrid>
      <w:tr w:rsidR="000C4768" w:rsidRPr="00752906" w14:paraId="2677BEB6" w14:textId="77777777" w:rsidTr="000C4768">
        <w:tc>
          <w:tcPr>
            <w:tcW w:w="6804" w:type="dxa"/>
          </w:tcPr>
          <w:p w14:paraId="5885F794" w14:textId="77777777" w:rsidR="000C4768" w:rsidRPr="00752906" w:rsidRDefault="000C4768" w:rsidP="000C4768">
            <w:pPr>
              <w:jc w:val="both"/>
              <w:rPr>
                <w:b/>
              </w:rPr>
            </w:pPr>
            <w:r w:rsidRPr="00752906">
              <w:rPr>
                <w:noProof/>
                <w:lang w:eastAsia="en-GB"/>
              </w:rPr>
              <w:drawing>
                <wp:inline distT="0" distB="0" distL="0" distR="0" wp14:anchorId="6AC29117" wp14:editId="45451837">
                  <wp:extent cx="4389120" cy="2743200"/>
                  <wp:effectExtent l="0" t="0" r="1143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ADC0CB4" w14:textId="77777777" w:rsidR="000C4768" w:rsidRPr="00752906" w:rsidRDefault="000C4768" w:rsidP="000C4768">
      <w:pPr>
        <w:pStyle w:val="ListParagraph"/>
        <w:jc w:val="both"/>
        <w:rPr>
          <w:lang w:val="en-GB"/>
        </w:rPr>
      </w:pPr>
    </w:p>
    <w:p w14:paraId="46E04542" w14:textId="10248398" w:rsidR="00A1664A" w:rsidRPr="00464E13" w:rsidRDefault="00DB31EC" w:rsidP="00464E13">
      <w:pPr>
        <w:pStyle w:val="SingleTxtG"/>
        <w:jc w:val="center"/>
        <w:rPr>
          <w:lang w:val="en-GB"/>
        </w:rPr>
      </w:pPr>
      <w:r w:rsidRPr="00464E13">
        <w:rPr>
          <w:lang w:val="en-GB"/>
        </w:rPr>
        <w:t xml:space="preserve">Figure 2: Evolution of the </w:t>
      </w:r>
      <w:proofErr w:type="gramStart"/>
      <w:r w:rsidRPr="00464E13">
        <w:rPr>
          <w:lang w:val="en-GB"/>
        </w:rPr>
        <w:t>decrease  in</w:t>
      </w:r>
      <w:proofErr w:type="gramEnd"/>
      <w:r w:rsidRPr="00464E13">
        <w:rPr>
          <w:lang w:val="en-GB"/>
        </w:rPr>
        <w:t xml:space="preserve"> the lethality (</w:t>
      </w:r>
      <w:r w:rsidR="00464E13">
        <w:rPr>
          <w:lang w:val="en-GB"/>
        </w:rPr>
        <w:t>lower curve</w:t>
      </w:r>
      <w:r w:rsidRPr="00464E13">
        <w:rPr>
          <w:lang w:val="en-GB"/>
        </w:rPr>
        <w:t>) and damage areas (</w:t>
      </w:r>
      <w:r w:rsidR="00464E13">
        <w:rPr>
          <w:lang w:val="en-GB"/>
        </w:rPr>
        <w:t>upper curve</w:t>
      </w:r>
      <w:r w:rsidRPr="00464E13">
        <w:rPr>
          <w:lang w:val="en-GB"/>
        </w:rPr>
        <w:t>)</w:t>
      </w:r>
      <w:r w:rsidR="00464E13">
        <w:rPr>
          <w:lang w:val="en-GB"/>
        </w:rPr>
        <w:t xml:space="preserve"> (%) against the increase of transported mass of explosives per transport unit (t)</w:t>
      </w:r>
    </w:p>
    <w:p w14:paraId="24CDD616" w14:textId="63D91E48" w:rsidR="00576B71" w:rsidRDefault="000C4768" w:rsidP="000C4768">
      <w:pPr>
        <w:pStyle w:val="SingleTxtG"/>
        <w:rPr>
          <w:lang w:val="en-GB"/>
        </w:rPr>
      </w:pPr>
      <w:r w:rsidRPr="00752906">
        <w:rPr>
          <w:lang w:val="en-GB"/>
        </w:rPr>
        <w:t xml:space="preserve">The aforementioned </w:t>
      </w:r>
      <w:r w:rsidR="00A1664A" w:rsidRPr="00752906">
        <w:rPr>
          <w:lang w:val="en-GB"/>
        </w:rPr>
        <w:t>means</w:t>
      </w:r>
      <w:r w:rsidRPr="00752906">
        <w:rPr>
          <w:lang w:val="en-GB"/>
        </w:rPr>
        <w:t>, in other words, that an increase in transported quantities</w:t>
      </w:r>
      <w:r w:rsidR="00A1664A" w:rsidRPr="00752906">
        <w:rPr>
          <w:lang w:val="en-GB"/>
        </w:rPr>
        <w:t xml:space="preserve"> per truck</w:t>
      </w:r>
      <w:r w:rsidRPr="00752906">
        <w:rPr>
          <w:lang w:val="en-GB"/>
        </w:rPr>
        <w:t xml:space="preserve"> decreases the</w:t>
      </w:r>
      <w:r w:rsidR="00A1664A" w:rsidRPr="00752906">
        <w:rPr>
          <w:lang w:val="en-GB"/>
        </w:rPr>
        <w:t xml:space="preserve"> level of risk in overall terms.</w:t>
      </w:r>
      <w:r w:rsidRPr="00752906">
        <w:rPr>
          <w:lang w:val="en-GB"/>
        </w:rPr>
        <w:t xml:space="preserve"> </w:t>
      </w:r>
    </w:p>
    <w:p w14:paraId="079ACD0F" w14:textId="77084623" w:rsidR="00576B71" w:rsidRDefault="0027404E" w:rsidP="00172A23">
      <w:pPr>
        <w:pStyle w:val="SingleTxtG"/>
      </w:pPr>
      <w:r>
        <w:rPr>
          <w:lang w:val="en-GB"/>
        </w:rPr>
        <w:t>In the last international meeting of Chief Inspectors of Explosives (CIE)</w:t>
      </w:r>
      <w:r w:rsidR="00172A23">
        <w:rPr>
          <w:lang w:val="en-GB"/>
        </w:rPr>
        <w:t>,</w:t>
      </w:r>
      <w:r>
        <w:rPr>
          <w:lang w:val="en-GB"/>
        </w:rPr>
        <w:t xml:space="preserve"> which </w:t>
      </w:r>
      <w:proofErr w:type="gramStart"/>
      <w:r>
        <w:rPr>
          <w:lang w:val="en-GB"/>
        </w:rPr>
        <w:t>was held</w:t>
      </w:r>
      <w:proofErr w:type="gramEnd"/>
      <w:r>
        <w:rPr>
          <w:lang w:val="en-GB"/>
        </w:rPr>
        <w:t xml:space="preserve"> in Bern on April 2016</w:t>
      </w:r>
      <w:r w:rsidR="00172A23">
        <w:rPr>
          <w:lang w:val="en-GB"/>
        </w:rPr>
        <w:t>,</w:t>
      </w:r>
      <w:r>
        <w:rPr>
          <w:lang w:val="en-GB"/>
        </w:rPr>
        <w:t xml:space="preserve"> the authorities of Canada and UK </w:t>
      </w:r>
      <w:r w:rsidR="00172A23">
        <w:rPr>
          <w:lang w:val="en-GB"/>
        </w:rPr>
        <w:t>confirmed that</w:t>
      </w:r>
      <w:r>
        <w:rPr>
          <w:lang w:val="en-GB"/>
        </w:rPr>
        <w:t xml:space="preserve"> </w:t>
      </w:r>
      <w:r w:rsidR="00172A23">
        <w:rPr>
          <w:lang w:val="en-GB"/>
        </w:rPr>
        <w:t xml:space="preserve">they had reached the same conclusion after the completion of similar studies. </w:t>
      </w:r>
      <w:proofErr w:type="gramStart"/>
      <w:r w:rsidR="00464E13">
        <w:rPr>
          <w:lang w:val="en-GB"/>
        </w:rPr>
        <w:t>Also</w:t>
      </w:r>
      <w:proofErr w:type="gramEnd"/>
      <w:r w:rsidR="00172A23">
        <w:rPr>
          <w:lang w:val="en-GB"/>
        </w:rPr>
        <w:t xml:space="preserve">, during this meeting a general consensus </w:t>
      </w:r>
      <w:r w:rsidR="00464E13">
        <w:rPr>
          <w:lang w:val="en-GB"/>
        </w:rPr>
        <w:t xml:space="preserve">in supporting the increase in the transported maximum mass of explosives per transport unit </w:t>
      </w:r>
      <w:r w:rsidR="00172A23">
        <w:rPr>
          <w:lang w:val="en-GB"/>
        </w:rPr>
        <w:t xml:space="preserve">was expressed, after a presentation </w:t>
      </w:r>
      <w:r w:rsidR="00464E13">
        <w:rPr>
          <w:lang w:val="en-GB"/>
        </w:rPr>
        <w:t xml:space="preserve">of </w:t>
      </w:r>
      <w:r w:rsidR="00172A23">
        <w:rPr>
          <w:lang w:val="en-GB"/>
        </w:rPr>
        <w:t>this issue.</w:t>
      </w:r>
    </w:p>
    <w:p w14:paraId="58B95B5D" w14:textId="77777777" w:rsidR="00D62AE5" w:rsidRPr="00752906" w:rsidRDefault="00D62AE5" w:rsidP="00D62AE5">
      <w:pPr>
        <w:pStyle w:val="H1G"/>
        <w:ind w:firstLine="0"/>
      </w:pPr>
      <w:r w:rsidRPr="00752906">
        <w:lastRenderedPageBreak/>
        <w:t>Analysis of current transport limits in non-ADR countries</w:t>
      </w:r>
    </w:p>
    <w:p w14:paraId="59F2F159" w14:textId="77777777" w:rsidR="000C4768" w:rsidRPr="00752906" w:rsidRDefault="000C4768" w:rsidP="00D62AE5">
      <w:pPr>
        <w:pStyle w:val="SingleTxtG"/>
        <w:rPr>
          <w:lang w:val="en-GB"/>
        </w:rPr>
      </w:pPr>
      <w:r w:rsidRPr="00752906">
        <w:rPr>
          <w:lang w:val="en-GB"/>
        </w:rPr>
        <w:t>Many non-ADR countries have limits on transported quantities of explosives that are much less severe</w:t>
      </w:r>
      <w:r w:rsidR="00D62AE5" w:rsidRPr="00752906">
        <w:rPr>
          <w:lang w:val="en-GB"/>
        </w:rPr>
        <w:t xml:space="preserve"> than the ones imposed by ADR</w:t>
      </w:r>
      <w:r w:rsidR="00576B71">
        <w:rPr>
          <w:lang w:val="en-GB"/>
        </w:rPr>
        <w:t>; examples</w:t>
      </w:r>
    </w:p>
    <w:p w14:paraId="2593426B" w14:textId="77777777" w:rsidR="00576B71" w:rsidRPr="00D24DA9" w:rsidRDefault="000C4768" w:rsidP="00D62AE5">
      <w:pPr>
        <w:pStyle w:val="ListParagraph"/>
        <w:numPr>
          <w:ilvl w:val="2"/>
          <w:numId w:val="20"/>
        </w:numPr>
        <w:ind w:right="1134"/>
        <w:jc w:val="both"/>
        <w:rPr>
          <w:rFonts w:ascii="Times New Roman" w:eastAsia="Times New Roman" w:hAnsi="Times New Roman"/>
          <w:sz w:val="20"/>
          <w:szCs w:val="20"/>
          <w:lang w:val="en-GB"/>
        </w:rPr>
      </w:pPr>
      <w:r w:rsidRPr="00D24DA9">
        <w:rPr>
          <w:rFonts w:ascii="Times New Roman" w:eastAsia="Times New Roman" w:hAnsi="Times New Roman"/>
          <w:sz w:val="20"/>
          <w:szCs w:val="20"/>
          <w:lang w:val="en-GB"/>
        </w:rPr>
        <w:t xml:space="preserve">In the US, there is no limit on quantity; there are general limits, but these refer to the vehicle and its maximum load. </w:t>
      </w:r>
    </w:p>
    <w:p w14:paraId="1D67D9A4" w14:textId="77777777" w:rsidR="00576B71" w:rsidRPr="00D24DA9" w:rsidRDefault="000C4768" w:rsidP="00D62AE5">
      <w:pPr>
        <w:pStyle w:val="ListParagraph"/>
        <w:numPr>
          <w:ilvl w:val="2"/>
          <w:numId w:val="20"/>
        </w:numPr>
        <w:ind w:right="1134"/>
        <w:jc w:val="both"/>
        <w:rPr>
          <w:rFonts w:ascii="Times New Roman" w:eastAsia="Times New Roman" w:hAnsi="Times New Roman"/>
          <w:sz w:val="20"/>
          <w:szCs w:val="20"/>
          <w:lang w:val="en-GB"/>
        </w:rPr>
      </w:pPr>
      <w:r w:rsidRPr="00D24DA9">
        <w:rPr>
          <w:rFonts w:ascii="Times New Roman" w:eastAsia="Times New Roman" w:hAnsi="Times New Roman"/>
          <w:sz w:val="20"/>
          <w:szCs w:val="20"/>
          <w:lang w:val="en-GB"/>
        </w:rPr>
        <w:t xml:space="preserve">In Canada, the limit is 20 tons (1.5 tons during seasonal thawing). </w:t>
      </w:r>
    </w:p>
    <w:p w14:paraId="34152918" w14:textId="77777777" w:rsidR="00DC366D" w:rsidRDefault="000C4768" w:rsidP="00D62AE5">
      <w:pPr>
        <w:pStyle w:val="ListParagraph"/>
        <w:numPr>
          <w:ilvl w:val="2"/>
          <w:numId w:val="20"/>
        </w:numPr>
        <w:ind w:right="1134"/>
        <w:jc w:val="both"/>
        <w:rPr>
          <w:rFonts w:ascii="Times New Roman" w:eastAsia="Times New Roman" w:hAnsi="Times New Roman"/>
          <w:sz w:val="20"/>
          <w:szCs w:val="20"/>
          <w:lang w:val="en-GB"/>
        </w:rPr>
      </w:pPr>
      <w:r w:rsidRPr="00D24DA9">
        <w:rPr>
          <w:rFonts w:ascii="Times New Roman" w:eastAsia="Times New Roman" w:hAnsi="Times New Roman"/>
          <w:sz w:val="20"/>
          <w:szCs w:val="20"/>
          <w:lang w:val="en-GB"/>
        </w:rPr>
        <w:t xml:space="preserve">In </w:t>
      </w:r>
      <w:r w:rsidR="00576B71" w:rsidRPr="00D24DA9">
        <w:rPr>
          <w:rFonts w:ascii="Times New Roman" w:eastAsia="Times New Roman" w:hAnsi="Times New Roman"/>
          <w:sz w:val="20"/>
          <w:szCs w:val="20"/>
          <w:lang w:val="en-GB"/>
        </w:rPr>
        <w:t>Australia,</w:t>
      </w:r>
      <w:r w:rsidRPr="00D24DA9">
        <w:rPr>
          <w:rFonts w:ascii="Times New Roman" w:eastAsia="Times New Roman" w:hAnsi="Times New Roman"/>
          <w:sz w:val="20"/>
          <w:szCs w:val="20"/>
          <w:lang w:val="en-GB"/>
        </w:rPr>
        <w:t xml:space="preserve"> it is limited to 25 tons for divisions 1.1, 1.2 and 1.3, and to 40 tons for 1.5 and 1.6. </w:t>
      </w:r>
    </w:p>
    <w:p w14:paraId="2AD64042" w14:textId="77777777" w:rsidR="000C4768" w:rsidRPr="00D24DA9" w:rsidRDefault="000C4768" w:rsidP="00D62AE5">
      <w:pPr>
        <w:pStyle w:val="ListParagraph"/>
        <w:numPr>
          <w:ilvl w:val="2"/>
          <w:numId w:val="20"/>
        </w:numPr>
        <w:ind w:right="1134"/>
        <w:jc w:val="both"/>
        <w:rPr>
          <w:rFonts w:ascii="Times New Roman" w:eastAsia="Times New Roman" w:hAnsi="Times New Roman"/>
          <w:sz w:val="20"/>
          <w:szCs w:val="20"/>
          <w:lang w:val="en-GB"/>
        </w:rPr>
      </w:pPr>
      <w:r w:rsidRPr="00D24DA9">
        <w:rPr>
          <w:rFonts w:ascii="Times New Roman" w:eastAsia="Times New Roman" w:hAnsi="Times New Roman"/>
          <w:sz w:val="20"/>
          <w:szCs w:val="20"/>
          <w:lang w:val="en-GB"/>
        </w:rPr>
        <w:t>Japan also has no limits, aside from gen</w:t>
      </w:r>
      <w:r w:rsidR="00576B71" w:rsidRPr="00D24DA9">
        <w:rPr>
          <w:rFonts w:ascii="Times New Roman" w:eastAsia="Times New Roman" w:hAnsi="Times New Roman"/>
          <w:sz w:val="20"/>
          <w:szCs w:val="20"/>
          <w:lang w:val="en-GB"/>
        </w:rPr>
        <w:t>eral ones (like the US).</w:t>
      </w:r>
    </w:p>
    <w:p w14:paraId="786BE2D7" w14:textId="77777777" w:rsidR="00172A23" w:rsidRPr="00D24DA9" w:rsidRDefault="00172A23" w:rsidP="00172A23">
      <w:pPr>
        <w:ind w:left="1134" w:right="1134"/>
        <w:jc w:val="both"/>
      </w:pPr>
      <w:r w:rsidRPr="00D24DA9">
        <w:t xml:space="preserve">The requirements for vehicles for transporting explosives in all these countries are not </w:t>
      </w:r>
      <w:r w:rsidR="00DC366D">
        <w:t xml:space="preserve">as </w:t>
      </w:r>
      <w:r w:rsidR="00D24DA9" w:rsidRPr="00D24DA9">
        <w:t xml:space="preserve">severe </w:t>
      </w:r>
      <w:proofErr w:type="gramStart"/>
      <w:r w:rsidR="00D24DA9" w:rsidRPr="00D24DA9">
        <w:t>as those in the ADR</w:t>
      </w:r>
      <w:proofErr w:type="gramEnd"/>
    </w:p>
    <w:p w14:paraId="5DEA3B27" w14:textId="77777777" w:rsidR="0081208E" w:rsidRPr="00752906" w:rsidRDefault="00D24DA9" w:rsidP="0081208E">
      <w:pPr>
        <w:pStyle w:val="H1G"/>
        <w:ind w:firstLine="0"/>
      </w:pPr>
      <w:r>
        <w:t>In</w:t>
      </w:r>
      <w:r w:rsidR="0081208E" w:rsidRPr="00752906">
        <w:t xml:space="preserve">fluence of limitation </w:t>
      </w:r>
      <w:r w:rsidR="00D546B0" w:rsidRPr="00752906">
        <w:t>of quantities</w:t>
      </w:r>
      <w:r w:rsidR="0081208E" w:rsidRPr="00752906">
        <w:t xml:space="preserve"> of transported explosives by road in the overall transport chain</w:t>
      </w:r>
    </w:p>
    <w:p w14:paraId="7DEC3A7B" w14:textId="77777777" w:rsidR="00D546B0" w:rsidRPr="00752906" w:rsidRDefault="0081208E" w:rsidP="0081208E">
      <w:pPr>
        <w:pStyle w:val="SingleTxtG"/>
        <w:rPr>
          <w:lang w:val="en-GB"/>
        </w:rPr>
      </w:pPr>
      <w:r w:rsidRPr="00752906">
        <w:rPr>
          <w:lang w:val="en-GB"/>
        </w:rPr>
        <w:t xml:space="preserve">Explosives </w:t>
      </w:r>
      <w:proofErr w:type="gramStart"/>
      <w:r w:rsidRPr="00752906">
        <w:rPr>
          <w:lang w:val="en-GB"/>
        </w:rPr>
        <w:t>are shipped</w:t>
      </w:r>
      <w:proofErr w:type="gramEnd"/>
      <w:r w:rsidRPr="00752906">
        <w:rPr>
          <w:lang w:val="en-GB"/>
        </w:rPr>
        <w:t xml:space="preserve"> to different parts of the world using closed containers transported according to the IMDG regulation. IMDG does not impose specific limits per container for explosives (different limits than the ones for containers in general).</w:t>
      </w:r>
      <w:r w:rsidR="00D546B0" w:rsidRPr="00752906">
        <w:rPr>
          <w:lang w:val="en-GB"/>
        </w:rPr>
        <w:t xml:space="preserve"> </w:t>
      </w:r>
      <w:proofErr w:type="gramStart"/>
      <w:r w:rsidR="00D546B0" w:rsidRPr="00752906">
        <w:rPr>
          <w:lang w:val="en-GB"/>
        </w:rPr>
        <w:t>Also</w:t>
      </w:r>
      <w:proofErr w:type="gramEnd"/>
      <w:r w:rsidR="00D546B0" w:rsidRPr="00752906">
        <w:rPr>
          <w:lang w:val="en-GB"/>
        </w:rPr>
        <w:t>, in many cases, the countries of destination have no limit on the amount of transported explosive per truck.</w:t>
      </w:r>
    </w:p>
    <w:p w14:paraId="6A8C6F6D" w14:textId="1377B503" w:rsidR="00D546B0" w:rsidRPr="00752906" w:rsidRDefault="00D546B0" w:rsidP="0081208E">
      <w:pPr>
        <w:pStyle w:val="SingleTxtG"/>
        <w:rPr>
          <w:lang w:val="en-GB"/>
        </w:rPr>
      </w:pPr>
      <w:r w:rsidRPr="00752906">
        <w:rPr>
          <w:lang w:val="en-GB"/>
        </w:rPr>
        <w:t xml:space="preserve">As explosives </w:t>
      </w:r>
      <w:proofErr w:type="gramStart"/>
      <w:r w:rsidR="00D24DA9" w:rsidRPr="00752906">
        <w:rPr>
          <w:lang w:val="en-GB"/>
        </w:rPr>
        <w:t>cannot</w:t>
      </w:r>
      <w:r w:rsidRPr="00752906">
        <w:rPr>
          <w:lang w:val="en-GB"/>
        </w:rPr>
        <w:t xml:space="preserve"> be rearranged</w:t>
      </w:r>
      <w:proofErr w:type="gramEnd"/>
      <w:r w:rsidRPr="00752906">
        <w:rPr>
          <w:lang w:val="en-GB"/>
        </w:rPr>
        <w:t xml:space="preserve"> into different configurations or containers on arrival to a port of an ADR-country, containers are shipped as prepared for road transport. This gives countries with a higher limit for the transport of explosives by road a certain advantage in regards to the transport costs</w:t>
      </w:r>
      <w:r w:rsidR="00DC366D">
        <w:rPr>
          <w:lang w:val="en-GB"/>
        </w:rPr>
        <w:t>. T</w:t>
      </w:r>
      <w:r w:rsidRPr="00752906">
        <w:rPr>
          <w:lang w:val="en-GB"/>
        </w:rPr>
        <w:t xml:space="preserve">ransport of explosives by ship from an ADR country can be </w:t>
      </w:r>
      <w:r w:rsidR="0031709F">
        <w:rPr>
          <w:lang w:val="en-GB"/>
        </w:rPr>
        <w:t xml:space="preserve">almost </w:t>
      </w:r>
      <w:r w:rsidRPr="00752906">
        <w:rPr>
          <w:lang w:val="en-GB"/>
        </w:rPr>
        <w:t>twice as expensive as transport from a non-ADR country.</w:t>
      </w:r>
    </w:p>
    <w:p w14:paraId="289B946C" w14:textId="75072241" w:rsidR="000C4768" w:rsidRPr="00752906" w:rsidRDefault="002A393D" w:rsidP="002A393D">
      <w:pPr>
        <w:pStyle w:val="HChG"/>
      </w:pPr>
      <w:r>
        <w:rPr>
          <w:lang w:val="fr-CH"/>
        </w:rPr>
        <w:tab/>
      </w:r>
      <w:r>
        <w:rPr>
          <w:lang w:val="fr-CH"/>
        </w:rPr>
        <w:tab/>
      </w:r>
      <w:bookmarkStart w:id="0" w:name="_GoBack"/>
      <w:bookmarkEnd w:id="0"/>
      <w:r w:rsidR="00D62AE5" w:rsidRPr="00752906">
        <w:t>Summary</w:t>
      </w:r>
    </w:p>
    <w:p w14:paraId="7399B551" w14:textId="77777777" w:rsidR="00A1664A" w:rsidRPr="00752906" w:rsidRDefault="00A1664A" w:rsidP="00D62AE5">
      <w:pPr>
        <w:pStyle w:val="SingleTxtG"/>
        <w:rPr>
          <w:lang w:val="en-GB"/>
        </w:rPr>
      </w:pPr>
      <w:r w:rsidRPr="00752906">
        <w:rPr>
          <w:lang w:val="en-GB"/>
        </w:rPr>
        <w:t xml:space="preserve">Based on the analysis of </w:t>
      </w:r>
      <w:r w:rsidRPr="00752906">
        <w:rPr>
          <w:rStyle w:val="location"/>
          <w:lang w:val="en-GB"/>
        </w:rPr>
        <w:t>the interaction of the transported amount, the range of affection in case of an explosi</w:t>
      </w:r>
      <w:r w:rsidR="00D546B0" w:rsidRPr="00752906">
        <w:rPr>
          <w:rStyle w:val="location"/>
          <w:lang w:val="en-GB"/>
        </w:rPr>
        <w:t>o</w:t>
      </w:r>
      <w:r w:rsidRPr="00752906">
        <w:rPr>
          <w:rStyle w:val="location"/>
          <w:lang w:val="en-GB"/>
        </w:rPr>
        <w:t>n and the number of trips</w:t>
      </w:r>
      <w:r w:rsidR="00DC366D">
        <w:rPr>
          <w:rStyle w:val="location"/>
          <w:lang w:val="en-GB"/>
        </w:rPr>
        <w:t>,</w:t>
      </w:r>
      <w:r w:rsidRPr="00752906">
        <w:rPr>
          <w:rStyle w:val="location"/>
          <w:lang w:val="en-GB"/>
        </w:rPr>
        <w:t xml:space="preserve"> it </w:t>
      </w:r>
      <w:proofErr w:type="gramStart"/>
      <w:r w:rsidRPr="00752906">
        <w:rPr>
          <w:rStyle w:val="location"/>
          <w:lang w:val="en-GB"/>
        </w:rPr>
        <w:t>can be said</w:t>
      </w:r>
      <w:proofErr w:type="gramEnd"/>
      <w:r w:rsidRPr="00752906">
        <w:rPr>
          <w:rStyle w:val="location"/>
          <w:lang w:val="en-GB"/>
        </w:rPr>
        <w:t xml:space="preserve"> that</w:t>
      </w:r>
      <w:r w:rsidRPr="00752906">
        <w:rPr>
          <w:lang w:val="en-GB"/>
        </w:rPr>
        <w:t xml:space="preserve"> an increase in the transported quantities per truck decreases the level of risk in overall terms.</w:t>
      </w:r>
    </w:p>
    <w:p w14:paraId="6ACDEC91" w14:textId="55CA517E" w:rsidR="00D62AE5" w:rsidRPr="00752906" w:rsidRDefault="00D62AE5" w:rsidP="00D62AE5">
      <w:pPr>
        <w:pStyle w:val="SingleTxtG"/>
        <w:rPr>
          <w:lang w:val="en-GB"/>
        </w:rPr>
      </w:pPr>
      <w:r w:rsidRPr="00752906">
        <w:rPr>
          <w:lang w:val="en-GB"/>
        </w:rPr>
        <w:t>In addition</w:t>
      </w:r>
      <w:proofErr w:type="gramStart"/>
      <w:r w:rsidR="00A1664A" w:rsidRPr="00752906">
        <w:rPr>
          <w:lang w:val="en-GB"/>
        </w:rPr>
        <w:t xml:space="preserve">, </w:t>
      </w:r>
      <w:r w:rsidRPr="00752906">
        <w:rPr>
          <w:lang w:val="en-GB"/>
        </w:rPr>
        <w:t xml:space="preserve"> </w:t>
      </w:r>
      <w:r w:rsidR="00A1664A" w:rsidRPr="00752906">
        <w:rPr>
          <w:lang w:val="en-GB"/>
        </w:rPr>
        <w:t>other</w:t>
      </w:r>
      <w:proofErr w:type="gramEnd"/>
      <w:r w:rsidR="00A1664A" w:rsidRPr="00752906">
        <w:rPr>
          <w:lang w:val="en-GB"/>
        </w:rPr>
        <w:t xml:space="preserve"> aspects may</w:t>
      </w:r>
      <w:r w:rsidRPr="00752906">
        <w:rPr>
          <w:lang w:val="en-GB"/>
        </w:rPr>
        <w:t xml:space="preserve"> also be considered, which would provide additional support for the increase in the auth</w:t>
      </w:r>
      <w:r w:rsidR="00A1664A" w:rsidRPr="00752906">
        <w:rPr>
          <w:lang w:val="en-GB"/>
        </w:rPr>
        <w:t>orized quantities for transport:</w:t>
      </w:r>
    </w:p>
    <w:p w14:paraId="78F97886" w14:textId="77777777" w:rsidR="00A1664A" w:rsidRPr="00752906" w:rsidRDefault="00A1664A" w:rsidP="001650E6">
      <w:pPr>
        <w:pStyle w:val="Bullet1G"/>
      </w:pPr>
      <w:proofErr w:type="gramStart"/>
      <w:r w:rsidRPr="00752906">
        <w:t>Higher limit for the transport of explosives in other no-ADR countries</w:t>
      </w:r>
      <w:r w:rsidR="00DC366D">
        <w:t>.</w:t>
      </w:r>
      <w:proofErr w:type="gramEnd"/>
    </w:p>
    <w:p w14:paraId="1591A4A5" w14:textId="77777777" w:rsidR="000C4768" w:rsidRPr="00752906" w:rsidRDefault="00A1664A" w:rsidP="001650E6">
      <w:pPr>
        <w:pStyle w:val="Bullet1G"/>
      </w:pPr>
      <w:proofErr w:type="gramStart"/>
      <w:r w:rsidRPr="00752906">
        <w:t xml:space="preserve">Reduction of </w:t>
      </w:r>
      <w:r w:rsidR="000C4768" w:rsidRPr="00752906">
        <w:t xml:space="preserve">emissions </w:t>
      </w:r>
      <w:r w:rsidRPr="00752906">
        <w:t>with</w:t>
      </w:r>
      <w:r w:rsidR="000C4768" w:rsidRPr="00752906">
        <w:t xml:space="preserve"> fewer trips</w:t>
      </w:r>
      <w:r w:rsidRPr="00752906">
        <w:t>, benefit for environment</w:t>
      </w:r>
      <w:r w:rsidR="000C4768" w:rsidRPr="00752906">
        <w:t>.</w:t>
      </w:r>
      <w:proofErr w:type="gramEnd"/>
    </w:p>
    <w:p w14:paraId="0F65FA14" w14:textId="77777777" w:rsidR="0031709F" w:rsidRPr="0031709F" w:rsidRDefault="000C4768" w:rsidP="001650E6">
      <w:pPr>
        <w:pStyle w:val="Bullet1G"/>
        <w:rPr>
          <w:color w:val="FF0000"/>
        </w:rPr>
      </w:pPr>
      <w:proofErr w:type="gramStart"/>
      <w:r w:rsidRPr="0031709F">
        <w:t>Reduction of the risk of “theft” due to the decreased presence of vehicles on the highways.</w:t>
      </w:r>
      <w:proofErr w:type="gramEnd"/>
      <w:r w:rsidR="00A1664A" w:rsidRPr="0031709F">
        <w:t xml:space="preserve"> </w:t>
      </w:r>
    </w:p>
    <w:p w14:paraId="2AD81F9A" w14:textId="15A7F35A" w:rsidR="000C4768" w:rsidRPr="00DC366D" w:rsidRDefault="00703692" w:rsidP="001650E6">
      <w:pPr>
        <w:pStyle w:val="Bullet1G"/>
      </w:pPr>
      <w:r w:rsidRPr="00DC366D">
        <w:t>Increase of the general limit for cargo by road in the last 50 years</w:t>
      </w:r>
      <w:r w:rsidR="00DC366D">
        <w:t>.</w:t>
      </w:r>
      <w:r w:rsidRPr="00DC366D">
        <w:t xml:space="preserve"> </w:t>
      </w:r>
      <w:proofErr w:type="gramStart"/>
      <w:r w:rsidR="00DC366D">
        <w:t>E</w:t>
      </w:r>
      <w:r w:rsidR="00DC366D" w:rsidRPr="00DC366D">
        <w:t xml:space="preserve">volution </w:t>
      </w:r>
      <w:r w:rsidR="000C4768" w:rsidRPr="00DC366D">
        <w:t>of the quality of the highways in the last years in the vast majority of ADR countries.</w:t>
      </w:r>
      <w:proofErr w:type="gramEnd"/>
    </w:p>
    <w:p w14:paraId="404126D2" w14:textId="77777777" w:rsidR="000C4768" w:rsidRPr="00752906" w:rsidRDefault="00154173" w:rsidP="001650E6">
      <w:pPr>
        <w:pStyle w:val="Bullet1G"/>
      </w:pPr>
      <w:r w:rsidRPr="00752906">
        <w:t>Change in technical requirements in road vehicles over the years</w:t>
      </w:r>
      <w:r w:rsidR="000C4768" w:rsidRPr="00752906">
        <w:t>, such as new ADR requirements for approval of trucks, location systems, or response times in case of emergency have improved transport conditions significantly.</w:t>
      </w:r>
    </w:p>
    <w:p w14:paraId="1E7B11E5" w14:textId="77777777" w:rsidR="000C4768" w:rsidRPr="00752906" w:rsidRDefault="000C4768" w:rsidP="001650E6">
      <w:pPr>
        <w:pStyle w:val="HChG"/>
      </w:pPr>
      <w:r w:rsidRPr="00752906">
        <w:lastRenderedPageBreak/>
        <w:tab/>
      </w:r>
      <w:r w:rsidRPr="00752906">
        <w:tab/>
        <w:t>Proposal</w:t>
      </w:r>
    </w:p>
    <w:p w14:paraId="726A3C3B" w14:textId="1D68FD42" w:rsidR="000C4768" w:rsidRPr="00752906" w:rsidRDefault="000C4768" w:rsidP="000C4768">
      <w:pPr>
        <w:pStyle w:val="SingleTxtG"/>
        <w:rPr>
          <w:lang w:val="en-GB"/>
        </w:rPr>
      </w:pPr>
      <w:r w:rsidRPr="00752906">
        <w:rPr>
          <w:lang w:val="en-GB"/>
        </w:rPr>
        <w:t xml:space="preserve">In light of all of this, </w:t>
      </w:r>
      <w:r w:rsidR="00703692" w:rsidRPr="00752906">
        <w:rPr>
          <w:lang w:val="en-GB"/>
        </w:rPr>
        <w:t xml:space="preserve">Spain would like to know if the WP15 could consider an increase of </w:t>
      </w:r>
      <w:r w:rsidRPr="00752906">
        <w:rPr>
          <w:lang w:val="en-GB"/>
        </w:rPr>
        <w:t xml:space="preserve">the authorized quantities for transport </w:t>
      </w:r>
      <w:r w:rsidR="00703692" w:rsidRPr="00752906">
        <w:rPr>
          <w:lang w:val="en-GB"/>
        </w:rPr>
        <w:t xml:space="preserve">of explosives in EX III </w:t>
      </w:r>
      <w:r w:rsidR="00703692" w:rsidRPr="00D24DA9">
        <w:rPr>
          <w:lang w:val="en-GB"/>
        </w:rPr>
        <w:t xml:space="preserve">vehicles </w:t>
      </w:r>
      <w:r w:rsidRPr="00D24DA9">
        <w:rPr>
          <w:lang w:val="en-GB"/>
        </w:rPr>
        <w:t>up to the authorized capacity limit for the corresponding type of truck.</w:t>
      </w:r>
      <w:r w:rsidR="00703692" w:rsidRPr="00D24DA9">
        <w:rPr>
          <w:lang w:val="en-GB"/>
        </w:rPr>
        <w:t xml:space="preserve"> Spain and Germany </w:t>
      </w:r>
      <w:proofErr w:type="gramStart"/>
      <w:r w:rsidR="00703692" w:rsidRPr="00D24DA9">
        <w:rPr>
          <w:lang w:val="en-GB"/>
        </w:rPr>
        <w:t>would, in that case, be prepared</w:t>
      </w:r>
      <w:proofErr w:type="gramEnd"/>
      <w:r w:rsidR="00703692" w:rsidRPr="00D24DA9">
        <w:rPr>
          <w:lang w:val="en-GB"/>
        </w:rPr>
        <w:t xml:space="preserve"> to submit a formal proposal for the next meeting</w:t>
      </w:r>
      <w:r w:rsidR="00D546B0" w:rsidRPr="00D24DA9">
        <w:rPr>
          <w:lang w:val="en-GB"/>
        </w:rPr>
        <w:t xml:space="preserve"> further </w:t>
      </w:r>
      <w:r w:rsidR="00D546B0" w:rsidRPr="00752906">
        <w:rPr>
          <w:lang w:val="en-GB"/>
        </w:rPr>
        <w:t>developing this proposal.</w:t>
      </w:r>
    </w:p>
    <w:p w14:paraId="70958C8E" w14:textId="77777777" w:rsidR="0080628A" w:rsidRPr="00F07ABD" w:rsidRDefault="0080628A" w:rsidP="0080628A">
      <w:pPr>
        <w:pStyle w:val="SingleTxtG"/>
        <w:spacing w:before="240" w:after="0"/>
        <w:jc w:val="center"/>
        <w:rPr>
          <w:u w:val="single"/>
          <w:lang w:val="en-GB"/>
        </w:rPr>
      </w:pPr>
      <w:r w:rsidRPr="00F07ABD">
        <w:rPr>
          <w:u w:val="single"/>
          <w:lang w:val="en-GB"/>
        </w:rPr>
        <w:tab/>
      </w:r>
      <w:r w:rsidRPr="00F07ABD">
        <w:rPr>
          <w:u w:val="single"/>
          <w:lang w:val="en-GB"/>
        </w:rPr>
        <w:tab/>
      </w:r>
      <w:r w:rsidRPr="00F07ABD">
        <w:rPr>
          <w:u w:val="single"/>
          <w:lang w:val="en-GB"/>
        </w:rPr>
        <w:tab/>
      </w:r>
    </w:p>
    <w:sectPr w:rsidR="0080628A" w:rsidRPr="00F07ABD" w:rsidSect="009D2A5B">
      <w:headerReference w:type="even" r:id="rId11"/>
      <w:headerReference w:type="default" r:id="rId12"/>
      <w:footerReference w:type="even" r:id="rId13"/>
      <w:footerReference w:type="default" r:id="rId14"/>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FA61E" w14:textId="77777777" w:rsidR="00C5215A" w:rsidRDefault="00C5215A"/>
  </w:endnote>
  <w:endnote w:type="continuationSeparator" w:id="0">
    <w:p w14:paraId="09E03B94" w14:textId="77777777" w:rsidR="00C5215A" w:rsidRDefault="00C5215A"/>
  </w:endnote>
  <w:endnote w:type="continuationNotice" w:id="1">
    <w:p w14:paraId="739A6527" w14:textId="77777777" w:rsidR="00C5215A" w:rsidRDefault="00C5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EFA7" w14:textId="77777777" w:rsidR="0081208E" w:rsidRPr="009D2A5B" w:rsidRDefault="0081208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A393D">
      <w:rPr>
        <w:b/>
        <w:noProof/>
        <w:sz w:val="18"/>
      </w:rPr>
      <w:t>6</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6051" w14:textId="77777777" w:rsidR="0081208E" w:rsidRPr="009D2A5B" w:rsidRDefault="0081208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A393D">
      <w:rPr>
        <w:b/>
        <w:noProof/>
        <w:sz w:val="18"/>
      </w:rPr>
      <w:t>5</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0F239" w14:textId="77777777" w:rsidR="00C5215A" w:rsidRPr="000B175B" w:rsidRDefault="00C5215A" w:rsidP="000B175B">
      <w:pPr>
        <w:tabs>
          <w:tab w:val="right" w:pos="2155"/>
        </w:tabs>
        <w:spacing w:after="80"/>
        <w:ind w:left="680"/>
        <w:rPr>
          <w:u w:val="single"/>
        </w:rPr>
      </w:pPr>
      <w:r>
        <w:rPr>
          <w:u w:val="single"/>
        </w:rPr>
        <w:tab/>
      </w:r>
    </w:p>
  </w:footnote>
  <w:footnote w:type="continuationSeparator" w:id="0">
    <w:p w14:paraId="5C3A088D" w14:textId="77777777" w:rsidR="00C5215A" w:rsidRPr="00FC68B7" w:rsidRDefault="00C5215A" w:rsidP="00FC68B7">
      <w:pPr>
        <w:tabs>
          <w:tab w:val="left" w:pos="2155"/>
        </w:tabs>
        <w:spacing w:after="80"/>
        <w:ind w:left="680"/>
        <w:rPr>
          <w:u w:val="single"/>
        </w:rPr>
      </w:pPr>
      <w:r>
        <w:rPr>
          <w:u w:val="single"/>
        </w:rPr>
        <w:tab/>
      </w:r>
    </w:p>
  </w:footnote>
  <w:footnote w:type="continuationNotice" w:id="1">
    <w:p w14:paraId="3E6908B9" w14:textId="77777777" w:rsidR="00C5215A" w:rsidRDefault="00C521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1650" w14:textId="26157335" w:rsidR="0081208E" w:rsidRPr="00FA7F6B" w:rsidRDefault="001650E6" w:rsidP="009D2A5B">
    <w:pPr>
      <w:pStyle w:val="Header"/>
      <w:rPr>
        <w:szCs w:val="18"/>
        <w:lang w:val="fr-CH"/>
      </w:rPr>
    </w:pPr>
    <w:r w:rsidRPr="00FA7F6B">
      <w:rPr>
        <w:szCs w:val="18"/>
        <w:lang w:val="fr-CH"/>
      </w:rPr>
      <w:t>INF</w:t>
    </w:r>
    <w:r>
      <w:rPr>
        <w:szCs w:val="18"/>
        <w:lang w:val="fr-CH"/>
      </w:rPr>
      <w:t>.</w:t>
    </w:r>
    <w:r w:rsidRPr="001650E6">
      <w:rPr>
        <w:szCs w:val="18"/>
        <w:lang w:val="fr-CH"/>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BE4F" w14:textId="1FF17C5E" w:rsidR="0081208E" w:rsidRPr="00CD57D2" w:rsidRDefault="0081208E" w:rsidP="009D2A5B">
    <w:pPr>
      <w:pStyle w:val="Header"/>
      <w:jc w:val="right"/>
      <w:rPr>
        <w:lang w:val="fr-CH"/>
      </w:rPr>
    </w:pPr>
    <w:r>
      <w:rPr>
        <w:lang w:val="fr-CH"/>
      </w:rPr>
      <w:t>INF.</w:t>
    </w:r>
    <w:r w:rsidR="001650E6">
      <w:rPr>
        <w:lang w:val="fr-CH"/>
      </w:rPr>
      <w:t>1</w:t>
    </w:r>
    <w:r>
      <w:rPr>
        <w:lang w:val="fr-CH"/>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6569BC"/>
    <w:multiLevelType w:val="hybridMultilevel"/>
    <w:tmpl w:val="4CD892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1F43A2"/>
    <w:multiLevelType w:val="hybridMultilevel"/>
    <w:tmpl w:val="D40C75A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D06EBB"/>
    <w:multiLevelType w:val="hybridMultilevel"/>
    <w:tmpl w:val="91FE5EF2"/>
    <w:lvl w:ilvl="0" w:tplc="9EE411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516C46"/>
    <w:multiLevelType w:val="hybridMultilevel"/>
    <w:tmpl w:val="48822808"/>
    <w:lvl w:ilvl="0" w:tplc="9EE411C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920D1"/>
    <w:multiLevelType w:val="hybridMultilevel"/>
    <w:tmpl w:val="70620088"/>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21"/>
  </w:num>
  <w:num w:numId="15">
    <w:abstractNumId w:val="12"/>
  </w:num>
  <w:num w:numId="16">
    <w:abstractNumId w:val="11"/>
  </w:num>
  <w:num w:numId="17">
    <w:abstractNumId w:val="23"/>
  </w:num>
  <w:num w:numId="18">
    <w:abstractNumId w:val="22"/>
  </w:num>
  <w:num w:numId="19">
    <w:abstractNumId w:val="19"/>
  </w:num>
  <w:num w:numId="20">
    <w:abstractNumId w:val="18"/>
  </w:num>
  <w:num w:numId="21">
    <w:abstractNumId w:val="17"/>
  </w:num>
  <w:num w:numId="22">
    <w:abstractNumId w:val="14"/>
  </w:num>
  <w:num w:numId="23">
    <w:abstractNumId w:val="15"/>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768"/>
    <w:rsid w:val="000C4D51"/>
    <w:rsid w:val="000C7F79"/>
    <w:rsid w:val="000D1E89"/>
    <w:rsid w:val="000D3D97"/>
    <w:rsid w:val="000E0415"/>
    <w:rsid w:val="000E1EAE"/>
    <w:rsid w:val="000E5C70"/>
    <w:rsid w:val="000E6237"/>
    <w:rsid w:val="00101DB8"/>
    <w:rsid w:val="00103CC1"/>
    <w:rsid w:val="00104CDA"/>
    <w:rsid w:val="001103AA"/>
    <w:rsid w:val="0011119B"/>
    <w:rsid w:val="0011666B"/>
    <w:rsid w:val="0012118B"/>
    <w:rsid w:val="001362A8"/>
    <w:rsid w:val="00141383"/>
    <w:rsid w:val="00142AB2"/>
    <w:rsid w:val="00146DC8"/>
    <w:rsid w:val="001529F1"/>
    <w:rsid w:val="00154173"/>
    <w:rsid w:val="00155068"/>
    <w:rsid w:val="001650E6"/>
    <w:rsid w:val="00165F3A"/>
    <w:rsid w:val="00172A23"/>
    <w:rsid w:val="00177CE8"/>
    <w:rsid w:val="0018210E"/>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67CD"/>
    <w:rsid w:val="00247BDC"/>
    <w:rsid w:val="00252290"/>
    <w:rsid w:val="00253B7F"/>
    <w:rsid w:val="00267F5F"/>
    <w:rsid w:val="0027404E"/>
    <w:rsid w:val="00280A1D"/>
    <w:rsid w:val="00284DBC"/>
    <w:rsid w:val="00286B4D"/>
    <w:rsid w:val="002A0CC5"/>
    <w:rsid w:val="002A393D"/>
    <w:rsid w:val="002A3C85"/>
    <w:rsid w:val="002A603B"/>
    <w:rsid w:val="002B46EB"/>
    <w:rsid w:val="002D0CE4"/>
    <w:rsid w:val="002D2E24"/>
    <w:rsid w:val="002D4643"/>
    <w:rsid w:val="002D4B6C"/>
    <w:rsid w:val="002E5465"/>
    <w:rsid w:val="002F175C"/>
    <w:rsid w:val="002F50A7"/>
    <w:rsid w:val="00301D76"/>
    <w:rsid w:val="00302E18"/>
    <w:rsid w:val="0030606F"/>
    <w:rsid w:val="0031709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964DB"/>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64E13"/>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76B71"/>
    <w:rsid w:val="0058526C"/>
    <w:rsid w:val="00586DB8"/>
    <w:rsid w:val="0059363D"/>
    <w:rsid w:val="00595A4A"/>
    <w:rsid w:val="00596193"/>
    <w:rsid w:val="00597EE5"/>
    <w:rsid w:val="005A1668"/>
    <w:rsid w:val="005A280E"/>
    <w:rsid w:val="005A6437"/>
    <w:rsid w:val="005B3DB3"/>
    <w:rsid w:val="005B4E13"/>
    <w:rsid w:val="005C5CC2"/>
    <w:rsid w:val="005D01AA"/>
    <w:rsid w:val="005D0201"/>
    <w:rsid w:val="005D2A29"/>
    <w:rsid w:val="005E6A77"/>
    <w:rsid w:val="005F4EF7"/>
    <w:rsid w:val="005F678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3692"/>
    <w:rsid w:val="00705894"/>
    <w:rsid w:val="0071793F"/>
    <w:rsid w:val="00717FBD"/>
    <w:rsid w:val="0072632A"/>
    <w:rsid w:val="007327D5"/>
    <w:rsid w:val="00733F57"/>
    <w:rsid w:val="00743E81"/>
    <w:rsid w:val="00752906"/>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5E53"/>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0628A"/>
    <w:rsid w:val="008116D7"/>
    <w:rsid w:val="00811920"/>
    <w:rsid w:val="0081208E"/>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16B5D"/>
    <w:rsid w:val="009223CA"/>
    <w:rsid w:val="00927829"/>
    <w:rsid w:val="00933E40"/>
    <w:rsid w:val="00934137"/>
    <w:rsid w:val="00940F93"/>
    <w:rsid w:val="0094558F"/>
    <w:rsid w:val="00952074"/>
    <w:rsid w:val="009536F9"/>
    <w:rsid w:val="00961690"/>
    <w:rsid w:val="009760F3"/>
    <w:rsid w:val="00977203"/>
    <w:rsid w:val="00995AB4"/>
    <w:rsid w:val="0099694F"/>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664A"/>
    <w:rsid w:val="00A1777D"/>
    <w:rsid w:val="00A3009E"/>
    <w:rsid w:val="00A3026E"/>
    <w:rsid w:val="00A31D95"/>
    <w:rsid w:val="00A338F1"/>
    <w:rsid w:val="00A41CB5"/>
    <w:rsid w:val="00A45808"/>
    <w:rsid w:val="00A46694"/>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05FA"/>
    <w:rsid w:val="00B51CEC"/>
    <w:rsid w:val="00B552A3"/>
    <w:rsid w:val="00B55C71"/>
    <w:rsid w:val="00B56E4A"/>
    <w:rsid w:val="00B56E9C"/>
    <w:rsid w:val="00B612DF"/>
    <w:rsid w:val="00B61320"/>
    <w:rsid w:val="00B6151A"/>
    <w:rsid w:val="00B61BB6"/>
    <w:rsid w:val="00B63F86"/>
    <w:rsid w:val="00B64B1F"/>
    <w:rsid w:val="00B6553F"/>
    <w:rsid w:val="00B70F1E"/>
    <w:rsid w:val="00B76A96"/>
    <w:rsid w:val="00B77D05"/>
    <w:rsid w:val="00B8059B"/>
    <w:rsid w:val="00B81206"/>
    <w:rsid w:val="00B81E12"/>
    <w:rsid w:val="00B8394B"/>
    <w:rsid w:val="00B85D76"/>
    <w:rsid w:val="00B87639"/>
    <w:rsid w:val="00B94746"/>
    <w:rsid w:val="00BA4F47"/>
    <w:rsid w:val="00BB5635"/>
    <w:rsid w:val="00BB7CD1"/>
    <w:rsid w:val="00BC2725"/>
    <w:rsid w:val="00BC3FA0"/>
    <w:rsid w:val="00BC5894"/>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348F3"/>
    <w:rsid w:val="00C43462"/>
    <w:rsid w:val="00C4527F"/>
    <w:rsid w:val="00C463DD"/>
    <w:rsid w:val="00C4724C"/>
    <w:rsid w:val="00C5215A"/>
    <w:rsid w:val="00C605F3"/>
    <w:rsid w:val="00C629A0"/>
    <w:rsid w:val="00C63A1C"/>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14B69"/>
    <w:rsid w:val="00D2031B"/>
    <w:rsid w:val="00D224BF"/>
    <w:rsid w:val="00D22523"/>
    <w:rsid w:val="00D24DA9"/>
    <w:rsid w:val="00D25E08"/>
    <w:rsid w:val="00D25FE2"/>
    <w:rsid w:val="00D43252"/>
    <w:rsid w:val="00D44198"/>
    <w:rsid w:val="00D47EEA"/>
    <w:rsid w:val="00D47F36"/>
    <w:rsid w:val="00D546B0"/>
    <w:rsid w:val="00D550D4"/>
    <w:rsid w:val="00D56292"/>
    <w:rsid w:val="00D62742"/>
    <w:rsid w:val="00D62AE5"/>
    <w:rsid w:val="00D7419E"/>
    <w:rsid w:val="00D74501"/>
    <w:rsid w:val="00D773DF"/>
    <w:rsid w:val="00D876F8"/>
    <w:rsid w:val="00D9255F"/>
    <w:rsid w:val="00D95303"/>
    <w:rsid w:val="00D978C6"/>
    <w:rsid w:val="00DA3C1C"/>
    <w:rsid w:val="00DA5024"/>
    <w:rsid w:val="00DB1304"/>
    <w:rsid w:val="00DB31EC"/>
    <w:rsid w:val="00DB43CD"/>
    <w:rsid w:val="00DB6EF9"/>
    <w:rsid w:val="00DC12A9"/>
    <w:rsid w:val="00DC366D"/>
    <w:rsid w:val="00DD5CEF"/>
    <w:rsid w:val="00DE37C6"/>
    <w:rsid w:val="00DE4970"/>
    <w:rsid w:val="00DE7486"/>
    <w:rsid w:val="00E01B7D"/>
    <w:rsid w:val="00E046DF"/>
    <w:rsid w:val="00E14853"/>
    <w:rsid w:val="00E15557"/>
    <w:rsid w:val="00E261FA"/>
    <w:rsid w:val="00E26778"/>
    <w:rsid w:val="00E27346"/>
    <w:rsid w:val="00E31ED4"/>
    <w:rsid w:val="00E51E40"/>
    <w:rsid w:val="00E54F0D"/>
    <w:rsid w:val="00E5731F"/>
    <w:rsid w:val="00E71BC8"/>
    <w:rsid w:val="00E7260F"/>
    <w:rsid w:val="00E73F5D"/>
    <w:rsid w:val="00E756DA"/>
    <w:rsid w:val="00E77E4E"/>
    <w:rsid w:val="00E82425"/>
    <w:rsid w:val="00E836E7"/>
    <w:rsid w:val="00E879F6"/>
    <w:rsid w:val="00E91DF7"/>
    <w:rsid w:val="00E955EE"/>
    <w:rsid w:val="00E96630"/>
    <w:rsid w:val="00E96B8D"/>
    <w:rsid w:val="00EA13FC"/>
    <w:rsid w:val="00EB65AE"/>
    <w:rsid w:val="00EC098C"/>
    <w:rsid w:val="00EC106A"/>
    <w:rsid w:val="00EC32A0"/>
    <w:rsid w:val="00ED7A2A"/>
    <w:rsid w:val="00ED7E4E"/>
    <w:rsid w:val="00EE6AA0"/>
    <w:rsid w:val="00EE6B3A"/>
    <w:rsid w:val="00EF1D7F"/>
    <w:rsid w:val="00F05E4B"/>
    <w:rsid w:val="00F07ABD"/>
    <w:rsid w:val="00F16B7D"/>
    <w:rsid w:val="00F227A6"/>
    <w:rsid w:val="00F31170"/>
    <w:rsid w:val="00F31E5F"/>
    <w:rsid w:val="00F36F0D"/>
    <w:rsid w:val="00F42999"/>
    <w:rsid w:val="00F46263"/>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 w:type="paragraph" w:styleId="CommentSubject">
    <w:name w:val="annotation subject"/>
    <w:basedOn w:val="CommentText"/>
    <w:next w:val="CommentText"/>
    <w:link w:val="CommentSubjectChar"/>
    <w:rsid w:val="00C63A1C"/>
    <w:pPr>
      <w:spacing w:line="240" w:lineRule="auto"/>
    </w:pPr>
    <w:rPr>
      <w:b/>
      <w:bCs/>
    </w:rPr>
  </w:style>
  <w:style w:type="character" w:customStyle="1" w:styleId="CommentTextChar">
    <w:name w:val="Comment Text Char"/>
    <w:basedOn w:val="DefaultParagraphFont"/>
    <w:link w:val="CommentText"/>
    <w:semiHidden/>
    <w:rsid w:val="00C63A1C"/>
    <w:rPr>
      <w:lang w:val="en-GB" w:eastAsia="en-US"/>
    </w:rPr>
  </w:style>
  <w:style w:type="character" w:customStyle="1" w:styleId="CommentSubjectChar">
    <w:name w:val="Comment Subject Char"/>
    <w:basedOn w:val="CommentTextChar"/>
    <w:link w:val="CommentSubject"/>
    <w:rsid w:val="00C63A1C"/>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 w:type="paragraph" w:styleId="CommentSubject">
    <w:name w:val="annotation subject"/>
    <w:basedOn w:val="CommentText"/>
    <w:next w:val="CommentText"/>
    <w:link w:val="CommentSubjectChar"/>
    <w:rsid w:val="00C63A1C"/>
    <w:pPr>
      <w:spacing w:line="240" w:lineRule="auto"/>
    </w:pPr>
    <w:rPr>
      <w:b/>
      <w:bCs/>
    </w:rPr>
  </w:style>
  <w:style w:type="character" w:customStyle="1" w:styleId="CommentTextChar">
    <w:name w:val="Comment Text Char"/>
    <w:basedOn w:val="DefaultParagraphFont"/>
    <w:link w:val="CommentText"/>
    <w:semiHidden/>
    <w:rsid w:val="00C63A1C"/>
    <w:rPr>
      <w:lang w:val="en-GB" w:eastAsia="en-US"/>
    </w:rPr>
  </w:style>
  <w:style w:type="character" w:customStyle="1" w:styleId="CommentSubjectChar">
    <w:name w:val="Comment Subject Char"/>
    <w:basedOn w:val="CommentTextChar"/>
    <w:link w:val="CommentSubject"/>
    <w:rsid w:val="00C63A1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1311">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ge\Documents\Calculos%2020%20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none"/>
          </c:marker>
          <c:cat>
            <c:strRef>
              <c:f>Hoja2!$A$29:$A$37</c:f>
              <c:strCache>
                <c:ptCount val="9"/>
                <c:pt idx="0">
                  <c:v>16 a 17</c:v>
                </c:pt>
                <c:pt idx="1">
                  <c:v>16 a 18</c:v>
                </c:pt>
                <c:pt idx="2">
                  <c:v>16 a 19</c:v>
                </c:pt>
                <c:pt idx="3">
                  <c:v>16 a 20</c:v>
                </c:pt>
                <c:pt idx="4">
                  <c:v>16 a 21</c:v>
                </c:pt>
                <c:pt idx="5">
                  <c:v>16 a 22</c:v>
                </c:pt>
                <c:pt idx="6">
                  <c:v>16 a 23</c:v>
                </c:pt>
                <c:pt idx="7">
                  <c:v>16 a 24</c:v>
                </c:pt>
                <c:pt idx="8">
                  <c:v>16 a 25</c:v>
                </c:pt>
              </c:strCache>
            </c:strRef>
          </c:cat>
          <c:val>
            <c:numRef>
              <c:f>Hoja2!$M$29:$M$37</c:f>
              <c:numCache>
                <c:formatCode>0.00</c:formatCode>
                <c:ptCount val="9"/>
                <c:pt idx="0">
                  <c:v>1.1425792671331294</c:v>
                </c:pt>
                <c:pt idx="1">
                  <c:v>2.1628241039170035</c:v>
                </c:pt>
                <c:pt idx="2">
                  <c:v>3.0763519795441283</c:v>
                </c:pt>
                <c:pt idx="3">
                  <c:v>3.8960988614108913</c:v>
                </c:pt>
                <c:pt idx="4">
                  <c:v>4.6328857805222157</c:v>
                </c:pt>
                <c:pt idx="5">
                  <c:v>5.2958452053320713</c:v>
                </c:pt>
                <c:pt idx="6">
                  <c:v>5.8927465496272191</c:v>
                </c:pt>
                <c:pt idx="7">
                  <c:v>6.430247915763232</c:v>
                </c:pt>
                <c:pt idx="8">
                  <c:v>6.9140930913270182</c:v>
                </c:pt>
              </c:numCache>
            </c:numRef>
          </c:val>
          <c:smooth val="0"/>
        </c:ser>
        <c:ser>
          <c:idx val="1"/>
          <c:order val="1"/>
          <c:marker>
            <c:symbol val="none"/>
          </c:marker>
          <c:cat>
            <c:strRef>
              <c:f>Hoja2!$A$29:$A$37</c:f>
              <c:strCache>
                <c:ptCount val="9"/>
                <c:pt idx="0">
                  <c:v>16 a 17</c:v>
                </c:pt>
                <c:pt idx="1">
                  <c:v>16 a 18</c:v>
                </c:pt>
                <c:pt idx="2">
                  <c:v>16 a 19</c:v>
                </c:pt>
                <c:pt idx="3">
                  <c:v>16 a 20</c:v>
                </c:pt>
                <c:pt idx="4">
                  <c:v>16 a 21</c:v>
                </c:pt>
                <c:pt idx="5">
                  <c:v>16 a 22</c:v>
                </c:pt>
                <c:pt idx="6">
                  <c:v>16 a 23</c:v>
                </c:pt>
                <c:pt idx="7">
                  <c:v>16 a 24</c:v>
                </c:pt>
                <c:pt idx="8">
                  <c:v>16 a 25</c:v>
                </c:pt>
              </c:strCache>
            </c:strRef>
          </c:cat>
          <c:val>
            <c:numRef>
              <c:f>Hoja2!$U$29:$U$37</c:f>
              <c:numCache>
                <c:formatCode>0.00</c:formatCode>
                <c:ptCount val="9"/>
                <c:pt idx="0">
                  <c:v>4.4783716986670186</c:v>
                </c:pt>
                <c:pt idx="1">
                  <c:v>8.6810399685531507</c:v>
                </c:pt>
                <c:pt idx="2">
                  <c:v>12.638589134645486</c:v>
                </c:pt>
                <c:pt idx="3">
                  <c:v>16.376586474758383</c:v>
                </c:pt>
                <c:pt idx="4">
                  <c:v>19.916617260891471</c:v>
                </c:pt>
                <c:pt idx="5">
                  <c:v>23.27706744384615</c:v>
                </c:pt>
                <c:pt idx="6">
                  <c:v>26.473724061314883</c:v>
                </c:pt>
                <c:pt idx="7">
                  <c:v>29.520241824121626</c:v>
                </c:pt>
                <c:pt idx="8">
                  <c:v>32.428509994927879</c:v>
                </c:pt>
              </c:numCache>
            </c:numRef>
          </c:val>
          <c:smooth val="0"/>
        </c:ser>
        <c:dLbls>
          <c:showLegendKey val="0"/>
          <c:showVal val="0"/>
          <c:showCatName val="0"/>
          <c:showSerName val="0"/>
          <c:showPercent val="0"/>
          <c:showBubbleSize val="0"/>
        </c:dLbls>
        <c:marker val="1"/>
        <c:smooth val="0"/>
        <c:axId val="127648768"/>
        <c:axId val="41984000"/>
      </c:lineChart>
      <c:catAx>
        <c:axId val="127648768"/>
        <c:scaling>
          <c:orientation val="minMax"/>
        </c:scaling>
        <c:delete val="0"/>
        <c:axPos val="b"/>
        <c:minorGridlines/>
        <c:numFmt formatCode="General" sourceLinked="0"/>
        <c:majorTickMark val="out"/>
        <c:minorTickMark val="none"/>
        <c:tickLblPos val="low"/>
        <c:txPr>
          <a:bodyPr rot="-5400000" vert="horz"/>
          <a:lstStyle/>
          <a:p>
            <a:pPr rtl="0">
              <a:defRPr sz="1000" baseline="46000"/>
            </a:pPr>
            <a:endParaRPr lang="en-US"/>
          </a:p>
        </c:txPr>
        <c:crossAx val="41984000"/>
        <c:crosses val="autoZero"/>
        <c:auto val="1"/>
        <c:lblAlgn val="ctr"/>
        <c:lblOffset val="0"/>
        <c:tickLblSkip val="1"/>
        <c:noMultiLvlLbl val="0"/>
      </c:catAx>
      <c:valAx>
        <c:axId val="41984000"/>
        <c:scaling>
          <c:orientation val="minMax"/>
        </c:scaling>
        <c:delete val="0"/>
        <c:axPos val="l"/>
        <c:majorGridlines>
          <c:spPr>
            <a:ln>
              <a:noFill/>
            </a:ln>
          </c:spPr>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00" sourceLinked="1"/>
        <c:majorTickMark val="out"/>
        <c:minorTickMark val="none"/>
        <c:tickLblPos val="nextTo"/>
        <c:crossAx val="127648768"/>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561E-63DD-458D-AFFE-0D5D0F2E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1810</Words>
  <Characters>10322</Characters>
  <Application>Microsoft Office Word</Application>
  <DocSecurity>0</DocSecurity>
  <Lines>86</Lines>
  <Paragraphs>24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cp:lastModifiedBy>barrio-champeau</cp:lastModifiedBy>
  <cp:revision>4</cp:revision>
  <cp:lastPrinted>2016-10-31T10:31:00Z</cp:lastPrinted>
  <dcterms:created xsi:type="dcterms:W3CDTF">2016-10-31T10:32:00Z</dcterms:created>
  <dcterms:modified xsi:type="dcterms:W3CDTF">2016-10-31T13:31:00Z</dcterms:modified>
</cp:coreProperties>
</file>