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C56317">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56317" w:rsidP="00C56317">
            <w:pPr>
              <w:jc w:val="right"/>
            </w:pPr>
            <w:r w:rsidRPr="00C56317">
              <w:rPr>
                <w:sz w:val="40"/>
              </w:rPr>
              <w:t>ST</w:t>
            </w:r>
            <w:r>
              <w:t>/SG/AC.10/C.3/2016/32</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56317" w:rsidP="009C3129">
            <w:pPr>
              <w:spacing w:before="240"/>
            </w:pPr>
            <w:r>
              <w:t>Distr. générale</w:t>
            </w:r>
          </w:p>
          <w:p w:rsidR="00C56317" w:rsidRDefault="00C56317" w:rsidP="00C56317">
            <w:pPr>
              <w:spacing w:line="240" w:lineRule="exact"/>
            </w:pPr>
            <w:r>
              <w:t>4 avril 2016</w:t>
            </w:r>
          </w:p>
          <w:p w:rsidR="00C56317" w:rsidRDefault="00C56317" w:rsidP="00C56317">
            <w:pPr>
              <w:spacing w:line="240" w:lineRule="exact"/>
            </w:pPr>
            <w:r>
              <w:t>Français</w:t>
            </w:r>
          </w:p>
          <w:p w:rsidR="00C56317" w:rsidRPr="00DB58B5" w:rsidRDefault="00C56317" w:rsidP="00C56317">
            <w:pPr>
              <w:spacing w:line="240" w:lineRule="exact"/>
            </w:pPr>
            <w:r>
              <w:t>Original : anglais</w:t>
            </w:r>
          </w:p>
        </w:tc>
      </w:tr>
    </w:tbl>
    <w:p w:rsidR="00C56317" w:rsidRPr="00CA0680" w:rsidRDefault="00C5631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C56317" w:rsidRPr="00CA0680" w:rsidRDefault="00C56317" w:rsidP="000305D3">
      <w:pPr>
        <w:spacing w:before="120"/>
        <w:rPr>
          <w:b/>
        </w:rPr>
      </w:pPr>
      <w:r w:rsidRPr="00CA0680">
        <w:rPr>
          <w:b/>
        </w:rPr>
        <w:t>Sous</w:t>
      </w:r>
      <w:r>
        <w:rPr>
          <w:b/>
        </w:rPr>
        <w:t>-</w:t>
      </w:r>
      <w:r w:rsidRPr="00CA0680">
        <w:rPr>
          <w:b/>
        </w:rPr>
        <w:t>Comité d’experts du transport des marchandises dangereuses</w:t>
      </w:r>
    </w:p>
    <w:p w:rsidR="00C56317" w:rsidRPr="007444F8" w:rsidRDefault="00C56317" w:rsidP="00C56317">
      <w:pPr>
        <w:spacing w:before="120"/>
        <w:rPr>
          <w:b/>
        </w:rPr>
      </w:pPr>
      <w:r w:rsidRPr="007444F8">
        <w:rPr>
          <w:b/>
          <w:bCs/>
        </w:rPr>
        <w:t>Quarante-neuvième</w:t>
      </w:r>
      <w:r w:rsidRPr="007444F8">
        <w:rPr>
          <w:b/>
        </w:rPr>
        <w:t xml:space="preserve"> session</w:t>
      </w:r>
    </w:p>
    <w:p w:rsidR="00C56317" w:rsidRPr="007444F8" w:rsidRDefault="00C56317" w:rsidP="00C56317">
      <w:pPr>
        <w:rPr>
          <w:sz w:val="19"/>
          <w:szCs w:val="19"/>
        </w:rPr>
      </w:pPr>
      <w:r>
        <w:t>Genève, 27 juin-</w:t>
      </w:r>
      <w:r w:rsidRPr="007444F8">
        <w:t>6 juillet 2016</w:t>
      </w:r>
    </w:p>
    <w:p w:rsidR="00C56317" w:rsidRPr="007444F8" w:rsidRDefault="00C56317" w:rsidP="00C56317">
      <w:r w:rsidRPr="007444F8">
        <w:t>Point 3 de l’ordre du jour provisoire</w:t>
      </w:r>
    </w:p>
    <w:p w:rsidR="00C56317" w:rsidRDefault="00C56317" w:rsidP="00C56317">
      <w:r w:rsidRPr="007444F8">
        <w:rPr>
          <w:b/>
        </w:rPr>
        <w:t>Inscription, classement et emballage</w:t>
      </w:r>
    </w:p>
    <w:p w:rsidR="00C56317" w:rsidRPr="007444F8" w:rsidRDefault="00C56317" w:rsidP="00C56317">
      <w:pPr>
        <w:pStyle w:val="HChG"/>
      </w:pPr>
      <w:r w:rsidRPr="007444F8">
        <w:rPr>
          <w:rFonts w:eastAsia="MS Mincho"/>
          <w:lang w:eastAsia="ja-JP"/>
        </w:rPr>
        <w:tab/>
      </w:r>
      <w:r w:rsidRPr="007444F8">
        <w:rPr>
          <w:rFonts w:eastAsia="MS Mincho"/>
          <w:lang w:eastAsia="ja-JP"/>
        </w:rPr>
        <w:tab/>
        <w:t xml:space="preserve">Classement d’une matière qui polymérise, inflammable, toxique, stabilisée, avec régulation de température </w:t>
      </w:r>
    </w:p>
    <w:p w:rsidR="00C56317" w:rsidRPr="007444F8" w:rsidRDefault="00C56317" w:rsidP="00C56317">
      <w:pPr>
        <w:pStyle w:val="H1G"/>
      </w:pPr>
      <w:r w:rsidRPr="007444F8">
        <w:rPr>
          <w:rFonts w:eastAsia="MS Mincho"/>
        </w:rPr>
        <w:tab/>
      </w:r>
      <w:r w:rsidRPr="007444F8">
        <w:rPr>
          <w:rFonts w:eastAsia="MS Mincho"/>
        </w:rPr>
        <w:tab/>
        <w:t>Communication de l’expert de l’Autriche</w:t>
      </w:r>
      <w:r w:rsidRPr="009F39C7">
        <w:rPr>
          <w:rStyle w:val="FootnoteReference"/>
          <w:rFonts w:eastAsia="MS Mincho"/>
          <w:b w:val="0"/>
        </w:rPr>
        <w:footnoteReference w:id="2"/>
      </w:r>
    </w:p>
    <w:p w:rsidR="00C56317" w:rsidRPr="007444F8" w:rsidRDefault="00C56317" w:rsidP="00C56317">
      <w:pPr>
        <w:pStyle w:val="HChG"/>
      </w:pPr>
      <w:r w:rsidRPr="007444F8">
        <w:tab/>
      </w:r>
      <w:r w:rsidRPr="007444F8">
        <w:tab/>
        <w:t>Introduction</w:t>
      </w:r>
    </w:p>
    <w:p w:rsidR="00C56317" w:rsidRPr="007444F8" w:rsidRDefault="008C3933" w:rsidP="008C3933">
      <w:pPr>
        <w:pStyle w:val="SingleTxtG"/>
      </w:pPr>
      <w:r>
        <w:t>1.</w:t>
      </w:r>
      <w:r>
        <w:tab/>
      </w:r>
      <w:r w:rsidR="00C56317" w:rsidRPr="007444F8">
        <w:t>Les matières qui polymérisent sont définies comme suit</w:t>
      </w:r>
      <w:r w:rsidR="00C56317">
        <w:t> :</w:t>
      </w:r>
    </w:p>
    <w:p w:rsidR="00C56317" w:rsidRPr="007444F8" w:rsidRDefault="00C56317" w:rsidP="00C44859">
      <w:pPr>
        <w:pStyle w:val="SingleTxtG"/>
        <w:keepNext/>
        <w:spacing w:after="0"/>
        <w:ind w:left="2268" w:hanging="1134"/>
      </w:pPr>
      <w:r>
        <w:t>2.4.2.5.1</w:t>
      </w:r>
      <w:r>
        <w:tab/>
      </w:r>
      <w:r w:rsidRPr="007444F8">
        <w:t>Définitions et propriétés</w:t>
      </w:r>
    </w:p>
    <w:p w:rsidR="00C56317" w:rsidRPr="007444F8" w:rsidRDefault="00C56317" w:rsidP="00C56317">
      <w:pPr>
        <w:pStyle w:val="SingleTxtG"/>
        <w:spacing w:before="120"/>
        <w:ind w:left="2268"/>
      </w:pPr>
      <w:r w:rsidRPr="007444F8">
        <w:t xml:space="preserve">On entend par </w:t>
      </w:r>
      <w:r w:rsidRPr="008C3933">
        <w:rPr>
          <w:i/>
        </w:rPr>
        <w:t>Matières qui polymérisent</w:t>
      </w:r>
      <w:r w:rsidRPr="007444F8">
        <w:t>, les matières qui, sans stabilisation, sont susceptibles de subir une forte réaction exothermique résultant en la formation de molécules plus grandes ou résultant en la formation de polymères dans les conditions normales de transport. De telles matières sont considérées comme des matières susceptibles de poly</w:t>
      </w:r>
      <w:r>
        <w:t>mériser de la division</w:t>
      </w:r>
      <w:r w:rsidR="008C3933">
        <w:t> </w:t>
      </w:r>
      <w:r>
        <w:t>4.1 :</w:t>
      </w:r>
    </w:p>
    <w:p w:rsidR="00C56317" w:rsidRPr="007444F8" w:rsidRDefault="00C56317" w:rsidP="00C56317">
      <w:pPr>
        <w:pStyle w:val="SingleTxtG"/>
        <w:spacing w:before="120"/>
        <w:ind w:left="2835" w:hanging="567"/>
      </w:pPr>
      <w:r w:rsidRPr="007444F8">
        <w:t>a)</w:t>
      </w:r>
      <w:r w:rsidRPr="007444F8">
        <w:tab/>
      </w:r>
      <w:r w:rsidR="003A174F">
        <w:t>L</w:t>
      </w:r>
      <w:r w:rsidRPr="007444F8">
        <w:t xml:space="preserve">orsque leur température de polymérisation auto-accélérée (TPAA) est au maximum de </w:t>
      </w:r>
      <w:r w:rsidR="008C3933">
        <w:t>75 </w:t>
      </w:r>
      <w:r w:rsidRPr="007444F8">
        <w:t>°C dans les conditions (avec ou sans stabilisation chimique dans la forme sous laquelle ils sont présentés au transport) et dans l’emballage, le GRV ou la citerne mobile dans lesquels la matière ou le mélange doivent être transportés</w:t>
      </w:r>
      <w:r>
        <w:t> ;</w:t>
      </w:r>
    </w:p>
    <w:p w:rsidR="00C56317" w:rsidRPr="007444F8" w:rsidRDefault="00C56317" w:rsidP="00C56317">
      <w:pPr>
        <w:pStyle w:val="SingleTxtG"/>
        <w:spacing w:before="120"/>
        <w:ind w:left="2835" w:hanging="567"/>
      </w:pPr>
      <w:r w:rsidRPr="007444F8">
        <w:t>b)</w:t>
      </w:r>
      <w:r w:rsidRPr="007444F8">
        <w:tab/>
      </w:r>
      <w:r w:rsidR="003A174F">
        <w:t>L</w:t>
      </w:r>
      <w:r w:rsidRPr="007444F8">
        <w:t xml:space="preserve">orsqu’elles ont une chaleur de réaction supérieure à </w:t>
      </w:r>
      <w:r>
        <w:t>300 J/g ;</w:t>
      </w:r>
      <w:r w:rsidRPr="007444F8">
        <w:t xml:space="preserve"> et</w:t>
      </w:r>
    </w:p>
    <w:p w:rsidR="00C56317" w:rsidRPr="007444F8" w:rsidRDefault="00C56317" w:rsidP="00C56317">
      <w:pPr>
        <w:pStyle w:val="SingleTxtG"/>
        <w:spacing w:before="120"/>
        <w:ind w:left="2835" w:hanging="567"/>
        <w:rPr>
          <w:b/>
          <w:u w:val="single"/>
        </w:rPr>
      </w:pPr>
      <w:r w:rsidRPr="008E6F1A">
        <w:rPr>
          <w:b/>
        </w:rPr>
        <w:lastRenderedPageBreak/>
        <w:t>c)</w:t>
      </w:r>
      <w:r w:rsidRPr="008E6F1A">
        <w:rPr>
          <w:b/>
        </w:rPr>
        <w:tab/>
      </w:r>
      <w:r w:rsidR="008E6F1A" w:rsidRPr="008E6F1A">
        <w:rPr>
          <w:b/>
        </w:rPr>
        <w:t>L</w:t>
      </w:r>
      <w:r w:rsidRPr="008E6F1A">
        <w:rPr>
          <w:b/>
        </w:rPr>
        <w:t>orsqu’elles ne satisfont à aucun autre des critères d’inclusion dans les classes 1 à 8</w:t>
      </w:r>
      <w:r w:rsidRPr="001360CD">
        <w:rPr>
          <w:b/>
        </w:rPr>
        <w:t>.</w:t>
      </w:r>
    </w:p>
    <w:p w:rsidR="00C56317" w:rsidRPr="007444F8" w:rsidRDefault="00C56317" w:rsidP="001360CD">
      <w:pPr>
        <w:pStyle w:val="SingleTxtG"/>
        <w:spacing w:before="120"/>
        <w:ind w:left="2268"/>
      </w:pPr>
      <w:r w:rsidRPr="007444F8">
        <w:t>Un mélange remplissant les critères d’une matière qui polymérise doit être classé en tant que matière qui polymérise de la division 4.1.</w:t>
      </w:r>
    </w:p>
    <w:p w:rsidR="00C56317" w:rsidRPr="007444F8" w:rsidRDefault="00C44859" w:rsidP="00C44859">
      <w:pPr>
        <w:pStyle w:val="SingleTxtG"/>
        <w:keepNext/>
        <w:spacing w:after="0"/>
        <w:ind w:left="2268" w:hanging="1134"/>
      </w:pPr>
      <w:r>
        <w:t>2.4.2.5.2</w:t>
      </w:r>
      <w:r>
        <w:tab/>
      </w:r>
      <w:r w:rsidR="00C56317" w:rsidRPr="007444F8">
        <w:t>Les matières qui polymérisent sont soumises à régulation de température pendant le transport si leur température de polymérisation auto-accélérée (TPAA)</w:t>
      </w:r>
      <w:r>
        <w:t> :</w:t>
      </w:r>
    </w:p>
    <w:p w:rsidR="00C56317" w:rsidRPr="007444F8" w:rsidRDefault="00C56317" w:rsidP="00C44859">
      <w:pPr>
        <w:pStyle w:val="SingleTxtG"/>
        <w:spacing w:before="120"/>
        <w:ind w:left="2835" w:hanging="567"/>
      </w:pPr>
      <w:r w:rsidRPr="007444F8">
        <w:t>a)</w:t>
      </w:r>
      <w:r w:rsidRPr="007444F8">
        <w:tab/>
      </w:r>
      <w:r w:rsidR="00C44859">
        <w:t>N</w:t>
      </w:r>
      <w:r w:rsidRPr="007444F8">
        <w:t>e dépasse pas 50</w:t>
      </w:r>
      <w:r w:rsidR="00C44859">
        <w:t> </w:t>
      </w:r>
      <w:r w:rsidRPr="007444F8">
        <w:t xml:space="preserve">°C dans l’emballage ou le GRV dans lequel la matière doit être transportée, dans le cas des matières remises au transport en emballage ou GRV; </w:t>
      </w:r>
    </w:p>
    <w:p w:rsidR="00C56317" w:rsidRPr="007444F8" w:rsidRDefault="00C56317" w:rsidP="00C44859">
      <w:pPr>
        <w:pStyle w:val="SingleTxtG"/>
        <w:spacing w:before="120"/>
        <w:ind w:left="2835" w:hanging="567"/>
      </w:pPr>
      <w:r w:rsidRPr="007444F8">
        <w:t>b)</w:t>
      </w:r>
      <w:r w:rsidRPr="007444F8">
        <w:tab/>
      </w:r>
      <w:r w:rsidR="00C44859">
        <w:t>N</w:t>
      </w:r>
      <w:r w:rsidRPr="007444F8">
        <w:t>e dépasse pas 45</w:t>
      </w:r>
      <w:r w:rsidR="00C44859">
        <w:t> </w:t>
      </w:r>
      <w:r w:rsidRPr="007444F8">
        <w:t>°C dans la citerne mobile dans laquelle la matière doit être transportée, dans le cas des matières remises au transport en citerne mobile.</w:t>
      </w:r>
    </w:p>
    <w:p w:rsidR="00C56317" w:rsidRPr="007444F8" w:rsidRDefault="008C3933" w:rsidP="008C3933">
      <w:pPr>
        <w:pStyle w:val="SingleTxtG"/>
        <w:keepNext/>
      </w:pPr>
      <w:r>
        <w:t>2.</w:t>
      </w:r>
      <w:r>
        <w:tab/>
      </w:r>
      <w:r w:rsidR="00C56317" w:rsidRPr="007444F8">
        <w:t>Prop</w:t>
      </w:r>
      <w:r>
        <w:t>riétés d’une matière spécifique :</w:t>
      </w:r>
    </w:p>
    <w:p w:rsidR="00C56317" w:rsidRPr="007444F8" w:rsidRDefault="00C56317" w:rsidP="008C3933">
      <w:pPr>
        <w:pStyle w:val="SingleTxtG"/>
        <w:spacing w:after="0"/>
        <w:ind w:left="1701"/>
      </w:pPr>
      <w:r w:rsidRPr="007444F8">
        <w:t>TPAA</w:t>
      </w:r>
      <w:r w:rsidR="008C3933">
        <w:t> :</w:t>
      </w:r>
      <w:r w:rsidRPr="007444F8">
        <w:t xml:space="preserve"> </w:t>
      </w:r>
      <w:r w:rsidR="008C3933">
        <w:sym w:font="Symbol" w:char="F03C"/>
      </w:r>
      <w:r w:rsidRPr="007444F8">
        <w:t>50 °C</w:t>
      </w:r>
    </w:p>
    <w:p w:rsidR="00C56317" w:rsidRPr="007444F8" w:rsidRDefault="00C56317" w:rsidP="008C3933">
      <w:pPr>
        <w:pStyle w:val="SingleTxtG"/>
        <w:spacing w:after="0"/>
        <w:ind w:left="1701"/>
      </w:pPr>
      <w:r w:rsidRPr="007444F8">
        <w:t>Énergie de polymé</w:t>
      </w:r>
      <w:r w:rsidR="008C3933">
        <w:t xml:space="preserve">risation : </w:t>
      </w:r>
      <w:r w:rsidR="008C3933">
        <w:sym w:font="Symbol" w:char="F03E"/>
      </w:r>
      <w:r w:rsidRPr="007444F8">
        <w:t>800 J/g</w:t>
      </w:r>
    </w:p>
    <w:p w:rsidR="00C56317" w:rsidRPr="007444F8" w:rsidRDefault="00C56317" w:rsidP="008C3933">
      <w:pPr>
        <w:pStyle w:val="SingleTxtG"/>
        <w:spacing w:after="0"/>
        <w:ind w:left="1701"/>
      </w:pPr>
      <w:r w:rsidRPr="007444F8">
        <w:t>Point d’éclair</w:t>
      </w:r>
      <w:r w:rsidR="008C3933">
        <w:t xml:space="preserve"> : </w:t>
      </w:r>
      <w:r w:rsidR="008C3933">
        <w:sym w:font="Symbol" w:char="F03C"/>
      </w:r>
      <w:r w:rsidRPr="007444F8">
        <w:t>0 °C</w:t>
      </w:r>
    </w:p>
    <w:p w:rsidR="00C56317" w:rsidRPr="007444F8" w:rsidRDefault="00C56317" w:rsidP="008C3933">
      <w:pPr>
        <w:pStyle w:val="SingleTxtG"/>
        <w:spacing w:after="0"/>
        <w:ind w:left="1701"/>
      </w:pPr>
      <w:r w:rsidRPr="007444F8">
        <w:t>Point de fusion</w:t>
      </w:r>
      <w:r w:rsidR="008C3933">
        <w:t xml:space="preserve"> : </w:t>
      </w:r>
      <w:r w:rsidR="008C3933">
        <w:sym w:font="Symbol" w:char="F03C"/>
      </w:r>
      <w:r w:rsidRPr="007444F8">
        <w:t>-30 °C</w:t>
      </w:r>
    </w:p>
    <w:p w:rsidR="00C56317" w:rsidRPr="007444F8" w:rsidRDefault="00C56317" w:rsidP="008C3933">
      <w:pPr>
        <w:pStyle w:val="SingleTxtG"/>
        <w:ind w:left="1701"/>
      </w:pPr>
      <w:r w:rsidRPr="007444F8">
        <w:t xml:space="preserve">DL50 orale </w:t>
      </w:r>
      <w:r w:rsidR="008C3933">
        <w:t xml:space="preserve">(rat) : </w:t>
      </w:r>
      <w:r w:rsidR="008C3933">
        <w:sym w:font="Symbol" w:char="F03C"/>
      </w:r>
      <w:r w:rsidRPr="007444F8">
        <w:t>100 mg/kg</w:t>
      </w:r>
      <w:r w:rsidR="008C3933">
        <w:t>.</w:t>
      </w:r>
    </w:p>
    <w:p w:rsidR="00C56317" w:rsidRPr="007444F8" w:rsidRDefault="00C56317" w:rsidP="008C3933">
      <w:pPr>
        <w:pStyle w:val="SingleTxtG"/>
        <w:ind w:left="1701"/>
      </w:pPr>
      <w:r w:rsidRPr="007444F8">
        <w:t xml:space="preserve">Selon le principe de l’autoclassement, cette matière pourrait être affectée à la rubrique </w:t>
      </w:r>
      <w:r w:rsidR="008C3933">
        <w:t>ONU </w:t>
      </w:r>
      <w:r w:rsidRPr="007444F8">
        <w:t>3239 LIQUIDE AUTORÉACTIF DU TYPE F, AVEC RÉGULATION DE TEMPÉRATURE</w:t>
      </w:r>
      <w:r w:rsidR="008C3933">
        <w:t>.</w:t>
      </w:r>
    </w:p>
    <w:p w:rsidR="00C56317" w:rsidRPr="007444F8" w:rsidRDefault="00C56317" w:rsidP="008C3933">
      <w:pPr>
        <w:pStyle w:val="ParNoG"/>
        <w:numPr>
          <w:ilvl w:val="0"/>
          <w:numId w:val="0"/>
        </w:numPr>
        <w:ind w:left="1134"/>
      </w:pPr>
      <w:r w:rsidRPr="007444F8">
        <w:t>3.</w:t>
      </w:r>
      <w:r w:rsidRPr="007444F8">
        <w:tab/>
      </w:r>
      <w:r w:rsidR="008C3933">
        <w:t>Or, conformément à l’alinéa </w:t>
      </w:r>
      <w:r w:rsidRPr="008C3933">
        <w:t>c</w:t>
      </w:r>
      <w:r w:rsidR="008C3933">
        <w:t>)</w:t>
      </w:r>
      <w:r w:rsidRPr="007444F8">
        <w:t xml:space="preserve"> du 2.4.2.5.1, cette matière doit être classée comme matière inflammable, toxique, stabilisée, la notion de régulation de température étant omise.</w:t>
      </w:r>
    </w:p>
    <w:p w:rsidR="00C56317" w:rsidRPr="007444F8" w:rsidRDefault="00C56317" w:rsidP="008C3933">
      <w:pPr>
        <w:pStyle w:val="HChG"/>
      </w:pPr>
      <w:r w:rsidRPr="007444F8">
        <w:tab/>
      </w:r>
      <w:r w:rsidRPr="007444F8">
        <w:tab/>
        <w:t>Proposition</w:t>
      </w:r>
    </w:p>
    <w:p w:rsidR="00C56317" w:rsidRPr="007444F8" w:rsidRDefault="00C56317" w:rsidP="00C56317">
      <w:pPr>
        <w:pStyle w:val="SingleTxtG"/>
      </w:pPr>
      <w:r w:rsidRPr="007444F8">
        <w:t>6.</w:t>
      </w:r>
      <w:r w:rsidRPr="007444F8">
        <w:tab/>
        <w:t xml:space="preserve">Bien qu’il faille examiner toutes les incidences éventuelles d’une telle décision, on pourrait envisager de supprimer </w:t>
      </w:r>
      <w:r w:rsidR="008C3933">
        <w:t>l’alinéa </w:t>
      </w:r>
      <w:r w:rsidR="008C3933" w:rsidRPr="008C3933">
        <w:t>c</w:t>
      </w:r>
      <w:r w:rsidR="008C3933">
        <w:t>) :</w:t>
      </w:r>
    </w:p>
    <w:p w:rsidR="00C56317" w:rsidRPr="007444F8" w:rsidRDefault="008C3933" w:rsidP="008C3933">
      <w:pPr>
        <w:pStyle w:val="SingleTxtG"/>
        <w:spacing w:before="120"/>
        <w:ind w:left="1701"/>
      </w:pPr>
      <w:r w:rsidRPr="008C3933">
        <w:t>« </w:t>
      </w:r>
      <w:r w:rsidR="009F39C7">
        <w:tab/>
      </w:r>
      <w:r w:rsidR="00C56317" w:rsidRPr="008C3933">
        <w:t>c)</w:t>
      </w:r>
      <w:r w:rsidR="00C56317" w:rsidRPr="008C3933">
        <w:tab/>
      </w:r>
      <w:r w:rsidRPr="008C3933">
        <w:t>L</w:t>
      </w:r>
      <w:r w:rsidR="00C56317" w:rsidRPr="008C3933">
        <w:t>orsqu’elles ne satisfont à aucun autre des critères d’inclusion dans les classes 1 à 8.</w:t>
      </w:r>
      <w:r>
        <w:t> ».</w:t>
      </w:r>
    </w:p>
    <w:p w:rsidR="00446FE5" w:rsidRDefault="00C56317" w:rsidP="008C3933">
      <w:pPr>
        <w:pStyle w:val="SingleTxtG"/>
      </w:pPr>
      <w:r w:rsidRPr="007444F8">
        <w:t xml:space="preserve">pour les matières soumises à régulation de température. En tout état de cause, l’expression </w:t>
      </w:r>
      <w:r w:rsidR="008C3933">
        <w:t>« </w:t>
      </w:r>
      <w:r w:rsidRPr="007444F8">
        <w:t>classes 1 à 8</w:t>
      </w:r>
      <w:r w:rsidR="008C3933">
        <w:t> »</w:t>
      </w:r>
      <w:r w:rsidRPr="007444F8">
        <w:t xml:space="preserve"> semble être un vestige de la proposition initiale tendant à classer ces matières dans la classe 9. La définition d’un risque subsidiaire pour les autres classes nécessitera des modifications supplémentaires, par exemple dans le tableau de prépondérance des dangers.</w:t>
      </w:r>
    </w:p>
    <w:p w:rsidR="008C3933" w:rsidRPr="008C3933" w:rsidRDefault="008C3933" w:rsidP="008C3933">
      <w:pPr>
        <w:pStyle w:val="SingleTxtG"/>
        <w:spacing w:before="240" w:after="0"/>
        <w:jc w:val="center"/>
        <w:rPr>
          <w:u w:val="single"/>
        </w:rPr>
      </w:pPr>
      <w:r>
        <w:rPr>
          <w:u w:val="single"/>
        </w:rPr>
        <w:tab/>
      </w:r>
      <w:r>
        <w:rPr>
          <w:u w:val="single"/>
        </w:rPr>
        <w:tab/>
      </w:r>
      <w:r>
        <w:rPr>
          <w:u w:val="single"/>
        </w:rPr>
        <w:tab/>
      </w:r>
    </w:p>
    <w:sectPr w:rsidR="008C3933" w:rsidRPr="008C3933" w:rsidSect="00C5631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B4" w:rsidRDefault="00CE68B4" w:rsidP="00F95C08">
      <w:pPr>
        <w:spacing w:line="240" w:lineRule="auto"/>
      </w:pPr>
    </w:p>
  </w:endnote>
  <w:endnote w:type="continuationSeparator" w:id="0">
    <w:p w:rsidR="00CE68B4" w:rsidRPr="00AC3823" w:rsidRDefault="00CE68B4" w:rsidP="00AC3823">
      <w:pPr>
        <w:pStyle w:val="Footer"/>
      </w:pPr>
    </w:p>
  </w:endnote>
  <w:endnote w:type="continuationNotice" w:id="1">
    <w:p w:rsidR="00CE68B4" w:rsidRDefault="00CE68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17" w:rsidRPr="00C56317" w:rsidRDefault="00C56317" w:rsidP="00C56317">
    <w:pPr>
      <w:pStyle w:val="Footer"/>
      <w:tabs>
        <w:tab w:val="right" w:pos="9638"/>
      </w:tabs>
    </w:pPr>
    <w:r w:rsidRPr="00C56317">
      <w:rPr>
        <w:b/>
        <w:sz w:val="18"/>
      </w:rPr>
      <w:fldChar w:fldCharType="begin"/>
    </w:r>
    <w:r w:rsidRPr="00C56317">
      <w:rPr>
        <w:b/>
        <w:sz w:val="18"/>
      </w:rPr>
      <w:instrText xml:space="preserve"> PAGE  \* MERGEFORMAT </w:instrText>
    </w:r>
    <w:r w:rsidRPr="00C56317">
      <w:rPr>
        <w:b/>
        <w:sz w:val="18"/>
      </w:rPr>
      <w:fldChar w:fldCharType="separate"/>
    </w:r>
    <w:r w:rsidR="00856ED0">
      <w:rPr>
        <w:b/>
        <w:noProof/>
        <w:sz w:val="18"/>
      </w:rPr>
      <w:t>2</w:t>
    </w:r>
    <w:r w:rsidRPr="00C56317">
      <w:rPr>
        <w:b/>
        <w:sz w:val="18"/>
      </w:rPr>
      <w:fldChar w:fldCharType="end"/>
    </w:r>
    <w:r>
      <w:rPr>
        <w:b/>
        <w:sz w:val="18"/>
      </w:rPr>
      <w:tab/>
    </w:r>
    <w:r>
      <w:t>GE.16-05330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17" w:rsidRPr="00C56317" w:rsidRDefault="00C56317" w:rsidP="00C56317">
    <w:pPr>
      <w:pStyle w:val="Footer"/>
      <w:tabs>
        <w:tab w:val="right" w:pos="9638"/>
      </w:tabs>
      <w:rPr>
        <w:b/>
        <w:sz w:val="18"/>
      </w:rPr>
    </w:pPr>
    <w:r>
      <w:t>GE.16-05330</w:t>
    </w:r>
    <w:r>
      <w:tab/>
    </w:r>
    <w:r w:rsidRPr="00C56317">
      <w:rPr>
        <w:b/>
        <w:sz w:val="18"/>
      </w:rPr>
      <w:fldChar w:fldCharType="begin"/>
    </w:r>
    <w:r w:rsidRPr="00C56317">
      <w:rPr>
        <w:b/>
        <w:sz w:val="18"/>
      </w:rPr>
      <w:instrText xml:space="preserve"> PAGE  \* MERGEFORMAT </w:instrText>
    </w:r>
    <w:r w:rsidRPr="00C56317">
      <w:rPr>
        <w:b/>
        <w:sz w:val="18"/>
      </w:rPr>
      <w:fldChar w:fldCharType="separate"/>
    </w:r>
    <w:r>
      <w:rPr>
        <w:b/>
        <w:noProof/>
        <w:sz w:val="18"/>
      </w:rPr>
      <w:t>3</w:t>
    </w:r>
    <w:r w:rsidRPr="00C563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C56317" w:rsidRDefault="00C56317" w:rsidP="00C56317">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72C5904" wp14:editId="1B5FB74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16-05330  (F)    120516    130516</w:t>
    </w:r>
    <w:r>
      <w:rPr>
        <w:sz w:val="20"/>
      </w:rPr>
      <w:br/>
    </w:r>
    <w:r w:rsidRPr="00C56317">
      <w:rPr>
        <w:rFonts w:ascii="C39T30Lfz" w:hAnsi="C39T30Lfz"/>
        <w:sz w:val="56"/>
      </w:rPr>
      <w:t></w:t>
    </w:r>
    <w:r w:rsidRPr="00C56317">
      <w:rPr>
        <w:rFonts w:ascii="C39T30Lfz" w:hAnsi="C39T30Lfz"/>
        <w:sz w:val="56"/>
      </w:rPr>
      <w:t></w:t>
    </w:r>
    <w:r w:rsidRPr="00C56317">
      <w:rPr>
        <w:rFonts w:ascii="C39T30Lfz" w:hAnsi="C39T30Lfz"/>
        <w:sz w:val="56"/>
      </w:rPr>
      <w:t></w:t>
    </w:r>
    <w:r w:rsidRPr="00C56317">
      <w:rPr>
        <w:rFonts w:ascii="C39T30Lfz" w:hAnsi="C39T30Lfz"/>
        <w:sz w:val="56"/>
      </w:rPr>
      <w:t></w:t>
    </w:r>
    <w:r w:rsidRPr="00C56317">
      <w:rPr>
        <w:rFonts w:ascii="C39T30Lfz" w:hAnsi="C39T30Lfz"/>
        <w:sz w:val="56"/>
      </w:rPr>
      <w:t></w:t>
    </w:r>
    <w:r w:rsidRPr="00C56317">
      <w:rPr>
        <w:rFonts w:ascii="C39T30Lfz" w:hAnsi="C39T30Lfz"/>
        <w:sz w:val="56"/>
      </w:rPr>
      <w:t></w:t>
    </w:r>
    <w:r w:rsidRPr="00C56317">
      <w:rPr>
        <w:rFonts w:ascii="C39T30Lfz" w:hAnsi="C39T30Lfz"/>
        <w:sz w:val="56"/>
      </w:rPr>
      <w:t></w:t>
    </w:r>
    <w:r w:rsidRPr="00C56317">
      <w:rPr>
        <w:rFonts w:ascii="C39T30Lfz" w:hAnsi="C39T30Lfz"/>
        <w:sz w:val="56"/>
      </w:rPr>
      <w:t></w:t>
    </w:r>
    <w:r w:rsidRPr="00C5631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3/2016/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B4" w:rsidRPr="00AC3823" w:rsidRDefault="00CE68B4" w:rsidP="00AC3823">
      <w:pPr>
        <w:pStyle w:val="Footer"/>
        <w:tabs>
          <w:tab w:val="right" w:pos="2155"/>
        </w:tabs>
        <w:spacing w:after="80" w:line="240" w:lineRule="atLeast"/>
        <w:ind w:left="680"/>
        <w:rPr>
          <w:u w:val="single"/>
        </w:rPr>
      </w:pPr>
      <w:r>
        <w:rPr>
          <w:u w:val="single"/>
        </w:rPr>
        <w:tab/>
      </w:r>
    </w:p>
  </w:footnote>
  <w:footnote w:type="continuationSeparator" w:id="0">
    <w:p w:rsidR="00CE68B4" w:rsidRPr="00AC3823" w:rsidRDefault="00CE68B4" w:rsidP="00AC3823">
      <w:pPr>
        <w:pStyle w:val="Footer"/>
        <w:tabs>
          <w:tab w:val="right" w:pos="2155"/>
        </w:tabs>
        <w:spacing w:after="80" w:line="240" w:lineRule="atLeast"/>
        <w:ind w:left="680"/>
        <w:rPr>
          <w:u w:val="single"/>
        </w:rPr>
      </w:pPr>
      <w:r>
        <w:rPr>
          <w:u w:val="single"/>
        </w:rPr>
        <w:tab/>
      </w:r>
    </w:p>
  </w:footnote>
  <w:footnote w:type="continuationNotice" w:id="1">
    <w:p w:rsidR="00CE68B4" w:rsidRPr="00AC3823" w:rsidRDefault="00CE68B4">
      <w:pPr>
        <w:spacing w:line="240" w:lineRule="auto"/>
        <w:rPr>
          <w:sz w:val="2"/>
          <w:szCs w:val="2"/>
        </w:rPr>
      </w:pPr>
    </w:p>
  </w:footnote>
  <w:footnote w:id="2">
    <w:p w:rsidR="00C56317" w:rsidRPr="00FA2E5A" w:rsidRDefault="00C56317" w:rsidP="00C56317">
      <w:pPr>
        <w:pStyle w:val="FootnoteText"/>
      </w:pPr>
      <w:r>
        <w:tab/>
      </w:r>
      <w:r w:rsidRPr="0020104F">
        <w:rPr>
          <w:rStyle w:val="FootnoteReference"/>
        </w:rPr>
        <w:footnoteRef/>
      </w:r>
      <w:r>
        <w:tab/>
      </w:r>
      <w:r w:rsidRPr="00FA2E5A">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17" w:rsidRPr="00C56317" w:rsidRDefault="00C56317">
    <w:pPr>
      <w:pStyle w:val="Header"/>
    </w:pPr>
    <w:r>
      <w:t>ST/SG/AC.10/C.3/2016/32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17" w:rsidRPr="00C56317" w:rsidRDefault="00C56317" w:rsidP="00C56317">
    <w:pPr>
      <w:pStyle w:val="Header"/>
      <w:jc w:val="right"/>
    </w:pPr>
    <w:r>
      <w:t>ST/SG/AC.10/C.3/2016/32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B4"/>
    <w:rsid w:val="00017F94"/>
    <w:rsid w:val="00023842"/>
    <w:rsid w:val="000305D3"/>
    <w:rsid w:val="000334F9"/>
    <w:rsid w:val="0007796D"/>
    <w:rsid w:val="000B7790"/>
    <w:rsid w:val="00111F2F"/>
    <w:rsid w:val="00132EA9"/>
    <w:rsid w:val="001360CD"/>
    <w:rsid w:val="0014365E"/>
    <w:rsid w:val="00176178"/>
    <w:rsid w:val="001F525A"/>
    <w:rsid w:val="00223272"/>
    <w:rsid w:val="0024779E"/>
    <w:rsid w:val="00283190"/>
    <w:rsid w:val="002832AC"/>
    <w:rsid w:val="002D7C93"/>
    <w:rsid w:val="003A174F"/>
    <w:rsid w:val="00441C3B"/>
    <w:rsid w:val="00446FE5"/>
    <w:rsid w:val="00452396"/>
    <w:rsid w:val="004E468C"/>
    <w:rsid w:val="005505B7"/>
    <w:rsid w:val="00573BE5"/>
    <w:rsid w:val="00586ED3"/>
    <w:rsid w:val="00596AA9"/>
    <w:rsid w:val="005C6501"/>
    <w:rsid w:val="0068456F"/>
    <w:rsid w:val="0071601D"/>
    <w:rsid w:val="007A62E6"/>
    <w:rsid w:val="0080684C"/>
    <w:rsid w:val="00856ED0"/>
    <w:rsid w:val="00871C75"/>
    <w:rsid w:val="008776DC"/>
    <w:rsid w:val="008C3933"/>
    <w:rsid w:val="008E6F1A"/>
    <w:rsid w:val="009705C8"/>
    <w:rsid w:val="009C1CF4"/>
    <w:rsid w:val="009F39C7"/>
    <w:rsid w:val="00A30353"/>
    <w:rsid w:val="00AC3823"/>
    <w:rsid w:val="00AE323C"/>
    <w:rsid w:val="00B00181"/>
    <w:rsid w:val="00B00B0D"/>
    <w:rsid w:val="00B765F7"/>
    <w:rsid w:val="00BA0CA9"/>
    <w:rsid w:val="00BC140F"/>
    <w:rsid w:val="00C02897"/>
    <w:rsid w:val="00C44859"/>
    <w:rsid w:val="00C56317"/>
    <w:rsid w:val="00CE68B4"/>
    <w:rsid w:val="00D3439C"/>
    <w:rsid w:val="00DB1831"/>
    <w:rsid w:val="00DD3BFD"/>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C56317"/>
    <w:rPr>
      <w:rFonts w:ascii="Times New Roman" w:hAnsi="Times New Roman" w:cs="Times New Roman"/>
      <w:sz w:val="20"/>
      <w:szCs w:val="20"/>
      <w:lang w:eastAsia="en-US"/>
    </w:rPr>
  </w:style>
  <w:style w:type="character" w:customStyle="1" w:styleId="HChGChar">
    <w:name w:val="_ H _Ch_G Char"/>
    <w:link w:val="HChG"/>
    <w:rsid w:val="00C56317"/>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C56317"/>
    <w:rPr>
      <w:rFonts w:ascii="Times New Roman" w:hAnsi="Times New Roman" w:cs="Times New Roman"/>
      <w:sz w:val="20"/>
      <w:szCs w:val="20"/>
      <w:lang w:eastAsia="en-US"/>
    </w:rPr>
  </w:style>
  <w:style w:type="character" w:customStyle="1" w:styleId="HChGChar">
    <w:name w:val="_ H _Ch_G Char"/>
    <w:link w:val="HChG"/>
    <w:rsid w:val="00C56317"/>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ST/SG/AC.10/C.3/2016/32</vt:lpstr>
      <vt:lpstr>ST/SG/AC.10/C.3/2016/32</vt:lpstr>
    </vt:vector>
  </TitlesOfParts>
  <Company>DCM</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ST/SG/AC.10/C.3/2016/32</dc:title>
  <dc:subject>final</dc:subject>
  <dc:creator>Nath V.</dc:creator>
  <cp:lastModifiedBy>Laurence Berthet</cp:lastModifiedBy>
  <cp:revision>2</cp:revision>
  <cp:lastPrinted>2016-05-13T09:43:00Z</cp:lastPrinted>
  <dcterms:created xsi:type="dcterms:W3CDTF">2016-05-13T09:44:00Z</dcterms:created>
  <dcterms:modified xsi:type="dcterms:W3CDTF">2016-05-13T09:44:00Z</dcterms:modified>
</cp:coreProperties>
</file>