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E5884"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8539B" w:rsidRPr="000E5884" w:rsidRDefault="002E492E" w:rsidP="00FE646C">
            <w:pPr>
              <w:spacing w:after="80" w:line="340" w:lineRule="exact"/>
              <w:rPr>
                <w:sz w:val="28"/>
                <w:szCs w:val="28"/>
              </w:rPr>
            </w:pPr>
            <w:r>
              <w:rPr>
                <w:sz w:val="28"/>
                <w:szCs w:val="28"/>
              </w:rPr>
              <w:t>Nations Unies</w:t>
            </w:r>
          </w:p>
        </w:tc>
        <w:tc>
          <w:tcPr>
            <w:tcW w:w="6144" w:type="dxa"/>
            <w:gridSpan w:val="2"/>
            <w:tcBorders>
              <w:top w:val="nil"/>
              <w:left w:val="nil"/>
              <w:bottom w:val="single" w:sz="4" w:space="0" w:color="auto"/>
              <w:right w:val="nil"/>
            </w:tcBorders>
            <w:vAlign w:val="bottom"/>
          </w:tcPr>
          <w:p w:rsidR="0048539B" w:rsidRPr="000E5884" w:rsidRDefault="0048539B" w:rsidP="00BC0413">
            <w:pPr>
              <w:jc w:val="right"/>
            </w:pPr>
            <w:r w:rsidRPr="000E5884">
              <w:rPr>
                <w:sz w:val="40"/>
              </w:rPr>
              <w:t>ST</w:t>
            </w:r>
            <w:r w:rsidRPr="000E5884">
              <w:t>/SG/AC.10/C.3/</w:t>
            </w:r>
            <w:r w:rsidR="004B394B" w:rsidRPr="000E5884">
              <w:t>2016/</w:t>
            </w:r>
            <w:r w:rsidR="00BC0413">
              <w:t>26</w:t>
            </w:r>
          </w:p>
        </w:tc>
      </w:tr>
      <w:tr w:rsidR="0048539B" w:rsidRPr="000E5884" w:rsidTr="00FE646C">
        <w:trPr>
          <w:trHeight w:val="2835"/>
        </w:trPr>
        <w:tc>
          <w:tcPr>
            <w:tcW w:w="1259" w:type="dxa"/>
            <w:tcBorders>
              <w:top w:val="single" w:sz="4" w:space="0" w:color="auto"/>
              <w:left w:val="nil"/>
              <w:bottom w:val="single" w:sz="12" w:space="0" w:color="auto"/>
              <w:right w:val="nil"/>
            </w:tcBorders>
          </w:tcPr>
          <w:p w:rsidR="0048539B" w:rsidRPr="000E5884" w:rsidRDefault="00C27298" w:rsidP="00FE646C">
            <w:pPr>
              <w:spacing w:before="120"/>
              <w:jc w:val="center"/>
            </w:pPr>
            <w:r w:rsidRPr="000E5884">
              <w:rPr>
                <w:noProof/>
                <w:lang w:eastAsia="en-GB"/>
              </w:rPr>
              <w:drawing>
                <wp:inline distT="0" distB="0" distL="0" distR="0" wp14:anchorId="1B8BFAE6" wp14:editId="6424FB9B">
                  <wp:extent cx="712470" cy="590550"/>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E5884" w:rsidRDefault="0048539B" w:rsidP="00FE646C">
            <w:pPr>
              <w:spacing w:before="120" w:line="420" w:lineRule="exact"/>
              <w:rPr>
                <w:b/>
                <w:sz w:val="40"/>
                <w:szCs w:val="40"/>
              </w:rPr>
            </w:pPr>
            <w:r w:rsidRPr="000E5884">
              <w:rPr>
                <w:b/>
                <w:sz w:val="40"/>
                <w:szCs w:val="40"/>
              </w:rPr>
              <w:t>Secretariat</w:t>
            </w:r>
          </w:p>
        </w:tc>
        <w:tc>
          <w:tcPr>
            <w:tcW w:w="2930" w:type="dxa"/>
            <w:tcBorders>
              <w:top w:val="single" w:sz="4" w:space="0" w:color="auto"/>
              <w:left w:val="nil"/>
              <w:bottom w:val="single" w:sz="12" w:space="0" w:color="auto"/>
              <w:right w:val="nil"/>
            </w:tcBorders>
          </w:tcPr>
          <w:p w:rsidR="002E492E" w:rsidRPr="00790F9D" w:rsidRDefault="002E492E" w:rsidP="002E492E">
            <w:pPr>
              <w:spacing w:before="240"/>
            </w:pPr>
            <w:r w:rsidRPr="00790F9D">
              <w:t>Distr. générale</w:t>
            </w:r>
          </w:p>
          <w:p w:rsidR="002E492E" w:rsidRPr="00790F9D" w:rsidRDefault="004450BF" w:rsidP="002E492E">
            <w:pPr>
              <w:spacing w:line="240" w:lineRule="exact"/>
            </w:pPr>
            <w:r>
              <w:t>12</w:t>
            </w:r>
            <w:r w:rsidR="002E492E">
              <w:t xml:space="preserve"> avril 2016</w:t>
            </w:r>
          </w:p>
          <w:p w:rsidR="002E492E" w:rsidRDefault="002E492E" w:rsidP="002E492E">
            <w:pPr>
              <w:spacing w:line="240" w:lineRule="exact"/>
            </w:pPr>
          </w:p>
          <w:p w:rsidR="002E492E" w:rsidRPr="00790F9D" w:rsidRDefault="002E492E" w:rsidP="002E492E">
            <w:pPr>
              <w:spacing w:line="240" w:lineRule="exact"/>
            </w:pPr>
            <w:r w:rsidRPr="00790F9D">
              <w:t>Français</w:t>
            </w:r>
          </w:p>
          <w:p w:rsidR="0048539B" w:rsidRPr="000E5884" w:rsidRDefault="002E492E" w:rsidP="002E492E">
            <w:pPr>
              <w:spacing w:line="240" w:lineRule="exact"/>
            </w:pPr>
            <w:r w:rsidRPr="00790F9D">
              <w:t xml:space="preserve">Original: </w:t>
            </w:r>
            <w:r>
              <w:t xml:space="preserve">français et </w:t>
            </w:r>
            <w:r w:rsidRPr="00790F9D">
              <w:t>anglais</w:t>
            </w:r>
          </w:p>
        </w:tc>
      </w:tr>
    </w:tbl>
    <w:p w:rsidR="002E492E" w:rsidRPr="00CA0680" w:rsidRDefault="002E492E" w:rsidP="002E492E">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2E492E" w:rsidRPr="00CA0680" w:rsidRDefault="002E492E" w:rsidP="002E492E">
      <w:pPr>
        <w:spacing w:before="120"/>
        <w:rPr>
          <w:b/>
        </w:rPr>
      </w:pPr>
      <w:r w:rsidRPr="00CA0680">
        <w:rPr>
          <w:b/>
        </w:rPr>
        <w:t>Sous</w:t>
      </w:r>
      <w:r>
        <w:rPr>
          <w:b/>
        </w:rPr>
        <w:t>-</w:t>
      </w:r>
      <w:r w:rsidRPr="00CA0680">
        <w:rPr>
          <w:b/>
        </w:rPr>
        <w:t>Comité d’experts du transport des marchandises dangereuses</w:t>
      </w:r>
    </w:p>
    <w:p w:rsidR="002E492E" w:rsidRDefault="002E492E" w:rsidP="002E492E">
      <w:pPr>
        <w:spacing w:before="120"/>
        <w:rPr>
          <w:b/>
        </w:rPr>
      </w:pPr>
      <w:r>
        <w:rPr>
          <w:b/>
        </w:rPr>
        <w:t xml:space="preserve">Quarante-neuvième </w:t>
      </w:r>
      <w:r w:rsidRPr="00CA0680">
        <w:rPr>
          <w:b/>
        </w:rPr>
        <w:t>session</w:t>
      </w:r>
    </w:p>
    <w:p w:rsidR="002E492E" w:rsidRDefault="002E492E" w:rsidP="002E492E">
      <w:r>
        <w:t>Genève, 27-6 juillet 2016</w:t>
      </w:r>
    </w:p>
    <w:p w:rsidR="002E492E" w:rsidRPr="00D13C8D" w:rsidRDefault="002E492E" w:rsidP="002E492E">
      <w:r w:rsidRPr="00D13C8D">
        <w:t xml:space="preserve">Point </w:t>
      </w:r>
      <w:r w:rsidR="004450BF">
        <w:t>3</w:t>
      </w:r>
      <w:r w:rsidRPr="00D13C8D">
        <w:t xml:space="preserve"> de l’ordre du jour provisoire</w:t>
      </w:r>
    </w:p>
    <w:p w:rsidR="002E492E" w:rsidRPr="004450BF" w:rsidRDefault="004450BF" w:rsidP="002E492E">
      <w:pPr>
        <w:rPr>
          <w:b/>
        </w:rPr>
      </w:pPr>
      <w:r w:rsidRPr="004450BF">
        <w:rPr>
          <w:b/>
          <w:lang w:val="fr-FR"/>
        </w:rPr>
        <w:t>Inscription, classement et emballage</w:t>
      </w:r>
    </w:p>
    <w:p w:rsidR="00BC0413" w:rsidRDefault="00BC0413" w:rsidP="00BC0413">
      <w:pPr>
        <w:pStyle w:val="HChG"/>
        <w:ind w:right="43"/>
      </w:pPr>
      <w:r>
        <w:tab/>
      </w:r>
      <w:r>
        <w:tab/>
        <w:t xml:space="preserve">Révision des instructions d’emballage P621, IBC620 et LP621 </w:t>
      </w:r>
    </w:p>
    <w:p w:rsidR="00BC0413" w:rsidRDefault="00BC0413" w:rsidP="00BC0413">
      <w:pPr>
        <w:pStyle w:val="H1G"/>
        <w:ind w:right="43" w:firstLine="0"/>
        <w:outlineLvl w:val="0"/>
      </w:pPr>
      <w:r>
        <w:t>Communication de</w:t>
      </w:r>
      <w:r w:rsidRPr="00873A93">
        <w:t xml:space="preserve"> l</w:t>
      </w:r>
      <w:r w:rsidRPr="00873A93">
        <w:rPr>
          <w:lang w:val="fr-CA"/>
        </w:rPr>
        <w:t>’expert du Canada</w:t>
      </w:r>
      <w:r>
        <w:rPr>
          <w:rStyle w:val="FootnoteReference"/>
          <w:lang w:val="fr-CA"/>
        </w:rPr>
        <w:footnoteReference w:id="2"/>
      </w:r>
    </w:p>
    <w:p w:rsidR="00BC0413" w:rsidRPr="00873A93" w:rsidRDefault="00BC0413" w:rsidP="00BC0413">
      <w:pPr>
        <w:pStyle w:val="HChG"/>
      </w:pPr>
      <w:r>
        <w:tab/>
      </w:r>
      <w:r>
        <w:tab/>
      </w:r>
      <w:r w:rsidRPr="00873A93">
        <w:t>Objet</w:t>
      </w:r>
    </w:p>
    <w:p w:rsidR="00BC0413" w:rsidRDefault="00BC0413" w:rsidP="00BC0413">
      <w:pPr>
        <w:pStyle w:val="SingleTxtG"/>
      </w:pPr>
      <w:r>
        <w:t>1.</w:t>
      </w:r>
      <w:r>
        <w:tab/>
      </w:r>
      <w:r w:rsidRPr="0095117E">
        <w:t xml:space="preserve">Modifier les instructions d’emballage P621, IBC620 et LP621 de manière à </w:t>
      </w:r>
      <w:r>
        <w:t xml:space="preserve">créer une uniformité entre les exigences des </w:t>
      </w:r>
      <w:r w:rsidRPr="0095117E">
        <w:t>trois</w:t>
      </w:r>
      <w:r>
        <w:t xml:space="preserve"> (3)</w:t>
      </w:r>
      <w:r w:rsidRPr="0095117E">
        <w:t xml:space="preserve"> instructions d’emballages autorisées (P621, IBC620 et LP621) pour les déchets médicaux</w:t>
      </w:r>
      <w:r>
        <w:t xml:space="preserve"> réglementés, déchets (bio) médicaux</w:t>
      </w:r>
      <w:r w:rsidRPr="0095117E">
        <w:t xml:space="preserve"> ou déchets d’hôpital</w:t>
      </w:r>
      <w:r>
        <w:t>, non spécifiés</w:t>
      </w:r>
      <w:r w:rsidRPr="0095117E">
        <w:t xml:space="preserve"> qui sont affectés au numéro ONU 3291.</w:t>
      </w:r>
    </w:p>
    <w:p w:rsidR="00BC0413" w:rsidRPr="00873A93" w:rsidRDefault="00BC0413" w:rsidP="00BC0413">
      <w:pPr>
        <w:pStyle w:val="HChG"/>
      </w:pPr>
      <w:r>
        <w:tab/>
      </w:r>
      <w:r>
        <w:tab/>
      </w:r>
      <w:r w:rsidRPr="00873A93">
        <w:t>Introduction</w:t>
      </w:r>
    </w:p>
    <w:p w:rsidR="00BC0413" w:rsidRDefault="00BC0413" w:rsidP="00BC0413">
      <w:pPr>
        <w:pStyle w:val="SingleTxtG"/>
      </w:pPr>
      <w:r>
        <w:t>2.</w:t>
      </w:r>
      <w:r>
        <w:tab/>
        <w:t xml:space="preserve">L’expert du Canada recommande d’uniformiser les exigences des instructions d’emballages </w:t>
      </w:r>
      <w:r w:rsidRPr="0095117E">
        <w:t>IBC620 et LP621</w:t>
      </w:r>
      <w:r>
        <w:t xml:space="preserve"> sur le plan éditorial par rapport aux exigences de l</w:t>
      </w:r>
      <w:r>
        <w:rPr>
          <w:lang w:val="fr-CA"/>
        </w:rPr>
        <w:t xml:space="preserve">’instruction d’emballage P621 pour rectifier leurs différences et </w:t>
      </w:r>
      <w:r>
        <w:t xml:space="preserve">faciliter leur compréhension puisque: </w:t>
      </w:r>
    </w:p>
    <w:p w:rsidR="00BC0413" w:rsidRDefault="00BC0413" w:rsidP="00BC0413">
      <w:pPr>
        <w:pStyle w:val="Bullet1G"/>
      </w:pPr>
      <w:r>
        <w:t>L’instruction d’emballage P621 contient deux (2) listes de codes d’emballage autorisés (une pour les solides et une pour les liquides) ;</w:t>
      </w:r>
    </w:p>
    <w:p w:rsidR="00BC0413" w:rsidRDefault="00BC0413" w:rsidP="00BC0413">
      <w:pPr>
        <w:pStyle w:val="Bullet1G"/>
      </w:pPr>
      <w:r>
        <w:t xml:space="preserve">L’instruction d’emballage IBC620 stipule que des GRV rigides et étanches satisfaisant au niveau d’épreuve du groupe d’emballage II doivent être utilisés ; et </w:t>
      </w:r>
    </w:p>
    <w:p w:rsidR="00BC0413" w:rsidRDefault="00BC0413" w:rsidP="00BC0413">
      <w:pPr>
        <w:pStyle w:val="Bullet1G"/>
      </w:pPr>
      <w:r>
        <w:lastRenderedPageBreak/>
        <w:t xml:space="preserve">L’instruction d’emballage LP621 stipule que de grands emballages rigides et conformes aux prescriptions du chapitre 6.6 doivent être utilisés.  </w:t>
      </w:r>
    </w:p>
    <w:p w:rsidR="00BC0413" w:rsidRDefault="00BC0413" w:rsidP="00BC0413">
      <w:pPr>
        <w:pStyle w:val="SingleTxtG"/>
        <w:rPr>
          <w:lang w:val="fr-CA"/>
        </w:rPr>
      </w:pPr>
      <w:r>
        <w:t>3.</w:t>
      </w:r>
      <w:r>
        <w:tab/>
        <w:t>L</w:t>
      </w:r>
      <w:r>
        <w:rPr>
          <w:lang w:val="fr-CA"/>
        </w:rPr>
        <w:t xml:space="preserve">’expert recommande également de clarifier certaines exigences dans les instructions d’emballage P621, IBC620 et LP621 qui sont soit erronées soit difficiles à interpréter.  </w:t>
      </w:r>
    </w:p>
    <w:p w:rsidR="00BC0413" w:rsidRPr="00DD02F4" w:rsidRDefault="00BC0413" w:rsidP="00BC0413">
      <w:pPr>
        <w:pStyle w:val="SingleTxtG"/>
      </w:pPr>
      <w:r>
        <w:t>4.</w:t>
      </w:r>
      <w:r>
        <w:tab/>
      </w:r>
      <w:r w:rsidRPr="00846D72">
        <w:t xml:space="preserve">Finalement, l’expert recommande de modifier l’instruction d’emballage LP621 afin </w:t>
      </w:r>
      <w:r>
        <w:t>d’introduire</w:t>
      </w:r>
      <w:r w:rsidRPr="00846D72">
        <w:t xml:space="preserve"> des exigences de construction et de performance pour les emballages intérieurs</w:t>
      </w:r>
      <w:r>
        <w:t xml:space="preserve"> contenus dans les grands emballages.</w:t>
      </w:r>
    </w:p>
    <w:p w:rsidR="00BC0413" w:rsidRPr="00B54E66" w:rsidRDefault="00BC0413" w:rsidP="00BC0413">
      <w:pPr>
        <w:pStyle w:val="HChG"/>
      </w:pPr>
      <w:r>
        <w:tab/>
      </w:r>
      <w:r>
        <w:tab/>
      </w:r>
      <w:r w:rsidRPr="00873A93">
        <w:t>Contexte</w:t>
      </w:r>
    </w:p>
    <w:p w:rsidR="00BC0413" w:rsidRPr="0093013C" w:rsidRDefault="00BC0413" w:rsidP="00BC0413">
      <w:pPr>
        <w:pStyle w:val="H1G"/>
      </w:pPr>
      <w:r>
        <w:tab/>
      </w:r>
      <w:r>
        <w:tab/>
      </w:r>
      <w:r w:rsidRPr="0093013C">
        <w:t xml:space="preserve">Instruction </w:t>
      </w:r>
      <w:r>
        <w:t xml:space="preserve">d’emballage </w:t>
      </w:r>
      <w:r w:rsidRPr="0093013C">
        <w:t>P621</w:t>
      </w:r>
    </w:p>
    <w:p w:rsidR="00BC0413" w:rsidRDefault="00BC0413" w:rsidP="00BC0413">
      <w:pPr>
        <w:pStyle w:val="SingleTxtG"/>
      </w:pPr>
      <w:r>
        <w:t>5.</w:t>
      </w:r>
      <w:r>
        <w:tab/>
        <w:t xml:space="preserve">L’instruction d’emballage P621 est divisée en deux (2) parties: la première partie comprend une liste de codes d’emballage autorisés devant satisfaire au niveau d’épreuve du groupe d’emballage II pour </w:t>
      </w:r>
      <w:r w:rsidRPr="00366DFB">
        <w:t xml:space="preserve">les </w:t>
      </w:r>
      <w:r w:rsidRPr="00366DFB">
        <w:rPr>
          <w:u w:val="single"/>
        </w:rPr>
        <w:t>matières solides</w:t>
      </w:r>
      <w:r>
        <w:t xml:space="preserve"> et la deuxième partie comprend une liste de codes d’emballage autorisés devant satisfaire au niveau d’épreuve du groupe d’emballage II pour les </w:t>
      </w:r>
      <w:r w:rsidRPr="00366DFB">
        <w:rPr>
          <w:u w:val="single"/>
        </w:rPr>
        <w:t>matières liquides</w:t>
      </w:r>
      <w:r>
        <w:t>. C’est un format d’instruction d’emballage commun pour les classes de marchandises dangereuses qui peuvent être solides ou liquides.</w:t>
      </w:r>
    </w:p>
    <w:p w:rsidR="00BC0413" w:rsidRDefault="00BC0413" w:rsidP="00BC0413">
      <w:pPr>
        <w:pStyle w:val="SingleTxtG"/>
      </w:pPr>
      <w:r>
        <w:t>6.</w:t>
      </w:r>
      <w:r>
        <w:tab/>
        <w:t>La deuxième partie de l’instruction d</w:t>
      </w:r>
      <w:r>
        <w:rPr>
          <w:lang w:val="fr-CA"/>
        </w:rPr>
        <w:t>’</w:t>
      </w:r>
      <w:r>
        <w:t xml:space="preserve">emballage P621 stipule que dans le cas d’emballages contenant des «quantités plus importante de liquide», un emballage satisfaisant au niveau d’épreuve du groupe d’emballage II pour les matières liquides doit être utilisé.  Toutefois, il n’y a aucune indication dans l’instruction d’emballage permettant de </w:t>
      </w:r>
      <w:r>
        <w:rPr>
          <w:lang w:val="fr-CA"/>
        </w:rPr>
        <w:t>déterminer ce qui est considéré comme une quantité plus importante de liquide</w:t>
      </w:r>
      <w:r>
        <w:t xml:space="preserve">. </w:t>
      </w:r>
    </w:p>
    <w:p w:rsidR="00BC0413" w:rsidRPr="00821BDE" w:rsidRDefault="00BC0413" w:rsidP="00BC0413">
      <w:pPr>
        <w:pStyle w:val="HChG"/>
        <w:rPr>
          <w:lang w:val="fr-CA"/>
        </w:rPr>
      </w:pPr>
      <w:r>
        <w:rPr>
          <w:lang w:val="fr-CA"/>
        </w:rPr>
        <w:tab/>
      </w:r>
      <w:r>
        <w:rPr>
          <w:lang w:val="fr-CA"/>
        </w:rPr>
        <w:tab/>
      </w:r>
      <w:r w:rsidRPr="00821BDE">
        <w:rPr>
          <w:lang w:val="fr-CA"/>
        </w:rPr>
        <w:t>Proposition</w:t>
      </w:r>
    </w:p>
    <w:p w:rsidR="00BC0413" w:rsidRDefault="00BC0413" w:rsidP="00BC0413">
      <w:pPr>
        <w:pStyle w:val="SingleTxtG"/>
      </w:pPr>
      <w:r>
        <w:t>7.</w:t>
      </w:r>
      <w:r>
        <w:tab/>
        <w:t>L’expert propose donc d’indiquer clairement que les codes d’emballages énumérés dans la première partie de l’instruction peuvent être utilisés s’il n’y a aucun liquide visible au moment de remplir l’emballage alors que les codes d’emballages énumérés dans la deuxième partie de l’instruction doivent être utilisés s’il y a du liquide visible au moment de remplir l’emballage.</w:t>
      </w:r>
    </w:p>
    <w:p w:rsidR="00BC0413" w:rsidRDefault="00BC0413" w:rsidP="00BC0413">
      <w:pPr>
        <w:pStyle w:val="SingleTxtG"/>
      </w:pPr>
      <w:r>
        <w:t>8.</w:t>
      </w:r>
      <w:r>
        <w:tab/>
        <w:t>L’expert recommande également de supprimer deux (2) codes de la liste de codes d’emballages autorisés dans la deuxième partie de l’instruction puisque ces deux emballages (fût en carton (1G) et fût en contre-plaqué (1D)) ne sont pas conçus</w:t>
      </w:r>
      <w:r>
        <w:rPr>
          <w:lang w:val="fr-CA"/>
        </w:rPr>
        <w:t xml:space="preserve"> </w:t>
      </w:r>
      <w:r>
        <w:t xml:space="preserve">pour des matières liquides.  </w:t>
      </w:r>
    </w:p>
    <w:p w:rsidR="00BC0413" w:rsidRDefault="00BC0413">
      <w:pPr>
        <w:suppressAutoHyphens w:val="0"/>
        <w:spacing w:line="240" w:lineRule="auto"/>
      </w:pPr>
      <w:r>
        <w:br w:type="page"/>
      </w:r>
    </w:p>
    <w:p w:rsidR="00BC0413" w:rsidRDefault="00BC0413" w:rsidP="00BC0413">
      <w:pPr>
        <w:pStyle w:val="SingleTxtG"/>
      </w:pPr>
      <w:r>
        <w:lastRenderedPageBreak/>
        <w:t>9.</w:t>
      </w:r>
      <w:r>
        <w:tab/>
        <w:t>Suite aux modifications proposées, l’instruction d’emballage P621 se lirait comme suit: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BC0413" w:rsidRPr="004602C5" w:rsidTr="00670AFB">
        <w:tc>
          <w:tcPr>
            <w:tcW w:w="855" w:type="dxa"/>
            <w:tcBorders>
              <w:bottom w:val="single" w:sz="4" w:space="0" w:color="000000"/>
            </w:tcBorders>
          </w:tcPr>
          <w:p w:rsidR="00BC0413" w:rsidRPr="004602C5" w:rsidRDefault="00BC0413" w:rsidP="00670AFB">
            <w:pPr>
              <w:spacing w:before="60" w:after="60" w:line="240" w:lineRule="auto"/>
              <w:rPr>
                <w:b/>
                <w:bCs/>
              </w:rPr>
            </w:pPr>
            <w:r>
              <w:rPr>
                <w:b/>
              </w:rPr>
              <w:t>P621</w:t>
            </w:r>
          </w:p>
        </w:tc>
        <w:tc>
          <w:tcPr>
            <w:tcW w:w="7938" w:type="dxa"/>
            <w:tcBorders>
              <w:bottom w:val="single" w:sz="4" w:space="0" w:color="000000"/>
            </w:tcBorders>
          </w:tcPr>
          <w:p w:rsidR="00BC0413" w:rsidRPr="004602C5" w:rsidRDefault="00BC0413" w:rsidP="00670AFB">
            <w:pPr>
              <w:spacing w:before="60" w:after="60" w:line="240" w:lineRule="auto"/>
              <w:jc w:val="center"/>
              <w:rPr>
                <w:b/>
                <w:bCs/>
              </w:rPr>
            </w:pPr>
            <w:r w:rsidRPr="004602C5">
              <w:rPr>
                <w:b/>
                <w:bCs/>
              </w:rPr>
              <w:t>INSTRUCTION D</w:t>
            </w:r>
            <w:r>
              <w:rPr>
                <w:b/>
                <w:bCs/>
              </w:rPr>
              <w:t>’</w:t>
            </w:r>
            <w:r w:rsidRPr="004602C5">
              <w:rPr>
                <w:b/>
                <w:bCs/>
              </w:rPr>
              <w:t>EMBALLAGE</w:t>
            </w:r>
          </w:p>
        </w:tc>
        <w:tc>
          <w:tcPr>
            <w:tcW w:w="850" w:type="dxa"/>
            <w:tcBorders>
              <w:bottom w:val="single" w:sz="4" w:space="0" w:color="000000"/>
            </w:tcBorders>
          </w:tcPr>
          <w:p w:rsidR="00BC0413" w:rsidRPr="004602C5" w:rsidRDefault="00BC0413" w:rsidP="00670AFB">
            <w:pPr>
              <w:spacing w:before="60" w:after="60" w:line="240" w:lineRule="auto"/>
              <w:jc w:val="right"/>
              <w:rPr>
                <w:b/>
                <w:bCs/>
              </w:rPr>
            </w:pPr>
            <w:r w:rsidRPr="004602C5">
              <w:rPr>
                <w:b/>
              </w:rPr>
              <w:t>P</w:t>
            </w:r>
            <w:r>
              <w:rPr>
                <w:b/>
              </w:rPr>
              <w:t>621</w:t>
            </w:r>
          </w:p>
        </w:tc>
      </w:tr>
      <w:tr w:rsidR="00BC0413" w:rsidRPr="004602C5" w:rsidTr="00670AFB">
        <w:tc>
          <w:tcPr>
            <w:tcW w:w="9643" w:type="dxa"/>
            <w:gridSpan w:val="3"/>
            <w:tcBorders>
              <w:top w:val="single" w:sz="4" w:space="0" w:color="000000"/>
              <w:bottom w:val="single" w:sz="4" w:space="0" w:color="000000"/>
            </w:tcBorders>
          </w:tcPr>
          <w:p w:rsidR="00BC0413" w:rsidRPr="004602C5" w:rsidRDefault="00BC0413" w:rsidP="00670AFB">
            <w:pPr>
              <w:spacing w:before="60" w:after="60" w:line="240" w:lineRule="auto"/>
            </w:pPr>
            <w:r w:rsidRPr="004602C5">
              <w:t>Cette instruction s</w:t>
            </w:r>
            <w:r>
              <w:t>’</w:t>
            </w:r>
            <w:r w:rsidRPr="004602C5">
              <w:t xml:space="preserve">applique au </w:t>
            </w:r>
            <w:r>
              <w:t>numéro ONU 3291</w:t>
            </w:r>
            <w:r w:rsidRPr="004602C5">
              <w:t>.</w:t>
            </w:r>
          </w:p>
        </w:tc>
      </w:tr>
      <w:tr w:rsidR="00BC0413" w:rsidRPr="004602C5" w:rsidTr="00670AFB">
        <w:tc>
          <w:tcPr>
            <w:tcW w:w="9643" w:type="dxa"/>
            <w:gridSpan w:val="3"/>
          </w:tcPr>
          <w:p w:rsidR="00BC0413" w:rsidRDefault="00BC0413" w:rsidP="00670AFB">
            <w:pPr>
              <w:spacing w:before="60" w:after="60" w:line="240" w:lineRule="auto"/>
            </w:pPr>
            <w:r w:rsidRPr="004602C5">
              <w:t>Les emballages suivants sont autorisés s</w:t>
            </w:r>
            <w:r>
              <w:t>’</w:t>
            </w:r>
            <w:r w:rsidRPr="004602C5">
              <w:t xml:space="preserve">il est satisfait aux dispositions générales des </w:t>
            </w:r>
            <w:r w:rsidRPr="004602C5">
              <w:rPr>
                <w:b/>
              </w:rPr>
              <w:t>4.1.1</w:t>
            </w:r>
            <w:r w:rsidRPr="00A265EC">
              <w:t>, à l’exception du 4.1.1.15,</w:t>
            </w:r>
            <w:r w:rsidRPr="004602C5">
              <w:t xml:space="preserve"> et </w:t>
            </w:r>
            <w:r w:rsidRPr="004602C5">
              <w:rPr>
                <w:b/>
              </w:rPr>
              <w:t>4.1.3</w:t>
            </w:r>
            <w:r>
              <w:t>:</w:t>
            </w:r>
          </w:p>
          <w:p w:rsidR="00BC0413" w:rsidRPr="004602C5" w:rsidRDefault="00BC0413" w:rsidP="00670AFB">
            <w:pPr>
              <w:spacing w:before="60" w:after="60" w:line="240" w:lineRule="auto"/>
            </w:pPr>
            <w:r>
              <w:t xml:space="preserve">1) </w:t>
            </w:r>
            <w:r w:rsidRPr="00821BDE">
              <w:rPr>
                <w:color w:val="FF0000"/>
                <w:u w:val="single"/>
              </w:rPr>
              <w:t xml:space="preserve">Si aucun liquide n’est visible au moment de remplir l’emballage : </w:t>
            </w:r>
            <w:r w:rsidRPr="0071310E">
              <w:rPr>
                <w:strike/>
                <w:color w:val="FF0000"/>
              </w:rPr>
              <w:t>À condition qu’il y ait suffisamment de matériau absorbant pour absorber la totalité du liquide présent et que l’emballage soit capable de retenir les liquides </w:t>
            </w:r>
            <w:r w:rsidRPr="00366DFB">
              <w:rPr>
                <w:strike/>
                <w:color w:val="FF0000"/>
              </w:rPr>
              <w:t xml:space="preserve">: </w:t>
            </w:r>
          </w:p>
        </w:tc>
      </w:tr>
      <w:tr w:rsidR="00BC0413" w:rsidRPr="00A265EC" w:rsidTr="00670AFB">
        <w:tc>
          <w:tcPr>
            <w:tcW w:w="9643" w:type="dxa"/>
            <w:gridSpan w:val="3"/>
          </w:tcPr>
          <w:p w:rsidR="00BC0413" w:rsidRPr="00A265EC" w:rsidRDefault="00BC0413" w:rsidP="00670AFB">
            <w:pPr>
              <w:spacing w:before="60" w:after="60" w:line="240" w:lineRule="auto"/>
              <w:ind w:left="567"/>
              <w:rPr>
                <w:lang w:val="en-CA"/>
              </w:rPr>
            </w:pPr>
            <w:r w:rsidRPr="00A265EC">
              <w:rPr>
                <w:lang w:val="en-CA"/>
              </w:rPr>
              <w:t xml:space="preserve">Fûts (1A2, 1B2, 1N2, 1H2, </w:t>
            </w:r>
            <w:r w:rsidRPr="003E1833">
              <w:rPr>
                <w:lang w:val="en-CA"/>
              </w:rPr>
              <w:t>1D, 1G</w:t>
            </w:r>
            <w:r w:rsidRPr="00A265EC">
              <w:rPr>
                <w:lang w:val="en-CA"/>
              </w:rPr>
              <w:t>);</w:t>
            </w:r>
          </w:p>
        </w:tc>
      </w:tr>
      <w:tr w:rsidR="00BC0413" w:rsidRPr="004602C5" w:rsidTr="00670AFB">
        <w:tc>
          <w:tcPr>
            <w:tcW w:w="9643" w:type="dxa"/>
            <w:gridSpan w:val="3"/>
          </w:tcPr>
          <w:p w:rsidR="00BC0413" w:rsidRPr="00A265EC" w:rsidRDefault="00BC0413" w:rsidP="00670AFB">
            <w:pPr>
              <w:spacing w:before="60" w:after="60" w:line="240" w:lineRule="auto"/>
              <w:ind w:left="567"/>
            </w:pPr>
            <w:r w:rsidRPr="00A265EC">
              <w:t>Caisses (4A, 4B, 4N, 4C1, 4C2, 4D, 4F, 4G, 4H1, 4H2);</w:t>
            </w:r>
          </w:p>
        </w:tc>
      </w:tr>
      <w:tr w:rsidR="00BC0413" w:rsidRPr="00A265EC" w:rsidTr="00670AFB">
        <w:tc>
          <w:tcPr>
            <w:tcW w:w="9643" w:type="dxa"/>
            <w:gridSpan w:val="3"/>
          </w:tcPr>
          <w:p w:rsidR="00BC0413" w:rsidRPr="00A265EC" w:rsidRDefault="00BC0413" w:rsidP="00670AFB">
            <w:pPr>
              <w:spacing w:before="60" w:after="60" w:line="240" w:lineRule="auto"/>
              <w:ind w:left="567"/>
              <w:rPr>
                <w:lang w:val="en-CA"/>
              </w:rPr>
            </w:pPr>
            <w:r w:rsidRPr="00A265EC">
              <w:rPr>
                <w:lang w:val="en-CA"/>
              </w:rPr>
              <w:t>Bidons (jerricanes) (3A2, 3B2, 3H2).</w:t>
            </w:r>
          </w:p>
        </w:tc>
      </w:tr>
      <w:tr w:rsidR="00BC0413" w:rsidRPr="004602C5" w:rsidTr="00670AFB">
        <w:tc>
          <w:tcPr>
            <w:tcW w:w="9643" w:type="dxa"/>
            <w:gridSpan w:val="3"/>
          </w:tcPr>
          <w:p w:rsidR="00BC0413" w:rsidRPr="004602C5" w:rsidRDefault="00BC0413" w:rsidP="00670AFB">
            <w:pPr>
              <w:spacing w:before="60" w:after="60" w:line="240" w:lineRule="auto"/>
            </w:pPr>
            <w:r w:rsidRPr="00172B93">
              <w:t>Les emballages doivent satisfaire au niveau d</w:t>
            </w:r>
            <w:r>
              <w:t>’</w:t>
            </w:r>
            <w:r w:rsidRPr="00172B93">
              <w:t>épreuve du gr</w:t>
            </w:r>
            <w:r>
              <w:t>oupe d’emballage II pour les matières solides</w:t>
            </w:r>
            <w:r w:rsidRPr="00EC4B11">
              <w:t>.</w:t>
            </w:r>
            <w:r w:rsidRPr="00EC4B11">
              <w:rPr>
                <w:color w:val="FF0000"/>
                <w:u w:val="single"/>
              </w:rPr>
              <w:t xml:space="preserve">  Si on ne peut exclure la présence de liquide résiduel dans l’emballage, du matériau absorbant en quantité suffisante pour absorber la totalité du liquide qui pourrait être présent doit être utilisé.  L’emballage doit également être capable de retenir les liquides. </w:t>
            </w:r>
          </w:p>
        </w:tc>
      </w:tr>
      <w:tr w:rsidR="00BC0413" w:rsidRPr="004602C5" w:rsidTr="00670AFB">
        <w:tc>
          <w:tcPr>
            <w:tcW w:w="9643" w:type="dxa"/>
            <w:gridSpan w:val="3"/>
          </w:tcPr>
          <w:p w:rsidR="00BC0413" w:rsidRDefault="00BC0413" w:rsidP="00670AFB">
            <w:pPr>
              <w:spacing w:before="60" w:after="60" w:line="240" w:lineRule="auto"/>
            </w:pPr>
            <w:r>
              <w:t xml:space="preserve">2) </w:t>
            </w:r>
            <w:r w:rsidRPr="00821BDE">
              <w:rPr>
                <w:color w:val="FF0000"/>
                <w:u w:val="single"/>
              </w:rPr>
              <w:t xml:space="preserve">S’il y a du liquide visible au moment de remplir l’emballage : </w:t>
            </w:r>
            <w:r w:rsidRPr="00F35B1B">
              <w:rPr>
                <w:strike/>
                <w:color w:val="FF0000"/>
              </w:rPr>
              <w:t>Pour les colis contenant des quantités plus importantes de liquide</w:t>
            </w:r>
            <w:r w:rsidRPr="00366DFB">
              <w:rPr>
                <w:color w:val="FF0000"/>
              </w:rPr>
              <w:t> :</w:t>
            </w:r>
          </w:p>
          <w:p w:rsidR="00BC0413" w:rsidRPr="00366DFB" w:rsidRDefault="00BC0413" w:rsidP="00670AFB">
            <w:pPr>
              <w:spacing w:before="60" w:after="60" w:line="240" w:lineRule="auto"/>
              <w:rPr>
                <w:lang w:val="en-CA"/>
              </w:rPr>
            </w:pPr>
            <w:r w:rsidRPr="00F35B1B">
              <w:rPr>
                <w:lang w:val="fr-CA"/>
              </w:rPr>
              <w:t xml:space="preserve">            </w:t>
            </w:r>
            <w:r w:rsidRPr="00A265EC">
              <w:rPr>
                <w:lang w:val="en-CA"/>
              </w:rPr>
              <w:t>Fûts (</w:t>
            </w:r>
            <w:r w:rsidRPr="00366DFB">
              <w:rPr>
                <w:lang w:val="en-CA"/>
              </w:rPr>
              <w:t>1A1, 1A2, 1B1, 1B2, 1N1, 1N2, 1H1, 1H2</w:t>
            </w:r>
            <w:r w:rsidRPr="00366DFB">
              <w:rPr>
                <w:strike/>
                <w:color w:val="FF0000"/>
                <w:lang w:val="en-CA"/>
              </w:rPr>
              <w:t>, 1D, 1G</w:t>
            </w:r>
            <w:r w:rsidRPr="00366DFB">
              <w:rPr>
                <w:lang w:val="en-CA"/>
              </w:rPr>
              <w:t xml:space="preserve">); </w:t>
            </w:r>
          </w:p>
          <w:p w:rsidR="00BC0413" w:rsidRPr="00366DFB" w:rsidRDefault="00BC0413" w:rsidP="00670AFB">
            <w:pPr>
              <w:spacing w:before="60" w:after="60" w:line="240" w:lineRule="auto"/>
              <w:rPr>
                <w:lang w:val="en-CA"/>
              </w:rPr>
            </w:pPr>
            <w:r w:rsidRPr="00366DFB">
              <w:rPr>
                <w:lang w:val="en-CA"/>
              </w:rPr>
              <w:t xml:space="preserve">            Bidons (jerricanes) (3A1, 3A2, 3B1, 3B2, 3H1, 3H2) ;</w:t>
            </w:r>
          </w:p>
          <w:p w:rsidR="00BC0413" w:rsidRPr="00366DFB" w:rsidRDefault="00BC0413" w:rsidP="00670AFB">
            <w:pPr>
              <w:spacing w:before="60" w:after="60" w:line="240" w:lineRule="auto"/>
              <w:rPr>
                <w:lang w:val="en-CA"/>
              </w:rPr>
            </w:pPr>
            <w:r w:rsidRPr="00366DFB">
              <w:rPr>
                <w:lang w:val="en-CA"/>
              </w:rPr>
              <w:t xml:space="preserve">            Emballages composites (6HA1, 6HB1, 6HG1, 6HH1, 6HD1, 6HA2, 6HB2, 6HC, 6HD2, 6HG2, 6HH2, 6PA1,</w:t>
            </w:r>
          </w:p>
          <w:p w:rsidR="00BC0413" w:rsidRPr="00366DFB" w:rsidRDefault="00BC0413" w:rsidP="00670AFB">
            <w:pPr>
              <w:spacing w:before="60" w:after="60" w:line="240" w:lineRule="auto"/>
              <w:rPr>
                <w:b/>
                <w:lang w:val="en-CA"/>
              </w:rPr>
            </w:pPr>
            <w:r w:rsidRPr="00366DFB">
              <w:rPr>
                <w:lang w:val="en-CA"/>
              </w:rPr>
              <w:t xml:space="preserve">            6PB1, 6PG1, 6PD1, 6PH1, 6PH2, 6PA2, 6PB2, 6PC, 6PG2 ou 6PD2).</w:t>
            </w:r>
          </w:p>
          <w:p w:rsidR="00BC0413" w:rsidRPr="00C6291F" w:rsidRDefault="00BC0413" w:rsidP="00670AFB">
            <w:pPr>
              <w:spacing w:before="60" w:after="60" w:line="240" w:lineRule="auto"/>
            </w:pPr>
            <w:r w:rsidRPr="00172B93">
              <w:t>Les emballages doivent satisfaire au niveau d</w:t>
            </w:r>
            <w:r>
              <w:t>’</w:t>
            </w:r>
            <w:r w:rsidRPr="00172B93">
              <w:t>épreuve du gr</w:t>
            </w:r>
            <w:r>
              <w:t xml:space="preserve">oupe d’emballage II </w:t>
            </w:r>
            <w:r w:rsidRPr="006330F1">
              <w:t>pour les matières liquides</w:t>
            </w:r>
            <w:r>
              <w:t xml:space="preserve">.  </w:t>
            </w:r>
          </w:p>
        </w:tc>
      </w:tr>
      <w:tr w:rsidR="00BC0413" w:rsidRPr="004602C5" w:rsidTr="00670AFB">
        <w:trPr>
          <w:trHeight w:val="244"/>
        </w:trPr>
        <w:tc>
          <w:tcPr>
            <w:tcW w:w="9643" w:type="dxa"/>
            <w:gridSpan w:val="3"/>
            <w:tcBorders>
              <w:top w:val="single" w:sz="4" w:space="0" w:color="000000"/>
              <w:bottom w:val="nil"/>
            </w:tcBorders>
          </w:tcPr>
          <w:p w:rsidR="00BC0413" w:rsidRPr="006E7D5A" w:rsidRDefault="00BC0413" w:rsidP="00670AFB">
            <w:pPr>
              <w:spacing w:before="60" w:after="60" w:line="240" w:lineRule="auto"/>
            </w:pPr>
            <w:r w:rsidRPr="006E7D5A">
              <w:rPr>
                <w:b/>
              </w:rPr>
              <w:t>Disposition supplémentaire</w:t>
            </w:r>
            <w:r w:rsidRPr="006E7D5A">
              <w:t>:</w:t>
            </w:r>
          </w:p>
        </w:tc>
      </w:tr>
      <w:tr w:rsidR="00BC0413" w:rsidRPr="004602C5" w:rsidTr="00670AFB">
        <w:trPr>
          <w:trHeight w:val="360"/>
        </w:trPr>
        <w:tc>
          <w:tcPr>
            <w:tcW w:w="9643" w:type="dxa"/>
            <w:gridSpan w:val="3"/>
            <w:tcBorders>
              <w:top w:val="nil"/>
            </w:tcBorders>
            <w:vAlign w:val="center"/>
          </w:tcPr>
          <w:p w:rsidR="00BC0413" w:rsidRPr="006E7D5A" w:rsidRDefault="00BC0413" w:rsidP="00670AFB">
            <w:pPr>
              <w:spacing w:before="60" w:after="60" w:line="240" w:lineRule="auto"/>
              <w:rPr>
                <w:b/>
              </w:rPr>
            </w:pPr>
            <w:r w:rsidRPr="006E7D5A">
              <w:t>Les emballages destinés à contenir des objets tranchants ou pointus tels que verre brisé et aiguilles doivent résister aux perforations et retenir les liquides dans les conditions d’épreuve du chapitre 6.1.</w:t>
            </w:r>
          </w:p>
        </w:tc>
      </w:tr>
    </w:tbl>
    <w:p w:rsidR="00BC0413" w:rsidRPr="0093013C" w:rsidRDefault="00BC0413" w:rsidP="00BC0413">
      <w:pPr>
        <w:pStyle w:val="H1G"/>
      </w:pPr>
      <w:r>
        <w:tab/>
      </w:r>
      <w:r>
        <w:tab/>
      </w:r>
      <w:r w:rsidRPr="0093013C">
        <w:t xml:space="preserve">Instruction </w:t>
      </w:r>
      <w:r>
        <w:t>d’emballage IBC620</w:t>
      </w:r>
    </w:p>
    <w:p w:rsidR="00BC0413" w:rsidRDefault="00BC0413" w:rsidP="00BC0413">
      <w:pPr>
        <w:pStyle w:val="SingleTxtG"/>
      </w:pPr>
      <w:r>
        <w:t>10.</w:t>
      </w:r>
      <w:r>
        <w:tab/>
        <w:t>L</w:t>
      </w:r>
      <w:r w:rsidRPr="00531ECF">
        <w:t>’expert recommande d’éliminer la phrase «GRV rigides et étanches satisfaisant au niveau d’épreuve du groupe d’emballage II» et de diviser l’instruction en deux parties comme dans l’instruction d’emballage P621. De plus, en procédant à cette modification, les dispositions supplémentaires 1 et 2 peuvent être éliminées puisqu</w:t>
      </w:r>
      <w:r>
        <w:t>e ces exigences</w:t>
      </w:r>
      <w:r w:rsidRPr="00531ECF">
        <w:t xml:space="preserve"> seront intégrées </w:t>
      </w:r>
      <w:r>
        <w:t>dans la première partie de l’instruction portant sur l</w:t>
      </w:r>
      <w:r w:rsidRPr="00531ECF">
        <w:t>es GRV éprouvés pour les solides.</w:t>
      </w:r>
      <w:r>
        <w:t xml:space="preserve">  </w:t>
      </w:r>
    </w:p>
    <w:p w:rsidR="00BC0413" w:rsidRDefault="00BC0413" w:rsidP="00BC0413">
      <w:pPr>
        <w:pStyle w:val="SingleTxtG"/>
      </w:pPr>
      <w:r>
        <w:t>11.</w:t>
      </w:r>
      <w:r>
        <w:tab/>
        <w:t xml:space="preserve">L’expert du Canada propose également d’ajouter une exigence de performance à la troisième disposition supplémentaire afin d’indiquer que les </w:t>
      </w:r>
      <w:r w:rsidRPr="006E7D5A">
        <w:t>GRV devant contenir des objets tranchants ou pointus</w:t>
      </w:r>
      <w:r w:rsidRPr="004F2CE2">
        <w:t xml:space="preserve"> doivent pouvoir retenir les liquides conformément aux conditions d’épreuve du chapitre 6.5.  </w:t>
      </w:r>
      <w:r>
        <w:t xml:space="preserve">Cette exigence se retrouve dans les instructions d’emballage P621 et LP621 mais n’apparaît pas dans l’instruction d’emballage IBC620.  </w:t>
      </w:r>
    </w:p>
    <w:p w:rsidR="00BC0413" w:rsidRDefault="00BC0413">
      <w:pPr>
        <w:suppressAutoHyphens w:val="0"/>
        <w:spacing w:line="240" w:lineRule="auto"/>
      </w:pPr>
      <w:r>
        <w:br w:type="page"/>
      </w:r>
    </w:p>
    <w:p w:rsidR="00BC0413" w:rsidRDefault="00BC0413" w:rsidP="00BC0413">
      <w:pPr>
        <w:pStyle w:val="SingleTxtG"/>
      </w:pPr>
      <w:r>
        <w:lastRenderedPageBreak/>
        <w:t>12.</w:t>
      </w:r>
      <w:r>
        <w:tab/>
        <w:t>Suite aux modifications proposées, l’instruction d’emballage IBC620 se lirait comme suit: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BC0413" w:rsidRPr="004602C5" w:rsidTr="00670AFB">
        <w:tc>
          <w:tcPr>
            <w:tcW w:w="855" w:type="dxa"/>
            <w:tcBorders>
              <w:bottom w:val="single" w:sz="4" w:space="0" w:color="000000"/>
            </w:tcBorders>
          </w:tcPr>
          <w:p w:rsidR="00BC0413" w:rsidRPr="004602C5" w:rsidRDefault="00BC0413" w:rsidP="00670AFB">
            <w:pPr>
              <w:spacing w:before="60" w:after="60" w:line="240" w:lineRule="auto"/>
              <w:rPr>
                <w:b/>
                <w:bCs/>
              </w:rPr>
            </w:pPr>
            <w:r>
              <w:rPr>
                <w:b/>
              </w:rPr>
              <w:t>IBC620</w:t>
            </w:r>
          </w:p>
        </w:tc>
        <w:tc>
          <w:tcPr>
            <w:tcW w:w="7938" w:type="dxa"/>
            <w:tcBorders>
              <w:bottom w:val="single" w:sz="4" w:space="0" w:color="000000"/>
            </w:tcBorders>
          </w:tcPr>
          <w:p w:rsidR="00BC0413" w:rsidRPr="004602C5" w:rsidRDefault="00BC0413" w:rsidP="00670AFB">
            <w:pPr>
              <w:spacing w:before="60" w:after="60" w:line="240" w:lineRule="auto"/>
              <w:jc w:val="center"/>
              <w:rPr>
                <w:b/>
                <w:bCs/>
              </w:rPr>
            </w:pPr>
            <w:r w:rsidRPr="004602C5">
              <w:rPr>
                <w:b/>
                <w:bCs/>
              </w:rPr>
              <w:t>INSTRUCTION D</w:t>
            </w:r>
            <w:r>
              <w:rPr>
                <w:b/>
                <w:bCs/>
              </w:rPr>
              <w:t>’</w:t>
            </w:r>
            <w:r w:rsidRPr="004602C5">
              <w:rPr>
                <w:b/>
                <w:bCs/>
              </w:rPr>
              <w:t>EMBALLAGE</w:t>
            </w:r>
          </w:p>
        </w:tc>
        <w:tc>
          <w:tcPr>
            <w:tcW w:w="850" w:type="dxa"/>
            <w:tcBorders>
              <w:bottom w:val="single" w:sz="4" w:space="0" w:color="000000"/>
            </w:tcBorders>
          </w:tcPr>
          <w:p w:rsidR="00BC0413" w:rsidRPr="004602C5" w:rsidRDefault="00BC0413" w:rsidP="00670AFB">
            <w:pPr>
              <w:spacing w:before="60" w:after="60" w:line="240" w:lineRule="auto"/>
              <w:jc w:val="right"/>
              <w:rPr>
                <w:b/>
                <w:bCs/>
              </w:rPr>
            </w:pPr>
            <w:r>
              <w:rPr>
                <w:b/>
              </w:rPr>
              <w:t>IBC620</w:t>
            </w:r>
          </w:p>
        </w:tc>
      </w:tr>
      <w:tr w:rsidR="00BC0413" w:rsidRPr="004602C5" w:rsidTr="00670AFB">
        <w:tc>
          <w:tcPr>
            <w:tcW w:w="9643" w:type="dxa"/>
            <w:gridSpan w:val="3"/>
            <w:tcBorders>
              <w:top w:val="single" w:sz="4" w:space="0" w:color="000000"/>
              <w:bottom w:val="single" w:sz="4" w:space="0" w:color="000000"/>
            </w:tcBorders>
          </w:tcPr>
          <w:p w:rsidR="00BC0413" w:rsidRPr="004602C5" w:rsidRDefault="00BC0413" w:rsidP="00670AFB">
            <w:pPr>
              <w:spacing w:before="60" w:after="60" w:line="240" w:lineRule="auto"/>
            </w:pPr>
            <w:r w:rsidRPr="004602C5">
              <w:t>Cette instruction s</w:t>
            </w:r>
            <w:r>
              <w:t>’</w:t>
            </w:r>
            <w:r w:rsidRPr="004602C5">
              <w:t xml:space="preserve">applique au </w:t>
            </w:r>
            <w:r>
              <w:t>numéro ONU 3291</w:t>
            </w:r>
            <w:r w:rsidRPr="004602C5">
              <w:t>.</w:t>
            </w:r>
          </w:p>
        </w:tc>
      </w:tr>
      <w:tr w:rsidR="00BC0413" w:rsidRPr="004602C5" w:rsidTr="00670AFB">
        <w:tc>
          <w:tcPr>
            <w:tcW w:w="9643" w:type="dxa"/>
            <w:gridSpan w:val="3"/>
            <w:tcBorders>
              <w:top w:val="single" w:sz="4" w:space="0" w:color="000000"/>
            </w:tcBorders>
          </w:tcPr>
          <w:p w:rsidR="00BC0413" w:rsidRPr="00CB2739" w:rsidRDefault="00BC0413" w:rsidP="00670AFB">
            <w:pPr>
              <w:spacing w:before="60" w:after="60" w:line="240" w:lineRule="auto"/>
            </w:pPr>
            <w:r w:rsidRPr="00CB2739">
              <w:t xml:space="preserve">Les </w:t>
            </w:r>
            <w:r>
              <w:t>GRV</w:t>
            </w:r>
            <w:r w:rsidRPr="00CB2739">
              <w:t xml:space="preserve"> suivants sont autorisés s’</w:t>
            </w:r>
            <w:r>
              <w:t xml:space="preserve">il est satisfait </w:t>
            </w:r>
            <w:r w:rsidRPr="004602C5">
              <w:t xml:space="preserve">aux dispositions générales des </w:t>
            </w:r>
            <w:r w:rsidRPr="004602C5">
              <w:rPr>
                <w:b/>
              </w:rPr>
              <w:t>4.1.1</w:t>
            </w:r>
            <w:r w:rsidRPr="00A265EC">
              <w:t>, à l’exception du 4.1.1.15,</w:t>
            </w:r>
            <w:r w:rsidRPr="004602C5">
              <w:t xml:space="preserve"> </w:t>
            </w:r>
            <w:r w:rsidRPr="0029798E">
              <w:rPr>
                <w:b/>
              </w:rPr>
              <w:t>4.1.2</w:t>
            </w:r>
            <w:r>
              <w:t xml:space="preserve"> </w:t>
            </w:r>
            <w:r w:rsidRPr="004602C5">
              <w:t xml:space="preserve">et </w:t>
            </w:r>
            <w:r w:rsidRPr="004602C5">
              <w:rPr>
                <w:b/>
              </w:rPr>
              <w:t>4.1.3</w:t>
            </w:r>
            <w:r>
              <w:t>:</w:t>
            </w:r>
          </w:p>
        </w:tc>
      </w:tr>
      <w:tr w:rsidR="00BC0413" w:rsidRPr="004602C5" w:rsidTr="00670AFB">
        <w:tc>
          <w:tcPr>
            <w:tcW w:w="9643" w:type="dxa"/>
            <w:gridSpan w:val="3"/>
          </w:tcPr>
          <w:p w:rsidR="00BC0413" w:rsidRPr="001C73EB" w:rsidRDefault="00BC0413" w:rsidP="00670AFB">
            <w:pPr>
              <w:spacing w:before="60" w:after="60" w:line="240" w:lineRule="auto"/>
              <w:rPr>
                <w:strike/>
                <w:color w:val="FF0000"/>
              </w:rPr>
            </w:pPr>
            <w:r w:rsidRPr="001C73EB">
              <w:rPr>
                <w:strike/>
                <w:color w:val="FF0000"/>
              </w:rPr>
              <w:t>Les GRV rigides et étanches satisfaisant au niveau d’épreuve du groupe d’emballage II.</w:t>
            </w:r>
          </w:p>
          <w:p w:rsidR="00BC0413" w:rsidRPr="00821BDE" w:rsidRDefault="00BC0413" w:rsidP="00670AFB">
            <w:pPr>
              <w:spacing w:before="60" w:after="60" w:line="240" w:lineRule="auto"/>
              <w:rPr>
                <w:color w:val="FF0000"/>
                <w:u w:val="single"/>
              </w:rPr>
            </w:pPr>
            <w:r w:rsidRPr="001C73EB">
              <w:rPr>
                <w:color w:val="FF0000"/>
              </w:rPr>
              <w:t xml:space="preserve">1) </w:t>
            </w:r>
            <w:r w:rsidRPr="00821BDE">
              <w:rPr>
                <w:color w:val="FF0000"/>
                <w:u w:val="single"/>
              </w:rPr>
              <w:t>Si aucun liquide n’est visible au moment de remplir le GRV:</w:t>
            </w:r>
          </w:p>
          <w:p w:rsidR="00BC0413" w:rsidRPr="00821BDE" w:rsidRDefault="00BC0413" w:rsidP="00670AFB">
            <w:pPr>
              <w:ind w:left="360" w:hanging="360"/>
              <w:rPr>
                <w:color w:val="FF0000"/>
                <w:u w:val="single"/>
              </w:rPr>
            </w:pPr>
            <w:r w:rsidRPr="00821BDE">
              <w:rPr>
                <w:color w:val="FF0000"/>
                <w:u w:val="single"/>
              </w:rPr>
              <w:t xml:space="preserve">           Métal (11A, 11B, 11N, 21A, 21B, 21N);</w:t>
            </w:r>
          </w:p>
          <w:p w:rsidR="00BC0413" w:rsidRPr="00821BDE" w:rsidRDefault="00BC0413" w:rsidP="00670AFB">
            <w:pPr>
              <w:ind w:left="360" w:hanging="360"/>
              <w:rPr>
                <w:color w:val="FF0000"/>
                <w:u w:val="single"/>
              </w:rPr>
            </w:pPr>
            <w:r w:rsidRPr="00821BDE">
              <w:rPr>
                <w:color w:val="FF0000"/>
                <w:u w:val="single"/>
              </w:rPr>
              <w:t xml:space="preserve">           Plastique rigide (11H1, 11H2, 21H1, 21H2);</w:t>
            </w:r>
          </w:p>
          <w:p w:rsidR="00BC0413" w:rsidRPr="00821BDE" w:rsidRDefault="00BC0413" w:rsidP="00670AFB">
            <w:pPr>
              <w:ind w:left="360" w:hanging="360"/>
              <w:rPr>
                <w:color w:val="FF0000"/>
                <w:u w:val="single"/>
                <w:lang w:val="fr-CA"/>
              </w:rPr>
            </w:pPr>
            <w:r w:rsidRPr="00821BDE">
              <w:rPr>
                <w:color w:val="FF0000"/>
                <w:u w:val="single"/>
              </w:rPr>
              <w:t xml:space="preserve">           C</w:t>
            </w:r>
            <w:r w:rsidRPr="00821BDE">
              <w:rPr>
                <w:color w:val="FF0000"/>
                <w:u w:val="single"/>
                <w:lang w:val="fr-CA"/>
              </w:rPr>
              <w:t>omposite (11HZ1, 21HZ1);</w:t>
            </w:r>
          </w:p>
          <w:p w:rsidR="00BC0413" w:rsidRPr="00821BDE" w:rsidRDefault="00BC0413" w:rsidP="00670AFB">
            <w:pPr>
              <w:ind w:left="360" w:hanging="360"/>
              <w:rPr>
                <w:color w:val="FF0000"/>
                <w:u w:val="single"/>
              </w:rPr>
            </w:pPr>
            <w:r w:rsidRPr="00821BDE">
              <w:rPr>
                <w:color w:val="FF0000"/>
                <w:u w:val="single"/>
                <w:lang w:val="fr-CA"/>
              </w:rPr>
              <w:t xml:space="preserve">           C</w:t>
            </w:r>
            <w:r w:rsidRPr="00821BDE">
              <w:rPr>
                <w:color w:val="FF0000"/>
                <w:u w:val="single"/>
              </w:rPr>
              <w:t>arton (11G);</w:t>
            </w:r>
          </w:p>
          <w:p w:rsidR="00BC0413" w:rsidRPr="00821BDE" w:rsidRDefault="00BC0413" w:rsidP="00670AFB">
            <w:pPr>
              <w:spacing w:before="60" w:after="60" w:line="240" w:lineRule="auto"/>
              <w:rPr>
                <w:color w:val="FF0000"/>
                <w:u w:val="single"/>
                <w:lang w:val="fr-CA"/>
              </w:rPr>
            </w:pPr>
            <w:r w:rsidRPr="00821BDE">
              <w:rPr>
                <w:color w:val="FF0000"/>
                <w:u w:val="single"/>
                <w:lang w:val="fr-CA"/>
              </w:rPr>
              <w:t xml:space="preserve">           Bois (11C, 11D, 11F).</w:t>
            </w:r>
          </w:p>
          <w:p w:rsidR="00BC0413" w:rsidRPr="00821BDE" w:rsidRDefault="00BC0413" w:rsidP="00670AFB">
            <w:pPr>
              <w:spacing w:before="60" w:after="60" w:line="240" w:lineRule="auto"/>
              <w:rPr>
                <w:color w:val="FF0000"/>
                <w:u w:val="single"/>
              </w:rPr>
            </w:pPr>
            <w:r w:rsidRPr="00821BDE">
              <w:rPr>
                <w:color w:val="FF0000"/>
                <w:u w:val="single"/>
              </w:rPr>
              <w:t xml:space="preserve">Les GRV doivent satisfaire au niveau d’épreuve du groupe d’emballage II pour les matières solides.  Si on ne peut exclure la présence de liquide résiduel </w:t>
            </w:r>
            <w:r w:rsidRPr="00EC4B11">
              <w:rPr>
                <w:color w:val="FF0000"/>
                <w:u w:val="single"/>
              </w:rPr>
              <w:t>dans le GRV, du matériau</w:t>
            </w:r>
            <w:r w:rsidRPr="00821BDE">
              <w:rPr>
                <w:color w:val="FF0000"/>
                <w:u w:val="single"/>
              </w:rPr>
              <w:t xml:space="preserve"> absorbant en quantité suffisante pour absorber la totalité du liquide qui pourrait être présent doit être utilisé.  Le GRV doit également être capable de retenir les liquides. </w:t>
            </w:r>
          </w:p>
          <w:p w:rsidR="00BC0413" w:rsidRPr="00821BDE" w:rsidRDefault="00BC0413" w:rsidP="00670AFB">
            <w:pPr>
              <w:spacing w:before="60" w:after="60" w:line="240" w:lineRule="auto"/>
              <w:rPr>
                <w:color w:val="FF0000"/>
                <w:u w:val="single"/>
              </w:rPr>
            </w:pPr>
          </w:p>
          <w:p w:rsidR="00BC0413" w:rsidRPr="001240D9" w:rsidRDefault="00BC0413" w:rsidP="00670AFB">
            <w:pPr>
              <w:spacing w:before="60" w:after="60" w:line="240" w:lineRule="auto"/>
              <w:rPr>
                <w:color w:val="FF0000"/>
              </w:rPr>
            </w:pPr>
            <w:r w:rsidRPr="00821BDE">
              <w:rPr>
                <w:color w:val="FF0000"/>
                <w:u w:val="single"/>
              </w:rPr>
              <w:t>2) S’il y a du liquide visible au moment de remplir le GRV :</w:t>
            </w:r>
            <w:r w:rsidRPr="001240D9">
              <w:rPr>
                <w:color w:val="FF0000"/>
              </w:rPr>
              <w:t xml:space="preserve"> </w:t>
            </w:r>
            <w:r w:rsidRPr="00D72BF3">
              <w:rPr>
                <w:strike/>
                <w:color w:val="FF0000"/>
              </w:rPr>
              <w:t>Pour les colis contenant des quantités plus importantes de liquide </w:t>
            </w:r>
          </w:p>
          <w:p w:rsidR="00BC0413" w:rsidRPr="00821BDE" w:rsidRDefault="00BC0413" w:rsidP="00670AFB">
            <w:pPr>
              <w:ind w:left="360" w:hanging="360"/>
              <w:rPr>
                <w:color w:val="FF0000"/>
                <w:u w:val="single"/>
              </w:rPr>
            </w:pPr>
            <w:r>
              <w:rPr>
                <w:color w:val="FF0000"/>
              </w:rPr>
              <w:t xml:space="preserve">         </w:t>
            </w:r>
            <w:r w:rsidRPr="00821BDE">
              <w:rPr>
                <w:color w:val="FF0000"/>
                <w:u w:val="single"/>
              </w:rPr>
              <w:t>Métal (31A, 31B, 31N);</w:t>
            </w:r>
          </w:p>
          <w:p w:rsidR="00BC0413" w:rsidRPr="00821BDE" w:rsidRDefault="00BC0413" w:rsidP="00670AFB">
            <w:pPr>
              <w:ind w:left="360" w:hanging="360"/>
              <w:rPr>
                <w:color w:val="FF0000"/>
                <w:u w:val="single"/>
              </w:rPr>
            </w:pPr>
            <w:r w:rsidRPr="00821BDE">
              <w:rPr>
                <w:color w:val="FF0000"/>
                <w:u w:val="single"/>
              </w:rPr>
              <w:t xml:space="preserve">         Plastique rigide (31H1, 31H2);</w:t>
            </w:r>
          </w:p>
          <w:p w:rsidR="00BC0413" w:rsidRPr="00821BDE" w:rsidRDefault="00BC0413" w:rsidP="00670AFB">
            <w:pPr>
              <w:ind w:left="360" w:hanging="360"/>
              <w:rPr>
                <w:color w:val="FF0000"/>
                <w:u w:val="single"/>
                <w:lang w:val="fr-CA"/>
              </w:rPr>
            </w:pPr>
            <w:r w:rsidRPr="00821BDE">
              <w:rPr>
                <w:color w:val="FF0000"/>
                <w:u w:val="single"/>
              </w:rPr>
              <w:t xml:space="preserve">         </w:t>
            </w:r>
            <w:r w:rsidRPr="00821BDE">
              <w:rPr>
                <w:color w:val="FF0000"/>
                <w:u w:val="single"/>
                <w:lang w:val="fr-CA"/>
              </w:rPr>
              <w:t>Composite (31HZ1);</w:t>
            </w:r>
          </w:p>
          <w:p w:rsidR="00BC0413" w:rsidRPr="00821BDE" w:rsidRDefault="00BC0413" w:rsidP="00670AFB">
            <w:pPr>
              <w:spacing w:before="60" w:after="60" w:line="240" w:lineRule="auto"/>
              <w:rPr>
                <w:color w:val="FF0000"/>
                <w:u w:val="single"/>
              </w:rPr>
            </w:pPr>
            <w:r w:rsidRPr="00821BDE">
              <w:rPr>
                <w:color w:val="FF0000"/>
                <w:u w:val="single"/>
              </w:rPr>
              <w:t>Les emballages doivent satisfaire au niveau d’épreuve du groupe d’emballage II pour les matières liquides.</w:t>
            </w:r>
          </w:p>
          <w:p w:rsidR="00BC0413" w:rsidRPr="001C73EB" w:rsidRDefault="00BC0413" w:rsidP="00670AFB">
            <w:pPr>
              <w:spacing w:before="60" w:after="60" w:line="240" w:lineRule="auto"/>
              <w:rPr>
                <w:color w:val="FF0000"/>
              </w:rPr>
            </w:pPr>
          </w:p>
        </w:tc>
      </w:tr>
      <w:tr w:rsidR="00BC0413" w:rsidRPr="004602C5" w:rsidTr="00670AFB">
        <w:trPr>
          <w:trHeight w:val="244"/>
        </w:trPr>
        <w:tc>
          <w:tcPr>
            <w:tcW w:w="9643" w:type="dxa"/>
            <w:gridSpan w:val="3"/>
            <w:tcBorders>
              <w:top w:val="single" w:sz="4" w:space="0" w:color="000000"/>
              <w:bottom w:val="nil"/>
            </w:tcBorders>
          </w:tcPr>
          <w:p w:rsidR="00BC0413" w:rsidRPr="004602C5" w:rsidRDefault="00BC0413" w:rsidP="00670AFB">
            <w:pPr>
              <w:spacing w:before="60" w:after="60" w:line="240" w:lineRule="auto"/>
            </w:pPr>
            <w:r w:rsidRPr="004602C5">
              <w:rPr>
                <w:b/>
              </w:rPr>
              <w:t>Disposition</w:t>
            </w:r>
            <w:r>
              <w:rPr>
                <w:b/>
              </w:rPr>
              <w:t>s</w:t>
            </w:r>
            <w:r w:rsidRPr="004602C5">
              <w:rPr>
                <w:b/>
              </w:rPr>
              <w:t xml:space="preserve"> supplémentaire</w:t>
            </w:r>
            <w:r>
              <w:rPr>
                <w:b/>
              </w:rPr>
              <w:t>s</w:t>
            </w:r>
            <w:r>
              <w:t>:</w:t>
            </w:r>
          </w:p>
        </w:tc>
      </w:tr>
      <w:tr w:rsidR="00BC0413" w:rsidRPr="004602C5" w:rsidTr="00670AFB">
        <w:trPr>
          <w:trHeight w:val="360"/>
        </w:trPr>
        <w:tc>
          <w:tcPr>
            <w:tcW w:w="9643" w:type="dxa"/>
            <w:gridSpan w:val="3"/>
            <w:tcBorders>
              <w:top w:val="nil"/>
            </w:tcBorders>
            <w:vAlign w:val="center"/>
          </w:tcPr>
          <w:p w:rsidR="00BC0413" w:rsidRPr="001C73EB" w:rsidRDefault="00BC0413" w:rsidP="00670AFB">
            <w:pPr>
              <w:spacing w:before="60" w:after="60" w:line="240" w:lineRule="auto"/>
              <w:rPr>
                <w:strike/>
                <w:color w:val="FF0000"/>
              </w:rPr>
            </w:pPr>
            <w:r w:rsidRPr="001C73EB">
              <w:rPr>
                <w:strike/>
                <w:color w:val="FF0000"/>
              </w:rPr>
              <w:t>1. Les GRV doivent contenir suffisamment de matériau absorbant pour absorber la quantité totale de liquide présent.</w:t>
            </w:r>
          </w:p>
          <w:p w:rsidR="00BC0413" w:rsidRPr="001240D9" w:rsidRDefault="00BC0413" w:rsidP="00670AFB">
            <w:pPr>
              <w:spacing w:before="60" w:after="60" w:line="240" w:lineRule="auto"/>
            </w:pPr>
            <w:r w:rsidRPr="004F2CE2">
              <w:rPr>
                <w:strike/>
                <w:color w:val="FF0000"/>
              </w:rPr>
              <w:t xml:space="preserve">2. </w:t>
            </w:r>
            <w:r w:rsidRPr="001240D9">
              <w:rPr>
                <w:strike/>
                <w:color w:val="FF0000"/>
              </w:rPr>
              <w:t>Les GRV doivent pouvoir retenir les liquides.</w:t>
            </w:r>
          </w:p>
          <w:p w:rsidR="00BC0413" w:rsidRPr="004602C5" w:rsidRDefault="00BC0413" w:rsidP="00670AFB">
            <w:pPr>
              <w:spacing w:before="60" w:after="60" w:line="240" w:lineRule="auto"/>
              <w:rPr>
                <w:b/>
              </w:rPr>
            </w:pPr>
            <w:r w:rsidRPr="00B027A5">
              <w:t>3.</w:t>
            </w:r>
            <w:r w:rsidRPr="006E7D5A">
              <w:t xml:space="preserve"> Les GRV devant contenir des objets tranchants ou pointus tels que du verre brisé et des aiguilles doivent résister à la perforation</w:t>
            </w:r>
            <w:r>
              <w:t xml:space="preserve"> </w:t>
            </w:r>
            <w:r w:rsidRPr="00821BDE">
              <w:rPr>
                <w:color w:val="FF0000"/>
                <w:u w:val="single"/>
              </w:rPr>
              <w:t>et retenir les liquides conformément aux conditions d’épreuve du chapitre 6.5.</w:t>
            </w:r>
          </w:p>
        </w:tc>
      </w:tr>
    </w:tbl>
    <w:p w:rsidR="00BC0413" w:rsidRPr="0093013C" w:rsidRDefault="00BC0413" w:rsidP="00BC0413">
      <w:pPr>
        <w:pStyle w:val="H1G"/>
      </w:pPr>
      <w:r>
        <w:tab/>
      </w:r>
      <w:r>
        <w:tab/>
      </w:r>
      <w:r w:rsidRPr="0093013C">
        <w:t xml:space="preserve">Instruction </w:t>
      </w:r>
      <w:r>
        <w:t>d’emballage LP621</w:t>
      </w:r>
    </w:p>
    <w:p w:rsidR="00BC0413" w:rsidRDefault="00BC0413" w:rsidP="00BC0413">
      <w:pPr>
        <w:pStyle w:val="SingleTxtG"/>
      </w:pPr>
      <w:r>
        <w:t>13.</w:t>
      </w:r>
      <w:r>
        <w:tab/>
        <w:t xml:space="preserve">Le format de l’instruction d’emballage LP621 ressemble à celui de l’instruction d’emballage P621 sans toutefois contenir de listes de codes de grands emballages autorisés.  L’expert recommande donc d’ajouter deux (2) listes de grands emballages autorisés ; une pour les grands emballages éprouvés pour les solides et une autre pour les grands emballages éprouvés pour les liquides.  </w:t>
      </w:r>
    </w:p>
    <w:p w:rsidR="00BC0413" w:rsidRDefault="00BC0413" w:rsidP="00BC0413">
      <w:pPr>
        <w:pStyle w:val="SingleTxtG"/>
      </w:pPr>
      <w:r>
        <w:t>14.</w:t>
      </w:r>
      <w:r>
        <w:tab/>
        <w:t xml:space="preserve">De plus, il existe la même ambigüité dans la deuxième partie de l’instruction LP621 que dans la deuxième partie de l’instruction P621.  En effet, il n’y a aucune indication dans l’instruction LP621 permettant de faire la détermination de ce qui est considéré comme étant de «grandes quantités de liquide». L’expert du  Canada propose donc d’indiquer clairement que les codes d’emballages énumérés dans la première partie de l’instruction peuvent être utilisés s’il n’y a aucun liquide visible au moment de remplir les emballages intérieurs alors que les codes d’emballages énumérés dans la deuxième partie de </w:t>
      </w:r>
      <w:r>
        <w:lastRenderedPageBreak/>
        <w:t>l’instruction doivent être utilisés s’il y a du liquide visible au moment de remplir les emballages intérieurs .</w:t>
      </w:r>
    </w:p>
    <w:p w:rsidR="00BC0413" w:rsidRDefault="00BC0413" w:rsidP="00BC0413">
      <w:pPr>
        <w:pStyle w:val="SingleTxtG"/>
      </w:pPr>
      <w:r>
        <w:t>15.</w:t>
      </w:r>
      <w:r>
        <w:tab/>
        <w:t>Finalement, l’instruction ne donne aucune précision sur le type d’emballages intérieurs pouvant être utilisé dans les grands emballages. L’expert propose donc d’exiger des emballages intérieurs rigides soient utilisés s’il y a du liquide visible au moment de remplir les emballages intérieurs et de permettre l’utilisation d’emballages intérieurs rigides ou souples lorsqu’il n’y a aucun liquide visible au moment de remplir dans les emballages intérieurs.  Pour les emballages intérieurs souples, nous proposons d’ajouter des exigences de construction et de performance inspirés de la clause 4.3.2.4.2c) portant sur les déchets de la division 6.2 pouvant être transportés dans des conteneurs pour vrac fermés (BK2).  Les emballages intérieurs souples autorisés seraient des sacs de plastique:</w:t>
      </w:r>
    </w:p>
    <w:p w:rsidR="00A230B9" w:rsidRDefault="00A230B9" w:rsidP="00A230B9">
      <w:pPr>
        <w:pStyle w:val="Bullet1G"/>
      </w:pPr>
      <w:r>
        <w:t>Etanches et fermés hermétiquement de manière à ce que les sacs soient capables d’être maintenus dans une position inversée avec l’extrémité fermée tournée vers le bas pendant une période de 5 minutes sans faire de fuite ;</w:t>
      </w:r>
    </w:p>
    <w:p w:rsidR="00A230B9" w:rsidRDefault="00A230B9" w:rsidP="00A230B9">
      <w:pPr>
        <w:pStyle w:val="Bullet1G"/>
      </w:pPr>
      <w:r>
        <w:t xml:space="preserve">Fait de film plastique ayant une résistance au choc d’au moins 165g déterminée par la norme ISO 7765-1988 «Film et feuille de plastiques – Détermination de la résistance au choc par la méthode par chute libre de projectile – Partie 1 : Méthode dites de «l’escalier» ; </w:t>
      </w:r>
    </w:p>
    <w:p w:rsidR="00A230B9" w:rsidRDefault="00A230B9" w:rsidP="00A230B9">
      <w:pPr>
        <w:pStyle w:val="Bullet1G"/>
      </w:pPr>
      <w:r>
        <w:t>Fait de film plastique ayant une résistance au déchirement d’au moins 480g sur des plans perpendiculaires et parallèles au plan longitudinal du sac déterminée par la norme ISO 6383-2 :1983 «Plastiques – Film et feuille – Détermination de la résistance au déchirement – Partie 2 : Méthode Elmendorf» ; et</w:t>
      </w:r>
    </w:p>
    <w:p w:rsidR="00A230B9" w:rsidRDefault="00A230B9" w:rsidP="00A230B9">
      <w:pPr>
        <w:pStyle w:val="Bullet1G"/>
      </w:pPr>
      <w:r>
        <w:t>D’une masse brute maximale de 30kg.</w:t>
      </w:r>
    </w:p>
    <w:p w:rsidR="00A230B9" w:rsidRDefault="00A230B9" w:rsidP="00A230B9">
      <w:pPr>
        <w:pStyle w:val="SingleTxtG"/>
      </w:pPr>
      <w:r>
        <w:t>16.</w:t>
      </w:r>
      <w:r>
        <w:tab/>
        <w:t>Suite aux modifications proposées, l’instruction d’emballage LP621 se lirait comme suit: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A230B9" w:rsidRPr="004602C5" w:rsidTr="00670AFB">
        <w:tc>
          <w:tcPr>
            <w:tcW w:w="855" w:type="dxa"/>
            <w:tcBorders>
              <w:bottom w:val="single" w:sz="4" w:space="0" w:color="000000"/>
            </w:tcBorders>
          </w:tcPr>
          <w:p w:rsidR="00A230B9" w:rsidRPr="004602C5" w:rsidRDefault="00A230B9" w:rsidP="00670AFB">
            <w:pPr>
              <w:spacing w:before="60" w:after="60" w:line="240" w:lineRule="auto"/>
              <w:rPr>
                <w:b/>
                <w:bCs/>
              </w:rPr>
            </w:pPr>
            <w:r>
              <w:rPr>
                <w:b/>
              </w:rPr>
              <w:t>L</w:t>
            </w:r>
            <w:r w:rsidRPr="004602C5">
              <w:rPr>
                <w:b/>
              </w:rPr>
              <w:t>P</w:t>
            </w:r>
            <w:r>
              <w:rPr>
                <w:b/>
              </w:rPr>
              <w:t>621</w:t>
            </w:r>
          </w:p>
        </w:tc>
        <w:tc>
          <w:tcPr>
            <w:tcW w:w="7938" w:type="dxa"/>
            <w:tcBorders>
              <w:bottom w:val="single" w:sz="4" w:space="0" w:color="000000"/>
            </w:tcBorders>
          </w:tcPr>
          <w:p w:rsidR="00A230B9" w:rsidRPr="004602C5" w:rsidRDefault="00A230B9" w:rsidP="00670AFB">
            <w:pPr>
              <w:spacing w:before="60" w:after="60" w:line="240" w:lineRule="auto"/>
              <w:jc w:val="center"/>
              <w:rPr>
                <w:b/>
                <w:bCs/>
              </w:rPr>
            </w:pPr>
            <w:r w:rsidRPr="004602C5">
              <w:rPr>
                <w:b/>
                <w:bCs/>
              </w:rPr>
              <w:t>INSTRUCTION D</w:t>
            </w:r>
            <w:r>
              <w:rPr>
                <w:b/>
                <w:bCs/>
              </w:rPr>
              <w:t>’</w:t>
            </w:r>
            <w:r w:rsidRPr="004602C5">
              <w:rPr>
                <w:b/>
                <w:bCs/>
              </w:rPr>
              <w:t>EMBALLAGE</w:t>
            </w:r>
          </w:p>
        </w:tc>
        <w:tc>
          <w:tcPr>
            <w:tcW w:w="850" w:type="dxa"/>
            <w:tcBorders>
              <w:bottom w:val="single" w:sz="4" w:space="0" w:color="000000"/>
            </w:tcBorders>
          </w:tcPr>
          <w:p w:rsidR="00A230B9" w:rsidRPr="004602C5" w:rsidRDefault="00A230B9" w:rsidP="00670AFB">
            <w:pPr>
              <w:spacing w:before="60" w:after="60" w:line="240" w:lineRule="auto"/>
              <w:jc w:val="right"/>
              <w:rPr>
                <w:b/>
                <w:bCs/>
              </w:rPr>
            </w:pPr>
            <w:r>
              <w:rPr>
                <w:b/>
              </w:rPr>
              <w:t>LP621</w:t>
            </w:r>
          </w:p>
        </w:tc>
      </w:tr>
      <w:tr w:rsidR="00A230B9" w:rsidRPr="004602C5" w:rsidTr="00670AFB">
        <w:tc>
          <w:tcPr>
            <w:tcW w:w="9643" w:type="dxa"/>
            <w:gridSpan w:val="3"/>
            <w:tcBorders>
              <w:top w:val="single" w:sz="4" w:space="0" w:color="000000"/>
              <w:bottom w:val="single" w:sz="4" w:space="0" w:color="000000"/>
            </w:tcBorders>
          </w:tcPr>
          <w:p w:rsidR="00A230B9" w:rsidRPr="004602C5" w:rsidRDefault="00A230B9" w:rsidP="00670AFB">
            <w:pPr>
              <w:spacing w:before="60" w:after="60" w:line="240" w:lineRule="auto"/>
            </w:pPr>
            <w:r w:rsidRPr="004602C5">
              <w:t>Cette instruction s</w:t>
            </w:r>
            <w:r>
              <w:t>’</w:t>
            </w:r>
            <w:r w:rsidRPr="004602C5">
              <w:t xml:space="preserve">applique au </w:t>
            </w:r>
            <w:r>
              <w:t>numéro ONU 3291</w:t>
            </w:r>
            <w:r w:rsidRPr="004602C5">
              <w:t>.</w:t>
            </w:r>
          </w:p>
        </w:tc>
      </w:tr>
      <w:tr w:rsidR="00A230B9" w:rsidRPr="004602C5" w:rsidTr="00670AFB">
        <w:tc>
          <w:tcPr>
            <w:tcW w:w="9643" w:type="dxa"/>
            <w:gridSpan w:val="3"/>
          </w:tcPr>
          <w:p w:rsidR="00A230B9" w:rsidRDefault="00A230B9" w:rsidP="00670AFB">
            <w:pPr>
              <w:spacing w:before="60" w:after="60" w:line="240" w:lineRule="auto"/>
            </w:pPr>
            <w:r w:rsidRPr="004602C5">
              <w:t xml:space="preserve">Les </w:t>
            </w:r>
            <w:r>
              <w:t xml:space="preserve">grands </w:t>
            </w:r>
            <w:r w:rsidRPr="004602C5">
              <w:t>emballages suivants sont autorisés s</w:t>
            </w:r>
            <w:r>
              <w:t>’</w:t>
            </w:r>
            <w:r w:rsidRPr="004602C5">
              <w:t xml:space="preserve">il est satisfait aux dispositions générales des </w:t>
            </w:r>
            <w:r w:rsidRPr="004602C5">
              <w:rPr>
                <w:b/>
              </w:rPr>
              <w:t>4.1.1</w:t>
            </w:r>
            <w:r w:rsidRPr="004602C5">
              <w:t xml:space="preserve"> et </w:t>
            </w:r>
            <w:r w:rsidRPr="004602C5">
              <w:rPr>
                <w:b/>
              </w:rPr>
              <w:t>4.1.3</w:t>
            </w:r>
            <w:r>
              <w:t>:</w:t>
            </w:r>
          </w:p>
          <w:p w:rsidR="00A230B9" w:rsidRDefault="00A230B9" w:rsidP="00670AFB">
            <w:pPr>
              <w:spacing w:before="60" w:after="60" w:line="240" w:lineRule="auto"/>
            </w:pPr>
            <w:r>
              <w:t xml:space="preserve">1) </w:t>
            </w:r>
            <w:r w:rsidRPr="00821BDE">
              <w:rPr>
                <w:color w:val="FF0000"/>
                <w:u w:val="single"/>
              </w:rPr>
              <w:t>Si aucun liquide n’est visible au moment de remplir les emballages intérieurs  - des emballages intérieurs rigides ou souples</w:t>
            </w:r>
            <w:r w:rsidRPr="00821BDE">
              <w:rPr>
                <w:color w:val="FF0000"/>
                <w:u w:val="single"/>
                <w:vertAlign w:val="superscript"/>
              </w:rPr>
              <w:t>a</w:t>
            </w:r>
            <w:r w:rsidRPr="00821BDE">
              <w:rPr>
                <w:color w:val="FF0000"/>
                <w:u w:val="single"/>
              </w:rPr>
              <w:t xml:space="preserve"> peuvent être contenus dans un des grands emballages suivants : </w:t>
            </w:r>
            <w:r w:rsidRPr="00E76C7D">
              <w:rPr>
                <w:strike/>
                <w:color w:val="FF0000"/>
              </w:rPr>
              <w:t>Pour les déchets d’hôpital placés dans des emballages intérieurs rigides</w:t>
            </w:r>
            <w:r>
              <w:t xml:space="preserve">: </w:t>
            </w:r>
          </w:p>
          <w:p w:rsidR="00A230B9" w:rsidRPr="00821BDE" w:rsidRDefault="00A230B9" w:rsidP="00670AFB">
            <w:pPr>
              <w:spacing w:before="60" w:after="60" w:line="240" w:lineRule="auto"/>
              <w:rPr>
                <w:color w:val="FF0000"/>
                <w:u w:val="single"/>
              </w:rPr>
            </w:pPr>
            <w:r>
              <w:t xml:space="preserve">            </w:t>
            </w:r>
            <w:r w:rsidRPr="00821BDE">
              <w:rPr>
                <w:color w:val="FF0000"/>
                <w:u w:val="single"/>
              </w:rPr>
              <w:t>Acier (50A) ;</w:t>
            </w:r>
          </w:p>
          <w:p w:rsidR="00A230B9" w:rsidRPr="00821BDE" w:rsidRDefault="00A230B9" w:rsidP="00670AFB">
            <w:pPr>
              <w:spacing w:before="60" w:after="60" w:line="240" w:lineRule="auto"/>
              <w:rPr>
                <w:color w:val="FF0000"/>
                <w:u w:val="single"/>
              </w:rPr>
            </w:pPr>
            <w:r w:rsidRPr="00821BDE">
              <w:rPr>
                <w:color w:val="FF0000"/>
                <w:u w:val="single"/>
              </w:rPr>
              <w:t xml:space="preserve">            Aluminium (50B) ;</w:t>
            </w:r>
          </w:p>
          <w:p w:rsidR="00A230B9" w:rsidRPr="00821BDE" w:rsidRDefault="00A230B9" w:rsidP="00670AFB">
            <w:pPr>
              <w:spacing w:before="60" w:after="60" w:line="240" w:lineRule="auto"/>
              <w:rPr>
                <w:color w:val="FF0000"/>
                <w:u w:val="single"/>
              </w:rPr>
            </w:pPr>
            <w:r w:rsidRPr="00821BDE">
              <w:rPr>
                <w:color w:val="FF0000"/>
                <w:u w:val="single"/>
              </w:rPr>
              <w:t xml:space="preserve">            Bois naturel (50C) ;</w:t>
            </w:r>
          </w:p>
          <w:p w:rsidR="00A230B9" w:rsidRPr="00821BDE" w:rsidRDefault="00A230B9" w:rsidP="00670AFB">
            <w:pPr>
              <w:spacing w:before="60" w:after="60" w:line="240" w:lineRule="auto"/>
              <w:rPr>
                <w:color w:val="FF0000"/>
                <w:u w:val="single"/>
              </w:rPr>
            </w:pPr>
            <w:r w:rsidRPr="00821BDE">
              <w:rPr>
                <w:color w:val="FF0000"/>
                <w:u w:val="single"/>
              </w:rPr>
              <w:t xml:space="preserve">            Contre-plaqué (50D) ;</w:t>
            </w:r>
          </w:p>
          <w:p w:rsidR="00A230B9" w:rsidRPr="00821BDE" w:rsidRDefault="00A230B9" w:rsidP="00670AFB">
            <w:pPr>
              <w:spacing w:before="60" w:after="60" w:line="240" w:lineRule="auto"/>
              <w:rPr>
                <w:color w:val="FF0000"/>
                <w:u w:val="single"/>
              </w:rPr>
            </w:pPr>
            <w:r w:rsidRPr="00821BDE">
              <w:rPr>
                <w:color w:val="FF0000"/>
                <w:u w:val="single"/>
              </w:rPr>
              <w:t xml:space="preserve">            Bois reconstitué (50F) ;</w:t>
            </w:r>
          </w:p>
          <w:p w:rsidR="00A230B9" w:rsidRPr="00821BDE" w:rsidRDefault="00A230B9" w:rsidP="00670AFB">
            <w:pPr>
              <w:spacing w:before="60" w:after="60" w:line="240" w:lineRule="auto"/>
              <w:rPr>
                <w:color w:val="FF0000"/>
                <w:u w:val="single"/>
              </w:rPr>
            </w:pPr>
            <w:r w:rsidRPr="00821BDE">
              <w:rPr>
                <w:color w:val="FF0000"/>
                <w:u w:val="single"/>
              </w:rPr>
              <w:t xml:space="preserve">            Carton rigide (50G) ;</w:t>
            </w:r>
          </w:p>
          <w:p w:rsidR="00A230B9" w:rsidRPr="00821BDE" w:rsidRDefault="00A230B9" w:rsidP="00670AFB">
            <w:pPr>
              <w:spacing w:before="60" w:after="60" w:line="240" w:lineRule="auto"/>
              <w:rPr>
                <w:color w:val="FF0000"/>
                <w:u w:val="single"/>
              </w:rPr>
            </w:pPr>
            <w:r w:rsidRPr="00821BDE">
              <w:rPr>
                <w:color w:val="FF0000"/>
                <w:u w:val="single"/>
              </w:rPr>
              <w:t xml:space="preserve">            Plastique rigide (50H) ;</w:t>
            </w:r>
          </w:p>
          <w:p w:rsidR="00A230B9" w:rsidRPr="00821BDE" w:rsidRDefault="00A230B9" w:rsidP="00670AFB">
            <w:pPr>
              <w:spacing w:before="60" w:after="60" w:line="240" w:lineRule="auto"/>
              <w:rPr>
                <w:color w:val="FF0000"/>
                <w:u w:val="single"/>
              </w:rPr>
            </w:pPr>
            <w:r w:rsidRPr="00821BDE">
              <w:rPr>
                <w:color w:val="FF0000"/>
                <w:u w:val="single"/>
              </w:rPr>
              <w:t xml:space="preserve">            Métal autre que l’acier ou l’aluminium (50N).</w:t>
            </w:r>
          </w:p>
          <w:p w:rsidR="00A230B9" w:rsidRPr="00821BDE" w:rsidRDefault="00A230B9" w:rsidP="00670AFB">
            <w:pPr>
              <w:spacing w:before="60" w:after="60" w:line="240" w:lineRule="auto"/>
              <w:rPr>
                <w:color w:val="FF0000"/>
                <w:u w:val="single"/>
              </w:rPr>
            </w:pPr>
            <w:r w:rsidRPr="00821BDE">
              <w:rPr>
                <w:color w:val="FF0000"/>
                <w:u w:val="single"/>
              </w:rPr>
              <w:t>Les grands emballages doivent satisfaire au niveau d’épreuve du groupe d’emballage II pour les matières solides.  Si on ne peut exclure la présence de liquide résiduel dans le grand emballage, du</w:t>
            </w:r>
            <w:r w:rsidRPr="00821BDE">
              <w:rPr>
                <w:u w:val="single"/>
              </w:rPr>
              <w:t xml:space="preserve"> </w:t>
            </w:r>
            <w:r w:rsidRPr="00821BDE">
              <w:rPr>
                <w:color w:val="FF0000"/>
                <w:u w:val="single"/>
              </w:rPr>
              <w:t>matériau absorbant en quantité suffisante pour absorber la totalité du liquide qui pourrait être présent doit être utilisé.  Le grand emballage doit également être capable de retenir les liquides. </w:t>
            </w:r>
          </w:p>
          <w:p w:rsidR="00A230B9" w:rsidRPr="008B4996" w:rsidRDefault="00A230B9" w:rsidP="00670AFB">
            <w:pPr>
              <w:spacing w:before="60" w:after="60" w:line="240" w:lineRule="auto"/>
              <w:rPr>
                <w:color w:val="FF0000"/>
              </w:rPr>
            </w:pPr>
          </w:p>
          <w:p w:rsidR="00A230B9" w:rsidRPr="00821BDE" w:rsidRDefault="00A230B9" w:rsidP="00670AFB">
            <w:pPr>
              <w:spacing w:before="60" w:after="60" w:line="240" w:lineRule="auto"/>
              <w:ind w:right="229"/>
              <w:rPr>
                <w:color w:val="FF0000"/>
                <w:u w:val="single"/>
              </w:rPr>
            </w:pPr>
            <w:r w:rsidRPr="00821BDE">
              <w:rPr>
                <w:color w:val="FF0000"/>
                <w:u w:val="single"/>
                <w:vertAlign w:val="superscript"/>
              </w:rPr>
              <w:t>a</w:t>
            </w:r>
            <w:r w:rsidRPr="00821BDE">
              <w:rPr>
                <w:color w:val="FF0000"/>
                <w:u w:val="single"/>
              </w:rPr>
              <w:t xml:space="preserve"> Les emballages intérieurs souples doivent être des sacs de plastique étanches et fermés hermétiquement de manière à ce que les sacs soient capables d’être maintenus dans une position inversée avec l’extrémité fermée </w:t>
            </w:r>
            <w:r w:rsidRPr="00821BDE">
              <w:rPr>
                <w:color w:val="FF0000"/>
                <w:u w:val="single"/>
              </w:rPr>
              <w:lastRenderedPageBreak/>
              <w:t xml:space="preserve">tournée vers le bas pendant une période de 5 minutes sans faire de fuite.  Le film plastique dont les sacs sont fait doit également avoir une résistance au choc d’au moins 165g déterminée par la norme ISO 7765-1988 «Film et feuille de plastiques – Détermination de la résistance au choc par la méthode par chute libre de projectile – Partie 1 : Méthode dites de «l’escalier» et avoir une résistance au déchirement d’au moins 480g sur des plans perpendiculaires et parallèles au plan longitudinal du sac déterminée par la norme ISO 6383-2 :1983 «Plastiques – Film et feuille – Détermination de la résistance au déchirement – Partie 2 : Méthode Elmendorf». La masse brute d’un sac fermé doit être égale ou inférieure à 30kg. </w:t>
            </w:r>
          </w:p>
          <w:p w:rsidR="00A230B9" w:rsidRPr="00681081" w:rsidRDefault="00A230B9" w:rsidP="00670AFB">
            <w:pPr>
              <w:spacing w:before="60" w:after="60" w:line="240" w:lineRule="auto"/>
              <w:rPr>
                <w:color w:val="FF0000"/>
              </w:rPr>
            </w:pPr>
            <w:r w:rsidRPr="00681081">
              <w:rPr>
                <w:strike/>
                <w:color w:val="FF0000"/>
              </w:rPr>
              <w:t>de grands emballages rigides étanches conformes aux prescriptions du chapitre 6.6 pour les matières solides, au niveau d’épreuve du groupe d’emballage II, à condition qu’il y ait un matériau absorbant en quantité suffisante pour absorber la totalité du liquide présent et que le grand emballage ait la capacité de retenir les liquides.</w:t>
            </w:r>
          </w:p>
          <w:p w:rsidR="00A230B9" w:rsidRDefault="00A230B9" w:rsidP="00670AFB">
            <w:pPr>
              <w:spacing w:before="60" w:after="60" w:line="240" w:lineRule="auto"/>
            </w:pPr>
          </w:p>
          <w:p w:rsidR="00A230B9" w:rsidRDefault="00A230B9" w:rsidP="00670AFB">
            <w:pPr>
              <w:spacing w:before="60" w:after="60" w:line="240" w:lineRule="auto"/>
            </w:pPr>
            <w:r w:rsidRPr="002170DB">
              <w:t>2</w:t>
            </w:r>
            <w:r>
              <w:t xml:space="preserve">) </w:t>
            </w:r>
            <w:r w:rsidRPr="00821BDE">
              <w:rPr>
                <w:color w:val="FF0000"/>
                <w:u w:val="single"/>
              </w:rPr>
              <w:t>S’il y a du liquide visible au moment de remplir les emballages intérieurs  - des emballages intérieurs rigides doivent être utilisés et contenus dans un des grands emballages suivants : </w:t>
            </w:r>
            <w:r w:rsidRPr="00D72BF3">
              <w:rPr>
                <w:strike/>
                <w:color w:val="FF0000"/>
              </w:rPr>
              <w:t xml:space="preserve">Pour les colis contenant de grandes quantités de liquides : </w:t>
            </w:r>
            <w:r w:rsidRPr="00681081">
              <w:rPr>
                <w:strike/>
                <w:color w:val="FF0000"/>
              </w:rPr>
              <w:t>de grands emballages rigides conformes aux prescriptions du chapitre 6.6 au niveau d’épreuve du groupe d’emballage II pour les liquides</w:t>
            </w:r>
            <w:r w:rsidRPr="00681081">
              <w:rPr>
                <w:color w:val="FF0000"/>
              </w:rPr>
              <w:t>.</w:t>
            </w:r>
          </w:p>
          <w:p w:rsidR="00A230B9" w:rsidRPr="00821BDE" w:rsidRDefault="00A230B9" w:rsidP="00670AFB">
            <w:pPr>
              <w:spacing w:before="60" w:after="60" w:line="240" w:lineRule="auto"/>
              <w:rPr>
                <w:color w:val="FF0000"/>
                <w:u w:val="single"/>
              </w:rPr>
            </w:pPr>
            <w:r>
              <w:rPr>
                <w:color w:val="FF0000"/>
              </w:rPr>
              <w:t xml:space="preserve">            </w:t>
            </w:r>
            <w:r w:rsidRPr="00821BDE">
              <w:rPr>
                <w:color w:val="FF0000"/>
                <w:u w:val="single"/>
              </w:rPr>
              <w:t>Acier (50A) ;</w:t>
            </w:r>
          </w:p>
          <w:p w:rsidR="00A230B9" w:rsidRPr="00821BDE" w:rsidRDefault="00A230B9" w:rsidP="00670AFB">
            <w:pPr>
              <w:spacing w:before="60" w:after="60" w:line="240" w:lineRule="auto"/>
              <w:rPr>
                <w:color w:val="FF0000"/>
                <w:u w:val="single"/>
              </w:rPr>
            </w:pPr>
            <w:r w:rsidRPr="00821BDE">
              <w:rPr>
                <w:color w:val="FF0000"/>
                <w:u w:val="single"/>
              </w:rPr>
              <w:t xml:space="preserve">            Aluminium (50B) ;</w:t>
            </w:r>
          </w:p>
          <w:p w:rsidR="00A230B9" w:rsidRPr="00821BDE" w:rsidRDefault="00A230B9" w:rsidP="00670AFB">
            <w:pPr>
              <w:spacing w:before="60" w:after="60" w:line="240" w:lineRule="auto"/>
              <w:rPr>
                <w:color w:val="FF0000"/>
                <w:u w:val="single"/>
              </w:rPr>
            </w:pPr>
            <w:r w:rsidRPr="00821BDE">
              <w:rPr>
                <w:color w:val="FF0000"/>
                <w:u w:val="single"/>
              </w:rPr>
              <w:t xml:space="preserve">            Plastique rigide (50H) ;</w:t>
            </w:r>
          </w:p>
          <w:p w:rsidR="00A230B9" w:rsidRPr="00821BDE" w:rsidRDefault="00A230B9" w:rsidP="00670AFB">
            <w:pPr>
              <w:spacing w:before="60" w:after="60" w:line="240" w:lineRule="auto"/>
              <w:rPr>
                <w:color w:val="FF0000"/>
                <w:u w:val="single"/>
              </w:rPr>
            </w:pPr>
            <w:r w:rsidRPr="00821BDE">
              <w:rPr>
                <w:color w:val="FF0000"/>
                <w:u w:val="single"/>
              </w:rPr>
              <w:t xml:space="preserve">            Métal autre que l’acier ou l’aluminium (50N).</w:t>
            </w:r>
          </w:p>
          <w:p w:rsidR="00A230B9" w:rsidRPr="00821BDE" w:rsidRDefault="00A230B9" w:rsidP="00670AFB">
            <w:pPr>
              <w:spacing w:before="60" w:after="60" w:line="240" w:lineRule="auto"/>
              <w:rPr>
                <w:color w:val="FF0000"/>
                <w:u w:val="single"/>
              </w:rPr>
            </w:pPr>
            <w:r w:rsidRPr="00821BDE">
              <w:rPr>
                <w:color w:val="FF0000"/>
                <w:u w:val="single"/>
              </w:rPr>
              <w:t>Les grands emballages doivent satisfaire au niveau d’épreuve du groupe d’emballage II pour les matières liquides.</w:t>
            </w:r>
          </w:p>
          <w:p w:rsidR="00A230B9" w:rsidRPr="005D2434" w:rsidRDefault="00A230B9" w:rsidP="00670AFB">
            <w:pPr>
              <w:spacing w:before="60" w:after="60" w:line="240" w:lineRule="auto"/>
            </w:pPr>
          </w:p>
        </w:tc>
      </w:tr>
      <w:tr w:rsidR="00A230B9" w:rsidRPr="004602C5" w:rsidTr="00670AFB">
        <w:trPr>
          <w:trHeight w:val="244"/>
        </w:trPr>
        <w:tc>
          <w:tcPr>
            <w:tcW w:w="9643" w:type="dxa"/>
            <w:gridSpan w:val="3"/>
            <w:tcBorders>
              <w:top w:val="single" w:sz="4" w:space="0" w:color="000000"/>
              <w:bottom w:val="nil"/>
            </w:tcBorders>
          </w:tcPr>
          <w:p w:rsidR="00A230B9" w:rsidRPr="004602C5" w:rsidRDefault="00A230B9" w:rsidP="00670AFB">
            <w:pPr>
              <w:spacing w:before="60" w:after="60" w:line="240" w:lineRule="auto"/>
            </w:pPr>
            <w:r w:rsidRPr="004602C5">
              <w:rPr>
                <w:b/>
              </w:rPr>
              <w:lastRenderedPageBreak/>
              <w:t>Disposition supplémentaire</w:t>
            </w:r>
            <w:r>
              <w:t>:</w:t>
            </w:r>
          </w:p>
        </w:tc>
      </w:tr>
      <w:tr w:rsidR="00A230B9" w:rsidRPr="004602C5" w:rsidTr="00670AFB">
        <w:trPr>
          <w:trHeight w:val="360"/>
        </w:trPr>
        <w:tc>
          <w:tcPr>
            <w:tcW w:w="9643" w:type="dxa"/>
            <w:gridSpan w:val="3"/>
            <w:tcBorders>
              <w:top w:val="nil"/>
            </w:tcBorders>
            <w:vAlign w:val="center"/>
          </w:tcPr>
          <w:p w:rsidR="00A230B9" w:rsidRPr="004602C5" w:rsidRDefault="00A230B9" w:rsidP="00670AFB">
            <w:pPr>
              <w:spacing w:before="60" w:after="60" w:line="240" w:lineRule="auto"/>
              <w:rPr>
                <w:b/>
              </w:rPr>
            </w:pPr>
            <w:r>
              <w:t>Les grands emballages</w:t>
            </w:r>
            <w:r w:rsidRPr="006E7D5A">
              <w:t xml:space="preserve"> </w:t>
            </w:r>
            <w:r w:rsidRPr="00821BDE">
              <w:rPr>
                <w:color w:val="FF0000"/>
                <w:u w:val="single"/>
              </w:rPr>
              <w:t>et leurs emballages intérieurs</w:t>
            </w:r>
            <w:r>
              <w:t xml:space="preserve"> destinés à </w:t>
            </w:r>
            <w:r w:rsidRPr="006E7D5A">
              <w:t xml:space="preserve">contenir des objets tranchants ou pointus tels que du verre brisé et des aiguilles doivent </w:t>
            </w:r>
            <w:r>
              <w:t xml:space="preserve">être résistant à la </w:t>
            </w:r>
            <w:r w:rsidRPr="006E7D5A">
              <w:t>perforation</w:t>
            </w:r>
            <w:r>
              <w:t xml:space="preserve"> et retenir les liquides conformément aux conditions d’épreuve du chapitre 6.6</w:t>
            </w:r>
            <w:r w:rsidRPr="006E7D5A">
              <w:t>.</w:t>
            </w:r>
          </w:p>
        </w:tc>
      </w:tr>
    </w:tbl>
    <w:p w:rsidR="00BC0413" w:rsidRPr="00A230B9" w:rsidRDefault="00A230B9" w:rsidP="00A230B9">
      <w:pPr>
        <w:pStyle w:val="SingleTxtG"/>
        <w:spacing w:before="240" w:after="0"/>
        <w:jc w:val="center"/>
        <w:rPr>
          <w:u w:val="single"/>
        </w:rPr>
      </w:pPr>
      <w:r>
        <w:rPr>
          <w:u w:val="single"/>
        </w:rPr>
        <w:tab/>
      </w:r>
      <w:r>
        <w:rPr>
          <w:u w:val="single"/>
        </w:rPr>
        <w:tab/>
      </w:r>
      <w:r>
        <w:rPr>
          <w:u w:val="single"/>
        </w:rPr>
        <w:tab/>
      </w:r>
    </w:p>
    <w:p w:rsidR="00BC0413" w:rsidRDefault="00BC0413" w:rsidP="00BC0413">
      <w:pPr>
        <w:pStyle w:val="SingleTxtG"/>
        <w:rPr>
          <w:b/>
        </w:rPr>
      </w:pPr>
    </w:p>
    <w:p w:rsidR="00BC0413" w:rsidRDefault="00BC0413" w:rsidP="00083A13">
      <w:pPr>
        <w:rPr>
          <w:b/>
        </w:rPr>
      </w:pPr>
    </w:p>
    <w:p w:rsidR="00BC0413" w:rsidRDefault="00BC0413" w:rsidP="00083A13">
      <w:pPr>
        <w:rPr>
          <w:b/>
        </w:rPr>
      </w:pPr>
    </w:p>
    <w:p w:rsidR="00BC0413" w:rsidRDefault="00BC0413" w:rsidP="00083A13">
      <w:pPr>
        <w:rPr>
          <w:b/>
        </w:rPr>
      </w:pPr>
    </w:p>
    <w:p w:rsidR="00BC0413" w:rsidRDefault="00BC0413" w:rsidP="00083A13">
      <w:pPr>
        <w:rPr>
          <w:b/>
        </w:rPr>
      </w:pPr>
    </w:p>
    <w:p w:rsidR="00BC0413" w:rsidRDefault="00BC0413" w:rsidP="00083A13">
      <w:pPr>
        <w:rPr>
          <w:b/>
        </w:rPr>
      </w:pPr>
    </w:p>
    <w:p w:rsidR="00BC0413" w:rsidRPr="00BC0413" w:rsidRDefault="00BC0413" w:rsidP="00083A13">
      <w:pPr>
        <w:rPr>
          <w:b/>
        </w:rPr>
      </w:pPr>
    </w:p>
    <w:sectPr w:rsidR="00BC0413" w:rsidRPr="00BC0413" w:rsidSect="00E05E6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71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B6" w:rsidRDefault="005E28B6"/>
  </w:endnote>
  <w:endnote w:type="continuationSeparator" w:id="0">
    <w:p w:rsidR="005E28B6" w:rsidRDefault="005E28B6"/>
  </w:endnote>
  <w:endnote w:type="continuationNotice" w:id="1">
    <w:p w:rsidR="005E28B6" w:rsidRDefault="005E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roid Sans">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C27298" w:rsidP="0099001C">
    <w:pPr>
      <w:pStyle w:val="Footer"/>
      <w:tabs>
        <w:tab w:val="right" w:pos="9638"/>
      </w:tabs>
      <w:rPr>
        <w:sz w:val="18"/>
      </w:rPr>
    </w:pPr>
    <w:r>
      <w:rPr>
        <w:noProof/>
        <w:sz w:val="18"/>
        <w:lang w:eastAsia="en-GB"/>
      </w:rPr>
      <mc:AlternateContent>
        <mc:Choice Requires="wps">
          <w:drawing>
            <wp:anchor distT="0" distB="0" distL="114300" distR="114300" simplePos="0" relativeHeight="251657728" behindDoc="0" locked="1" layoutInCell="1" allowOverlap="1" wp14:anchorId="6449EF4C" wp14:editId="036E13E6">
              <wp:simplePos x="0" y="0"/>
              <wp:positionH relativeFrom="column">
                <wp:posOffset>8509000</wp:posOffset>
              </wp:positionH>
              <wp:positionV relativeFrom="paragraph">
                <wp:posOffset>-5629275</wp:posOffset>
              </wp:positionV>
              <wp:extent cx="381000" cy="1257300"/>
              <wp:effectExtent l="317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0pt;margin-top:-443.25pt;width:3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xhAIAABA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r w:rsidR="00BF0594">
      <w:rPr>
        <w:rStyle w:val="PageNumber"/>
      </w:rPr>
      <w:fldChar w:fldCharType="begin"/>
    </w:r>
    <w:r w:rsidR="00BF0594">
      <w:rPr>
        <w:rStyle w:val="PageNumber"/>
      </w:rPr>
      <w:instrText xml:space="preserve"> PAGE </w:instrText>
    </w:r>
    <w:r w:rsidR="00BF0594">
      <w:rPr>
        <w:rStyle w:val="PageNumber"/>
      </w:rPr>
      <w:fldChar w:fldCharType="separate"/>
    </w:r>
    <w:r w:rsidR="00A8772C">
      <w:rPr>
        <w:rStyle w:val="PageNumber"/>
        <w:noProof/>
      </w:rPr>
      <w:t>6</w:t>
    </w:r>
    <w:r w:rsidR="00BF059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BF0594"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A8772C">
      <w:rPr>
        <w:rStyle w:val="PageNumber"/>
        <w:noProof/>
      </w:rPr>
      <w:t>5</w:t>
    </w:r>
    <w:r>
      <w:rPr>
        <w:rStyle w:val="PageNumber"/>
      </w:rPr>
      <w:fldChar w:fldCharType="end"/>
    </w:r>
    <w:r w:rsidR="00C27298">
      <w:rPr>
        <w:noProof/>
        <w:lang w:eastAsia="en-GB"/>
      </w:rPr>
      <mc:AlternateContent>
        <mc:Choice Requires="wps">
          <w:drawing>
            <wp:anchor distT="0" distB="0" distL="114300" distR="114300" simplePos="0" relativeHeight="251656704" behindDoc="0" locked="1" layoutInCell="1" allowOverlap="1" wp14:anchorId="30FE1780" wp14:editId="1ED86524">
              <wp:simplePos x="0" y="0"/>
              <wp:positionH relativeFrom="column">
                <wp:posOffset>8509000</wp:posOffset>
              </wp:positionH>
              <wp:positionV relativeFrom="paragraph">
                <wp:posOffset>-1171575</wp:posOffset>
              </wp:positionV>
              <wp:extent cx="381000" cy="125730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70pt;margin-top:-92.25pt;width:3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5c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6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VMgO&#10;XIQCAAAWBQAADgAAAAAAAAAAAAAAAAAuAgAAZHJzL2Uyb0RvYy54bWxQSwECLQAUAAYACAAAACEA&#10;HJ++8d0AAAANAQAADwAAAAAAAAAAAAAAAADeBAAAZHJzL2Rvd25yZXYueG1sUEsFBgAAAAAEAAQA&#10;8wAAAOgFA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B9" w:rsidRDefault="00A2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B6" w:rsidRPr="000B175B" w:rsidRDefault="005E28B6" w:rsidP="000B175B">
      <w:pPr>
        <w:tabs>
          <w:tab w:val="right" w:pos="2155"/>
        </w:tabs>
        <w:spacing w:after="80"/>
        <w:ind w:left="680"/>
        <w:rPr>
          <w:u w:val="single"/>
        </w:rPr>
      </w:pPr>
      <w:r>
        <w:rPr>
          <w:u w:val="single"/>
        </w:rPr>
        <w:tab/>
      </w:r>
    </w:p>
  </w:footnote>
  <w:footnote w:type="continuationSeparator" w:id="0">
    <w:p w:rsidR="005E28B6" w:rsidRPr="00FC68B7" w:rsidRDefault="005E28B6" w:rsidP="00FC68B7">
      <w:pPr>
        <w:tabs>
          <w:tab w:val="left" w:pos="2155"/>
        </w:tabs>
        <w:spacing w:after="80"/>
        <w:ind w:left="680"/>
        <w:rPr>
          <w:u w:val="single"/>
        </w:rPr>
      </w:pPr>
      <w:r>
        <w:rPr>
          <w:u w:val="single"/>
        </w:rPr>
        <w:tab/>
      </w:r>
    </w:p>
  </w:footnote>
  <w:footnote w:type="continuationNotice" w:id="1">
    <w:p w:rsidR="005E28B6" w:rsidRDefault="005E28B6"/>
  </w:footnote>
  <w:footnote w:id="2">
    <w:p w:rsidR="00BC0413" w:rsidRPr="00BC0413" w:rsidRDefault="00BC0413" w:rsidP="00BC0413">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FB3D8C" w:rsidRDefault="00C77A18" w:rsidP="00FB3D8C">
    <w:pPr>
      <w:pStyle w:val="Header"/>
    </w:pPr>
    <w:r>
      <w:t>ST/SG/AC.10/C.3/</w:t>
    </w:r>
    <w:r w:rsidR="00A230B9">
      <w:t>2016/26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1E4813" w:rsidRDefault="00FE4A23" w:rsidP="001E4813">
    <w:pPr>
      <w:pStyle w:val="Header"/>
      <w:jc w:val="right"/>
      <w:rPr>
        <w:lang w:val="fr-CH"/>
      </w:rPr>
    </w:pPr>
    <w:r>
      <w:rPr>
        <w:lang w:val="fr-CH"/>
      </w:rPr>
      <w:t>ST/SG/AC.10/C.3/</w:t>
    </w:r>
    <w:r w:rsidR="00A230B9">
      <w:rPr>
        <w:lang w:val="fr-CH"/>
      </w:rPr>
      <w:t>2016/26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B9" w:rsidRDefault="00A23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B5268"/>
    <w:multiLevelType w:val="hybridMultilevel"/>
    <w:tmpl w:val="932EF3BC"/>
    <w:lvl w:ilvl="0" w:tplc="0082E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DB2151"/>
    <w:multiLevelType w:val="hybridMultilevel"/>
    <w:tmpl w:val="FB348880"/>
    <w:lvl w:ilvl="0" w:tplc="2D28DE34">
      <w:start w:val="8"/>
      <w:numFmt w:val="bullet"/>
      <w:lvlText w:val="-"/>
      <w:lvlJc w:val="left"/>
      <w:pPr>
        <w:ind w:left="2064" w:hanging="360"/>
      </w:pPr>
      <w:rPr>
        <w:rFonts w:ascii="Times New Roman" w:eastAsia="Times New Roman" w:hAnsi="Times New Roman" w:cs="Times New Roman"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5C55804"/>
    <w:multiLevelType w:val="hybridMultilevel"/>
    <w:tmpl w:val="5060F7A6"/>
    <w:lvl w:ilvl="0" w:tplc="214470BC">
      <w:start w:val="1"/>
      <w:numFmt w:val="decimal"/>
      <w:pStyle w:val="UNparagraph"/>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0">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3367EE9"/>
    <w:multiLevelType w:val="hybridMultilevel"/>
    <w:tmpl w:val="A5204186"/>
    <w:lvl w:ilvl="0" w:tplc="640CB984">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4">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6F281B"/>
    <w:multiLevelType w:val="hybridMultilevel"/>
    <w:tmpl w:val="345C1A5A"/>
    <w:lvl w:ilvl="0" w:tplc="0FE065F0">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7">
    <w:nsid w:val="2D28202B"/>
    <w:multiLevelType w:val="hybridMultilevel"/>
    <w:tmpl w:val="A71EB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9">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3D5035F"/>
    <w:multiLevelType w:val="hybridMultilevel"/>
    <w:tmpl w:val="0F8CD83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nsid w:val="4F7C1CBB"/>
    <w:multiLevelType w:val="hybridMultilevel"/>
    <w:tmpl w:val="762AA33A"/>
    <w:lvl w:ilvl="0" w:tplc="045203A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4">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C3CEF"/>
    <w:multiLevelType w:val="multilevel"/>
    <w:tmpl w:val="64AC9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AF1C9F"/>
    <w:multiLevelType w:val="hybridMultilevel"/>
    <w:tmpl w:val="870E97D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30">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31">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8"/>
  </w:num>
  <w:num w:numId="3">
    <w:abstractNumId w:val="1"/>
  </w:num>
  <w:num w:numId="4">
    <w:abstractNumId w:val="30"/>
  </w:num>
  <w:num w:numId="5">
    <w:abstractNumId w:val="23"/>
  </w:num>
  <w:num w:numId="6">
    <w:abstractNumId w:val="6"/>
  </w:num>
  <w:num w:numId="7">
    <w:abstractNumId w:val="11"/>
  </w:num>
  <w:num w:numId="8">
    <w:abstractNumId w:val="20"/>
  </w:num>
  <w:num w:numId="9">
    <w:abstractNumId w:val="29"/>
  </w:num>
  <w:num w:numId="10">
    <w:abstractNumId w:val="18"/>
  </w:num>
  <w:num w:numId="11">
    <w:abstractNumId w:val="2"/>
  </w:num>
  <w:num w:numId="12">
    <w:abstractNumId w:val="16"/>
  </w:num>
  <w:num w:numId="13">
    <w:abstractNumId w:val="31"/>
  </w:num>
  <w:num w:numId="14">
    <w:abstractNumId w:val="24"/>
  </w:num>
  <w:num w:numId="15">
    <w:abstractNumId w:val="25"/>
  </w:num>
  <w:num w:numId="16">
    <w:abstractNumId w:val="14"/>
  </w:num>
  <w:num w:numId="17">
    <w:abstractNumId w:val="8"/>
  </w:num>
  <w:num w:numId="18">
    <w:abstractNumId w:val="10"/>
  </w:num>
  <w:num w:numId="19">
    <w:abstractNumId w:val="1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13"/>
  </w:num>
  <w:num w:numId="25">
    <w:abstractNumId w:val="4"/>
  </w:num>
  <w:num w:numId="26">
    <w:abstractNumId w:val="22"/>
  </w:num>
  <w:num w:numId="27">
    <w:abstractNumId w:val="26"/>
  </w:num>
  <w:num w:numId="28">
    <w:abstractNumId w:val="17"/>
  </w:num>
  <w:num w:numId="29">
    <w:abstractNumId w:val="15"/>
  </w:num>
  <w:num w:numId="30">
    <w:abstractNumId w:val="3"/>
  </w:num>
  <w:num w:numId="31">
    <w:abstractNumId w:val="9"/>
  </w:num>
  <w:num w:numId="32">
    <w:abstractNumId w:val="27"/>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ston, David">
    <w15:presenceInfo w15:providerId="AD" w15:userId="S-1-5-21-1705761367-2505620512-3895969145-3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2BEE"/>
    <w:rsid w:val="000171FC"/>
    <w:rsid w:val="000210EC"/>
    <w:rsid w:val="00025C10"/>
    <w:rsid w:val="000261F6"/>
    <w:rsid w:val="00034899"/>
    <w:rsid w:val="000413DA"/>
    <w:rsid w:val="000426AF"/>
    <w:rsid w:val="00044CD7"/>
    <w:rsid w:val="00050F6B"/>
    <w:rsid w:val="0005340B"/>
    <w:rsid w:val="00057262"/>
    <w:rsid w:val="00057EF1"/>
    <w:rsid w:val="00060C82"/>
    <w:rsid w:val="00067341"/>
    <w:rsid w:val="00072C8C"/>
    <w:rsid w:val="0007325A"/>
    <w:rsid w:val="00080F0A"/>
    <w:rsid w:val="00083A13"/>
    <w:rsid w:val="00085784"/>
    <w:rsid w:val="00090473"/>
    <w:rsid w:val="000918C2"/>
    <w:rsid w:val="000931C0"/>
    <w:rsid w:val="00094053"/>
    <w:rsid w:val="000965D9"/>
    <w:rsid w:val="000B0DCA"/>
    <w:rsid w:val="000B175B"/>
    <w:rsid w:val="000B3A0F"/>
    <w:rsid w:val="000C64FF"/>
    <w:rsid w:val="000C69A6"/>
    <w:rsid w:val="000D13B5"/>
    <w:rsid w:val="000E0415"/>
    <w:rsid w:val="000E2262"/>
    <w:rsid w:val="000E2F43"/>
    <w:rsid w:val="000E2FEC"/>
    <w:rsid w:val="000E5884"/>
    <w:rsid w:val="00105FDD"/>
    <w:rsid w:val="0011529F"/>
    <w:rsid w:val="001156AA"/>
    <w:rsid w:val="001220B8"/>
    <w:rsid w:val="001262C0"/>
    <w:rsid w:val="00126EA1"/>
    <w:rsid w:val="001336B2"/>
    <w:rsid w:val="00133C7A"/>
    <w:rsid w:val="00133ED6"/>
    <w:rsid w:val="00137553"/>
    <w:rsid w:val="001418E8"/>
    <w:rsid w:val="00145FFD"/>
    <w:rsid w:val="001506C9"/>
    <w:rsid w:val="001604C0"/>
    <w:rsid w:val="00161DED"/>
    <w:rsid w:val="00162157"/>
    <w:rsid w:val="00162703"/>
    <w:rsid w:val="00166DD2"/>
    <w:rsid w:val="00172A5D"/>
    <w:rsid w:val="00173C41"/>
    <w:rsid w:val="00173E97"/>
    <w:rsid w:val="001811F3"/>
    <w:rsid w:val="001832E3"/>
    <w:rsid w:val="00186037"/>
    <w:rsid w:val="001A00CE"/>
    <w:rsid w:val="001B4B04"/>
    <w:rsid w:val="001B7882"/>
    <w:rsid w:val="001C0A2D"/>
    <w:rsid w:val="001C2917"/>
    <w:rsid w:val="001C6663"/>
    <w:rsid w:val="001C719B"/>
    <w:rsid w:val="001C7895"/>
    <w:rsid w:val="001D26DF"/>
    <w:rsid w:val="001D3183"/>
    <w:rsid w:val="001E0EC3"/>
    <w:rsid w:val="001E2993"/>
    <w:rsid w:val="001E2A42"/>
    <w:rsid w:val="001E428B"/>
    <w:rsid w:val="001E4813"/>
    <w:rsid w:val="00202F2F"/>
    <w:rsid w:val="0020313C"/>
    <w:rsid w:val="00211E0B"/>
    <w:rsid w:val="0021245D"/>
    <w:rsid w:val="00230C96"/>
    <w:rsid w:val="00232E70"/>
    <w:rsid w:val="002405A7"/>
    <w:rsid w:val="00240C33"/>
    <w:rsid w:val="00241101"/>
    <w:rsid w:val="00246F3E"/>
    <w:rsid w:val="00247F42"/>
    <w:rsid w:val="00254938"/>
    <w:rsid w:val="00260DAB"/>
    <w:rsid w:val="00261C17"/>
    <w:rsid w:val="00267F1A"/>
    <w:rsid w:val="00270492"/>
    <w:rsid w:val="002775FB"/>
    <w:rsid w:val="00280C9A"/>
    <w:rsid w:val="00281563"/>
    <w:rsid w:val="00282F16"/>
    <w:rsid w:val="00291560"/>
    <w:rsid w:val="0029653B"/>
    <w:rsid w:val="0029712C"/>
    <w:rsid w:val="002B4232"/>
    <w:rsid w:val="002D5E30"/>
    <w:rsid w:val="002D78BB"/>
    <w:rsid w:val="002E03D9"/>
    <w:rsid w:val="002E42C4"/>
    <w:rsid w:val="002E45A0"/>
    <w:rsid w:val="002E492E"/>
    <w:rsid w:val="002E4DC6"/>
    <w:rsid w:val="002E6B09"/>
    <w:rsid w:val="002F6E0F"/>
    <w:rsid w:val="003025AB"/>
    <w:rsid w:val="00302CC0"/>
    <w:rsid w:val="00303038"/>
    <w:rsid w:val="003107FA"/>
    <w:rsid w:val="00311C15"/>
    <w:rsid w:val="00317109"/>
    <w:rsid w:val="003229D8"/>
    <w:rsid w:val="0033069A"/>
    <w:rsid w:val="00330D86"/>
    <w:rsid w:val="00334089"/>
    <w:rsid w:val="0033745A"/>
    <w:rsid w:val="00341EB4"/>
    <w:rsid w:val="00355FB8"/>
    <w:rsid w:val="0036347F"/>
    <w:rsid w:val="00365502"/>
    <w:rsid w:val="00373FC5"/>
    <w:rsid w:val="003742FC"/>
    <w:rsid w:val="00391104"/>
    <w:rsid w:val="0039277A"/>
    <w:rsid w:val="003972E0"/>
    <w:rsid w:val="0039798C"/>
    <w:rsid w:val="00397DE2"/>
    <w:rsid w:val="003A0867"/>
    <w:rsid w:val="003A2B2B"/>
    <w:rsid w:val="003A7F0D"/>
    <w:rsid w:val="003B0241"/>
    <w:rsid w:val="003B16CF"/>
    <w:rsid w:val="003C2CC4"/>
    <w:rsid w:val="003C3936"/>
    <w:rsid w:val="003D4B23"/>
    <w:rsid w:val="003D5BA1"/>
    <w:rsid w:val="003E7507"/>
    <w:rsid w:val="003F1ED3"/>
    <w:rsid w:val="003F32D9"/>
    <w:rsid w:val="003F6500"/>
    <w:rsid w:val="00403098"/>
    <w:rsid w:val="00403EAE"/>
    <w:rsid w:val="004143A7"/>
    <w:rsid w:val="00424A40"/>
    <w:rsid w:val="00427EC1"/>
    <w:rsid w:val="004325CB"/>
    <w:rsid w:val="00435726"/>
    <w:rsid w:val="00435EE3"/>
    <w:rsid w:val="00436DEF"/>
    <w:rsid w:val="00442BB5"/>
    <w:rsid w:val="00443C1D"/>
    <w:rsid w:val="004450BF"/>
    <w:rsid w:val="00446DE4"/>
    <w:rsid w:val="00447ACD"/>
    <w:rsid w:val="004501A7"/>
    <w:rsid w:val="004532E1"/>
    <w:rsid w:val="00456600"/>
    <w:rsid w:val="00465AC8"/>
    <w:rsid w:val="004735DE"/>
    <w:rsid w:val="0047798C"/>
    <w:rsid w:val="0048539B"/>
    <w:rsid w:val="0048605D"/>
    <w:rsid w:val="0049238A"/>
    <w:rsid w:val="004936EA"/>
    <w:rsid w:val="004949D0"/>
    <w:rsid w:val="004A0699"/>
    <w:rsid w:val="004A0F33"/>
    <w:rsid w:val="004A41CA"/>
    <w:rsid w:val="004A7FFD"/>
    <w:rsid w:val="004B1385"/>
    <w:rsid w:val="004B394B"/>
    <w:rsid w:val="004B40B2"/>
    <w:rsid w:val="004C3136"/>
    <w:rsid w:val="004E0E90"/>
    <w:rsid w:val="004F4928"/>
    <w:rsid w:val="004F721F"/>
    <w:rsid w:val="004F7E77"/>
    <w:rsid w:val="00500AC6"/>
    <w:rsid w:val="00503228"/>
    <w:rsid w:val="00505384"/>
    <w:rsid w:val="00512AD1"/>
    <w:rsid w:val="00514641"/>
    <w:rsid w:val="005275C3"/>
    <w:rsid w:val="005311FB"/>
    <w:rsid w:val="0053290B"/>
    <w:rsid w:val="005414C0"/>
    <w:rsid w:val="005420F2"/>
    <w:rsid w:val="00543E64"/>
    <w:rsid w:val="00557BBE"/>
    <w:rsid w:val="005602BC"/>
    <w:rsid w:val="00564A8C"/>
    <w:rsid w:val="0056584E"/>
    <w:rsid w:val="00567492"/>
    <w:rsid w:val="00582EEE"/>
    <w:rsid w:val="00587909"/>
    <w:rsid w:val="00592B8C"/>
    <w:rsid w:val="00596017"/>
    <w:rsid w:val="0059637C"/>
    <w:rsid w:val="005964D7"/>
    <w:rsid w:val="00596940"/>
    <w:rsid w:val="005A6006"/>
    <w:rsid w:val="005B12DD"/>
    <w:rsid w:val="005B3DB3"/>
    <w:rsid w:val="005B675E"/>
    <w:rsid w:val="005B793F"/>
    <w:rsid w:val="005D01BA"/>
    <w:rsid w:val="005D0566"/>
    <w:rsid w:val="005D69A1"/>
    <w:rsid w:val="005D74E8"/>
    <w:rsid w:val="005E28B6"/>
    <w:rsid w:val="005E3584"/>
    <w:rsid w:val="005F1684"/>
    <w:rsid w:val="005F491C"/>
    <w:rsid w:val="005F57B5"/>
    <w:rsid w:val="00603986"/>
    <w:rsid w:val="00610339"/>
    <w:rsid w:val="00611FB1"/>
    <w:rsid w:val="00611FC4"/>
    <w:rsid w:val="00612127"/>
    <w:rsid w:val="00612594"/>
    <w:rsid w:val="00613135"/>
    <w:rsid w:val="00613225"/>
    <w:rsid w:val="0061540F"/>
    <w:rsid w:val="00615ADE"/>
    <w:rsid w:val="00615BEE"/>
    <w:rsid w:val="006176FB"/>
    <w:rsid w:val="0062323E"/>
    <w:rsid w:val="00624AAB"/>
    <w:rsid w:val="00624CB0"/>
    <w:rsid w:val="00627ED0"/>
    <w:rsid w:val="00633F2A"/>
    <w:rsid w:val="0063576C"/>
    <w:rsid w:val="006362E9"/>
    <w:rsid w:val="00637C1A"/>
    <w:rsid w:val="00640B26"/>
    <w:rsid w:val="0064418D"/>
    <w:rsid w:val="006522E7"/>
    <w:rsid w:val="00652520"/>
    <w:rsid w:val="00660094"/>
    <w:rsid w:val="00660E37"/>
    <w:rsid w:val="00665396"/>
    <w:rsid w:val="00665595"/>
    <w:rsid w:val="00677071"/>
    <w:rsid w:val="00694FF3"/>
    <w:rsid w:val="00695A9B"/>
    <w:rsid w:val="006A68AB"/>
    <w:rsid w:val="006A7392"/>
    <w:rsid w:val="006A7A99"/>
    <w:rsid w:val="006B20B5"/>
    <w:rsid w:val="006B4ADA"/>
    <w:rsid w:val="006B5B7C"/>
    <w:rsid w:val="006C13D4"/>
    <w:rsid w:val="006C52A3"/>
    <w:rsid w:val="006D5429"/>
    <w:rsid w:val="006D7CD5"/>
    <w:rsid w:val="006E0290"/>
    <w:rsid w:val="006E0A8C"/>
    <w:rsid w:val="006E564B"/>
    <w:rsid w:val="006F02D2"/>
    <w:rsid w:val="006F1EFF"/>
    <w:rsid w:val="007032EE"/>
    <w:rsid w:val="00704BCD"/>
    <w:rsid w:val="007218CD"/>
    <w:rsid w:val="0072632A"/>
    <w:rsid w:val="00733AAE"/>
    <w:rsid w:val="00735F8E"/>
    <w:rsid w:val="00744DCF"/>
    <w:rsid w:val="00755D24"/>
    <w:rsid w:val="00760441"/>
    <w:rsid w:val="007675D8"/>
    <w:rsid w:val="00771D8B"/>
    <w:rsid w:val="00772712"/>
    <w:rsid w:val="00772BD6"/>
    <w:rsid w:val="00773288"/>
    <w:rsid w:val="0077426A"/>
    <w:rsid w:val="00774A1A"/>
    <w:rsid w:val="007756DC"/>
    <w:rsid w:val="00780488"/>
    <w:rsid w:val="00782570"/>
    <w:rsid w:val="00783A99"/>
    <w:rsid w:val="00784BBB"/>
    <w:rsid w:val="0079606E"/>
    <w:rsid w:val="00796E0D"/>
    <w:rsid w:val="007A1923"/>
    <w:rsid w:val="007B204D"/>
    <w:rsid w:val="007B3310"/>
    <w:rsid w:val="007B5103"/>
    <w:rsid w:val="007B5960"/>
    <w:rsid w:val="007B6BA5"/>
    <w:rsid w:val="007B6F24"/>
    <w:rsid w:val="007B7EB1"/>
    <w:rsid w:val="007C0E2E"/>
    <w:rsid w:val="007C3390"/>
    <w:rsid w:val="007C4F4B"/>
    <w:rsid w:val="007C4F77"/>
    <w:rsid w:val="007D1BCB"/>
    <w:rsid w:val="007D3ADF"/>
    <w:rsid w:val="007D4DE2"/>
    <w:rsid w:val="007E028F"/>
    <w:rsid w:val="007E0778"/>
    <w:rsid w:val="007F0B83"/>
    <w:rsid w:val="007F272B"/>
    <w:rsid w:val="007F4FCD"/>
    <w:rsid w:val="007F6611"/>
    <w:rsid w:val="007F768B"/>
    <w:rsid w:val="00805178"/>
    <w:rsid w:val="00811877"/>
    <w:rsid w:val="008175E9"/>
    <w:rsid w:val="00820837"/>
    <w:rsid w:val="00821CC5"/>
    <w:rsid w:val="008242D7"/>
    <w:rsid w:val="00826BFB"/>
    <w:rsid w:val="00827E05"/>
    <w:rsid w:val="00830DAF"/>
    <w:rsid w:val="008311A3"/>
    <w:rsid w:val="008467F9"/>
    <w:rsid w:val="008577F2"/>
    <w:rsid w:val="00860A33"/>
    <w:rsid w:val="0086423F"/>
    <w:rsid w:val="008703E7"/>
    <w:rsid w:val="00871FD5"/>
    <w:rsid w:val="00872C11"/>
    <w:rsid w:val="00873B3B"/>
    <w:rsid w:val="00874E70"/>
    <w:rsid w:val="00876710"/>
    <w:rsid w:val="00884D20"/>
    <w:rsid w:val="008979B1"/>
    <w:rsid w:val="008A296D"/>
    <w:rsid w:val="008A6B25"/>
    <w:rsid w:val="008A6C4F"/>
    <w:rsid w:val="008B01F9"/>
    <w:rsid w:val="008B0E1D"/>
    <w:rsid w:val="008B411B"/>
    <w:rsid w:val="008B6F6E"/>
    <w:rsid w:val="008D54CD"/>
    <w:rsid w:val="008E09AC"/>
    <w:rsid w:val="008E0E46"/>
    <w:rsid w:val="008E3D2D"/>
    <w:rsid w:val="008F1782"/>
    <w:rsid w:val="008F4AB2"/>
    <w:rsid w:val="00903E58"/>
    <w:rsid w:val="00906E93"/>
    <w:rsid w:val="0090771C"/>
    <w:rsid w:val="00907AD2"/>
    <w:rsid w:val="009104B2"/>
    <w:rsid w:val="009111C7"/>
    <w:rsid w:val="0091455F"/>
    <w:rsid w:val="0092035F"/>
    <w:rsid w:val="00921B66"/>
    <w:rsid w:val="00922876"/>
    <w:rsid w:val="00925353"/>
    <w:rsid w:val="00934214"/>
    <w:rsid w:val="009402C2"/>
    <w:rsid w:val="00940685"/>
    <w:rsid w:val="00941D3C"/>
    <w:rsid w:val="00951741"/>
    <w:rsid w:val="009616A8"/>
    <w:rsid w:val="009619F2"/>
    <w:rsid w:val="00963CBA"/>
    <w:rsid w:val="009647D9"/>
    <w:rsid w:val="00971294"/>
    <w:rsid w:val="009727E1"/>
    <w:rsid w:val="009749EA"/>
    <w:rsid w:val="00974A8D"/>
    <w:rsid w:val="00975AAB"/>
    <w:rsid w:val="009772DC"/>
    <w:rsid w:val="0097794A"/>
    <w:rsid w:val="0099001C"/>
    <w:rsid w:val="00991261"/>
    <w:rsid w:val="009A3BA9"/>
    <w:rsid w:val="009B10F0"/>
    <w:rsid w:val="009B4ACF"/>
    <w:rsid w:val="009C418B"/>
    <w:rsid w:val="009D1BEF"/>
    <w:rsid w:val="009E0F2F"/>
    <w:rsid w:val="009F3A17"/>
    <w:rsid w:val="009F4329"/>
    <w:rsid w:val="00A071D1"/>
    <w:rsid w:val="00A11C1F"/>
    <w:rsid w:val="00A1427D"/>
    <w:rsid w:val="00A1540E"/>
    <w:rsid w:val="00A230B9"/>
    <w:rsid w:val="00A304F8"/>
    <w:rsid w:val="00A3172C"/>
    <w:rsid w:val="00A320C7"/>
    <w:rsid w:val="00A33628"/>
    <w:rsid w:val="00A37B8D"/>
    <w:rsid w:val="00A4329A"/>
    <w:rsid w:val="00A4390F"/>
    <w:rsid w:val="00A47FEB"/>
    <w:rsid w:val="00A51BA2"/>
    <w:rsid w:val="00A72F22"/>
    <w:rsid w:val="00A748A6"/>
    <w:rsid w:val="00A805EB"/>
    <w:rsid w:val="00A8121B"/>
    <w:rsid w:val="00A8772C"/>
    <w:rsid w:val="00A879A4"/>
    <w:rsid w:val="00AA048B"/>
    <w:rsid w:val="00AA59B9"/>
    <w:rsid w:val="00AB6DCD"/>
    <w:rsid w:val="00AC0759"/>
    <w:rsid w:val="00AC3F5A"/>
    <w:rsid w:val="00AD3A50"/>
    <w:rsid w:val="00AD701B"/>
    <w:rsid w:val="00AD7C47"/>
    <w:rsid w:val="00AE0162"/>
    <w:rsid w:val="00AE0873"/>
    <w:rsid w:val="00AE3D03"/>
    <w:rsid w:val="00AE52B5"/>
    <w:rsid w:val="00AF04A4"/>
    <w:rsid w:val="00AF0D0C"/>
    <w:rsid w:val="00AF4E86"/>
    <w:rsid w:val="00AF5010"/>
    <w:rsid w:val="00AF5976"/>
    <w:rsid w:val="00B04F48"/>
    <w:rsid w:val="00B109BD"/>
    <w:rsid w:val="00B10A66"/>
    <w:rsid w:val="00B12377"/>
    <w:rsid w:val="00B12EF7"/>
    <w:rsid w:val="00B16F5D"/>
    <w:rsid w:val="00B30179"/>
    <w:rsid w:val="00B33D93"/>
    <w:rsid w:val="00B33EC0"/>
    <w:rsid w:val="00B356B8"/>
    <w:rsid w:val="00B35B6B"/>
    <w:rsid w:val="00B37A59"/>
    <w:rsid w:val="00B45CC5"/>
    <w:rsid w:val="00B52A3E"/>
    <w:rsid w:val="00B55627"/>
    <w:rsid w:val="00B6108E"/>
    <w:rsid w:val="00B625AB"/>
    <w:rsid w:val="00B62B55"/>
    <w:rsid w:val="00B712CD"/>
    <w:rsid w:val="00B72447"/>
    <w:rsid w:val="00B81E12"/>
    <w:rsid w:val="00B84EA9"/>
    <w:rsid w:val="00B912BE"/>
    <w:rsid w:val="00BA0EA4"/>
    <w:rsid w:val="00BA6971"/>
    <w:rsid w:val="00BC0413"/>
    <w:rsid w:val="00BC74E9"/>
    <w:rsid w:val="00BD14E2"/>
    <w:rsid w:val="00BD2146"/>
    <w:rsid w:val="00BD253D"/>
    <w:rsid w:val="00BD2A07"/>
    <w:rsid w:val="00BD3F6C"/>
    <w:rsid w:val="00BD4FA8"/>
    <w:rsid w:val="00BE4F74"/>
    <w:rsid w:val="00BE618E"/>
    <w:rsid w:val="00BE74EF"/>
    <w:rsid w:val="00BF0594"/>
    <w:rsid w:val="00BF34E3"/>
    <w:rsid w:val="00BF5C71"/>
    <w:rsid w:val="00BF6291"/>
    <w:rsid w:val="00C04153"/>
    <w:rsid w:val="00C143B4"/>
    <w:rsid w:val="00C17699"/>
    <w:rsid w:val="00C20118"/>
    <w:rsid w:val="00C21674"/>
    <w:rsid w:val="00C223EC"/>
    <w:rsid w:val="00C27298"/>
    <w:rsid w:val="00C27434"/>
    <w:rsid w:val="00C309A6"/>
    <w:rsid w:val="00C31B61"/>
    <w:rsid w:val="00C3396E"/>
    <w:rsid w:val="00C407EE"/>
    <w:rsid w:val="00C41A28"/>
    <w:rsid w:val="00C45639"/>
    <w:rsid w:val="00C463DD"/>
    <w:rsid w:val="00C54CCB"/>
    <w:rsid w:val="00C54FF0"/>
    <w:rsid w:val="00C56170"/>
    <w:rsid w:val="00C65812"/>
    <w:rsid w:val="00C70D56"/>
    <w:rsid w:val="00C7383C"/>
    <w:rsid w:val="00C73C64"/>
    <w:rsid w:val="00C745C3"/>
    <w:rsid w:val="00C74DB9"/>
    <w:rsid w:val="00C756ED"/>
    <w:rsid w:val="00C75C4B"/>
    <w:rsid w:val="00C77A18"/>
    <w:rsid w:val="00C8012E"/>
    <w:rsid w:val="00C84FF4"/>
    <w:rsid w:val="00C87A98"/>
    <w:rsid w:val="00C92E61"/>
    <w:rsid w:val="00C94465"/>
    <w:rsid w:val="00CA2B7F"/>
    <w:rsid w:val="00CA4B0E"/>
    <w:rsid w:val="00CA5B67"/>
    <w:rsid w:val="00CD455E"/>
    <w:rsid w:val="00CD6661"/>
    <w:rsid w:val="00CE3368"/>
    <w:rsid w:val="00CE4A8F"/>
    <w:rsid w:val="00CE5435"/>
    <w:rsid w:val="00CF41EA"/>
    <w:rsid w:val="00CF4B7F"/>
    <w:rsid w:val="00CF5B31"/>
    <w:rsid w:val="00D0099B"/>
    <w:rsid w:val="00D02F6D"/>
    <w:rsid w:val="00D03F43"/>
    <w:rsid w:val="00D11A2D"/>
    <w:rsid w:val="00D2031B"/>
    <w:rsid w:val="00D228C0"/>
    <w:rsid w:val="00D25FE2"/>
    <w:rsid w:val="00D317BB"/>
    <w:rsid w:val="00D3281C"/>
    <w:rsid w:val="00D3344B"/>
    <w:rsid w:val="00D43252"/>
    <w:rsid w:val="00D4433A"/>
    <w:rsid w:val="00D44EAE"/>
    <w:rsid w:val="00D8399D"/>
    <w:rsid w:val="00D91497"/>
    <w:rsid w:val="00D924F4"/>
    <w:rsid w:val="00D978C6"/>
    <w:rsid w:val="00D978F3"/>
    <w:rsid w:val="00DA67AD"/>
    <w:rsid w:val="00DB5D0F"/>
    <w:rsid w:val="00DB79B2"/>
    <w:rsid w:val="00DC0141"/>
    <w:rsid w:val="00DC1A84"/>
    <w:rsid w:val="00DC3242"/>
    <w:rsid w:val="00DD222A"/>
    <w:rsid w:val="00DE379C"/>
    <w:rsid w:val="00DE3A0C"/>
    <w:rsid w:val="00DE78DA"/>
    <w:rsid w:val="00DF12F7"/>
    <w:rsid w:val="00E02C81"/>
    <w:rsid w:val="00E05E6F"/>
    <w:rsid w:val="00E130AB"/>
    <w:rsid w:val="00E148E7"/>
    <w:rsid w:val="00E16031"/>
    <w:rsid w:val="00E201CB"/>
    <w:rsid w:val="00E2307D"/>
    <w:rsid w:val="00E24B3E"/>
    <w:rsid w:val="00E25A99"/>
    <w:rsid w:val="00E31E80"/>
    <w:rsid w:val="00E33C28"/>
    <w:rsid w:val="00E37E28"/>
    <w:rsid w:val="00E4094C"/>
    <w:rsid w:val="00E41868"/>
    <w:rsid w:val="00E42808"/>
    <w:rsid w:val="00E43853"/>
    <w:rsid w:val="00E470C5"/>
    <w:rsid w:val="00E54137"/>
    <w:rsid w:val="00E62142"/>
    <w:rsid w:val="00E7260F"/>
    <w:rsid w:val="00E7733E"/>
    <w:rsid w:val="00E86543"/>
    <w:rsid w:val="00E86D1F"/>
    <w:rsid w:val="00E87921"/>
    <w:rsid w:val="00E93B8F"/>
    <w:rsid w:val="00E96630"/>
    <w:rsid w:val="00EA264E"/>
    <w:rsid w:val="00EA5690"/>
    <w:rsid w:val="00EB31E8"/>
    <w:rsid w:val="00EB7B03"/>
    <w:rsid w:val="00EC1DA2"/>
    <w:rsid w:val="00EC3C48"/>
    <w:rsid w:val="00EC3D7E"/>
    <w:rsid w:val="00EC4291"/>
    <w:rsid w:val="00EC5A8A"/>
    <w:rsid w:val="00EC7CB8"/>
    <w:rsid w:val="00ED42EB"/>
    <w:rsid w:val="00ED7A2A"/>
    <w:rsid w:val="00ED7E78"/>
    <w:rsid w:val="00EE5D7E"/>
    <w:rsid w:val="00EE6D04"/>
    <w:rsid w:val="00EE6DBA"/>
    <w:rsid w:val="00EF1D7F"/>
    <w:rsid w:val="00EF31CF"/>
    <w:rsid w:val="00EF381F"/>
    <w:rsid w:val="00EF49AF"/>
    <w:rsid w:val="00EF66AA"/>
    <w:rsid w:val="00EF7873"/>
    <w:rsid w:val="00F0058A"/>
    <w:rsid w:val="00F065D0"/>
    <w:rsid w:val="00F06AE7"/>
    <w:rsid w:val="00F10CCD"/>
    <w:rsid w:val="00F13FE3"/>
    <w:rsid w:val="00F14C89"/>
    <w:rsid w:val="00F212B0"/>
    <w:rsid w:val="00F227EE"/>
    <w:rsid w:val="00F43F80"/>
    <w:rsid w:val="00F4559F"/>
    <w:rsid w:val="00F461BF"/>
    <w:rsid w:val="00F50610"/>
    <w:rsid w:val="00F53EDA"/>
    <w:rsid w:val="00F56BFE"/>
    <w:rsid w:val="00F6227B"/>
    <w:rsid w:val="00F65B42"/>
    <w:rsid w:val="00F708A8"/>
    <w:rsid w:val="00F719A2"/>
    <w:rsid w:val="00F7753D"/>
    <w:rsid w:val="00F805CA"/>
    <w:rsid w:val="00F80636"/>
    <w:rsid w:val="00F83C0F"/>
    <w:rsid w:val="00F849F0"/>
    <w:rsid w:val="00F85F34"/>
    <w:rsid w:val="00F91C32"/>
    <w:rsid w:val="00F93D13"/>
    <w:rsid w:val="00F973FB"/>
    <w:rsid w:val="00FA06F7"/>
    <w:rsid w:val="00FA5CA3"/>
    <w:rsid w:val="00FA5F28"/>
    <w:rsid w:val="00FB171A"/>
    <w:rsid w:val="00FB24B1"/>
    <w:rsid w:val="00FB3D8C"/>
    <w:rsid w:val="00FC24D4"/>
    <w:rsid w:val="00FC68B7"/>
    <w:rsid w:val="00FD0E1B"/>
    <w:rsid w:val="00FD3F13"/>
    <w:rsid w:val="00FD7BF6"/>
    <w:rsid w:val="00FE13F7"/>
    <w:rsid w:val="00FE4A23"/>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paragraph" w:customStyle="1" w:styleId="UNparagraph">
    <w:name w:val="UN paragraph"/>
    <w:basedOn w:val="Normal"/>
    <w:link w:val="UNparagraphChar"/>
    <w:qFormat/>
    <w:rsid w:val="00BC0413"/>
    <w:pPr>
      <w:numPr>
        <w:numId w:val="31"/>
      </w:numPr>
      <w:ind w:left="1134" w:right="43" w:firstLine="0"/>
      <w:jc w:val="both"/>
    </w:pPr>
    <w:rPr>
      <w:lang w:val="fr-CH"/>
    </w:rPr>
  </w:style>
  <w:style w:type="character" w:customStyle="1" w:styleId="UNparagraphChar">
    <w:name w:val="UN paragraph Char"/>
    <w:link w:val="UNparagraph"/>
    <w:rsid w:val="00BC0413"/>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paragraph" w:customStyle="1" w:styleId="UNparagraph">
    <w:name w:val="UN paragraph"/>
    <w:basedOn w:val="Normal"/>
    <w:link w:val="UNparagraphChar"/>
    <w:qFormat/>
    <w:rsid w:val="00BC0413"/>
    <w:pPr>
      <w:numPr>
        <w:numId w:val="31"/>
      </w:numPr>
      <w:ind w:left="1134" w:right="43" w:firstLine="0"/>
      <w:jc w:val="both"/>
    </w:pPr>
    <w:rPr>
      <w:lang w:val="fr-CH"/>
    </w:rPr>
  </w:style>
  <w:style w:type="character" w:customStyle="1" w:styleId="UNparagraphChar">
    <w:name w:val="UN paragraph Char"/>
    <w:link w:val="UNparagraph"/>
    <w:rsid w:val="00BC041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50A3-2F15-49E6-A433-E8CE73E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6</Pages>
  <Words>2160</Words>
  <Characters>12292</Characters>
  <Application>Microsoft Office Word</Application>
  <DocSecurity>0</DocSecurity>
  <Lines>241</Lines>
  <Paragraphs>132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49th TDG WP to correct Section 1.1.2 of the MTC</vt:lpstr>
      <vt:lpstr>UN/SCEGHS/19/INF</vt:lpstr>
      <vt:lpstr>UN/SCEGHS/19/INF</vt:lpstr>
    </vt:vector>
  </TitlesOfParts>
  <Company>CSD</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TDG WP to correct Section 1.1.2 of the MTC</dc:title>
  <dc:creator>dboston@ime.org</dc:creator>
  <cp:lastModifiedBy>Laurence Berthet</cp:lastModifiedBy>
  <cp:revision>5</cp:revision>
  <cp:lastPrinted>2016-04-12T09:38:00Z</cp:lastPrinted>
  <dcterms:created xsi:type="dcterms:W3CDTF">2016-04-01T08:55:00Z</dcterms:created>
  <dcterms:modified xsi:type="dcterms:W3CDTF">2016-04-12T09:42:00Z</dcterms:modified>
</cp:coreProperties>
</file>