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1E1" w:rsidRPr="008C7CF0" w:rsidRDefault="00E211E1" w:rsidP="00E211E1">
      <w:pPr>
        <w:spacing w:line="60" w:lineRule="exact"/>
        <w:rPr>
          <w:color w:val="010000"/>
          <w:sz w:val="6"/>
        </w:rPr>
        <w:sectPr w:rsidR="00E211E1" w:rsidRPr="008C7CF0" w:rsidSect="00E211E1">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r w:rsidRPr="008C7CF0">
        <w:rPr>
          <w:rStyle w:val="CommentReference"/>
        </w:rPr>
        <w:commentReference w:id="0"/>
      </w:r>
    </w:p>
    <w:p w:rsidR="006F1B3F" w:rsidRPr="007E2088" w:rsidRDefault="006F1B3F" w:rsidP="006F1B3F">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lastRenderedPageBreak/>
        <w:t>Европейская экономическая комиссия</w:t>
      </w:r>
    </w:p>
    <w:p w:rsidR="006F1B3F" w:rsidRPr="007E2088" w:rsidRDefault="006F1B3F" w:rsidP="006F1B3F">
      <w:pPr>
        <w:spacing w:line="120" w:lineRule="exact"/>
        <w:rPr>
          <w:sz w:val="10"/>
        </w:rPr>
      </w:pPr>
    </w:p>
    <w:p w:rsidR="006F1B3F" w:rsidRPr="007E2088" w:rsidRDefault="006F1B3F" w:rsidP="006F1B3F">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rPr>
      </w:pPr>
      <w:r w:rsidRPr="006F1B3F">
        <w:rPr>
          <w:b w:val="0"/>
          <w:bCs/>
        </w:rPr>
        <w:t>Комитет по внутреннему транспорту</w:t>
      </w:r>
    </w:p>
    <w:p w:rsidR="006F1B3F" w:rsidRPr="007E2088" w:rsidRDefault="006F1B3F" w:rsidP="006F1B3F">
      <w:pPr>
        <w:spacing w:line="120" w:lineRule="exact"/>
        <w:rPr>
          <w:sz w:val="10"/>
        </w:rPr>
      </w:pPr>
    </w:p>
    <w:p w:rsidR="006F1B3F" w:rsidRPr="007E2088" w:rsidRDefault="006F1B3F" w:rsidP="006F1B3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Рабочая группа по тенденциям</w:t>
      </w:r>
      <w:r w:rsidRPr="006F1B3F">
        <w:br/>
      </w:r>
      <w:r>
        <w:t>и экономике транспорта</w:t>
      </w:r>
    </w:p>
    <w:p w:rsidR="006F1B3F" w:rsidRPr="007E2088" w:rsidRDefault="006F1B3F" w:rsidP="006F1B3F">
      <w:pPr>
        <w:spacing w:line="120" w:lineRule="exact"/>
        <w:rPr>
          <w:sz w:val="10"/>
        </w:rPr>
      </w:pPr>
    </w:p>
    <w:p w:rsidR="006F1B3F" w:rsidRDefault="006F1B3F" w:rsidP="006F1B3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Двадцать восьмая сессия</w:t>
      </w:r>
      <w:bookmarkStart w:id="1" w:name="_GoBack"/>
      <w:bookmarkEnd w:id="1"/>
    </w:p>
    <w:p w:rsidR="006F1B3F" w:rsidRDefault="006F1B3F" w:rsidP="006F1B3F">
      <w:r>
        <w:t>Женева, 7−9 сентября 2015 года</w:t>
      </w:r>
    </w:p>
    <w:p w:rsidR="006F1B3F" w:rsidRDefault="006F1B3F" w:rsidP="006F1B3F">
      <w:r>
        <w:t>Пункт 9 предварительной повестки дня</w:t>
      </w:r>
    </w:p>
    <w:p w:rsidR="006F1B3F" w:rsidRPr="007E2088" w:rsidRDefault="006F1B3F" w:rsidP="006F1B3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Городская мобильность и общественный транспорт</w:t>
      </w:r>
    </w:p>
    <w:p w:rsidR="006F1B3F" w:rsidRPr="007E2088" w:rsidRDefault="006F1B3F" w:rsidP="006F1B3F">
      <w:pPr>
        <w:pStyle w:val="SingleTxt"/>
        <w:spacing w:after="0" w:line="120" w:lineRule="exact"/>
        <w:rPr>
          <w:sz w:val="10"/>
        </w:rPr>
      </w:pPr>
    </w:p>
    <w:p w:rsidR="006F1B3F" w:rsidRPr="007E2088" w:rsidRDefault="006F1B3F" w:rsidP="006F1B3F">
      <w:pPr>
        <w:pStyle w:val="SingleTxt"/>
        <w:spacing w:after="0" w:line="120" w:lineRule="exact"/>
        <w:rPr>
          <w:sz w:val="10"/>
        </w:rPr>
      </w:pPr>
    </w:p>
    <w:p w:rsidR="006F1B3F" w:rsidRPr="007E2088" w:rsidRDefault="006F1B3F" w:rsidP="006F1B3F">
      <w:pPr>
        <w:pStyle w:val="SingleTxt"/>
        <w:spacing w:after="0" w:line="120" w:lineRule="exact"/>
        <w:rPr>
          <w:sz w:val="10"/>
        </w:rPr>
      </w:pPr>
    </w:p>
    <w:p w:rsidR="006F1B3F" w:rsidRPr="007E2088" w:rsidRDefault="006F1B3F" w:rsidP="006F1B3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Городская мобильность и общественный транспорт: трудности и перспективы</w:t>
      </w:r>
      <w:r w:rsidRPr="006F1B3F">
        <w:rPr>
          <w:b w:val="0"/>
          <w:sz w:val="20"/>
          <w:szCs w:val="20"/>
        </w:rPr>
        <w:footnoteReference w:customMarkFollows="1" w:id="1"/>
        <w:t>*</w:t>
      </w:r>
    </w:p>
    <w:p w:rsidR="006F1B3F" w:rsidRPr="006F1B3F" w:rsidRDefault="006F1B3F" w:rsidP="006F1B3F">
      <w:pPr>
        <w:pStyle w:val="SingleTxt"/>
        <w:spacing w:after="0" w:line="120" w:lineRule="exact"/>
        <w:rPr>
          <w:sz w:val="10"/>
        </w:rPr>
      </w:pPr>
    </w:p>
    <w:p w:rsidR="006F1B3F" w:rsidRPr="006F1B3F" w:rsidRDefault="006F1B3F" w:rsidP="006F1B3F">
      <w:pPr>
        <w:pStyle w:val="SingleTxt"/>
        <w:spacing w:after="0" w:line="120" w:lineRule="exact"/>
        <w:rPr>
          <w:sz w:val="10"/>
        </w:rPr>
      </w:pPr>
    </w:p>
    <w:p w:rsidR="006F1B3F" w:rsidRPr="007E2088" w:rsidRDefault="006F1B3F" w:rsidP="006F1B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Записка секретариата</w:t>
      </w:r>
    </w:p>
    <w:p w:rsidR="006F1B3F" w:rsidRPr="007E2088" w:rsidRDefault="006F1B3F" w:rsidP="006F1B3F">
      <w:pPr>
        <w:pStyle w:val="SingleTxt"/>
        <w:spacing w:after="0" w:line="120" w:lineRule="exact"/>
        <w:rPr>
          <w:sz w:val="10"/>
        </w:rPr>
      </w:pPr>
    </w:p>
    <w:p w:rsidR="006F1B3F" w:rsidRPr="007E2088" w:rsidRDefault="006F1B3F" w:rsidP="006F1B3F">
      <w:pPr>
        <w:pStyle w:val="SingleTxt"/>
        <w:spacing w:after="0" w:line="120" w:lineRule="exact"/>
        <w:rPr>
          <w:sz w:val="10"/>
        </w:rPr>
      </w:pPr>
    </w:p>
    <w:p w:rsidR="006F1B3F" w:rsidRPr="007E2088" w:rsidRDefault="006F1B3F" w:rsidP="006F1B3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Мандат</w:t>
      </w:r>
    </w:p>
    <w:p w:rsidR="006F1B3F" w:rsidRPr="007E2088" w:rsidRDefault="006F1B3F" w:rsidP="006F1B3F">
      <w:pPr>
        <w:pStyle w:val="SingleTxt"/>
        <w:spacing w:after="0" w:line="120" w:lineRule="exact"/>
        <w:rPr>
          <w:sz w:val="10"/>
        </w:rPr>
      </w:pPr>
    </w:p>
    <w:p w:rsidR="006F1B3F" w:rsidRPr="007E2088" w:rsidRDefault="006F1B3F" w:rsidP="006F1B3F">
      <w:pPr>
        <w:pStyle w:val="SingleTxt"/>
        <w:spacing w:after="0" w:line="120" w:lineRule="exact"/>
        <w:rPr>
          <w:sz w:val="10"/>
        </w:rPr>
      </w:pPr>
    </w:p>
    <w:p w:rsidR="006F1B3F" w:rsidRPr="007E2088" w:rsidRDefault="006F1B3F" w:rsidP="006F1B3F">
      <w:pPr>
        <w:pStyle w:val="SingleTxt"/>
      </w:pPr>
      <w:r>
        <w:t>1.</w:t>
      </w:r>
      <w:r>
        <w:tab/>
      </w:r>
      <w:proofErr w:type="gramStart"/>
      <w:r>
        <w:t>На своей семьдесят шестой сессии (25−27 февраля 2014 года) Комитет по внутреннему транспорту настоятельно призвал правительства и муниципалитеты оказать содействие в дальнейшем исследовании вопросов городского транспорта и мобильности, организованном Европейской экономической комиссией Орган</w:t>
      </w:r>
      <w:r>
        <w:t>и</w:t>
      </w:r>
      <w:r>
        <w:t>зации Объединенных Наций (ЕЭК ООН), и п</w:t>
      </w:r>
      <w:r w:rsidR="00CC00D8">
        <w:t>редложил рассмотреть эту тему в</w:t>
      </w:r>
      <w:r w:rsidR="00CC00D8">
        <w:rPr>
          <w:lang w:val="en-US"/>
        </w:rPr>
        <w:t> </w:t>
      </w:r>
      <w:r>
        <w:t>рамках повестки дня Рабочей группы по тенденциям и экономике транспорта (WP.5) (ECE/TRANS/240, пункт</w:t>
      </w:r>
      <w:proofErr w:type="gramEnd"/>
      <w:r>
        <w:t xml:space="preserve"> 11). Кроме того, на своей семьдесят седьмой се</w:t>
      </w:r>
      <w:r>
        <w:t>с</w:t>
      </w:r>
      <w:r>
        <w:t>сии (24−26 февраля 2015 года) он решил регуля</w:t>
      </w:r>
      <w:r w:rsidR="00CC00D8">
        <w:t>рно проводить обзор изменений в</w:t>
      </w:r>
      <w:r w:rsidR="00CC00D8">
        <w:rPr>
          <w:lang w:val="en-US"/>
        </w:rPr>
        <w:t> </w:t>
      </w:r>
      <w:r>
        <w:t>области городской мобильности и транспорта и, в частности, взаимосвязи ме</w:t>
      </w:r>
      <w:r>
        <w:t>ж</w:t>
      </w:r>
      <w:r>
        <w:t>ду городскими, региональными, национальными и международными транспор</w:t>
      </w:r>
      <w:r>
        <w:t>т</w:t>
      </w:r>
      <w:r>
        <w:t>ными сетями и услугами. В этой связи Комитет просил WP.5 принять последу</w:t>
      </w:r>
      <w:r>
        <w:t>ю</w:t>
      </w:r>
      <w:r>
        <w:t>щие меры в данной области (ECE/TRANS/248, пункт 18).</w:t>
      </w:r>
    </w:p>
    <w:p w:rsidR="006F1B3F" w:rsidRPr="007E2088" w:rsidRDefault="006F1B3F" w:rsidP="006F1B3F">
      <w:pPr>
        <w:pStyle w:val="SingleTxt"/>
        <w:spacing w:after="0" w:line="120" w:lineRule="exact"/>
        <w:rPr>
          <w:sz w:val="10"/>
        </w:rPr>
      </w:pPr>
    </w:p>
    <w:p w:rsidR="006F1B3F" w:rsidRPr="007E2088" w:rsidRDefault="006F1B3F" w:rsidP="006F1B3F">
      <w:pPr>
        <w:pStyle w:val="SingleTxt"/>
        <w:spacing w:after="0" w:line="120" w:lineRule="exact"/>
        <w:rPr>
          <w:sz w:val="10"/>
        </w:rPr>
      </w:pPr>
    </w:p>
    <w:p w:rsidR="006F1B3F" w:rsidRPr="007E2088" w:rsidRDefault="006F1B3F" w:rsidP="006F1B3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Трудности и перспективы</w:t>
      </w:r>
    </w:p>
    <w:p w:rsidR="006F1B3F" w:rsidRPr="007E2088" w:rsidRDefault="006F1B3F" w:rsidP="006F1B3F">
      <w:pPr>
        <w:pStyle w:val="SingleTxt"/>
        <w:spacing w:after="0" w:line="120" w:lineRule="exact"/>
        <w:rPr>
          <w:sz w:val="10"/>
        </w:rPr>
      </w:pPr>
    </w:p>
    <w:p w:rsidR="006F1B3F" w:rsidRPr="007E2088" w:rsidRDefault="006F1B3F" w:rsidP="006F1B3F">
      <w:pPr>
        <w:pStyle w:val="SingleTxt"/>
        <w:spacing w:after="0" w:line="120" w:lineRule="exact"/>
        <w:rPr>
          <w:sz w:val="10"/>
        </w:rPr>
      </w:pPr>
    </w:p>
    <w:p w:rsidR="006F1B3F" w:rsidRDefault="006F1B3F" w:rsidP="006F1B3F">
      <w:pPr>
        <w:pStyle w:val="SingleTxt"/>
      </w:pPr>
      <w:r>
        <w:t>2.</w:t>
      </w:r>
      <w:r>
        <w:tab/>
        <w:t>Как отмечае</w:t>
      </w:r>
      <w:r w:rsidR="00CC00D8">
        <w:t>тся в публикации 2015 года ЕЭК «</w:t>
      </w:r>
      <w:r>
        <w:t>Устойчивая городская м</w:t>
      </w:r>
      <w:r>
        <w:t>о</w:t>
      </w:r>
      <w:r>
        <w:t>бильность и общественный</w:t>
      </w:r>
      <w:r w:rsidR="00CC00D8">
        <w:t xml:space="preserve"> транспо</w:t>
      </w:r>
      <w:proofErr w:type="gramStart"/>
      <w:r w:rsidR="00CC00D8">
        <w:t>рт в ст</w:t>
      </w:r>
      <w:proofErr w:type="gramEnd"/>
      <w:r w:rsidR="00CC00D8">
        <w:t>олицах стран ЕЭК»</w:t>
      </w:r>
      <w:r>
        <w:t xml:space="preserve">, крупные города как узлы, соединяющие между собой различные рынки, будут продолжать расти, особенно если управление городским хозяйством будет направлено на снижение различных издержек, сопряженных с таким ростом. Эти издержки, как правило, </w:t>
      </w:r>
      <w:r>
        <w:lastRenderedPageBreak/>
        <w:t>связаны с увеличением стоимости земли, рабочей силы, жилья, проблемами д</w:t>
      </w:r>
      <w:r>
        <w:t>о</w:t>
      </w:r>
      <w:r>
        <w:t>ступа и загрязнением окружающей среды.</w:t>
      </w:r>
    </w:p>
    <w:p w:rsidR="006F1B3F" w:rsidRDefault="006F1B3F" w:rsidP="006F1B3F">
      <w:pPr>
        <w:pStyle w:val="SingleTxt"/>
      </w:pPr>
      <w:r>
        <w:t>3.</w:t>
      </w:r>
      <w:r>
        <w:tab/>
        <w:t>Условия, которые могут способствовать росту и обеспечивать его устойч</w:t>
      </w:r>
      <w:r>
        <w:t>и</w:t>
      </w:r>
      <w:r>
        <w:t>вость, чаще всего создаются на основе нормативно-правовой базы государстве</w:t>
      </w:r>
      <w:r>
        <w:t>н</w:t>
      </w:r>
      <w:r>
        <w:t>ного уровня. Вместе с тем, эти нормативно-правовые рамки необходимо допо</w:t>
      </w:r>
      <w:r>
        <w:t>л</w:t>
      </w:r>
      <w:r>
        <w:t>нять вспомогательными стратегиями на уровне городов в целях содействия с</w:t>
      </w:r>
      <w:r>
        <w:t>о</w:t>
      </w:r>
      <w:r>
        <w:t>зданию еще более благоприятных условий для экономической деятельности предприятий и обеспечения достаточно высокого качества жизни населения.</w:t>
      </w:r>
    </w:p>
    <w:p w:rsidR="006F1B3F" w:rsidRDefault="006F1B3F" w:rsidP="006F1B3F">
      <w:pPr>
        <w:pStyle w:val="SingleTxt"/>
      </w:pPr>
      <w:r>
        <w:t>4.</w:t>
      </w:r>
      <w:r>
        <w:tab/>
        <w:t>Эти дополнительные стратегии связаны с общественной инфраструктурой и услугами, предоставляемыми на городском уровне, в частности, с транспортом, жильем, водоснабжением и санитарией, удаление</w:t>
      </w:r>
      <w:r w:rsidR="00CC00D8">
        <w:t>м отходов, а также с доступом к </w:t>
      </w:r>
      <w:r>
        <w:t>занятости, информации и образованию, т.е. доступом к возможностям.</w:t>
      </w:r>
    </w:p>
    <w:p w:rsidR="006F1B3F" w:rsidRDefault="006F1B3F" w:rsidP="006F1B3F">
      <w:pPr>
        <w:pStyle w:val="SingleTxt"/>
      </w:pPr>
      <w:r>
        <w:t>5.</w:t>
      </w:r>
      <w:r>
        <w:tab/>
        <w:t xml:space="preserve">Стратегии в области городского транспорта должны быть ориентированы на повышение мобильности в целях </w:t>
      </w:r>
      <w:r w:rsidR="00CC00D8">
        <w:t>расширения доступа к различным «рынкам». В </w:t>
      </w:r>
      <w:r>
        <w:t>то же время они должны способствовать сокращению связанных с транспор</w:t>
      </w:r>
      <w:r>
        <w:t>т</w:t>
      </w:r>
      <w:r>
        <w:t>ным сообщением издержек, включая заторы дорожного движения, дорожные аварии и загрязнение окружающей среды.</w:t>
      </w:r>
    </w:p>
    <w:p w:rsidR="006F1B3F" w:rsidRDefault="00CC00D8" w:rsidP="006F1B3F">
      <w:pPr>
        <w:pStyle w:val="SingleTxt"/>
      </w:pPr>
      <w:r>
        <w:t>6.</w:t>
      </w:r>
      <w:r>
        <w:tab/>
        <w:t xml:space="preserve">Тем не </w:t>
      </w:r>
      <w:proofErr w:type="gramStart"/>
      <w:r>
        <w:t>менее</w:t>
      </w:r>
      <w:proofErr w:type="gramEnd"/>
      <w:r w:rsidR="006F1B3F">
        <w:t xml:space="preserve"> многие крупные города в регионе ЕЭК и по всему миру по-прежнему испытывают затруднения в плане сокращения этих издержек. Заторы дорожного движения затрудняют, а не облегчают доступ к рынкам в городских районах. Дорожно-транспортные происшествия и загрязнение окружающей ср</w:t>
      </w:r>
      <w:r w:rsidR="006F1B3F">
        <w:t>е</w:t>
      </w:r>
      <w:r w:rsidR="006F1B3F">
        <w:t>ды не только сопряжены с большими затратами, но и ухудшают качество жизни населения, оказывая негативное влияние на его благосостояние.</w:t>
      </w:r>
    </w:p>
    <w:p w:rsidR="006F1B3F" w:rsidRDefault="006F1B3F" w:rsidP="006F1B3F">
      <w:pPr>
        <w:pStyle w:val="SingleTxt"/>
      </w:pPr>
      <w:r>
        <w:t>7.</w:t>
      </w:r>
      <w:r>
        <w:tab/>
        <w:t>В связи с необходимостью преодоления возникающих трудностей происх</w:t>
      </w:r>
      <w:r>
        <w:t>о</w:t>
      </w:r>
      <w:r>
        <w:t>дит формирование базы знаний, которая может помочь органам власти в реал</w:t>
      </w:r>
      <w:r>
        <w:t>и</w:t>
      </w:r>
      <w:r>
        <w:t>зации стратегий, направленных на повышение устойчивости систем городского транспорта и мобильности. Она охватывает вопросы, касающиеся роли общ</w:t>
      </w:r>
      <w:r>
        <w:t>е</w:t>
      </w:r>
      <w:r>
        <w:t xml:space="preserve">ственного транспорта и </w:t>
      </w:r>
      <w:proofErr w:type="spellStart"/>
      <w:r>
        <w:t>немоторизированных</w:t>
      </w:r>
      <w:proofErr w:type="spellEnd"/>
      <w:r>
        <w:t xml:space="preserve"> способов перемещения в контексте городской мобильности и передвижения. Она позволяет определить, каким обр</w:t>
      </w:r>
      <w:r>
        <w:t>а</w:t>
      </w:r>
      <w:r>
        <w:t xml:space="preserve">зом качество общественного транспорта, его инфраструктуры и сетей, а также инфраструктуры для </w:t>
      </w:r>
      <w:proofErr w:type="spellStart"/>
      <w:r>
        <w:t>немоторизированных</w:t>
      </w:r>
      <w:proofErr w:type="spellEnd"/>
      <w:r>
        <w:t xml:space="preserve"> способов перемещения может влиять на предпочтения населения в области мобильности. Она также дает возможность выявить условия, необходимые для предотвращения искаженного распределения спроса на услуги мобильности и городские перевозки между различными видами транспорта.</w:t>
      </w:r>
    </w:p>
    <w:p w:rsidR="006F1B3F" w:rsidRDefault="006F1B3F" w:rsidP="006F1B3F">
      <w:pPr>
        <w:pStyle w:val="SingleTxt"/>
      </w:pPr>
      <w:r>
        <w:t>8.</w:t>
      </w:r>
      <w:r>
        <w:tab/>
      </w:r>
      <w:proofErr w:type="gramStart"/>
      <w:r>
        <w:t>Для поддержания эффективности и действенности работы транспортной с</w:t>
      </w:r>
      <w:r>
        <w:t>и</w:t>
      </w:r>
      <w:r>
        <w:t>стемы необходимо, чтобы компетентные органы власти трансформировали им</w:t>
      </w:r>
      <w:r>
        <w:t>е</w:t>
      </w:r>
      <w:r>
        <w:t>ющиеся земельные и финансовые ресурсы (т.е. ограниченные капитальные р</w:t>
      </w:r>
      <w:r>
        <w:t>е</w:t>
      </w:r>
      <w:r>
        <w:t xml:space="preserve">сурсы) в соответствующую транспортную инфраструктуру и сети для создания оптимального сочетания различных моторизированных индивидуальных или коллективных/общественных видов транспорта и </w:t>
      </w:r>
      <w:proofErr w:type="spellStart"/>
      <w:r>
        <w:t>немоторизированных</w:t>
      </w:r>
      <w:proofErr w:type="spellEnd"/>
      <w:r>
        <w:t xml:space="preserve"> способов перемещения, а также обеспечения удобных стыковок между различными спос</w:t>
      </w:r>
      <w:r>
        <w:t>о</w:t>
      </w:r>
      <w:r>
        <w:t>бами перемещения для удовлетворения потребностей в плане</w:t>
      </w:r>
      <w:proofErr w:type="gramEnd"/>
      <w:r>
        <w:t xml:space="preserve"> мобильности.</w:t>
      </w:r>
    </w:p>
    <w:p w:rsidR="006F1B3F" w:rsidRDefault="006F1B3F" w:rsidP="006F1B3F">
      <w:pPr>
        <w:pStyle w:val="SingleTxt"/>
      </w:pPr>
      <w:r>
        <w:t>9.</w:t>
      </w:r>
      <w:r>
        <w:tab/>
        <w:t>Развитие инфраструктуры и сетей, т.е. создание предложения на рынке услуг городского транспорта для удовлетворения потребностей в плане мобил</w:t>
      </w:r>
      <w:r>
        <w:t>ь</w:t>
      </w:r>
      <w:r>
        <w:t>ности, само по себе не является решением поставленной сложной задачи. Хотя наличие разнообразных вариантов перемещения, существующих благодаря с</w:t>
      </w:r>
      <w:r>
        <w:t>о</w:t>
      </w:r>
      <w:r>
        <w:t>зданию соответствующей инфраструктуры и сетей, может приводить к перера</w:t>
      </w:r>
      <w:r>
        <w:t>с</w:t>
      </w:r>
      <w:r>
        <w:t>пределению долей населения, пользующихся теми или иными видами транспорта, само их существование может оказаться недостаточным для создания действе</w:t>
      </w:r>
      <w:r>
        <w:t>н</w:t>
      </w:r>
      <w:r>
        <w:t>ной и эффективной транспортной системы. Властям также необходимо сформ</w:t>
      </w:r>
      <w:r>
        <w:t>и</w:t>
      </w:r>
      <w:r>
        <w:lastRenderedPageBreak/>
        <w:t>ровать соответствующую культуру мобильности и влиять через эту культуру на сдвиги спроса между различными видами транспорта. Таким образом, они см</w:t>
      </w:r>
      <w:r>
        <w:t>о</w:t>
      </w:r>
      <w:r>
        <w:t xml:space="preserve">гут формировать спрос на такое сочетание различных видов моторизированного индивидуального или общественного транспорта и </w:t>
      </w:r>
      <w:proofErr w:type="spellStart"/>
      <w:r>
        <w:t>немоторизированных</w:t>
      </w:r>
      <w:proofErr w:type="spellEnd"/>
      <w:r>
        <w:t xml:space="preserve"> спос</w:t>
      </w:r>
      <w:r>
        <w:t>о</w:t>
      </w:r>
      <w:r>
        <w:t>бов перемещения, которое считается оптимальным.</w:t>
      </w:r>
    </w:p>
    <w:p w:rsidR="006F1B3F" w:rsidRDefault="006F1B3F" w:rsidP="006F1B3F">
      <w:pPr>
        <w:pStyle w:val="SingleTxt"/>
      </w:pPr>
      <w:r>
        <w:t>10.</w:t>
      </w:r>
      <w:r>
        <w:tab/>
        <w:t xml:space="preserve">Кроме того, следует обеспечить </w:t>
      </w:r>
      <w:proofErr w:type="spellStart"/>
      <w:r>
        <w:t>сообщаемость</w:t>
      </w:r>
      <w:proofErr w:type="spellEnd"/>
      <w:r>
        <w:t xml:space="preserve"> различных видов общ</w:t>
      </w:r>
      <w:r>
        <w:t>е</w:t>
      </w:r>
      <w:r>
        <w:t xml:space="preserve">ственного транспорта с национальными транспортными сетями. </w:t>
      </w:r>
      <w:proofErr w:type="gramStart"/>
      <w:r>
        <w:t>Оптимальная</w:t>
      </w:r>
      <w:proofErr w:type="gramEnd"/>
      <w:r>
        <w:t xml:space="preserve"> </w:t>
      </w:r>
      <w:proofErr w:type="spellStart"/>
      <w:r>
        <w:t>сообщаемость</w:t>
      </w:r>
      <w:proofErr w:type="spellEnd"/>
      <w:r>
        <w:t xml:space="preserve"> является необходимым условием эффективного функциониров</w:t>
      </w:r>
      <w:r>
        <w:t>а</w:t>
      </w:r>
      <w:r>
        <w:t>ния городских и национальных транспортных систем. Эффективность различных видов городского транспорта зависит от их взаимодействия и связи с национал</w:t>
      </w:r>
      <w:r>
        <w:t>ь</w:t>
      </w:r>
      <w:r>
        <w:t>ной транспортной системой; это особенно касается городских районов, поскол</w:t>
      </w:r>
      <w:r>
        <w:t>ь</w:t>
      </w:r>
      <w:r>
        <w:t>ку люди могут жить в пригороде и совершать ежедневные поездки в город к м</w:t>
      </w:r>
      <w:r>
        <w:t>е</w:t>
      </w:r>
      <w:r>
        <w:t>сту работы. Зачастую эти пассажиры фактически пользуются национальными или региональными транспортными сетями. Не приходится удивляться тому, что транспортные терминалы начали превращаться в коммерческие центры, пред</w:t>
      </w:r>
      <w:r>
        <w:t>о</w:t>
      </w:r>
      <w:r>
        <w:t>ставляющие целый ряд бытовых услуг. Эти терминалы стали не просто источн</w:t>
      </w:r>
      <w:r>
        <w:t>и</w:t>
      </w:r>
      <w:r>
        <w:t>ком дополнительных доходов для железных дорог и операторов метрополитена; они облегчают жизнь пассажиров, у которых появилась возможность удовлетв</w:t>
      </w:r>
      <w:r>
        <w:t>о</w:t>
      </w:r>
      <w:r>
        <w:t>рять свои бытовые потребности по дороге на работу или домой.</w:t>
      </w:r>
    </w:p>
    <w:p w:rsidR="006F1B3F" w:rsidRDefault="006F1B3F" w:rsidP="006F1B3F">
      <w:pPr>
        <w:pStyle w:val="SingleTxt"/>
      </w:pPr>
      <w:r>
        <w:t>11.</w:t>
      </w:r>
      <w:r>
        <w:tab/>
        <w:t>Чем же характеризуется высокое качество обслуживания на городском о</w:t>
      </w:r>
      <w:r>
        <w:t>б</w:t>
      </w:r>
      <w:r>
        <w:t>щественном транспорте? К числу соответствующих факторов относятся, в час</w:t>
      </w:r>
      <w:r>
        <w:t>т</w:t>
      </w:r>
      <w:r>
        <w:t>ности:</w:t>
      </w:r>
    </w:p>
    <w:p w:rsidR="006F1B3F" w:rsidRDefault="006F1B3F" w:rsidP="006F1B3F">
      <w:pPr>
        <w:pStyle w:val="SingleTxt"/>
      </w:pPr>
      <w:r w:rsidRPr="007E2088">
        <w:tab/>
      </w:r>
      <w:r>
        <w:t>a)</w:t>
      </w:r>
      <w:r>
        <w:tab/>
        <w:t>широкая доступность: городской обществ</w:t>
      </w:r>
      <w:r w:rsidR="00D31A3D">
        <w:t xml:space="preserve">енный транспорт является </w:t>
      </w:r>
      <w:proofErr w:type="gramStart"/>
      <w:r w:rsidR="00D31A3D">
        <w:t xml:space="preserve">широко </w:t>
      </w:r>
      <w:r>
        <w:t>доступным</w:t>
      </w:r>
      <w:proofErr w:type="gramEnd"/>
      <w:r>
        <w:t>, обеспечивая сообщение между районами проживания нас</w:t>
      </w:r>
      <w:r>
        <w:t>е</w:t>
      </w:r>
      <w:r w:rsidR="00D31A3D">
        <w:t xml:space="preserve">ления и местами </w:t>
      </w:r>
      <w:r>
        <w:t>трудоустройства, получения образования, совершения покупок, отдыха и медицинского обслуживания. Эти маршруты могут быть прямыми или соединенными через городские или национальные общественные транспортные сети, однако они должны обеспечивать в целом удовлетворительную продолж</w:t>
      </w:r>
      <w:r>
        <w:t>и</w:t>
      </w:r>
      <w:r>
        <w:t xml:space="preserve">тельность поездок. Кроме того, эти маршруты </w:t>
      </w:r>
      <w:r w:rsidR="00CC00D8">
        <w:t>также должны быть адекватными с </w:t>
      </w:r>
      <w:r>
        <w:t xml:space="preserve">точки зрения обеспечиваемых ими вариантов, пропускной способности и </w:t>
      </w:r>
      <w:proofErr w:type="spellStart"/>
      <w:r>
        <w:t>и</w:t>
      </w:r>
      <w:r w:rsidR="00CC00D8">
        <w:t>н</w:t>
      </w:r>
      <w:r>
        <w:t>термодальности</w:t>
      </w:r>
      <w:proofErr w:type="spellEnd"/>
      <w:r>
        <w:t xml:space="preserve">, которые характеризуются, соответственно, количеством видов транспорта в сети, количеством </w:t>
      </w:r>
      <w:proofErr w:type="spellStart"/>
      <w:r>
        <w:t>мультимодальных</w:t>
      </w:r>
      <w:proofErr w:type="spellEnd"/>
      <w:r>
        <w:t xml:space="preserve"> транспортных узлов, в кот</w:t>
      </w:r>
      <w:r>
        <w:t>о</w:t>
      </w:r>
      <w:r>
        <w:t>рых осуществляется их стыковка, числом мест и частотой сообщения. Устойч</w:t>
      </w:r>
      <w:r>
        <w:t>и</w:t>
      </w:r>
      <w:r>
        <w:t>вость доступа предполагает стыковки общественного тра</w:t>
      </w:r>
      <w:r w:rsidR="00CC00D8">
        <w:t xml:space="preserve">нспорта с </w:t>
      </w:r>
      <w:r>
        <w:t>другими в</w:t>
      </w:r>
      <w:r>
        <w:t>и</w:t>
      </w:r>
      <w:r>
        <w:t>дами транспорта, в частности велосипедным и автомобильным, или таким видом перемещения, как передвижение пешком, путем обеспечения специальных маршрутов для получения доступа к станциям и размещенным в их близости парковкам;</w:t>
      </w:r>
    </w:p>
    <w:p w:rsidR="006F1B3F" w:rsidRDefault="006F1B3F" w:rsidP="006F1B3F">
      <w:pPr>
        <w:pStyle w:val="SingleTxt"/>
      </w:pPr>
      <w:r w:rsidRPr="00CC00D8">
        <w:tab/>
      </w:r>
      <w:r>
        <w:t>b)</w:t>
      </w:r>
      <w:r>
        <w:tab/>
        <w:t>высокая надежность: городской общественный транспорт является надежным, если движение осуществляется по расписанию. Время отправления со станции, время остановок и время в пути должно соответствовать графику для обеспечения возможности стыковок;</w:t>
      </w:r>
    </w:p>
    <w:p w:rsidR="006F1B3F" w:rsidRPr="007E2088" w:rsidRDefault="006F1B3F" w:rsidP="006F1B3F">
      <w:pPr>
        <w:pStyle w:val="SingleTxt"/>
      </w:pPr>
      <w:r w:rsidRPr="007E2088">
        <w:tab/>
      </w:r>
      <w:r>
        <w:t>c)</w:t>
      </w:r>
      <w:r>
        <w:tab/>
        <w:t>должный уровень комфорта, безопасности и эстетичности: городской общественный транспорт является удобным, безопасным и привлекательным, е</w:t>
      </w:r>
      <w:r>
        <w:t>с</w:t>
      </w:r>
      <w:r>
        <w:t>ли транспортные средства находятся в надлежащем техническом состоянии, о</w:t>
      </w:r>
      <w:r>
        <w:t>т</w:t>
      </w:r>
      <w:r>
        <w:t>вечают соответствующим требованиям безопасности и гигиены, оснащены об</w:t>
      </w:r>
      <w:r>
        <w:t>о</w:t>
      </w:r>
      <w:r>
        <w:t>рудованием для кондиционирования воздуха и обогрева, защищены от внешнего шума и т.д. Кроме того, инфраструктура станций и остановок должна обеспеч</w:t>
      </w:r>
      <w:r>
        <w:t>и</w:t>
      </w:r>
      <w:r>
        <w:t>вать защиту от неблагоприятных погодных условий и быть отделена от зоны движения в целях предотвращения травматизма и гибели. Предоставление и</w:t>
      </w:r>
      <w:r>
        <w:t>н</w:t>
      </w:r>
      <w:r>
        <w:t>формации в режиме реального времени и осуществление наблюдения в салоне транспортных средств и на станциях посредством интеллектуальных транспор</w:t>
      </w:r>
      <w:r>
        <w:t>т</w:t>
      </w:r>
      <w:r>
        <w:t>ных систем (ИТС) также повышают уровень комфорта и безопасности. Это же относится и к самым разнообразным способам приобретения билетов. Тран</w:t>
      </w:r>
      <w:r>
        <w:t>с</w:t>
      </w:r>
      <w:r>
        <w:t>портные средства, станции и остановки также должны иметь опрятный внешний вид и эстетичное исполнение.</w:t>
      </w:r>
    </w:p>
    <w:p w:rsidR="006F1B3F" w:rsidRPr="007E2088" w:rsidRDefault="006F1B3F" w:rsidP="006F1B3F">
      <w:pPr>
        <w:pStyle w:val="SingleTxt"/>
        <w:spacing w:after="0" w:line="120" w:lineRule="exact"/>
        <w:rPr>
          <w:sz w:val="10"/>
        </w:rPr>
      </w:pPr>
    </w:p>
    <w:p w:rsidR="006F1B3F" w:rsidRPr="007E2088" w:rsidRDefault="006F1B3F" w:rsidP="006F1B3F">
      <w:pPr>
        <w:pStyle w:val="SingleTxt"/>
        <w:spacing w:after="0" w:line="120" w:lineRule="exact"/>
        <w:rPr>
          <w:sz w:val="10"/>
        </w:rPr>
      </w:pPr>
    </w:p>
    <w:p w:rsidR="006F1B3F" w:rsidRPr="007E2088" w:rsidRDefault="006F1B3F" w:rsidP="006F1B3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Некоторые принятые меры</w:t>
      </w:r>
    </w:p>
    <w:p w:rsidR="006F1B3F" w:rsidRPr="007E2088" w:rsidRDefault="006F1B3F" w:rsidP="006F1B3F">
      <w:pPr>
        <w:pStyle w:val="SingleTxt"/>
        <w:spacing w:after="0" w:line="120" w:lineRule="exact"/>
        <w:rPr>
          <w:sz w:val="10"/>
        </w:rPr>
      </w:pPr>
    </w:p>
    <w:p w:rsidR="006F1B3F" w:rsidRPr="007E2088" w:rsidRDefault="006F1B3F" w:rsidP="006F1B3F">
      <w:pPr>
        <w:pStyle w:val="SingleTxt"/>
        <w:spacing w:after="0" w:line="120" w:lineRule="exact"/>
        <w:rPr>
          <w:sz w:val="10"/>
        </w:rPr>
      </w:pPr>
    </w:p>
    <w:p w:rsidR="006F1B3F" w:rsidRPr="007E2088" w:rsidRDefault="006F1B3F" w:rsidP="006F1B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А.</w:t>
      </w:r>
      <w:r>
        <w:tab/>
        <w:t>Общеевропейская программа по транспорту, окружающей среде и охране здоровья (ОПТОСОЗ)</w:t>
      </w:r>
    </w:p>
    <w:p w:rsidR="006F1B3F" w:rsidRPr="007E2088" w:rsidRDefault="006F1B3F" w:rsidP="006F1B3F">
      <w:pPr>
        <w:pStyle w:val="SingleTxt"/>
        <w:spacing w:after="0" w:line="120" w:lineRule="exact"/>
        <w:rPr>
          <w:sz w:val="10"/>
        </w:rPr>
      </w:pPr>
    </w:p>
    <w:p w:rsidR="006F1B3F" w:rsidRPr="007E2088" w:rsidRDefault="006F1B3F" w:rsidP="006F1B3F">
      <w:pPr>
        <w:pStyle w:val="SingleTxt"/>
        <w:spacing w:after="0" w:line="120" w:lineRule="exact"/>
        <w:rPr>
          <w:sz w:val="10"/>
        </w:rPr>
      </w:pPr>
    </w:p>
    <w:p w:rsidR="006F1B3F" w:rsidRDefault="006F1B3F" w:rsidP="006F1B3F">
      <w:pPr>
        <w:pStyle w:val="SingleTxt"/>
      </w:pPr>
      <w:r>
        <w:t>12.</w:t>
      </w:r>
      <w:r>
        <w:tab/>
        <w:t>Общеевропейская программа по транспорту, окружающей среде и охране здоровья (ОПТОСОЗ) призвана преодолеть основные трудности на пути к созд</w:t>
      </w:r>
      <w:r>
        <w:t>а</w:t>
      </w:r>
      <w:r>
        <w:t>нию моделей устойчивого развития транспорта. Благодаря активно действующей сети, объединяющей</w:t>
      </w:r>
      <w:r w:rsidR="0061344F">
        <w:t xml:space="preserve"> ученых, экспертов, государства – </w:t>
      </w:r>
      <w:r>
        <w:t>члены ЕЭК ООН и ВОЗ, ОПТОСОЗ в равной мере привлекает представителей всех трех секторов к обм</w:t>
      </w:r>
      <w:r>
        <w:t>е</w:t>
      </w:r>
      <w:r>
        <w:t>ну передовым опытом в области развития устойчивого и благоприятного для зд</w:t>
      </w:r>
      <w:r>
        <w:t>о</w:t>
      </w:r>
      <w:r>
        <w:t>ровья транспорта и мобильности, особенно в городских районах.</w:t>
      </w:r>
    </w:p>
    <w:p w:rsidR="006F1B3F" w:rsidRDefault="006F1B3F" w:rsidP="006F1B3F">
      <w:pPr>
        <w:pStyle w:val="SingleTxt"/>
      </w:pPr>
      <w:r>
        <w:t>13.</w:t>
      </w:r>
      <w:r>
        <w:tab/>
        <w:t>14−16 апреля в Париже по приглашению правительства Франции и под эг</w:t>
      </w:r>
      <w:r>
        <w:t>и</w:t>
      </w:r>
      <w:r>
        <w:t>дой ОПТОСОЗ состоялось четвертое Совещание высокого уровня по транспорту, окружающей среде и охране здоровья (4СВУ). 4СВУ приняло Парижскую декл</w:t>
      </w:r>
      <w:r>
        <w:t>а</w:t>
      </w:r>
      <w:r>
        <w:t>рацию, которая включает следующие приоритетные цели:</w:t>
      </w:r>
    </w:p>
    <w:p w:rsidR="006F1B3F" w:rsidRDefault="006F1B3F" w:rsidP="006F1B3F">
      <w:pPr>
        <w:pStyle w:val="SingleTxt"/>
      </w:pPr>
      <w:r>
        <w:rPr>
          <w:lang w:val="en-US"/>
        </w:rPr>
        <w:tab/>
      </w:r>
      <w:r>
        <w:t>а)</w:t>
      </w:r>
      <w:r>
        <w:tab/>
        <w:t>приоритетная цель 1: содействовать устойчивому экономическому ра</w:t>
      </w:r>
      <w:r>
        <w:t>з</w:t>
      </w:r>
      <w:r>
        <w:t>витию и созданию новых рабочих мест путем инвестиций в транспорт, благопр</w:t>
      </w:r>
      <w:r>
        <w:t>и</w:t>
      </w:r>
      <w:r>
        <w:t>ятный для окружающей среды и здоровья;</w:t>
      </w:r>
    </w:p>
    <w:p w:rsidR="006F1B3F" w:rsidRDefault="006F1B3F" w:rsidP="006F1B3F">
      <w:pPr>
        <w:pStyle w:val="SingleTxt"/>
      </w:pPr>
      <w:r w:rsidRPr="007E2088">
        <w:tab/>
      </w:r>
      <w:r>
        <w:t>b)</w:t>
      </w:r>
      <w:r>
        <w:tab/>
        <w:t>приоритетная цель 2: обеспечивать экологически устойчивую мобил</w:t>
      </w:r>
      <w:r>
        <w:t>ь</w:t>
      </w:r>
      <w:r>
        <w:t>ность и содействовать развитию более эффективных транспортных систем;</w:t>
      </w:r>
    </w:p>
    <w:p w:rsidR="006F1B3F" w:rsidRDefault="006F1B3F" w:rsidP="006F1B3F">
      <w:pPr>
        <w:pStyle w:val="SingleTxt"/>
      </w:pPr>
      <w:r w:rsidRPr="007E2088">
        <w:tab/>
      </w:r>
      <w:r>
        <w:t>с)</w:t>
      </w:r>
      <w:r>
        <w:tab/>
        <w:t>приоритетная цель 3: снижать выбросы парниковых газов и атмосфе</w:t>
      </w:r>
      <w:r>
        <w:t>р</w:t>
      </w:r>
      <w:r>
        <w:t>ных загрязнителей транспортного происхождения, а также уровни транспортного шума;</w:t>
      </w:r>
    </w:p>
    <w:p w:rsidR="006F1B3F" w:rsidRDefault="006F1B3F" w:rsidP="006F1B3F">
      <w:pPr>
        <w:pStyle w:val="SingleTxt"/>
      </w:pPr>
      <w:r w:rsidRPr="007E2088">
        <w:tab/>
      </w:r>
      <w:r>
        <w:t>d)</w:t>
      </w:r>
      <w:r>
        <w:tab/>
        <w:t>приоритетная цель 4: содействовать внедрению стратегий и реализ</w:t>
      </w:r>
      <w:r>
        <w:t>а</w:t>
      </w:r>
      <w:r>
        <w:t>ции мер, направленных на обеспечение здорового и безопасного транспорта;</w:t>
      </w:r>
    </w:p>
    <w:p w:rsidR="006F1B3F" w:rsidRPr="007E2088" w:rsidRDefault="006F1B3F" w:rsidP="006F1B3F">
      <w:pPr>
        <w:pStyle w:val="SingleTxt"/>
      </w:pPr>
      <w:r w:rsidRPr="007E2088">
        <w:tab/>
      </w:r>
      <w:r>
        <w:t>e)</w:t>
      </w:r>
      <w:r>
        <w:tab/>
        <w:t>приоритетная цель 5: интегрировать цели в областях транспорта, охр</w:t>
      </w:r>
      <w:r>
        <w:t>а</w:t>
      </w:r>
      <w:r>
        <w:t>ны здоровья и окружающей среды в политику городского развития и территор</w:t>
      </w:r>
      <w:r>
        <w:t>и</w:t>
      </w:r>
      <w:r>
        <w:t>ально-пространственного планирования.</w:t>
      </w:r>
    </w:p>
    <w:p w:rsidR="006F1B3F" w:rsidRPr="007E2088" w:rsidRDefault="006F1B3F" w:rsidP="006F1B3F">
      <w:pPr>
        <w:pStyle w:val="SingleTxt"/>
        <w:spacing w:after="0" w:line="120" w:lineRule="exact"/>
        <w:rPr>
          <w:sz w:val="10"/>
        </w:rPr>
      </w:pPr>
    </w:p>
    <w:p w:rsidR="006F1B3F" w:rsidRPr="007E2088" w:rsidRDefault="006F1B3F" w:rsidP="006F1B3F">
      <w:pPr>
        <w:pStyle w:val="SingleTxt"/>
        <w:spacing w:after="0" w:line="120" w:lineRule="exact"/>
        <w:rPr>
          <w:sz w:val="10"/>
        </w:rPr>
      </w:pPr>
    </w:p>
    <w:p w:rsidR="006F1B3F" w:rsidRPr="007E2088" w:rsidRDefault="006F1B3F" w:rsidP="006F1B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Европейская комиссия</w:t>
      </w:r>
    </w:p>
    <w:p w:rsidR="006F1B3F" w:rsidRPr="007E2088" w:rsidRDefault="006F1B3F" w:rsidP="006F1B3F">
      <w:pPr>
        <w:pStyle w:val="SingleTxt"/>
        <w:spacing w:after="0" w:line="120" w:lineRule="exact"/>
        <w:rPr>
          <w:sz w:val="10"/>
        </w:rPr>
      </w:pPr>
    </w:p>
    <w:p w:rsidR="006F1B3F" w:rsidRPr="007E2088" w:rsidRDefault="006F1B3F" w:rsidP="006F1B3F">
      <w:pPr>
        <w:pStyle w:val="SingleTxt"/>
        <w:spacing w:after="0" w:line="120" w:lineRule="exact"/>
        <w:rPr>
          <w:sz w:val="10"/>
        </w:rPr>
      </w:pPr>
    </w:p>
    <w:p w:rsidR="006F1B3F" w:rsidRDefault="006F1B3F" w:rsidP="006F1B3F">
      <w:pPr>
        <w:pStyle w:val="SingleTxt"/>
      </w:pPr>
      <w:r>
        <w:t>14.</w:t>
      </w:r>
      <w:r>
        <w:tab/>
        <w:t>30 сентября 2009 года Европейская комиссия приняла План действий по развитию городской мобильности, являющийся на сегодняшний день целостной основой для 20 конкретных мер на уровне ЕС, которые могут быть реализованы Европейской комиссией в предстоящие годы в рамках существующих инструме</w:t>
      </w:r>
      <w:r>
        <w:t>н</w:t>
      </w:r>
      <w:r>
        <w:t>тов и инициатив. Все эти меры направлены на поддержку и содействие усилиям на местном уровне и не предписывают универсальных или централизованных решений.</w:t>
      </w:r>
    </w:p>
    <w:p w:rsidR="006F1B3F" w:rsidRDefault="006F1B3F" w:rsidP="006F1B3F">
      <w:pPr>
        <w:pStyle w:val="SingleTxt"/>
      </w:pPr>
      <w:r w:rsidRPr="007E2088">
        <w:tab/>
      </w:r>
      <w:r>
        <w:t>a)</w:t>
      </w:r>
      <w:r>
        <w:tab/>
        <w:t xml:space="preserve">Мера 1 </w:t>
      </w:r>
      <w:r w:rsidRPr="006F1B3F">
        <w:t>–</w:t>
      </w:r>
      <w:r>
        <w:t xml:space="preserve"> Ускорение перехода к реализации планов устойчивой горо</w:t>
      </w:r>
      <w:r>
        <w:t>д</w:t>
      </w:r>
      <w:r>
        <w:t>ской мобильности: Комиссия будет оказывать поддержку местным органам вл</w:t>
      </w:r>
      <w:r>
        <w:t>а</w:t>
      </w:r>
      <w:r>
        <w:t>сти в разработке планов устойчивой городской мобильности, охватывающих гр</w:t>
      </w:r>
      <w:r>
        <w:t>у</w:t>
      </w:r>
      <w:r>
        <w:t>зовые и пассажирские перевозки в городских и пригородных районах.</w:t>
      </w:r>
    </w:p>
    <w:p w:rsidR="006F1B3F" w:rsidRDefault="00CC00D8" w:rsidP="006F1B3F">
      <w:pPr>
        <w:pStyle w:val="SingleTxt"/>
      </w:pPr>
      <w:r w:rsidRPr="007E2088">
        <w:tab/>
      </w:r>
      <w:proofErr w:type="gramStart"/>
      <w:r>
        <w:t>b)</w:t>
      </w:r>
      <w:r>
        <w:tab/>
        <w:t xml:space="preserve">Мера 2 </w:t>
      </w:r>
      <w:r w:rsidRPr="00CC00D8">
        <w:t>–</w:t>
      </w:r>
      <w:r w:rsidR="006F1B3F">
        <w:t xml:space="preserve"> Устойчивая городская мобильность и региональная политика: для повышения осведомленности о финансировании, которое может быть пол</w:t>
      </w:r>
      <w:r w:rsidR="006F1B3F">
        <w:t>у</w:t>
      </w:r>
      <w:r w:rsidR="006F1B3F">
        <w:t>чено по линии структурных фондов и фондов конвергенции, а также Европейск</w:t>
      </w:r>
      <w:r w:rsidR="006F1B3F">
        <w:t>о</w:t>
      </w:r>
      <w:r w:rsidR="006F1B3F">
        <w:t>го инвестиционного банка, Комиссия планирует подготовить информацию о св</w:t>
      </w:r>
      <w:r w:rsidR="006F1B3F">
        <w:t>я</w:t>
      </w:r>
      <w:r w:rsidR="006F1B3F">
        <w:t>зи между мерами по развитию устойчивой городской мобильности и целями р</w:t>
      </w:r>
      <w:r w:rsidR="006F1B3F">
        <w:t>е</w:t>
      </w:r>
      <w:r w:rsidR="006F1B3F">
        <w:t>гиональной политики в контексте рамочных условий, существующих на уровне Сообщества и на национальном уровне.</w:t>
      </w:r>
      <w:proofErr w:type="gramEnd"/>
    </w:p>
    <w:p w:rsidR="006F1B3F" w:rsidRDefault="00CC00D8" w:rsidP="006F1B3F">
      <w:pPr>
        <w:pStyle w:val="SingleTxt"/>
      </w:pPr>
      <w:r w:rsidRPr="007E2088">
        <w:tab/>
      </w:r>
      <w:r>
        <w:t>c)</w:t>
      </w:r>
      <w:r>
        <w:tab/>
        <w:t xml:space="preserve">Мера 3 </w:t>
      </w:r>
      <w:r w:rsidRPr="00CC00D8">
        <w:t>–</w:t>
      </w:r>
      <w:r w:rsidR="006F1B3F">
        <w:t xml:space="preserve"> Транспорт для здоровой городской среды: устойчивый горо</w:t>
      </w:r>
      <w:r w:rsidR="006F1B3F">
        <w:t>д</w:t>
      </w:r>
      <w:r w:rsidR="006F1B3F">
        <w:t xml:space="preserve">ской транспорт может играть определенную роль в создании благоприятной для здоровья окружающей среды и способствовать уменьшению распространенности неинфекционных заболеваний, в частности болезней органов дыхания и </w:t>
      </w:r>
      <w:proofErr w:type="gramStart"/>
      <w:r w:rsidR="006F1B3F">
        <w:t>серде</w:t>
      </w:r>
      <w:r w:rsidR="006F1B3F">
        <w:t>ч</w:t>
      </w:r>
      <w:r w:rsidR="006F1B3F">
        <w:t>но-сосудистых</w:t>
      </w:r>
      <w:proofErr w:type="gramEnd"/>
      <w:r w:rsidR="006F1B3F">
        <w:t xml:space="preserve"> заболеваний, а также предотвращению травматизма.</w:t>
      </w:r>
    </w:p>
    <w:p w:rsidR="006F1B3F" w:rsidRDefault="00CC00D8" w:rsidP="006F1B3F">
      <w:pPr>
        <w:pStyle w:val="SingleTxt"/>
      </w:pPr>
      <w:r w:rsidRPr="007E2088">
        <w:tab/>
      </w:r>
      <w:r>
        <w:t>d)</w:t>
      </w:r>
      <w:r>
        <w:tab/>
        <w:t xml:space="preserve">Мера 4 </w:t>
      </w:r>
      <w:r w:rsidRPr="00CC00D8">
        <w:t>–</w:t>
      </w:r>
      <w:r w:rsidR="006F1B3F">
        <w:t xml:space="preserve"> Форум для обсуждения прав пассажиров городского общ</w:t>
      </w:r>
      <w:r w:rsidR="006F1B3F">
        <w:t>е</w:t>
      </w:r>
      <w:r w:rsidR="006F1B3F">
        <w:t>ственного транспорта: Комиссия будет налаживать диалог с заинтересованными сторонами, включая организации, представляющие транспортных операторов, органы власти, персонал и группы пользователей, для выявления передовой практики и условий на уровне ЕС в целях укрепления прав пассажиров городск</w:t>
      </w:r>
      <w:r w:rsidR="006F1B3F">
        <w:t>о</w:t>
      </w:r>
      <w:r w:rsidR="006F1B3F">
        <w:t>го общественного транспорта.</w:t>
      </w:r>
    </w:p>
    <w:p w:rsidR="006F1B3F" w:rsidRDefault="00CC00D8" w:rsidP="006F1B3F">
      <w:pPr>
        <w:pStyle w:val="SingleTxt"/>
      </w:pPr>
      <w:r w:rsidRPr="007E2088">
        <w:tab/>
      </w:r>
      <w:r>
        <w:t>e)</w:t>
      </w:r>
      <w:r>
        <w:tab/>
        <w:t xml:space="preserve">Мера 5 </w:t>
      </w:r>
      <w:r w:rsidRPr="00CC00D8">
        <w:t>–</w:t>
      </w:r>
      <w:r w:rsidR="006F1B3F">
        <w:t xml:space="preserve"> Расширение доступности для лиц с ограниченной мобильн</w:t>
      </w:r>
      <w:r w:rsidR="006F1B3F">
        <w:t>о</w:t>
      </w:r>
      <w:r w:rsidR="006F1B3F">
        <w:t>стью: инвалиды имеют право пользоваться городским транспортом на равных условиях с остальным населением, однако в действительности доступ для них зачастую является недостаточным, а иногда вообще отсутствует.</w:t>
      </w:r>
    </w:p>
    <w:p w:rsidR="006F1B3F" w:rsidRDefault="00CC00D8" w:rsidP="006F1B3F">
      <w:pPr>
        <w:pStyle w:val="SingleTxt"/>
      </w:pPr>
      <w:r w:rsidRPr="007E2088">
        <w:tab/>
      </w:r>
      <w:r>
        <w:t>f)</w:t>
      </w:r>
      <w:r>
        <w:tab/>
        <w:t xml:space="preserve">Мера 6 </w:t>
      </w:r>
      <w:r w:rsidRPr="00CC00D8">
        <w:t>–</w:t>
      </w:r>
      <w:r w:rsidR="006F1B3F">
        <w:t xml:space="preserve"> Более эффективное предоставление информации о тран</w:t>
      </w:r>
      <w:r w:rsidR="006F1B3F">
        <w:t>с</w:t>
      </w:r>
      <w:r w:rsidR="006F1B3F">
        <w:t>портном сообщении: Комиссия будет сотрудничать с операторами общественного транспорта и органами власти для содействия предоставлению информации о транспортном сообщении, включая информацию, необходимую пассажирам-инвалидам, при помощи различных средств.</w:t>
      </w:r>
    </w:p>
    <w:p w:rsidR="006F1B3F" w:rsidRDefault="00CC00D8" w:rsidP="006F1B3F">
      <w:pPr>
        <w:pStyle w:val="SingleTxt"/>
      </w:pPr>
      <w:r w:rsidRPr="007E2088">
        <w:tab/>
      </w:r>
      <w:r>
        <w:t>g)</w:t>
      </w:r>
      <w:r>
        <w:tab/>
        <w:t xml:space="preserve">Мера 7 </w:t>
      </w:r>
      <w:r w:rsidRPr="00CC00D8">
        <w:t>–</w:t>
      </w:r>
      <w:r>
        <w:t xml:space="preserve"> Доступ к «зеленым»</w:t>
      </w:r>
      <w:r w:rsidR="006F1B3F">
        <w:t xml:space="preserve"> зонам: Комиссия начнет исследование, касающееся различных п</w:t>
      </w:r>
      <w:r>
        <w:t>равил доступа для разных типов «зеленых»</w:t>
      </w:r>
      <w:r w:rsidR="006F1B3F">
        <w:t xml:space="preserve"> зон на те</w:t>
      </w:r>
      <w:r w:rsidR="006F1B3F">
        <w:t>р</w:t>
      </w:r>
      <w:r w:rsidR="006F1B3F">
        <w:t>ритории ЕС с целью получения дополнительной информации о функциониров</w:t>
      </w:r>
      <w:r w:rsidR="006F1B3F">
        <w:t>а</w:t>
      </w:r>
      <w:r w:rsidR="006F1B3F">
        <w:t>нии различных систем на практике.</w:t>
      </w:r>
    </w:p>
    <w:p w:rsidR="006F1B3F" w:rsidRDefault="00CC00D8" w:rsidP="006F1B3F">
      <w:pPr>
        <w:pStyle w:val="SingleTxt"/>
      </w:pPr>
      <w:r w:rsidRPr="00CC00D8">
        <w:tab/>
      </w:r>
      <w:r>
        <w:t>h)</w:t>
      </w:r>
      <w:r>
        <w:tab/>
        <w:t xml:space="preserve">Мера 8 </w:t>
      </w:r>
      <w:r w:rsidRPr="00CC00D8">
        <w:t>–</w:t>
      </w:r>
      <w:r w:rsidR="006F1B3F">
        <w:t xml:space="preserve"> Кампании по устойчивой мобильности: просветительные и информационно-пропагандистские кампании играют важную роль в деле форм</w:t>
      </w:r>
      <w:r w:rsidR="006F1B3F">
        <w:t>и</w:t>
      </w:r>
      <w:r w:rsidR="006F1B3F">
        <w:t>рования новой культуры городской мобильности.</w:t>
      </w:r>
    </w:p>
    <w:p w:rsidR="006F1B3F" w:rsidRDefault="00CC00D8" w:rsidP="006F1B3F">
      <w:pPr>
        <w:pStyle w:val="SingleTxt"/>
      </w:pPr>
      <w:r w:rsidRPr="007E2088">
        <w:tab/>
      </w:r>
      <w:r>
        <w:t>i)</w:t>
      </w:r>
      <w:r>
        <w:tab/>
        <w:t xml:space="preserve">Мера 9 </w:t>
      </w:r>
      <w:r w:rsidRPr="00CC00D8">
        <w:t>–</w:t>
      </w:r>
      <w:r w:rsidR="006F1B3F">
        <w:t xml:space="preserve"> </w:t>
      </w:r>
      <w:proofErr w:type="spellStart"/>
      <w:r w:rsidR="006F1B3F">
        <w:t>Энергоэффективное</w:t>
      </w:r>
      <w:proofErr w:type="spellEnd"/>
      <w:r w:rsidR="006F1B3F">
        <w:t xml:space="preserve"> вождение как аспект подготовки водит</w:t>
      </w:r>
      <w:r w:rsidR="006F1B3F">
        <w:t>е</w:t>
      </w:r>
      <w:r w:rsidR="006F1B3F">
        <w:t xml:space="preserve">лей: </w:t>
      </w:r>
      <w:proofErr w:type="spellStart"/>
      <w:r w:rsidR="006F1B3F">
        <w:t>энергоэффективное</w:t>
      </w:r>
      <w:proofErr w:type="spellEnd"/>
      <w:r w:rsidR="006F1B3F">
        <w:t xml:space="preserve"> вождение уже является обязательной частью подготовки и аттестации профессиональных водителей.</w:t>
      </w:r>
    </w:p>
    <w:p w:rsidR="006F1B3F" w:rsidRDefault="00CC00D8" w:rsidP="006F1B3F">
      <w:pPr>
        <w:pStyle w:val="SingleTxt"/>
      </w:pPr>
      <w:r w:rsidRPr="007E2088">
        <w:tab/>
      </w:r>
      <w:r>
        <w:t>j)</w:t>
      </w:r>
      <w:r>
        <w:tab/>
        <w:t xml:space="preserve">Мера 10 </w:t>
      </w:r>
      <w:r w:rsidRPr="00CC00D8">
        <w:t>–</w:t>
      </w:r>
      <w:r w:rsidR="006F1B3F">
        <w:t xml:space="preserve"> Исследовательские и демонстрационные проекты, связа</w:t>
      </w:r>
      <w:r w:rsidR="006F1B3F">
        <w:t>н</w:t>
      </w:r>
      <w:r w:rsidR="006F1B3F">
        <w:t>ные с транспортными средствами с более низким и нулевым уровнем выбросов: Комиссия будет и впредь оказывать поддержку в связи с исследовательскими и демонстрационными проектами, реализация которых осуществляется за счет средств Седьмой рамочной программы финансирования научных исследований и технических разработок (РП</w:t>
      </w:r>
      <w:proofErr w:type="gramStart"/>
      <w:r w:rsidR="006F1B3F">
        <w:t>7</w:t>
      </w:r>
      <w:proofErr w:type="gramEnd"/>
      <w:r w:rsidR="006F1B3F">
        <w:t>), для содействия внедрению на рынок транспор</w:t>
      </w:r>
      <w:r w:rsidR="006F1B3F">
        <w:t>т</w:t>
      </w:r>
      <w:r w:rsidR="006F1B3F">
        <w:t>ных средств с более низким и нулевым уровнем выбросов и альтернативных в</w:t>
      </w:r>
      <w:r w:rsidR="006F1B3F">
        <w:t>и</w:t>
      </w:r>
      <w:r w:rsidR="006F1B3F">
        <w:t>дов топлива в целях уменьшения зависимости от ископаемых видов топлива.</w:t>
      </w:r>
    </w:p>
    <w:p w:rsidR="006F1B3F" w:rsidRDefault="00CC00D8" w:rsidP="006F1B3F">
      <w:pPr>
        <w:pStyle w:val="SingleTxt"/>
      </w:pPr>
      <w:r w:rsidRPr="007E2088">
        <w:tab/>
      </w:r>
      <w:r>
        <w:t>k)</w:t>
      </w:r>
      <w:r>
        <w:tab/>
        <w:t xml:space="preserve">Мера 11 </w:t>
      </w:r>
      <w:r w:rsidRPr="00CC00D8">
        <w:t>–</w:t>
      </w:r>
      <w:r w:rsidR="006F1B3F">
        <w:t xml:space="preserve"> Разработка онлайнового руководства по </w:t>
      </w:r>
      <w:proofErr w:type="spellStart"/>
      <w:r w:rsidR="006F1B3F">
        <w:t>экологичным</w:t>
      </w:r>
      <w:proofErr w:type="spellEnd"/>
      <w:r w:rsidR="006F1B3F">
        <w:t xml:space="preserve"> и </w:t>
      </w:r>
      <w:proofErr w:type="spellStart"/>
      <w:r w:rsidR="006F1B3F">
        <w:t>энергоэффективным</w:t>
      </w:r>
      <w:proofErr w:type="spellEnd"/>
      <w:r w:rsidR="006F1B3F">
        <w:t xml:space="preserve"> транспортным средствам: Комиссия будет продолжать ра</w:t>
      </w:r>
      <w:r w:rsidR="006F1B3F">
        <w:t>з</w:t>
      </w:r>
      <w:r w:rsidR="006F1B3F">
        <w:t xml:space="preserve">работку онлайнового руководства по </w:t>
      </w:r>
      <w:proofErr w:type="spellStart"/>
      <w:r w:rsidR="006F1B3F">
        <w:t>экологичным</w:t>
      </w:r>
      <w:proofErr w:type="spellEnd"/>
      <w:r w:rsidR="006F1B3F">
        <w:t xml:space="preserve"> и </w:t>
      </w:r>
      <w:proofErr w:type="spellStart"/>
      <w:r w:rsidR="006F1B3F">
        <w:t>энергоэффективным</w:t>
      </w:r>
      <w:proofErr w:type="spellEnd"/>
      <w:r w:rsidR="006F1B3F">
        <w:t xml:space="preserve"> тран</w:t>
      </w:r>
      <w:r w:rsidR="006F1B3F">
        <w:t>с</w:t>
      </w:r>
      <w:r w:rsidR="006F1B3F">
        <w:t>портным средствам, включающего обзор состояния рынка, применимого закон</w:t>
      </w:r>
      <w:r w:rsidR="006F1B3F">
        <w:t>о</w:t>
      </w:r>
      <w:r w:rsidR="006F1B3F">
        <w:t>дательства и информацию о программах поддержки.</w:t>
      </w:r>
    </w:p>
    <w:p w:rsidR="006F1B3F" w:rsidRDefault="00CC00D8" w:rsidP="006F1B3F">
      <w:pPr>
        <w:pStyle w:val="SingleTxt"/>
      </w:pPr>
      <w:r w:rsidRPr="007E2088">
        <w:tab/>
      </w:r>
      <w:r>
        <w:t>l)</w:t>
      </w:r>
      <w:r>
        <w:tab/>
        <w:t xml:space="preserve">Мера 12 </w:t>
      </w:r>
      <w:r w:rsidRPr="00CC00D8">
        <w:t>–</w:t>
      </w:r>
      <w:r w:rsidR="006F1B3F">
        <w:t xml:space="preserve"> Изучение урбанистических аспектов </w:t>
      </w:r>
      <w:proofErr w:type="spellStart"/>
      <w:r w:rsidR="006F1B3F">
        <w:t>интернализации</w:t>
      </w:r>
      <w:proofErr w:type="spellEnd"/>
      <w:r w:rsidR="006F1B3F">
        <w:t xml:space="preserve"> вне</w:t>
      </w:r>
      <w:r w:rsidR="006F1B3F">
        <w:t>ш</w:t>
      </w:r>
      <w:r w:rsidR="006F1B3F">
        <w:t>них издержек: Комиссия проведет методологическое исследование урбанистич</w:t>
      </w:r>
      <w:r w:rsidR="006F1B3F">
        <w:t>е</w:t>
      </w:r>
      <w:r w:rsidR="006F1B3F">
        <w:t xml:space="preserve">ских аспектов </w:t>
      </w:r>
      <w:proofErr w:type="gramStart"/>
      <w:r w:rsidR="006F1B3F">
        <w:t>такой</w:t>
      </w:r>
      <w:proofErr w:type="gramEnd"/>
      <w:r w:rsidR="006F1B3F">
        <w:t xml:space="preserve"> </w:t>
      </w:r>
      <w:proofErr w:type="spellStart"/>
      <w:r w:rsidR="006F1B3F">
        <w:t>интернализации</w:t>
      </w:r>
      <w:proofErr w:type="spellEnd"/>
      <w:r w:rsidR="006F1B3F">
        <w:t>. Исследование будет охватывать вопросы эффективности и действенности различных ценовых решений, включая такие практические вопросы, как общественная приемлемость, социальные после</w:t>
      </w:r>
      <w:r w:rsidR="006F1B3F">
        <w:t>д</w:t>
      </w:r>
      <w:r w:rsidR="006F1B3F">
        <w:t>ствия, возмещение расходов, доступность средств ИТС (интеллектуальных транспортных систем) и эффективное сочетание стратегий тарификации в горо</w:t>
      </w:r>
      <w:r w:rsidR="006F1B3F">
        <w:t>д</w:t>
      </w:r>
      <w:r w:rsidR="006F1B3F">
        <w:t>ских районах и других механизмов</w:t>
      </w:r>
      <w:r w:rsidR="008106B4">
        <w:t>, обеспечивающих существование «зеленых»</w:t>
      </w:r>
      <w:r w:rsidR="006F1B3F">
        <w:t xml:space="preserve"> зон.</w:t>
      </w:r>
    </w:p>
    <w:p w:rsidR="006F1B3F" w:rsidRDefault="00CC00D8" w:rsidP="006F1B3F">
      <w:pPr>
        <w:pStyle w:val="SingleTxt"/>
      </w:pPr>
      <w:r w:rsidRPr="008106B4">
        <w:tab/>
      </w:r>
      <w:r w:rsidR="006F1B3F">
        <w:t>m</w:t>
      </w:r>
      <w:r>
        <w:t>)</w:t>
      </w:r>
      <w:r>
        <w:tab/>
        <w:t xml:space="preserve">Мера 13 </w:t>
      </w:r>
      <w:r w:rsidRPr="00CC00D8">
        <w:t>–</w:t>
      </w:r>
      <w:r w:rsidR="006F1B3F">
        <w:t xml:space="preserve"> Обмен информацией о механизмах тарификации для горо</w:t>
      </w:r>
      <w:r w:rsidR="006F1B3F">
        <w:t>д</w:t>
      </w:r>
      <w:r w:rsidR="006F1B3F">
        <w:t>ских районов: Комиссия будет содействовать обмену информацией между эк</w:t>
      </w:r>
      <w:r w:rsidR="006F1B3F">
        <w:t>с</w:t>
      </w:r>
      <w:r w:rsidR="006F1B3F">
        <w:t>пертами и директивными органами по вопросу о механизмах тарификации для городских районов в странах ЕС.</w:t>
      </w:r>
    </w:p>
    <w:p w:rsidR="006F1B3F" w:rsidRDefault="00CC00D8" w:rsidP="006F1B3F">
      <w:pPr>
        <w:pStyle w:val="SingleTxt"/>
      </w:pPr>
      <w:r w:rsidRPr="007E2088">
        <w:tab/>
      </w:r>
      <w:r>
        <w:t>n)</w:t>
      </w:r>
      <w:r>
        <w:tab/>
        <w:t xml:space="preserve">Мера 14 </w:t>
      </w:r>
      <w:r w:rsidRPr="00CC00D8">
        <w:t>–</w:t>
      </w:r>
      <w:r w:rsidR="006F1B3F">
        <w:t xml:space="preserve"> Оптимизация существующих источников финансирования: структурные фонды и фонды конвергенции, из которых на текущий финансовый период на цели повышения </w:t>
      </w:r>
      <w:proofErr w:type="spellStart"/>
      <w:r w:rsidR="006F1B3F">
        <w:t>экологичности</w:t>
      </w:r>
      <w:proofErr w:type="spellEnd"/>
      <w:r w:rsidR="006F1B3F">
        <w:t xml:space="preserve"> городского транспорта выделено свыше 8 млрд. евро, являются чрезвычайно важным источником средств на уровне ЕС для осуществления инвестиционной деятельности, связанной с разв</w:t>
      </w:r>
      <w:r w:rsidR="006F1B3F">
        <w:t>и</w:t>
      </w:r>
      <w:r w:rsidR="006F1B3F">
        <w:t>тием инфраструктуры и подвижного состава.</w:t>
      </w:r>
    </w:p>
    <w:p w:rsidR="006F1B3F" w:rsidRDefault="00CC00D8" w:rsidP="006F1B3F">
      <w:pPr>
        <w:pStyle w:val="SingleTxt"/>
      </w:pPr>
      <w:r w:rsidRPr="007E2088">
        <w:tab/>
      </w:r>
      <w:r>
        <w:t>o)</w:t>
      </w:r>
      <w:r>
        <w:tab/>
        <w:t xml:space="preserve">Мера 15 </w:t>
      </w:r>
      <w:r w:rsidRPr="00CC00D8">
        <w:t>–</w:t>
      </w:r>
      <w:r w:rsidR="006F1B3F">
        <w:t xml:space="preserve"> Анализ будущих потребностей в финансировании: Комиссия будет продолжать оказывать финансовую поддержку в связи с успешной реал</w:t>
      </w:r>
      <w:r w:rsidR="006F1B3F">
        <w:t>и</w:t>
      </w:r>
      <w:r w:rsidR="006F1B3F">
        <w:t>зацией инициативы СИВИТАС в период после завершения проектов третьего п</w:t>
      </w:r>
      <w:r w:rsidR="006F1B3F">
        <w:t>о</w:t>
      </w:r>
      <w:r w:rsidR="006F1B3F">
        <w:t>коления, осуществление которых началось в 2008 году.</w:t>
      </w:r>
    </w:p>
    <w:p w:rsidR="006F1B3F" w:rsidRDefault="00CC00D8" w:rsidP="006F1B3F">
      <w:pPr>
        <w:pStyle w:val="SingleTxt"/>
      </w:pPr>
      <w:r w:rsidRPr="007E2088">
        <w:tab/>
      </w:r>
      <w:r>
        <w:t>p)</w:t>
      </w:r>
      <w:r>
        <w:tab/>
        <w:t xml:space="preserve">Мера 16 </w:t>
      </w:r>
      <w:r w:rsidRPr="00CC00D8">
        <w:t>–</w:t>
      </w:r>
      <w:r w:rsidR="006F1B3F">
        <w:t xml:space="preserve"> Обновление данных и статистической информации: для р</w:t>
      </w:r>
      <w:r w:rsidR="006F1B3F">
        <w:t>е</w:t>
      </w:r>
      <w:r w:rsidR="006F1B3F">
        <w:t>шения проблемы нехватки данных и статистической информации Комиссия пр</w:t>
      </w:r>
      <w:r w:rsidR="006F1B3F">
        <w:t>о</w:t>
      </w:r>
      <w:r w:rsidR="006F1B3F">
        <w:t>ведет исследование методов совершенствования сбора данных, касающихся г</w:t>
      </w:r>
      <w:r w:rsidR="006F1B3F">
        <w:t>о</w:t>
      </w:r>
      <w:r w:rsidR="006F1B3F">
        <w:t>родского транспорта и мобильности.</w:t>
      </w:r>
    </w:p>
    <w:p w:rsidR="006F1B3F" w:rsidRDefault="00CC00D8" w:rsidP="006F1B3F">
      <w:pPr>
        <w:pStyle w:val="SingleTxt"/>
      </w:pPr>
      <w:r w:rsidRPr="007E2088">
        <w:tab/>
      </w:r>
      <w:r>
        <w:t>q)</w:t>
      </w:r>
      <w:r>
        <w:tab/>
        <w:t xml:space="preserve">Мера 17 </w:t>
      </w:r>
      <w:r w:rsidRPr="00CC00D8">
        <w:t>–</w:t>
      </w:r>
      <w:r w:rsidR="006F1B3F">
        <w:t xml:space="preserve"> Создание центра по наблюдению за состоянием городской мобильности: Комиссия создаст центр по наблюдению за состоянием городской мобильности для практикующих специалистов в области городского транспорта; этот центр будет представлять собой виртуальную платформу для обмена свед</w:t>
      </w:r>
      <w:r w:rsidR="006F1B3F">
        <w:t>е</w:t>
      </w:r>
      <w:r w:rsidR="006F1B3F">
        <w:t>ниями, данными и статистической информацией, наблюдения за развитием соб</w:t>
      </w:r>
      <w:r w:rsidR="006F1B3F">
        <w:t>ы</w:t>
      </w:r>
      <w:r w:rsidR="006F1B3F">
        <w:t>тий и содействия обмену передовым опытом.</w:t>
      </w:r>
    </w:p>
    <w:p w:rsidR="006F1B3F" w:rsidRDefault="00CC00D8" w:rsidP="006F1B3F">
      <w:pPr>
        <w:pStyle w:val="SingleTxt"/>
      </w:pPr>
      <w:r w:rsidRPr="007E2088">
        <w:tab/>
      </w:r>
      <w:r>
        <w:t>r)</w:t>
      </w:r>
      <w:r>
        <w:tab/>
        <w:t xml:space="preserve">Мера 18 </w:t>
      </w:r>
      <w:r w:rsidRPr="00CC00D8">
        <w:t>–</w:t>
      </w:r>
      <w:r w:rsidR="006F1B3F">
        <w:t xml:space="preserve"> Вклад в международный диалог и обмен информацией: местным и региональным органам власти по всему миру приходится решать сх</w:t>
      </w:r>
      <w:r w:rsidR="006F1B3F">
        <w:t>о</w:t>
      </w:r>
      <w:r w:rsidR="006F1B3F">
        <w:t>жие проблемы в сфере мобильности. Глобальную значимость приобрели такие вопросы, как преодоление последствий изменения климата, содействие межд</w:t>
      </w:r>
      <w:r w:rsidR="006F1B3F">
        <w:t>у</w:t>
      </w:r>
      <w:r w:rsidR="006F1B3F">
        <w:t xml:space="preserve">народной торговле, обеспечение надежности </w:t>
      </w:r>
      <w:proofErr w:type="spellStart"/>
      <w:r w:rsidR="006F1B3F">
        <w:t>энергопоставок</w:t>
      </w:r>
      <w:proofErr w:type="spellEnd"/>
      <w:r w:rsidR="006F1B3F">
        <w:t>, стабильных тран</w:t>
      </w:r>
      <w:r w:rsidR="006F1B3F">
        <w:t>с</w:t>
      </w:r>
      <w:r w:rsidR="006F1B3F">
        <w:t>портных потоков и социального равенства.</w:t>
      </w:r>
    </w:p>
    <w:p w:rsidR="006F1B3F" w:rsidRDefault="00CC00D8" w:rsidP="006F1B3F">
      <w:pPr>
        <w:pStyle w:val="SingleTxt"/>
      </w:pPr>
      <w:r w:rsidRPr="007E2088">
        <w:tab/>
      </w:r>
      <w:r>
        <w:t>s)</w:t>
      </w:r>
      <w:r>
        <w:tab/>
        <w:t xml:space="preserve">Мера 19 </w:t>
      </w:r>
      <w:r w:rsidRPr="00CC00D8">
        <w:t>–</w:t>
      </w:r>
      <w:r w:rsidR="006F1B3F">
        <w:t xml:space="preserve"> Городские грузовые перевозки: Комиссия намерена оказ</w:t>
      </w:r>
      <w:r w:rsidR="006F1B3F">
        <w:t>ы</w:t>
      </w:r>
      <w:r w:rsidR="006F1B3F">
        <w:t>вать поддержку, связанную с путями оптимизации эффективности городской л</w:t>
      </w:r>
      <w:r w:rsidR="006F1B3F">
        <w:t>о</w:t>
      </w:r>
      <w:r w:rsidR="006F1B3F">
        <w:t>гистики, включая совершенствование взаимосвязей между инфраструктурой д</w:t>
      </w:r>
      <w:r w:rsidR="006F1B3F">
        <w:t>и</w:t>
      </w:r>
      <w:r w:rsidR="006F1B3F">
        <w:t>станционных, междугородних и городских грузоперевозок в целях эффективного осуществления перевозок на конечном участке маршрута.</w:t>
      </w:r>
    </w:p>
    <w:p w:rsidR="006F1B3F" w:rsidRPr="007E2088" w:rsidRDefault="00CC00D8" w:rsidP="006F1B3F">
      <w:pPr>
        <w:pStyle w:val="SingleTxt"/>
      </w:pPr>
      <w:r w:rsidRPr="007E2088">
        <w:tab/>
      </w:r>
      <w:r>
        <w:t>t)</w:t>
      </w:r>
      <w:r>
        <w:tab/>
        <w:t xml:space="preserve">Мера 20 </w:t>
      </w:r>
      <w:r w:rsidRPr="00CC00D8">
        <w:t>–</w:t>
      </w:r>
      <w:r w:rsidR="006F1B3F">
        <w:t xml:space="preserve"> Интеллектуальные транспортные системы (ИТС) для горо</w:t>
      </w:r>
      <w:r w:rsidR="006F1B3F">
        <w:t>д</w:t>
      </w:r>
      <w:r w:rsidR="006F1B3F">
        <w:t>ской мобильности: Комиссия планирует оказывать поддержку в связи с внедр</w:t>
      </w:r>
      <w:r w:rsidR="006F1B3F">
        <w:t>е</w:t>
      </w:r>
      <w:r w:rsidR="006F1B3F">
        <w:t>нием средств ИТС для городской мобильности в качестве дополнения к плану действий в области ИТС.</w:t>
      </w:r>
    </w:p>
    <w:p w:rsidR="00CC00D8" w:rsidRPr="007E2088" w:rsidRDefault="00CC00D8" w:rsidP="00CC00D8">
      <w:pPr>
        <w:pStyle w:val="SingleTxt"/>
        <w:spacing w:after="0" w:line="120" w:lineRule="exact"/>
        <w:rPr>
          <w:sz w:val="10"/>
        </w:rPr>
      </w:pPr>
    </w:p>
    <w:p w:rsidR="00CC00D8" w:rsidRPr="007E2088" w:rsidRDefault="00CC00D8" w:rsidP="00CC00D8">
      <w:pPr>
        <w:pStyle w:val="SingleTxt"/>
        <w:spacing w:after="0" w:line="120" w:lineRule="exact"/>
        <w:rPr>
          <w:sz w:val="10"/>
        </w:rPr>
      </w:pPr>
    </w:p>
    <w:p w:rsidR="006F1B3F" w:rsidRPr="007E2088" w:rsidRDefault="006F1B3F" w:rsidP="00CC00D8">
      <w:pPr>
        <w:pStyle w:val="H1"/>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С.</w:t>
      </w:r>
      <w:r>
        <w:tab/>
        <w:t>ООН-</w:t>
      </w:r>
      <w:proofErr w:type="spellStart"/>
      <w:r>
        <w:t>Хабитат</w:t>
      </w:r>
      <w:proofErr w:type="spellEnd"/>
    </w:p>
    <w:p w:rsidR="00CC00D8" w:rsidRPr="007E2088" w:rsidRDefault="00CC00D8" w:rsidP="00CC00D8">
      <w:pPr>
        <w:pStyle w:val="SingleTxt"/>
        <w:keepNext/>
        <w:spacing w:after="0" w:line="120" w:lineRule="exact"/>
        <w:rPr>
          <w:sz w:val="10"/>
        </w:rPr>
      </w:pPr>
    </w:p>
    <w:p w:rsidR="00CC00D8" w:rsidRPr="007E2088" w:rsidRDefault="00CC00D8" w:rsidP="00CC00D8">
      <w:pPr>
        <w:pStyle w:val="SingleTxt"/>
        <w:keepNext/>
        <w:spacing w:after="0" w:line="120" w:lineRule="exact"/>
        <w:rPr>
          <w:sz w:val="10"/>
        </w:rPr>
      </w:pPr>
    </w:p>
    <w:p w:rsidR="006F1B3F" w:rsidRDefault="006F1B3F" w:rsidP="00CC00D8">
      <w:pPr>
        <w:pStyle w:val="SingleTxt"/>
        <w:keepNext/>
      </w:pPr>
      <w:r>
        <w:t>15.</w:t>
      </w:r>
      <w:r>
        <w:tab/>
        <w:t>ООН-</w:t>
      </w:r>
      <w:proofErr w:type="spellStart"/>
      <w:r>
        <w:t>Хабитат</w:t>
      </w:r>
      <w:proofErr w:type="spellEnd"/>
      <w:r>
        <w:t xml:space="preserve"> разработала инициативу развития городской мобильности на базе электротранспорта (УЭМИ), непосредственно направленную на обеспечение широкого распространения электротранспорта в городах, с </w:t>
      </w:r>
      <w:proofErr w:type="gramStart"/>
      <w:r>
        <w:t>тем</w:t>
      </w:r>
      <w:proofErr w:type="gramEnd"/>
      <w:r>
        <w:t xml:space="preserve"> чтобы к 2030 году доля поездок в электротранспорте составляла 30% от общего объема городских пассажирских перевозок.</w:t>
      </w:r>
    </w:p>
    <w:p w:rsidR="006F1B3F" w:rsidRDefault="006F1B3F" w:rsidP="006F1B3F">
      <w:pPr>
        <w:pStyle w:val="SingleTxt"/>
      </w:pPr>
      <w:r>
        <w:t>16.</w:t>
      </w:r>
      <w:r>
        <w:tab/>
      </w:r>
      <w:proofErr w:type="gramStart"/>
      <w:r>
        <w:t>Инициатива УЭМИ будет осуществляться в общем контексте соверше</w:t>
      </w:r>
      <w:r>
        <w:t>н</w:t>
      </w:r>
      <w:r>
        <w:t>ствования городского планирования и примен</w:t>
      </w:r>
      <w:r w:rsidR="008106B4">
        <w:t>ения сбалансированного подхода «</w:t>
      </w:r>
      <w:r>
        <w:t>сокр</w:t>
      </w:r>
      <w:r w:rsidR="008106B4">
        <w:t>ащение − переход – модернизация»</w:t>
      </w:r>
      <w:r>
        <w:t>, в рамках которого основополагающим аспектом городской мобильности является доступность, а обеспечение всеобщ</w:t>
      </w:r>
      <w:r>
        <w:t>е</w:t>
      </w:r>
      <w:r>
        <w:t>го доступа к услугам, объектам социальной инфраструктуры и товарам считается единым назначением всех видов транспорта (ООН-</w:t>
      </w:r>
      <w:proofErr w:type="spellStart"/>
      <w:r>
        <w:t>Хабитат</w:t>
      </w:r>
      <w:proofErr w:type="spellEnd"/>
      <w:r>
        <w:t>, Глобальный доклад о населенных пунктах, 2013 год:</w:t>
      </w:r>
      <w:proofErr w:type="gramEnd"/>
      <w:r w:rsidR="008106B4">
        <w:t xml:space="preserve"> </w:t>
      </w:r>
      <w:proofErr w:type="gramStart"/>
      <w:r w:rsidR="008106B4">
        <w:t>«</w:t>
      </w:r>
      <w:r>
        <w:t>Планирование и проектирование устойчивого</w:t>
      </w:r>
      <w:r w:rsidR="008106B4">
        <w:t xml:space="preserve"> развития мобильности в городах»</w:t>
      </w:r>
      <w:r>
        <w:t>).</w:t>
      </w:r>
      <w:proofErr w:type="gramEnd"/>
    </w:p>
    <w:p w:rsidR="006F1B3F" w:rsidRDefault="006F1B3F" w:rsidP="006F1B3F">
      <w:pPr>
        <w:pStyle w:val="SingleTxt"/>
      </w:pPr>
      <w:r>
        <w:t>17.</w:t>
      </w:r>
      <w:r>
        <w:tab/>
        <w:t xml:space="preserve">Эта инициатива позволит внести существенный вклад </w:t>
      </w:r>
      <w:proofErr w:type="gramStart"/>
      <w:r>
        <w:t>в</w:t>
      </w:r>
      <w:proofErr w:type="gramEnd"/>
      <w:r>
        <w:t>:</w:t>
      </w:r>
    </w:p>
    <w:p w:rsidR="006F1B3F" w:rsidRDefault="00CC00D8" w:rsidP="006F1B3F">
      <w:pPr>
        <w:pStyle w:val="SingleTxt"/>
      </w:pPr>
      <w:r w:rsidRPr="007E2088">
        <w:tab/>
      </w:r>
      <w:r w:rsidR="006F1B3F">
        <w:t>а)</w:t>
      </w:r>
      <w:r w:rsidR="006F1B3F">
        <w:tab/>
        <w:t>сокращение выбросов транспортными средствами и ограничение роста средней глобальной температуры до двух градусов Цельсия;</w:t>
      </w:r>
    </w:p>
    <w:p w:rsidR="006F1B3F" w:rsidRDefault="00CC00D8" w:rsidP="006F1B3F">
      <w:pPr>
        <w:pStyle w:val="SingleTxt"/>
      </w:pPr>
      <w:r w:rsidRPr="007E2088">
        <w:tab/>
      </w:r>
      <w:r w:rsidR="006F1B3F">
        <w:t>b)</w:t>
      </w:r>
      <w:r w:rsidR="006F1B3F">
        <w:tab/>
        <w:t>уменьшение локального загрязнения воздуха и улучшение состояния здоровья населения;</w:t>
      </w:r>
    </w:p>
    <w:p w:rsidR="006F1B3F" w:rsidRDefault="00CC00D8" w:rsidP="006F1B3F">
      <w:pPr>
        <w:pStyle w:val="SingleTxt"/>
      </w:pPr>
      <w:r w:rsidRPr="007E2088">
        <w:tab/>
      </w:r>
      <w:r w:rsidR="006F1B3F">
        <w:t>c)</w:t>
      </w:r>
      <w:r w:rsidR="006F1B3F">
        <w:tab/>
        <w:t>ослабление зависимости между экономическим ростом и процветан</w:t>
      </w:r>
      <w:r w:rsidR="006F1B3F">
        <w:t>и</w:t>
      </w:r>
      <w:r w:rsidR="006F1B3F">
        <w:t>ем и выбросами парниковых газов (ПГ).</w:t>
      </w:r>
    </w:p>
    <w:p w:rsidR="006F1B3F" w:rsidRPr="008106B4" w:rsidRDefault="006F1B3F" w:rsidP="006F1B3F">
      <w:pPr>
        <w:pStyle w:val="SingleTxt"/>
      </w:pPr>
      <w:r>
        <w:t>18.</w:t>
      </w:r>
      <w:r>
        <w:tab/>
        <w:t>Инициатива УЭМИ предусматривает осуществление взаимодополняющих мер сторонами, создающими предложение и спрос. К тем, кто создает предлож</w:t>
      </w:r>
      <w:r>
        <w:t>е</w:t>
      </w:r>
      <w:r>
        <w:t>ние, относятся изготовители электрических транспортных средств (ЭТС), акк</w:t>
      </w:r>
      <w:r>
        <w:t>у</w:t>
      </w:r>
      <w:r>
        <w:t>муляторов и комплектующих для автомобилей. Поставщики и дистрибьюторы энергоресурсов также являются важными субъектами, создающими предложение, поскольку переход к электрической мобильности должен сопровождаться пер</w:t>
      </w:r>
      <w:r>
        <w:t>е</w:t>
      </w:r>
      <w:r>
        <w:t xml:space="preserve">ходом к более </w:t>
      </w:r>
      <w:proofErr w:type="spellStart"/>
      <w:r>
        <w:t>экологичным</w:t>
      </w:r>
      <w:proofErr w:type="spellEnd"/>
      <w:r>
        <w:t xml:space="preserve"> источникам энергии. К числу сторон, формирующих спрос, относятся городские и национальные органы власти, население и пре</w:t>
      </w:r>
      <w:r>
        <w:t>д</w:t>
      </w:r>
      <w:r>
        <w:t>приятия. Такие многосторонние финансовые учреждения, как Всемирный банк и региональные банки развития, также являются также важными субъектами на стороне спроса в связи с тем, что они могут инвестировать средства в инфр</w:t>
      </w:r>
      <w:r>
        <w:t>а</w:t>
      </w:r>
      <w:r>
        <w:t>структуру ЭТС. Международные организации, включая ООН-</w:t>
      </w:r>
      <w:proofErr w:type="spellStart"/>
      <w:r>
        <w:t>Хабитат</w:t>
      </w:r>
      <w:proofErr w:type="spellEnd"/>
      <w:r>
        <w:t>, другие учреждения Организации Объединенных Наций, Международное энергетическое агентство и иные специализированные и исследовательские организации, будут играть в этой связи вспомогательную роль посредством обеспечения обмена зн</w:t>
      </w:r>
      <w:r>
        <w:t>а</w:t>
      </w:r>
      <w:r>
        <w:t>ниями, наращивания потенциала и оказания поддержки в рамках демонстрац</w:t>
      </w:r>
      <w:r>
        <w:t>и</w:t>
      </w:r>
      <w:r w:rsidR="008106B4">
        <w:t>онных инициатив УЭМИ. «</w:t>
      </w:r>
      <w:r>
        <w:t xml:space="preserve">Мандат в сфере </w:t>
      </w:r>
      <w:proofErr w:type="spellStart"/>
      <w:r>
        <w:t>электромобильности</w:t>
      </w:r>
      <w:proofErr w:type="spellEnd"/>
      <w:r>
        <w:t xml:space="preserve"> для руководит</w:t>
      </w:r>
      <w:r>
        <w:t>е</w:t>
      </w:r>
      <w:r w:rsidR="008106B4">
        <w:t>лей предприятий»</w:t>
      </w:r>
      <w:r>
        <w:t>, сформированный на уровне лидеров от</w:t>
      </w:r>
      <w:r w:rsidR="008106B4">
        <w:t>расли в рамках «</w:t>
      </w:r>
      <w:r>
        <w:t>Гл</w:t>
      </w:r>
      <w:r>
        <w:t>о</w:t>
      </w:r>
      <w:r w:rsidR="008106B4">
        <w:t>бального договора»</w:t>
      </w:r>
      <w:r>
        <w:t xml:space="preserve"> Организации Объединенных Наций, создаст условия для о</w:t>
      </w:r>
      <w:r>
        <w:t>б</w:t>
      </w:r>
      <w:r>
        <w:t>мена знаниями в целях расширения рыночной доли ЭТС в контексте парадигмы устойчивого развития.</w:t>
      </w:r>
    </w:p>
    <w:p w:rsidR="00CC00D8" w:rsidRPr="008106B4" w:rsidRDefault="00CC00D8" w:rsidP="00CC00D8">
      <w:pPr>
        <w:pStyle w:val="SingleTxt"/>
        <w:spacing w:after="0" w:line="120" w:lineRule="exact"/>
        <w:rPr>
          <w:sz w:val="10"/>
        </w:rPr>
      </w:pPr>
    </w:p>
    <w:p w:rsidR="00CC00D8" w:rsidRPr="008106B4" w:rsidRDefault="00CC00D8" w:rsidP="00CC00D8">
      <w:pPr>
        <w:pStyle w:val="SingleTxt"/>
        <w:spacing w:after="0" w:line="120" w:lineRule="exact"/>
        <w:rPr>
          <w:sz w:val="10"/>
        </w:rPr>
      </w:pPr>
    </w:p>
    <w:p w:rsidR="006F1B3F" w:rsidRPr="007E2088" w:rsidRDefault="006F1B3F" w:rsidP="00CC00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Международный союз общественного транспорта (МСОТ)</w:t>
      </w:r>
    </w:p>
    <w:p w:rsidR="00CC00D8" w:rsidRPr="007E2088" w:rsidRDefault="00CC00D8" w:rsidP="00CC00D8">
      <w:pPr>
        <w:pStyle w:val="SingleTxt"/>
        <w:spacing w:after="0" w:line="120" w:lineRule="exact"/>
        <w:rPr>
          <w:sz w:val="10"/>
        </w:rPr>
      </w:pPr>
    </w:p>
    <w:p w:rsidR="00CC00D8" w:rsidRPr="007E2088" w:rsidRDefault="00CC00D8" w:rsidP="00CC00D8">
      <w:pPr>
        <w:pStyle w:val="SingleTxt"/>
        <w:spacing w:after="0" w:line="120" w:lineRule="exact"/>
        <w:rPr>
          <w:sz w:val="10"/>
        </w:rPr>
      </w:pPr>
    </w:p>
    <w:p w:rsidR="006F1B3F" w:rsidRDefault="006F1B3F" w:rsidP="006F1B3F">
      <w:pPr>
        <w:pStyle w:val="SingleTxt"/>
      </w:pPr>
      <w:r>
        <w:t>19.</w:t>
      </w:r>
      <w:r>
        <w:tab/>
        <w:t>Международный союз общественного транспорта (МСОТ) представляет с</w:t>
      </w:r>
      <w:r>
        <w:t>о</w:t>
      </w:r>
      <w:r>
        <w:t>бой международное сетевое объединение органов и операторов общественного транспорта, директивных органов, научных институтов и предприятий по сна</w:t>
      </w:r>
      <w:r>
        <w:t>б</w:t>
      </w:r>
      <w:r>
        <w:t>жению и обслуживанию общественного транспорта. МСОТ объединяет 1 300 о</w:t>
      </w:r>
      <w:r>
        <w:t>р</w:t>
      </w:r>
      <w:r>
        <w:t>ганизаций-членов из 92 стран мира.</w:t>
      </w:r>
    </w:p>
    <w:p w:rsidR="006F1B3F" w:rsidRDefault="006F1B3F" w:rsidP="006F1B3F">
      <w:pPr>
        <w:pStyle w:val="SingleTxt"/>
      </w:pPr>
      <w:r>
        <w:t>20.</w:t>
      </w:r>
      <w:r>
        <w:tab/>
        <w:t>МСОТ сотрудничал с Международным энергетическим агентством в деле разработки двух сценариев развития городско</w:t>
      </w:r>
      <w:r w:rsidR="008106B4">
        <w:t>й мобильности на период до 2025 </w:t>
      </w:r>
      <w:r>
        <w:t>года. Согласно этим прогнозам развития мобильности на 2025 год, удвоение рыночной доли общественного транспорта по всему миру будет иметь огромные экономические, экологические и социал</w:t>
      </w:r>
      <w:r w:rsidR="008106B4">
        <w:t>ьные преимущества. Вместе с тем</w:t>
      </w:r>
      <w:r>
        <w:t xml:space="preserve"> пре</w:t>
      </w:r>
      <w:r>
        <w:t>д</w:t>
      </w:r>
      <w:r>
        <w:t>ставленные цифры также служат грозным предупреждением, поскольку они ук</w:t>
      </w:r>
      <w:r>
        <w:t>а</w:t>
      </w:r>
      <w:r>
        <w:t>зывают на то, что бездействие в сфере городской мобильности может иметь кат</w:t>
      </w:r>
      <w:r>
        <w:t>а</w:t>
      </w:r>
      <w:r>
        <w:t>строфические последствия. Для решения этих проблем МСОТ поставил цель, с</w:t>
      </w:r>
      <w:r>
        <w:t>о</w:t>
      </w:r>
      <w:r>
        <w:t>стоящую в удвоении к 2025 году рыночной доли общественного транспорта во всем мире.</w:t>
      </w:r>
    </w:p>
    <w:p w:rsidR="006F1B3F" w:rsidRDefault="006F1B3F" w:rsidP="006F1B3F">
      <w:pPr>
        <w:pStyle w:val="SingleTxt"/>
      </w:pPr>
      <w:r>
        <w:t>21.</w:t>
      </w:r>
      <w:r>
        <w:tab/>
        <w:t>В своей Декларации об ответственности за состояние климата, обнародов</w:t>
      </w:r>
      <w:r>
        <w:t>а</w:t>
      </w:r>
      <w:r>
        <w:t>ние которой было специально приурочено к саммиту Организации Объедине</w:t>
      </w:r>
      <w:r>
        <w:t>н</w:t>
      </w:r>
      <w:r>
        <w:t xml:space="preserve">ных Наций, МСОТ подтверждает готовность отрасли взять на себя обязательства по борьбе с изменением </w:t>
      </w:r>
      <w:proofErr w:type="gramStart"/>
      <w:r>
        <w:t>климата</w:t>
      </w:r>
      <w:proofErr w:type="gramEnd"/>
      <w:r>
        <w:t xml:space="preserve"> и подчеркивает индивидуальную и коллекти</w:t>
      </w:r>
      <w:r>
        <w:t>в</w:t>
      </w:r>
      <w:r>
        <w:t>ную ответственность всех сторон − каждого муниципального органа, каждой о</w:t>
      </w:r>
      <w:r>
        <w:t>р</w:t>
      </w:r>
      <w:r>
        <w:t>ганизации и каждого человека, располагающих соответствующими возможн</w:t>
      </w:r>
      <w:r>
        <w:t>о</w:t>
      </w:r>
      <w:r>
        <w:t>стями, − за достижение цели удвоения к 2025 году рыночной доли общественн</w:t>
      </w:r>
      <w:r>
        <w:t>о</w:t>
      </w:r>
      <w:r>
        <w:t>го транспорта во всем мире.</w:t>
      </w:r>
    </w:p>
    <w:p w:rsidR="006F1B3F" w:rsidRDefault="006F1B3F" w:rsidP="006F1B3F">
      <w:pPr>
        <w:pStyle w:val="SingleTxt"/>
      </w:pPr>
      <w:r>
        <w:t>22.</w:t>
      </w:r>
      <w:r>
        <w:tab/>
        <w:t xml:space="preserve">Важнейшим аспектом, определяющим </w:t>
      </w:r>
      <w:r w:rsidR="008106B4">
        <w:t>роль общественного транспорта в </w:t>
      </w:r>
      <w:r>
        <w:t xml:space="preserve">обеспечении устойчивости в целом, является </w:t>
      </w:r>
      <w:r w:rsidR="008106B4">
        <w:t>сокращение выбросов углерода. В </w:t>
      </w:r>
      <w:r>
        <w:t>этой связи большое значение имеют три фактора:</w:t>
      </w:r>
    </w:p>
    <w:p w:rsidR="006F1B3F" w:rsidRDefault="00CC00D8" w:rsidP="006F1B3F">
      <w:pPr>
        <w:pStyle w:val="SingleTxt"/>
      </w:pPr>
      <w:r w:rsidRPr="007E2088">
        <w:tab/>
      </w:r>
      <w:r w:rsidR="006F1B3F">
        <w:t>а)</w:t>
      </w:r>
      <w:r w:rsidR="006F1B3F">
        <w:tab/>
        <w:t>смена вида транспорта: городской транспорт является источником п</w:t>
      </w:r>
      <w:r w:rsidR="006F1B3F">
        <w:t>о</w:t>
      </w:r>
      <w:r w:rsidR="006F1B3F">
        <w:t xml:space="preserve">рядка 40% всех парниковых газов, существенная доля которых приходится на транспортные средства, используемые в индивидуальном порядке. Из расчета на </w:t>
      </w:r>
      <w:proofErr w:type="spellStart"/>
      <w:r w:rsidR="006F1B3F">
        <w:t>пассажиро</w:t>
      </w:r>
      <w:proofErr w:type="spellEnd"/>
      <w:r w:rsidR="006F1B3F">
        <w:t>-километр объем выбросов транспортными средствами с одним учас</w:t>
      </w:r>
      <w:r w:rsidR="006F1B3F">
        <w:t>т</w:t>
      </w:r>
      <w:r w:rsidR="006F1B3F">
        <w:t>ником движения может превышать аналогичный показатель для общественного транспорта в четыре раза, а в периоды пиковой нагрузки эта разница является еще более значительной;</w:t>
      </w:r>
    </w:p>
    <w:p w:rsidR="006F1B3F" w:rsidRDefault="00CC00D8" w:rsidP="006F1B3F">
      <w:pPr>
        <w:pStyle w:val="SingleTxt"/>
      </w:pPr>
      <w:r w:rsidRPr="007E2088">
        <w:tab/>
      </w:r>
      <w:r w:rsidR="006F1B3F">
        <w:t>b)</w:t>
      </w:r>
      <w:r w:rsidR="006F1B3F">
        <w:tab/>
        <w:t>застройка: система местного общественного транспорта создает усл</w:t>
      </w:r>
      <w:r w:rsidR="006F1B3F">
        <w:t>о</w:t>
      </w:r>
      <w:r w:rsidR="006F1B3F">
        <w:t>вия для повышения плотности населенных пунктов. Например, если в населе</w:t>
      </w:r>
      <w:r w:rsidR="006F1B3F">
        <w:t>н</w:t>
      </w:r>
      <w:r w:rsidR="006F1B3F">
        <w:t>ном пункте налажено движение общественного т</w:t>
      </w:r>
      <w:r w:rsidR="008106B4">
        <w:t>ранспорта, то поездка ребенка в </w:t>
      </w:r>
      <w:r w:rsidR="006F1B3F">
        <w:t>школу, как правило, будет короче (а зачастую школа будет находиться в шаг</w:t>
      </w:r>
      <w:r w:rsidR="006F1B3F">
        <w:t>о</w:t>
      </w:r>
      <w:r w:rsidR="006F1B3F">
        <w:t>вой доступности) по сравнению с аналогичной поездкой в пригородном районе, население которого в основном использует личные автомобили. Фактор застро</w:t>
      </w:r>
      <w:r w:rsidR="006F1B3F">
        <w:t>й</w:t>
      </w:r>
      <w:r w:rsidR="006F1B3F">
        <w:t>ки играет большую роль в сокращении выбросов углерода;</w:t>
      </w:r>
    </w:p>
    <w:p w:rsidR="006F1B3F" w:rsidRPr="007E2088" w:rsidRDefault="00CC00D8" w:rsidP="006F1B3F">
      <w:pPr>
        <w:pStyle w:val="SingleTxt"/>
      </w:pPr>
      <w:r w:rsidRPr="007E2088">
        <w:tab/>
      </w:r>
      <w:r w:rsidR="006F1B3F">
        <w:t>c)</w:t>
      </w:r>
      <w:r w:rsidR="006F1B3F">
        <w:tab/>
        <w:t>дорожные заторы: поскольку наличие местной системы общественного транспорта приводит к уменьшению плотности движения, остальные транспор</w:t>
      </w:r>
      <w:r w:rsidR="006F1B3F">
        <w:t>т</w:t>
      </w:r>
      <w:r w:rsidR="006F1B3F">
        <w:t>ные средства могут двигаться быстрее и эффективнее. Когда же вместо испол</w:t>
      </w:r>
      <w:r w:rsidR="006F1B3F">
        <w:t>ь</w:t>
      </w:r>
      <w:r w:rsidR="006F1B3F">
        <w:t>зования общественного транспорта население прибегает к использованию авт</w:t>
      </w:r>
      <w:r w:rsidR="006F1B3F">
        <w:t>о</w:t>
      </w:r>
      <w:r w:rsidR="006F1B3F">
        <w:t>мобилей, количество заторов резко увеличивается, в результате чего двигатели транспортных средств работают менее эффективно и в течение более длительн</w:t>
      </w:r>
      <w:r w:rsidR="006F1B3F">
        <w:t>о</w:t>
      </w:r>
      <w:r w:rsidR="006F1B3F">
        <w:t>го времени, а уровень выбросов парниковых газов возрастает.</w:t>
      </w:r>
    </w:p>
    <w:p w:rsidR="00CC00D8" w:rsidRPr="007E2088" w:rsidRDefault="00CC00D8" w:rsidP="00CC00D8">
      <w:pPr>
        <w:pStyle w:val="SingleTxt"/>
        <w:spacing w:after="0" w:line="120" w:lineRule="exact"/>
        <w:rPr>
          <w:sz w:val="10"/>
        </w:rPr>
      </w:pPr>
    </w:p>
    <w:p w:rsidR="00CC00D8" w:rsidRPr="007E2088" w:rsidRDefault="00CC00D8" w:rsidP="00CC00D8">
      <w:pPr>
        <w:pStyle w:val="SingleTxt"/>
        <w:spacing w:after="0" w:line="120" w:lineRule="exact"/>
        <w:rPr>
          <w:sz w:val="10"/>
        </w:rPr>
      </w:pPr>
    </w:p>
    <w:p w:rsidR="006F1B3F" w:rsidRPr="007E2088" w:rsidRDefault="006F1B3F" w:rsidP="00CC00D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IV.</w:t>
      </w:r>
      <w:r>
        <w:tab/>
        <w:t>Рекомендации WP.5</w:t>
      </w:r>
    </w:p>
    <w:p w:rsidR="00CC00D8" w:rsidRPr="007E2088" w:rsidRDefault="00CC00D8" w:rsidP="00CC00D8">
      <w:pPr>
        <w:pStyle w:val="SingleTxt"/>
        <w:spacing w:after="0" w:line="120" w:lineRule="exact"/>
        <w:rPr>
          <w:sz w:val="10"/>
        </w:rPr>
      </w:pPr>
    </w:p>
    <w:p w:rsidR="00CC00D8" w:rsidRPr="007E2088" w:rsidRDefault="00CC00D8" w:rsidP="00CC00D8">
      <w:pPr>
        <w:pStyle w:val="SingleTxt"/>
        <w:spacing w:after="0" w:line="120" w:lineRule="exact"/>
        <w:rPr>
          <w:sz w:val="10"/>
        </w:rPr>
      </w:pPr>
    </w:p>
    <w:p w:rsidR="00E211E1" w:rsidRPr="008106B4" w:rsidRDefault="006F1B3F" w:rsidP="006F1B3F">
      <w:pPr>
        <w:pStyle w:val="SingleTxt"/>
      </w:pPr>
      <w:r>
        <w:t>23.</w:t>
      </w:r>
      <w:r>
        <w:tab/>
        <w:t xml:space="preserve">WP.5, возможно, пожелает рассмотреть изложенное выше аналитическое предложение и дать секретариату указания относительно </w:t>
      </w:r>
      <w:r w:rsidR="008106B4">
        <w:t>дальнейших действий в </w:t>
      </w:r>
      <w:r>
        <w:t>этой области.</w:t>
      </w:r>
    </w:p>
    <w:p w:rsidR="00CC00D8" w:rsidRPr="00CC00D8" w:rsidRDefault="00CC00D8" w:rsidP="00CC00D8">
      <w:pPr>
        <w:pStyle w:val="SingleTxt"/>
        <w:spacing w:after="0" w:line="240" w:lineRule="auto"/>
        <w:rPr>
          <w:lang w:val="en-US"/>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CC00D8" w:rsidRPr="00CC00D8" w:rsidSect="00E211E1">
      <w:type w:val="continuous"/>
      <w:pgSz w:w="11909" w:h="16834"/>
      <w:pgMar w:top="1742" w:right="936" w:bottom="1898" w:left="936" w:header="576" w:footer="1030" w:gutter="0"/>
      <w:pgNumType w:start="1"/>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22T12:04:00Z" w:initials="Start">
    <w:p w:rsidR="00E211E1" w:rsidRPr="008C7CF0" w:rsidRDefault="00E211E1">
      <w:pPr>
        <w:pStyle w:val="CommentText"/>
        <w:rPr>
          <w:lang w:val="en-US"/>
        </w:rPr>
      </w:pPr>
      <w:r>
        <w:fldChar w:fldCharType="begin"/>
      </w:r>
      <w:r w:rsidRPr="008C7CF0">
        <w:rPr>
          <w:rStyle w:val="CommentReference"/>
          <w:lang w:val="en-US"/>
        </w:rPr>
        <w:instrText xml:space="preserve"> </w:instrText>
      </w:r>
      <w:r w:rsidRPr="008C7CF0">
        <w:rPr>
          <w:lang w:val="en-US"/>
        </w:rPr>
        <w:instrText>PAGE \# "'Page: '#'</w:instrText>
      </w:r>
      <w:r w:rsidRPr="008C7CF0">
        <w:rPr>
          <w:lang w:val="en-US"/>
        </w:rPr>
        <w:br/>
        <w:instrText>'"</w:instrText>
      </w:r>
      <w:r w:rsidRPr="008C7CF0">
        <w:rPr>
          <w:rStyle w:val="CommentReference"/>
          <w:lang w:val="en-US"/>
        </w:rPr>
        <w:instrText xml:space="preserve"> </w:instrText>
      </w:r>
      <w:r>
        <w:fldChar w:fldCharType="end"/>
      </w:r>
      <w:r>
        <w:rPr>
          <w:rStyle w:val="CommentReference"/>
        </w:rPr>
        <w:annotationRef/>
      </w:r>
      <w:r w:rsidRPr="008C7CF0">
        <w:rPr>
          <w:lang w:val="en-US"/>
        </w:rPr>
        <w:t>&lt;&lt;ODS JOB NO&gt;&gt;N1513777R&lt;&lt;ODS JOB NO&gt;&gt;</w:t>
      </w:r>
    </w:p>
    <w:p w:rsidR="00E211E1" w:rsidRDefault="00E211E1">
      <w:pPr>
        <w:pStyle w:val="CommentText"/>
      </w:pPr>
      <w:r>
        <w:t>&lt;&lt;ODS DOC SYMBOL1&gt;&gt;ECE/TRANS/WP.5/2015/6&lt;&lt;ODS DOC SYMBOL1&gt;&gt;</w:t>
      </w:r>
    </w:p>
    <w:p w:rsidR="00E211E1" w:rsidRDefault="00E211E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A39" w:rsidRDefault="003A0A39" w:rsidP="008A1A7A">
      <w:pPr>
        <w:spacing w:line="240" w:lineRule="auto"/>
      </w:pPr>
      <w:r>
        <w:separator/>
      </w:r>
    </w:p>
  </w:endnote>
  <w:endnote w:type="continuationSeparator" w:id="0">
    <w:p w:rsidR="003A0A39" w:rsidRDefault="003A0A39"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E211E1" w:rsidTr="00E211E1">
      <w:trPr>
        <w:jc w:val="center"/>
      </w:trPr>
      <w:tc>
        <w:tcPr>
          <w:tcW w:w="5126" w:type="dxa"/>
          <w:shd w:val="clear" w:color="auto" w:fill="auto"/>
          <w:vAlign w:val="bottom"/>
        </w:tcPr>
        <w:p w:rsidR="00E211E1" w:rsidRPr="00E211E1" w:rsidRDefault="00E211E1" w:rsidP="00E211E1">
          <w:pPr>
            <w:pStyle w:val="Footer"/>
            <w:rPr>
              <w:color w:val="000000"/>
            </w:rPr>
          </w:pPr>
          <w:r>
            <w:fldChar w:fldCharType="begin"/>
          </w:r>
          <w:r>
            <w:instrText xml:space="preserve"> PAGE  \* Arabic  \* MERGEFORMAT </w:instrText>
          </w:r>
          <w:r>
            <w:fldChar w:fldCharType="separate"/>
          </w:r>
          <w:r w:rsidR="00B02086">
            <w:rPr>
              <w:noProof/>
            </w:rPr>
            <w:t>8</w:t>
          </w:r>
          <w:r>
            <w:fldChar w:fldCharType="end"/>
          </w:r>
          <w:r>
            <w:t>/</w:t>
          </w:r>
          <w:fldSimple w:instr=" NUMPAGES  \* Arabic  \* MERGEFORMAT ">
            <w:r w:rsidR="00B02086">
              <w:rPr>
                <w:noProof/>
              </w:rPr>
              <w:t>8</w:t>
            </w:r>
          </w:fldSimple>
        </w:p>
      </w:tc>
      <w:tc>
        <w:tcPr>
          <w:tcW w:w="5127" w:type="dxa"/>
          <w:shd w:val="clear" w:color="auto" w:fill="auto"/>
          <w:vAlign w:val="bottom"/>
        </w:tcPr>
        <w:p w:rsidR="00E211E1" w:rsidRPr="00E211E1" w:rsidRDefault="00E211E1" w:rsidP="00E211E1">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proofErr w:type="spellStart"/>
          <w:r w:rsidR="009F00B1">
            <w:rPr>
              <w:b w:val="0"/>
              <w:color w:val="000000"/>
              <w:sz w:val="14"/>
            </w:rPr>
            <w:t>GE.15</w:t>
          </w:r>
          <w:proofErr w:type="spellEnd"/>
          <w:r w:rsidR="009F00B1">
            <w:rPr>
              <w:b w:val="0"/>
              <w:color w:val="000000"/>
              <w:sz w:val="14"/>
            </w:rPr>
            <w:t>-10777</w:t>
          </w:r>
          <w:r>
            <w:rPr>
              <w:b w:val="0"/>
              <w:color w:val="000000"/>
              <w:sz w:val="14"/>
            </w:rPr>
            <w:fldChar w:fldCharType="end"/>
          </w:r>
        </w:p>
      </w:tc>
    </w:tr>
  </w:tbl>
  <w:p w:rsidR="00E211E1" w:rsidRPr="00E211E1" w:rsidRDefault="00E211E1" w:rsidP="00E211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E211E1" w:rsidTr="00E211E1">
      <w:trPr>
        <w:jc w:val="center"/>
      </w:trPr>
      <w:tc>
        <w:tcPr>
          <w:tcW w:w="5126" w:type="dxa"/>
          <w:shd w:val="clear" w:color="auto" w:fill="auto"/>
          <w:vAlign w:val="bottom"/>
        </w:tcPr>
        <w:p w:rsidR="00E211E1" w:rsidRPr="00E211E1" w:rsidRDefault="00E211E1" w:rsidP="00E211E1">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proofErr w:type="spellStart"/>
          <w:r w:rsidR="009F00B1">
            <w:rPr>
              <w:b w:val="0"/>
              <w:color w:val="000000"/>
              <w:sz w:val="14"/>
            </w:rPr>
            <w:t>GE.15</w:t>
          </w:r>
          <w:proofErr w:type="spellEnd"/>
          <w:r w:rsidR="009F00B1">
            <w:rPr>
              <w:b w:val="0"/>
              <w:color w:val="000000"/>
              <w:sz w:val="14"/>
            </w:rPr>
            <w:t>-10777</w:t>
          </w:r>
          <w:r>
            <w:rPr>
              <w:b w:val="0"/>
              <w:color w:val="000000"/>
              <w:sz w:val="14"/>
            </w:rPr>
            <w:fldChar w:fldCharType="end"/>
          </w:r>
        </w:p>
      </w:tc>
      <w:tc>
        <w:tcPr>
          <w:tcW w:w="5127" w:type="dxa"/>
          <w:shd w:val="clear" w:color="auto" w:fill="auto"/>
          <w:vAlign w:val="bottom"/>
        </w:tcPr>
        <w:p w:rsidR="00E211E1" w:rsidRPr="00E211E1" w:rsidRDefault="00E211E1" w:rsidP="00E211E1">
          <w:pPr>
            <w:pStyle w:val="Footer"/>
            <w:jc w:val="right"/>
          </w:pPr>
          <w:r>
            <w:fldChar w:fldCharType="begin"/>
          </w:r>
          <w:r>
            <w:instrText xml:space="preserve"> PAGE  \* Arabic  \* MERGEFORMAT </w:instrText>
          </w:r>
          <w:r>
            <w:fldChar w:fldCharType="separate"/>
          </w:r>
          <w:r w:rsidR="00B02086">
            <w:rPr>
              <w:noProof/>
            </w:rPr>
            <w:t>7</w:t>
          </w:r>
          <w:r>
            <w:fldChar w:fldCharType="end"/>
          </w:r>
          <w:r>
            <w:t>/</w:t>
          </w:r>
          <w:fldSimple w:instr=" NUMPAGES  \* Arabic  \* MERGEFORMAT ">
            <w:r w:rsidR="00B02086">
              <w:rPr>
                <w:noProof/>
              </w:rPr>
              <w:t>8</w:t>
            </w:r>
          </w:fldSimple>
        </w:p>
      </w:tc>
    </w:tr>
  </w:tbl>
  <w:p w:rsidR="00E211E1" w:rsidRPr="00E211E1" w:rsidRDefault="00E211E1" w:rsidP="00E211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E211E1" w:rsidTr="00E211E1">
      <w:tc>
        <w:tcPr>
          <w:tcW w:w="3873" w:type="dxa"/>
        </w:tcPr>
        <w:p w:rsidR="00E211E1" w:rsidRDefault="00E211E1" w:rsidP="00E211E1">
          <w:pPr>
            <w:pStyle w:val="ReleaseDate"/>
            <w:rPr>
              <w:color w:val="010000"/>
            </w:rPr>
          </w:pPr>
          <w:r>
            <w:rPr>
              <w:noProof/>
              <w:lang w:val="en-GB" w:eastAsia="en-GB"/>
            </w:rPr>
            <w:drawing>
              <wp:anchor distT="0" distB="0" distL="114300" distR="114300" simplePos="0" relativeHeight="251658240" behindDoc="0" locked="0" layoutInCell="1" allowOverlap="1" wp14:anchorId="23E9A2A3" wp14:editId="5511125E">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WP.5/2015/6&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5/2015/6&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GE.15-10777 (R)</w:t>
          </w:r>
          <w:r>
            <w:rPr>
              <w:color w:val="010000"/>
            </w:rPr>
            <w:t xml:space="preserve">    220715    220715</w:t>
          </w:r>
        </w:p>
        <w:p w:rsidR="00E211E1" w:rsidRPr="00E211E1" w:rsidRDefault="00E211E1" w:rsidP="00E211E1">
          <w:pPr>
            <w:spacing w:before="80" w:line="210" w:lineRule="exact"/>
            <w:rPr>
              <w:rFonts w:ascii="Barcode 3 of 9 by request" w:hAnsi="Barcode 3 of 9 by request"/>
              <w:w w:val="100"/>
              <w:sz w:val="24"/>
            </w:rPr>
          </w:pPr>
          <w:r>
            <w:rPr>
              <w:rFonts w:ascii="Barcode 3 of 9 by request" w:hAnsi="Barcode 3 of 9 by request"/>
              <w:w w:val="100"/>
              <w:sz w:val="24"/>
            </w:rPr>
            <w:t>*1510777*</w:t>
          </w:r>
        </w:p>
      </w:tc>
      <w:tc>
        <w:tcPr>
          <w:tcW w:w="5127" w:type="dxa"/>
        </w:tcPr>
        <w:p w:rsidR="00E211E1" w:rsidRDefault="00E211E1" w:rsidP="00E211E1">
          <w:pPr>
            <w:pStyle w:val="Footer"/>
            <w:spacing w:line="240" w:lineRule="atLeast"/>
            <w:jc w:val="right"/>
            <w:rPr>
              <w:b w:val="0"/>
              <w:sz w:val="20"/>
            </w:rPr>
          </w:pPr>
          <w:r>
            <w:rPr>
              <w:b w:val="0"/>
              <w:noProof/>
              <w:sz w:val="20"/>
              <w:lang w:val="en-GB" w:eastAsia="en-GB"/>
            </w:rPr>
            <w:drawing>
              <wp:inline distT="0" distB="0" distL="0" distR="0" wp14:anchorId="0AFA811C" wp14:editId="4737C44C">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E211E1" w:rsidRPr="00E211E1" w:rsidRDefault="00E211E1" w:rsidP="00E211E1">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A39" w:rsidRPr="006F1B3F" w:rsidRDefault="006F1B3F" w:rsidP="006F1B3F">
      <w:pPr>
        <w:pStyle w:val="Footer"/>
        <w:spacing w:after="80"/>
        <w:ind w:left="792"/>
        <w:rPr>
          <w:sz w:val="16"/>
        </w:rPr>
      </w:pPr>
      <w:r w:rsidRPr="006F1B3F">
        <w:rPr>
          <w:sz w:val="16"/>
        </w:rPr>
        <w:t>__________________</w:t>
      </w:r>
    </w:p>
  </w:footnote>
  <w:footnote w:type="continuationSeparator" w:id="0">
    <w:p w:rsidR="003A0A39" w:rsidRPr="006F1B3F" w:rsidRDefault="006F1B3F" w:rsidP="006F1B3F">
      <w:pPr>
        <w:pStyle w:val="Footer"/>
        <w:spacing w:after="80"/>
        <w:ind w:left="792"/>
        <w:rPr>
          <w:sz w:val="16"/>
        </w:rPr>
      </w:pPr>
      <w:r w:rsidRPr="006F1B3F">
        <w:rPr>
          <w:sz w:val="16"/>
        </w:rPr>
        <w:t>__________________</w:t>
      </w:r>
    </w:p>
  </w:footnote>
  <w:footnote w:id="1">
    <w:p w:rsidR="006F1B3F" w:rsidRPr="006F1B3F" w:rsidRDefault="006F1B3F" w:rsidP="006F1B3F">
      <w:pPr>
        <w:pStyle w:val="FootnoteText"/>
        <w:tabs>
          <w:tab w:val="right" w:pos="1195"/>
          <w:tab w:val="left" w:pos="1267"/>
          <w:tab w:val="left" w:pos="1742"/>
          <w:tab w:val="left" w:pos="2218"/>
          <w:tab w:val="left" w:pos="2693"/>
        </w:tabs>
        <w:ind w:left="1267" w:right="1260" w:hanging="432"/>
      </w:pPr>
      <w:r>
        <w:rPr>
          <w:lang w:val="en-US"/>
        </w:rPr>
        <w:tab/>
      </w:r>
      <w:r w:rsidRPr="006F1B3F">
        <w:rPr>
          <w:bCs/>
          <w:spacing w:val="-2"/>
          <w:w w:val="103"/>
          <w:szCs w:val="17"/>
        </w:rPr>
        <w:t>*</w:t>
      </w:r>
      <w:r w:rsidRPr="006F1B3F">
        <w:tab/>
      </w:r>
      <w:r>
        <w:t>Настоящий документ до его передачи в переводческие службы Организации Объединенных Наций не редактировался.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E211E1" w:rsidTr="00E211E1">
      <w:trPr>
        <w:trHeight w:hRule="exact" w:val="864"/>
        <w:jc w:val="center"/>
      </w:trPr>
      <w:tc>
        <w:tcPr>
          <w:tcW w:w="4882" w:type="dxa"/>
          <w:shd w:val="clear" w:color="auto" w:fill="auto"/>
          <w:vAlign w:val="bottom"/>
        </w:tcPr>
        <w:p w:rsidR="00E211E1" w:rsidRPr="00E211E1" w:rsidRDefault="00E211E1" w:rsidP="00E211E1">
          <w:pPr>
            <w:pStyle w:val="Header"/>
            <w:spacing w:after="80"/>
            <w:rPr>
              <w:b/>
            </w:rPr>
          </w:pPr>
          <w:r>
            <w:rPr>
              <w:b/>
            </w:rPr>
            <w:fldChar w:fldCharType="begin"/>
          </w:r>
          <w:r>
            <w:rPr>
              <w:b/>
            </w:rPr>
            <w:instrText xml:space="preserve"> DOCVARIABLE "sss1" \* MERGEFORMAT </w:instrText>
          </w:r>
          <w:r>
            <w:rPr>
              <w:b/>
            </w:rPr>
            <w:fldChar w:fldCharType="separate"/>
          </w:r>
          <w:r w:rsidR="009F00B1">
            <w:rPr>
              <w:b/>
            </w:rPr>
            <w:t>ECE/</w:t>
          </w:r>
          <w:proofErr w:type="spellStart"/>
          <w:r w:rsidR="009F00B1">
            <w:rPr>
              <w:b/>
            </w:rPr>
            <w:t>TRANS</w:t>
          </w:r>
          <w:proofErr w:type="spellEnd"/>
          <w:r w:rsidR="009F00B1">
            <w:rPr>
              <w:b/>
            </w:rPr>
            <w:t>/</w:t>
          </w:r>
          <w:proofErr w:type="spellStart"/>
          <w:r w:rsidR="009F00B1">
            <w:rPr>
              <w:b/>
            </w:rPr>
            <w:t>WP.5</w:t>
          </w:r>
          <w:proofErr w:type="spellEnd"/>
          <w:r w:rsidR="009F00B1">
            <w:rPr>
              <w:b/>
            </w:rPr>
            <w:t>/2015/6</w:t>
          </w:r>
          <w:r>
            <w:rPr>
              <w:b/>
            </w:rPr>
            <w:fldChar w:fldCharType="end"/>
          </w:r>
        </w:p>
      </w:tc>
      <w:tc>
        <w:tcPr>
          <w:tcW w:w="5127" w:type="dxa"/>
          <w:shd w:val="clear" w:color="auto" w:fill="auto"/>
          <w:vAlign w:val="bottom"/>
        </w:tcPr>
        <w:p w:rsidR="00E211E1" w:rsidRDefault="00E211E1" w:rsidP="00E211E1">
          <w:pPr>
            <w:pStyle w:val="Header"/>
          </w:pPr>
        </w:p>
      </w:tc>
    </w:tr>
  </w:tbl>
  <w:p w:rsidR="00E211E1" w:rsidRPr="00E211E1" w:rsidRDefault="00E211E1" w:rsidP="00E21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E211E1" w:rsidTr="00E211E1">
      <w:trPr>
        <w:trHeight w:hRule="exact" w:val="864"/>
        <w:jc w:val="center"/>
      </w:trPr>
      <w:tc>
        <w:tcPr>
          <w:tcW w:w="4882" w:type="dxa"/>
          <w:shd w:val="clear" w:color="auto" w:fill="auto"/>
          <w:vAlign w:val="bottom"/>
        </w:tcPr>
        <w:p w:rsidR="00E211E1" w:rsidRDefault="00E211E1" w:rsidP="00E211E1">
          <w:pPr>
            <w:pStyle w:val="Header"/>
          </w:pPr>
        </w:p>
      </w:tc>
      <w:tc>
        <w:tcPr>
          <w:tcW w:w="5127" w:type="dxa"/>
          <w:shd w:val="clear" w:color="auto" w:fill="auto"/>
          <w:vAlign w:val="bottom"/>
        </w:tcPr>
        <w:p w:rsidR="00E211E1" w:rsidRPr="00E211E1" w:rsidRDefault="00E211E1" w:rsidP="00E211E1">
          <w:pPr>
            <w:pStyle w:val="Header"/>
            <w:spacing w:after="80"/>
            <w:jc w:val="right"/>
            <w:rPr>
              <w:b/>
            </w:rPr>
          </w:pPr>
          <w:r>
            <w:rPr>
              <w:b/>
            </w:rPr>
            <w:fldChar w:fldCharType="begin"/>
          </w:r>
          <w:r>
            <w:rPr>
              <w:b/>
            </w:rPr>
            <w:instrText xml:space="preserve"> DOCVARIABLE "sss1" \* MERGEFORMAT </w:instrText>
          </w:r>
          <w:r>
            <w:rPr>
              <w:b/>
            </w:rPr>
            <w:fldChar w:fldCharType="separate"/>
          </w:r>
          <w:r w:rsidR="009F00B1">
            <w:rPr>
              <w:b/>
            </w:rPr>
            <w:t>ECE/</w:t>
          </w:r>
          <w:proofErr w:type="spellStart"/>
          <w:r w:rsidR="009F00B1">
            <w:rPr>
              <w:b/>
            </w:rPr>
            <w:t>TRANS</w:t>
          </w:r>
          <w:proofErr w:type="spellEnd"/>
          <w:r w:rsidR="009F00B1">
            <w:rPr>
              <w:b/>
            </w:rPr>
            <w:t>/</w:t>
          </w:r>
          <w:proofErr w:type="spellStart"/>
          <w:r w:rsidR="009F00B1">
            <w:rPr>
              <w:b/>
            </w:rPr>
            <w:t>WP.5</w:t>
          </w:r>
          <w:proofErr w:type="spellEnd"/>
          <w:r w:rsidR="009F00B1">
            <w:rPr>
              <w:b/>
            </w:rPr>
            <w:t>/2015/6</w:t>
          </w:r>
          <w:r>
            <w:rPr>
              <w:b/>
            </w:rPr>
            <w:fldChar w:fldCharType="end"/>
          </w:r>
        </w:p>
      </w:tc>
    </w:tr>
  </w:tbl>
  <w:p w:rsidR="00E211E1" w:rsidRPr="00E211E1" w:rsidRDefault="00E211E1" w:rsidP="00E211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E211E1" w:rsidTr="00E211E1">
      <w:trPr>
        <w:trHeight w:hRule="exact" w:val="864"/>
      </w:trPr>
      <w:tc>
        <w:tcPr>
          <w:tcW w:w="4421" w:type="dxa"/>
          <w:gridSpan w:val="2"/>
          <w:tcBorders>
            <w:bottom w:val="single" w:sz="4" w:space="0" w:color="auto"/>
          </w:tcBorders>
          <w:shd w:val="clear" w:color="auto" w:fill="auto"/>
          <w:vAlign w:val="bottom"/>
        </w:tcPr>
        <w:p w:rsidR="00E211E1" w:rsidRPr="00E211E1" w:rsidRDefault="00E211E1" w:rsidP="00E211E1">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E211E1" w:rsidRDefault="00E211E1" w:rsidP="00E211E1">
          <w:pPr>
            <w:pStyle w:val="Header"/>
            <w:spacing w:after="120"/>
          </w:pPr>
        </w:p>
      </w:tc>
      <w:tc>
        <w:tcPr>
          <w:tcW w:w="5357" w:type="dxa"/>
          <w:gridSpan w:val="3"/>
          <w:tcBorders>
            <w:bottom w:val="single" w:sz="4" w:space="0" w:color="auto"/>
          </w:tcBorders>
          <w:shd w:val="clear" w:color="auto" w:fill="auto"/>
          <w:vAlign w:val="bottom"/>
        </w:tcPr>
        <w:p w:rsidR="00E211E1" w:rsidRPr="00E211E1" w:rsidRDefault="00E211E1" w:rsidP="00E211E1">
          <w:pPr>
            <w:pStyle w:val="Header"/>
            <w:spacing w:after="20"/>
            <w:jc w:val="right"/>
            <w:rPr>
              <w:sz w:val="20"/>
            </w:rPr>
          </w:pPr>
          <w:r>
            <w:rPr>
              <w:sz w:val="40"/>
            </w:rPr>
            <w:t>ECE</w:t>
          </w:r>
          <w:r>
            <w:rPr>
              <w:sz w:val="20"/>
            </w:rPr>
            <w:t>/TRANS/WP.5/2015/6</w:t>
          </w:r>
        </w:p>
      </w:tc>
    </w:tr>
    <w:tr w:rsidR="00E211E1" w:rsidRPr="007E2088" w:rsidTr="00E211E1">
      <w:trPr>
        <w:trHeight w:hRule="exact" w:val="2880"/>
      </w:trPr>
      <w:tc>
        <w:tcPr>
          <w:tcW w:w="1267" w:type="dxa"/>
          <w:tcBorders>
            <w:top w:val="single" w:sz="4" w:space="0" w:color="auto"/>
            <w:bottom w:val="single" w:sz="12" w:space="0" w:color="auto"/>
          </w:tcBorders>
          <w:shd w:val="clear" w:color="auto" w:fill="auto"/>
        </w:tcPr>
        <w:p w:rsidR="00E211E1" w:rsidRPr="00E211E1" w:rsidRDefault="00E211E1" w:rsidP="00E211E1">
          <w:pPr>
            <w:pStyle w:val="Header"/>
            <w:spacing w:before="120"/>
            <w:jc w:val="center"/>
          </w:pPr>
          <w:r>
            <w:t xml:space="preserve"> </w:t>
          </w:r>
          <w:r>
            <w:rPr>
              <w:noProof/>
              <w:lang w:val="en-GB" w:eastAsia="en-GB"/>
            </w:rPr>
            <w:drawing>
              <wp:inline distT="0" distB="0" distL="0" distR="0" wp14:anchorId="3AE3653B" wp14:editId="40AF660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211E1" w:rsidRPr="00E211E1" w:rsidRDefault="00E211E1" w:rsidP="00E211E1">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E211E1" w:rsidRPr="00E211E1" w:rsidRDefault="00E211E1" w:rsidP="00E211E1">
          <w:pPr>
            <w:pStyle w:val="Header"/>
            <w:spacing w:before="109"/>
          </w:pPr>
        </w:p>
      </w:tc>
      <w:tc>
        <w:tcPr>
          <w:tcW w:w="3280" w:type="dxa"/>
          <w:tcBorders>
            <w:top w:val="single" w:sz="4" w:space="0" w:color="auto"/>
            <w:bottom w:val="single" w:sz="12" w:space="0" w:color="auto"/>
          </w:tcBorders>
          <w:shd w:val="clear" w:color="auto" w:fill="auto"/>
        </w:tcPr>
        <w:p w:rsidR="00E211E1" w:rsidRPr="008C7CF0" w:rsidRDefault="00E211E1" w:rsidP="00E211E1">
          <w:pPr>
            <w:pStyle w:val="Distribution"/>
            <w:rPr>
              <w:color w:val="000000"/>
              <w:lang w:val="en-US"/>
            </w:rPr>
          </w:pPr>
          <w:r w:rsidRPr="008C7CF0">
            <w:rPr>
              <w:color w:val="000000"/>
              <w:lang w:val="en-US"/>
            </w:rPr>
            <w:t>Distr.: General</w:t>
          </w:r>
        </w:p>
        <w:p w:rsidR="00E211E1" w:rsidRPr="008C7CF0" w:rsidRDefault="00E211E1" w:rsidP="00E211E1">
          <w:pPr>
            <w:pStyle w:val="Publication"/>
            <w:rPr>
              <w:color w:val="000000"/>
              <w:lang w:val="en-US"/>
            </w:rPr>
          </w:pPr>
          <w:r w:rsidRPr="008C7CF0">
            <w:rPr>
              <w:color w:val="000000"/>
              <w:lang w:val="en-US"/>
            </w:rPr>
            <w:t>29 June 2015</w:t>
          </w:r>
        </w:p>
        <w:p w:rsidR="00E211E1" w:rsidRPr="008C7CF0" w:rsidRDefault="00E211E1" w:rsidP="00E211E1">
          <w:pPr>
            <w:rPr>
              <w:color w:val="000000"/>
              <w:lang w:val="en-US"/>
            </w:rPr>
          </w:pPr>
          <w:r w:rsidRPr="008C7CF0">
            <w:rPr>
              <w:color w:val="000000"/>
              <w:lang w:val="en-US"/>
            </w:rPr>
            <w:t>Russian</w:t>
          </w:r>
        </w:p>
        <w:p w:rsidR="00E211E1" w:rsidRPr="008C7CF0" w:rsidRDefault="00E211E1" w:rsidP="00E211E1">
          <w:pPr>
            <w:pStyle w:val="Original"/>
            <w:rPr>
              <w:color w:val="000000"/>
              <w:lang w:val="en-US"/>
            </w:rPr>
          </w:pPr>
          <w:r w:rsidRPr="008C7CF0">
            <w:rPr>
              <w:color w:val="000000"/>
              <w:lang w:val="en-US"/>
            </w:rPr>
            <w:t>Original: English</w:t>
          </w:r>
        </w:p>
        <w:p w:rsidR="00E211E1" w:rsidRPr="008C7CF0" w:rsidRDefault="00E211E1" w:rsidP="00E211E1">
          <w:pPr>
            <w:rPr>
              <w:lang w:val="en-US"/>
            </w:rPr>
          </w:pPr>
        </w:p>
      </w:tc>
    </w:tr>
  </w:tbl>
  <w:p w:rsidR="00E211E1" w:rsidRPr="008C7CF0" w:rsidRDefault="00E211E1" w:rsidP="00E211E1">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revisionView w:markup="0"/>
  <w:defaultTabStop w:val="475"/>
  <w:autoHyphenation/>
  <w:hyphenationZone w:val="220"/>
  <w:doNotHyphenateCaps/>
  <w:evenAndOddHeaders/>
  <w:drawingGridHorizontalSpacing w:val="209"/>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0777*"/>
    <w:docVar w:name="CreationDt" w:val="7/22/2015 12:04 PM"/>
    <w:docVar w:name="DocCategory" w:val="Doc"/>
    <w:docVar w:name="DocType" w:val="Final"/>
    <w:docVar w:name="DutyStation" w:val="Geneva"/>
    <w:docVar w:name="FooterJN" w:val="GE.15-10777"/>
    <w:docVar w:name="jobn" w:val="GE.15-10777 (R)"/>
    <w:docVar w:name="jobnDT" w:val="GE.15-10777 (R)   220715"/>
    <w:docVar w:name="jobnDTDT" w:val="GE.15-10777 (R)   220715   220715"/>
    <w:docVar w:name="JobNo" w:val="GE.1510777R"/>
    <w:docVar w:name="JobNo2" w:val="1513777R"/>
    <w:docVar w:name="LocalDrive" w:val="0"/>
    <w:docVar w:name="OandT" w:val="U.A."/>
    <w:docVar w:name="PaperSize" w:val="A4"/>
    <w:docVar w:name="sss1" w:val="ECE/TRANS/WP.5/2015/6"/>
    <w:docVar w:name="sss2" w:val="-"/>
    <w:docVar w:name="Symbol1" w:val="ECE/TRANS/WP.5/2015/6"/>
    <w:docVar w:name="Symbol2" w:val="-"/>
  </w:docVars>
  <w:rsids>
    <w:rsidRoot w:val="003A0A39"/>
    <w:rsid w:val="00004615"/>
    <w:rsid w:val="00004756"/>
    <w:rsid w:val="00015201"/>
    <w:rsid w:val="00024A67"/>
    <w:rsid w:val="00025CF3"/>
    <w:rsid w:val="0002669B"/>
    <w:rsid w:val="00033C1F"/>
    <w:rsid w:val="000513EF"/>
    <w:rsid w:val="0005420D"/>
    <w:rsid w:val="00055EA2"/>
    <w:rsid w:val="00067A90"/>
    <w:rsid w:val="00070C37"/>
    <w:rsid w:val="000738BD"/>
    <w:rsid w:val="00076F88"/>
    <w:rsid w:val="0008067C"/>
    <w:rsid w:val="00092464"/>
    <w:rsid w:val="000A111E"/>
    <w:rsid w:val="000A4A11"/>
    <w:rsid w:val="000C069D"/>
    <w:rsid w:val="000C67BC"/>
    <w:rsid w:val="000E0F08"/>
    <w:rsid w:val="000E30BA"/>
    <w:rsid w:val="000E35C6"/>
    <w:rsid w:val="000E3712"/>
    <w:rsid w:val="000E4411"/>
    <w:rsid w:val="000F1ACD"/>
    <w:rsid w:val="000F5D07"/>
    <w:rsid w:val="00105B0E"/>
    <w:rsid w:val="00113678"/>
    <w:rsid w:val="001235FD"/>
    <w:rsid w:val="001444A3"/>
    <w:rsid w:val="00153645"/>
    <w:rsid w:val="00153E8C"/>
    <w:rsid w:val="00160648"/>
    <w:rsid w:val="00161F29"/>
    <w:rsid w:val="00162E88"/>
    <w:rsid w:val="001726A4"/>
    <w:rsid w:val="00175AC4"/>
    <w:rsid w:val="00177361"/>
    <w:rsid w:val="001802BD"/>
    <w:rsid w:val="00193822"/>
    <w:rsid w:val="0019704E"/>
    <w:rsid w:val="001A39EE"/>
    <w:rsid w:val="001A4338"/>
    <w:rsid w:val="001A6777"/>
    <w:rsid w:val="001C54CE"/>
    <w:rsid w:val="001D1749"/>
    <w:rsid w:val="001D2679"/>
    <w:rsid w:val="001D60ED"/>
    <w:rsid w:val="001E21CE"/>
    <w:rsid w:val="001E25A2"/>
    <w:rsid w:val="001E61AD"/>
    <w:rsid w:val="001E639C"/>
    <w:rsid w:val="001F4353"/>
    <w:rsid w:val="001F639D"/>
    <w:rsid w:val="00206603"/>
    <w:rsid w:val="002078A2"/>
    <w:rsid w:val="00211A7E"/>
    <w:rsid w:val="00215955"/>
    <w:rsid w:val="00217A24"/>
    <w:rsid w:val="00223C57"/>
    <w:rsid w:val="00242477"/>
    <w:rsid w:val="002524D1"/>
    <w:rsid w:val="002535D8"/>
    <w:rsid w:val="00254046"/>
    <w:rsid w:val="00261386"/>
    <w:rsid w:val="00261C41"/>
    <w:rsid w:val="00264124"/>
    <w:rsid w:val="00264A43"/>
    <w:rsid w:val="002726BA"/>
    <w:rsid w:val="00277697"/>
    <w:rsid w:val="00281B96"/>
    <w:rsid w:val="002A04A3"/>
    <w:rsid w:val="002A0BAE"/>
    <w:rsid w:val="002B6501"/>
    <w:rsid w:val="002B6E2A"/>
    <w:rsid w:val="002C0A4B"/>
    <w:rsid w:val="002C3DE6"/>
    <w:rsid w:val="002C66D0"/>
    <w:rsid w:val="002D396F"/>
    <w:rsid w:val="002D4606"/>
    <w:rsid w:val="002D666D"/>
    <w:rsid w:val="002E1F79"/>
    <w:rsid w:val="002F5C45"/>
    <w:rsid w:val="002F6149"/>
    <w:rsid w:val="00326F5F"/>
    <w:rsid w:val="00332D90"/>
    <w:rsid w:val="00333B06"/>
    <w:rsid w:val="00337D91"/>
    <w:rsid w:val="00346BFB"/>
    <w:rsid w:val="00350756"/>
    <w:rsid w:val="003542EE"/>
    <w:rsid w:val="00362FFE"/>
    <w:rsid w:val="003658B0"/>
    <w:rsid w:val="0038044D"/>
    <w:rsid w:val="00384AEE"/>
    <w:rsid w:val="0038527A"/>
    <w:rsid w:val="00391367"/>
    <w:rsid w:val="0039505F"/>
    <w:rsid w:val="003A0A39"/>
    <w:rsid w:val="003A150E"/>
    <w:rsid w:val="003A2730"/>
    <w:rsid w:val="003B16B4"/>
    <w:rsid w:val="003B5A03"/>
    <w:rsid w:val="003C12AC"/>
    <w:rsid w:val="003C2842"/>
    <w:rsid w:val="003D0825"/>
    <w:rsid w:val="003D2003"/>
    <w:rsid w:val="003D5DA2"/>
    <w:rsid w:val="003E5193"/>
    <w:rsid w:val="00402244"/>
    <w:rsid w:val="00427FE5"/>
    <w:rsid w:val="00433222"/>
    <w:rsid w:val="00436A23"/>
    <w:rsid w:val="00436F13"/>
    <w:rsid w:val="004420FB"/>
    <w:rsid w:val="00445A4E"/>
    <w:rsid w:val="004504A6"/>
    <w:rsid w:val="00460D23"/>
    <w:rsid w:val="004645DD"/>
    <w:rsid w:val="0047759D"/>
    <w:rsid w:val="00487893"/>
    <w:rsid w:val="0049612D"/>
    <w:rsid w:val="004964B8"/>
    <w:rsid w:val="004A21EE"/>
    <w:rsid w:val="004A36EE"/>
    <w:rsid w:val="004A7499"/>
    <w:rsid w:val="004B1314"/>
    <w:rsid w:val="004B722C"/>
    <w:rsid w:val="004C1B79"/>
    <w:rsid w:val="004C6A2C"/>
    <w:rsid w:val="004D275F"/>
    <w:rsid w:val="004D474D"/>
    <w:rsid w:val="004D6276"/>
    <w:rsid w:val="004D656E"/>
    <w:rsid w:val="004E6443"/>
    <w:rsid w:val="004E7743"/>
    <w:rsid w:val="00504669"/>
    <w:rsid w:val="005058E0"/>
    <w:rsid w:val="00511EAC"/>
    <w:rsid w:val="005121DC"/>
    <w:rsid w:val="00513113"/>
    <w:rsid w:val="00515869"/>
    <w:rsid w:val="005214BA"/>
    <w:rsid w:val="00522E6D"/>
    <w:rsid w:val="00524A24"/>
    <w:rsid w:val="005251C4"/>
    <w:rsid w:val="00526E12"/>
    <w:rsid w:val="00533411"/>
    <w:rsid w:val="005427EA"/>
    <w:rsid w:val="00545562"/>
    <w:rsid w:val="0054563F"/>
    <w:rsid w:val="005469E1"/>
    <w:rsid w:val="00552E08"/>
    <w:rsid w:val="005635F7"/>
    <w:rsid w:val="00563A41"/>
    <w:rsid w:val="0056579C"/>
    <w:rsid w:val="00567706"/>
    <w:rsid w:val="00572298"/>
    <w:rsid w:val="005734C2"/>
    <w:rsid w:val="00574AA1"/>
    <w:rsid w:val="0057633B"/>
    <w:rsid w:val="00577545"/>
    <w:rsid w:val="00585859"/>
    <w:rsid w:val="00590EDF"/>
    <w:rsid w:val="005933CB"/>
    <w:rsid w:val="00593E2F"/>
    <w:rsid w:val="005A002C"/>
    <w:rsid w:val="005A1D01"/>
    <w:rsid w:val="005A5601"/>
    <w:rsid w:val="005A62A9"/>
    <w:rsid w:val="005A7964"/>
    <w:rsid w:val="005B064E"/>
    <w:rsid w:val="005B499C"/>
    <w:rsid w:val="005C0440"/>
    <w:rsid w:val="005D38B6"/>
    <w:rsid w:val="005D7642"/>
    <w:rsid w:val="005E0A46"/>
    <w:rsid w:val="005E3D0D"/>
    <w:rsid w:val="005E7DCF"/>
    <w:rsid w:val="005F02E0"/>
    <w:rsid w:val="005F6E5C"/>
    <w:rsid w:val="00602F9D"/>
    <w:rsid w:val="0060593E"/>
    <w:rsid w:val="0061344F"/>
    <w:rsid w:val="00616B8D"/>
    <w:rsid w:val="006261A6"/>
    <w:rsid w:val="0062751F"/>
    <w:rsid w:val="00632AFD"/>
    <w:rsid w:val="0063491E"/>
    <w:rsid w:val="00634A27"/>
    <w:rsid w:val="00635AF8"/>
    <w:rsid w:val="006409EF"/>
    <w:rsid w:val="00646363"/>
    <w:rsid w:val="00647668"/>
    <w:rsid w:val="00655212"/>
    <w:rsid w:val="00657EE4"/>
    <w:rsid w:val="006816AA"/>
    <w:rsid w:val="00682A27"/>
    <w:rsid w:val="00684FCA"/>
    <w:rsid w:val="0069689E"/>
    <w:rsid w:val="006A1698"/>
    <w:rsid w:val="006A1D06"/>
    <w:rsid w:val="006A3F10"/>
    <w:rsid w:val="006A71EB"/>
    <w:rsid w:val="006B34CB"/>
    <w:rsid w:val="006B452C"/>
    <w:rsid w:val="006B590B"/>
    <w:rsid w:val="006C59D5"/>
    <w:rsid w:val="006D58BE"/>
    <w:rsid w:val="006E1418"/>
    <w:rsid w:val="006F1B3F"/>
    <w:rsid w:val="006F3683"/>
    <w:rsid w:val="00700738"/>
    <w:rsid w:val="00705549"/>
    <w:rsid w:val="0071210D"/>
    <w:rsid w:val="00716BC5"/>
    <w:rsid w:val="007170E5"/>
    <w:rsid w:val="00723115"/>
    <w:rsid w:val="00724550"/>
    <w:rsid w:val="00731830"/>
    <w:rsid w:val="00736A19"/>
    <w:rsid w:val="00743C8D"/>
    <w:rsid w:val="00745258"/>
    <w:rsid w:val="0077374B"/>
    <w:rsid w:val="007746A3"/>
    <w:rsid w:val="007766E6"/>
    <w:rsid w:val="00781ACA"/>
    <w:rsid w:val="00785F8F"/>
    <w:rsid w:val="00787B44"/>
    <w:rsid w:val="00790CD9"/>
    <w:rsid w:val="00791F20"/>
    <w:rsid w:val="00795A5A"/>
    <w:rsid w:val="00796EC3"/>
    <w:rsid w:val="007B098D"/>
    <w:rsid w:val="007B1DE5"/>
    <w:rsid w:val="007B5785"/>
    <w:rsid w:val="007B5CF3"/>
    <w:rsid w:val="007B67AE"/>
    <w:rsid w:val="007C62D1"/>
    <w:rsid w:val="007C706F"/>
    <w:rsid w:val="007C7320"/>
    <w:rsid w:val="007E0E39"/>
    <w:rsid w:val="007E2088"/>
    <w:rsid w:val="007E2B60"/>
    <w:rsid w:val="007F0E54"/>
    <w:rsid w:val="007F5107"/>
    <w:rsid w:val="00803EC5"/>
    <w:rsid w:val="008040BA"/>
    <w:rsid w:val="008042D6"/>
    <w:rsid w:val="00806380"/>
    <w:rsid w:val="008106B4"/>
    <w:rsid w:val="00821CE2"/>
    <w:rsid w:val="00830FF8"/>
    <w:rsid w:val="00833A04"/>
    <w:rsid w:val="00833B8D"/>
    <w:rsid w:val="00843750"/>
    <w:rsid w:val="00844407"/>
    <w:rsid w:val="00853E2A"/>
    <w:rsid w:val="008541E9"/>
    <w:rsid w:val="00856EEB"/>
    <w:rsid w:val="008739EB"/>
    <w:rsid w:val="008776BB"/>
    <w:rsid w:val="00880540"/>
    <w:rsid w:val="0088396E"/>
    <w:rsid w:val="008A1A7A"/>
    <w:rsid w:val="008A45EE"/>
    <w:rsid w:val="008B0632"/>
    <w:rsid w:val="008B08A3"/>
    <w:rsid w:val="008B4F64"/>
    <w:rsid w:val="008B53C0"/>
    <w:rsid w:val="008B5F7F"/>
    <w:rsid w:val="008B64B1"/>
    <w:rsid w:val="008B6A49"/>
    <w:rsid w:val="008B709D"/>
    <w:rsid w:val="008C11F5"/>
    <w:rsid w:val="008C2A03"/>
    <w:rsid w:val="008C6372"/>
    <w:rsid w:val="008C7CF0"/>
    <w:rsid w:val="008D0CE3"/>
    <w:rsid w:val="008E7A0A"/>
    <w:rsid w:val="008F12FD"/>
    <w:rsid w:val="008F13EA"/>
    <w:rsid w:val="008F24E6"/>
    <w:rsid w:val="00904F3C"/>
    <w:rsid w:val="0090623F"/>
    <w:rsid w:val="00906702"/>
    <w:rsid w:val="00907EDB"/>
    <w:rsid w:val="009110C5"/>
    <w:rsid w:val="00912FB5"/>
    <w:rsid w:val="00915944"/>
    <w:rsid w:val="009228D9"/>
    <w:rsid w:val="009327BF"/>
    <w:rsid w:val="00934047"/>
    <w:rsid w:val="00935F33"/>
    <w:rsid w:val="0094745A"/>
    <w:rsid w:val="00952B5F"/>
    <w:rsid w:val="00953546"/>
    <w:rsid w:val="0095649D"/>
    <w:rsid w:val="009565AD"/>
    <w:rsid w:val="00963BDB"/>
    <w:rsid w:val="00984EE4"/>
    <w:rsid w:val="0099354F"/>
    <w:rsid w:val="009B16EA"/>
    <w:rsid w:val="009B3444"/>
    <w:rsid w:val="009B5DCD"/>
    <w:rsid w:val="009B5EE6"/>
    <w:rsid w:val="009B7193"/>
    <w:rsid w:val="009C20B9"/>
    <w:rsid w:val="009C382E"/>
    <w:rsid w:val="009D28B9"/>
    <w:rsid w:val="009D6E3D"/>
    <w:rsid w:val="009F00B1"/>
    <w:rsid w:val="009F0808"/>
    <w:rsid w:val="00A1426A"/>
    <w:rsid w:val="00A14F1D"/>
    <w:rsid w:val="00A1703F"/>
    <w:rsid w:val="00A2180A"/>
    <w:rsid w:val="00A22293"/>
    <w:rsid w:val="00A344D5"/>
    <w:rsid w:val="00A46574"/>
    <w:rsid w:val="00A471A3"/>
    <w:rsid w:val="00A47B1B"/>
    <w:rsid w:val="00A63339"/>
    <w:rsid w:val="00A90F41"/>
    <w:rsid w:val="00A910E7"/>
    <w:rsid w:val="00A93B3B"/>
    <w:rsid w:val="00A951DD"/>
    <w:rsid w:val="00A9600A"/>
    <w:rsid w:val="00A96C80"/>
    <w:rsid w:val="00AA0ABF"/>
    <w:rsid w:val="00AA27C2"/>
    <w:rsid w:val="00AB49FD"/>
    <w:rsid w:val="00AC271B"/>
    <w:rsid w:val="00AD12DB"/>
    <w:rsid w:val="00AD6322"/>
    <w:rsid w:val="00AD6752"/>
    <w:rsid w:val="00AD78B1"/>
    <w:rsid w:val="00AF0B91"/>
    <w:rsid w:val="00AF1A65"/>
    <w:rsid w:val="00AF3B70"/>
    <w:rsid w:val="00B02086"/>
    <w:rsid w:val="00B03D42"/>
    <w:rsid w:val="00B17439"/>
    <w:rsid w:val="00B17940"/>
    <w:rsid w:val="00B17A11"/>
    <w:rsid w:val="00B2296A"/>
    <w:rsid w:val="00B2472B"/>
    <w:rsid w:val="00B2753B"/>
    <w:rsid w:val="00B33139"/>
    <w:rsid w:val="00B36652"/>
    <w:rsid w:val="00B47187"/>
    <w:rsid w:val="00B5129B"/>
    <w:rsid w:val="00B56376"/>
    <w:rsid w:val="00B5741E"/>
    <w:rsid w:val="00B606B7"/>
    <w:rsid w:val="00B62C69"/>
    <w:rsid w:val="00B666EC"/>
    <w:rsid w:val="00B77560"/>
    <w:rsid w:val="00B77FC0"/>
    <w:rsid w:val="00BA32D8"/>
    <w:rsid w:val="00BB052D"/>
    <w:rsid w:val="00BB1F92"/>
    <w:rsid w:val="00BB5B7F"/>
    <w:rsid w:val="00BB7E8A"/>
    <w:rsid w:val="00BC20A0"/>
    <w:rsid w:val="00BC75AA"/>
    <w:rsid w:val="00BD0770"/>
    <w:rsid w:val="00BD2F16"/>
    <w:rsid w:val="00BE2488"/>
    <w:rsid w:val="00BE2D25"/>
    <w:rsid w:val="00BE448A"/>
    <w:rsid w:val="00BE531D"/>
    <w:rsid w:val="00BF0A83"/>
    <w:rsid w:val="00BF2725"/>
    <w:rsid w:val="00BF3D60"/>
    <w:rsid w:val="00BF5FCB"/>
    <w:rsid w:val="00C00290"/>
    <w:rsid w:val="00C05FFF"/>
    <w:rsid w:val="00C16B93"/>
    <w:rsid w:val="00C2210E"/>
    <w:rsid w:val="00C2524E"/>
    <w:rsid w:val="00C32802"/>
    <w:rsid w:val="00C40B0B"/>
    <w:rsid w:val="00C41B6F"/>
    <w:rsid w:val="00C42BBF"/>
    <w:rsid w:val="00C45A45"/>
    <w:rsid w:val="00C50728"/>
    <w:rsid w:val="00C56B0F"/>
    <w:rsid w:val="00C60105"/>
    <w:rsid w:val="00C623BF"/>
    <w:rsid w:val="00C62B8D"/>
    <w:rsid w:val="00C6396F"/>
    <w:rsid w:val="00C640D1"/>
    <w:rsid w:val="00C64551"/>
    <w:rsid w:val="00C65540"/>
    <w:rsid w:val="00C7011D"/>
    <w:rsid w:val="00C70D59"/>
    <w:rsid w:val="00C7432F"/>
    <w:rsid w:val="00C77473"/>
    <w:rsid w:val="00C856F4"/>
    <w:rsid w:val="00C91210"/>
    <w:rsid w:val="00C96443"/>
    <w:rsid w:val="00CA2CF3"/>
    <w:rsid w:val="00CB519E"/>
    <w:rsid w:val="00CC00D8"/>
    <w:rsid w:val="00CC3D89"/>
    <w:rsid w:val="00CC5B37"/>
    <w:rsid w:val="00CD2ED3"/>
    <w:rsid w:val="00CD3C62"/>
    <w:rsid w:val="00CE4211"/>
    <w:rsid w:val="00CF021B"/>
    <w:rsid w:val="00CF066B"/>
    <w:rsid w:val="00CF07BE"/>
    <w:rsid w:val="00CF5B33"/>
    <w:rsid w:val="00D028FF"/>
    <w:rsid w:val="00D03ECD"/>
    <w:rsid w:val="00D05963"/>
    <w:rsid w:val="00D07231"/>
    <w:rsid w:val="00D11640"/>
    <w:rsid w:val="00D1470E"/>
    <w:rsid w:val="00D20AA4"/>
    <w:rsid w:val="00D25A7B"/>
    <w:rsid w:val="00D31A3D"/>
    <w:rsid w:val="00D32157"/>
    <w:rsid w:val="00D434AF"/>
    <w:rsid w:val="00D44FA6"/>
    <w:rsid w:val="00D554C9"/>
    <w:rsid w:val="00D61BB7"/>
    <w:rsid w:val="00D62DA9"/>
    <w:rsid w:val="00D70D97"/>
    <w:rsid w:val="00D7165D"/>
    <w:rsid w:val="00D75705"/>
    <w:rsid w:val="00D961D6"/>
    <w:rsid w:val="00D97B17"/>
    <w:rsid w:val="00DA1A4A"/>
    <w:rsid w:val="00DA4AFE"/>
    <w:rsid w:val="00DA4BD0"/>
    <w:rsid w:val="00DB326E"/>
    <w:rsid w:val="00DC1E7E"/>
    <w:rsid w:val="00DC3438"/>
    <w:rsid w:val="00DC7A5F"/>
    <w:rsid w:val="00DD6A66"/>
    <w:rsid w:val="00DE0D15"/>
    <w:rsid w:val="00DF1CF0"/>
    <w:rsid w:val="00DF6656"/>
    <w:rsid w:val="00DF7388"/>
    <w:rsid w:val="00E04C73"/>
    <w:rsid w:val="00E079A3"/>
    <w:rsid w:val="00E12674"/>
    <w:rsid w:val="00E132AC"/>
    <w:rsid w:val="00E15CCC"/>
    <w:rsid w:val="00E15D7D"/>
    <w:rsid w:val="00E17234"/>
    <w:rsid w:val="00E211E1"/>
    <w:rsid w:val="00E23ABA"/>
    <w:rsid w:val="00E261F5"/>
    <w:rsid w:val="00E34A5B"/>
    <w:rsid w:val="00E4741B"/>
    <w:rsid w:val="00E478DE"/>
    <w:rsid w:val="00E5226F"/>
    <w:rsid w:val="00E53135"/>
    <w:rsid w:val="00E54D94"/>
    <w:rsid w:val="00E6111E"/>
    <w:rsid w:val="00E616D0"/>
    <w:rsid w:val="00E62CCE"/>
    <w:rsid w:val="00E64F51"/>
    <w:rsid w:val="00E65C07"/>
    <w:rsid w:val="00E8225E"/>
    <w:rsid w:val="00E86497"/>
    <w:rsid w:val="00E90547"/>
    <w:rsid w:val="00E970B0"/>
    <w:rsid w:val="00EA1656"/>
    <w:rsid w:val="00EA1819"/>
    <w:rsid w:val="00EA255B"/>
    <w:rsid w:val="00EB1F66"/>
    <w:rsid w:val="00EB646E"/>
    <w:rsid w:val="00EC34C1"/>
    <w:rsid w:val="00EC6F5D"/>
    <w:rsid w:val="00EC7A61"/>
    <w:rsid w:val="00ED1C96"/>
    <w:rsid w:val="00EE3586"/>
    <w:rsid w:val="00EE4D2B"/>
    <w:rsid w:val="00EE7954"/>
    <w:rsid w:val="00EF1FBD"/>
    <w:rsid w:val="00F07943"/>
    <w:rsid w:val="00F07DDF"/>
    <w:rsid w:val="00F16256"/>
    <w:rsid w:val="00F231E8"/>
    <w:rsid w:val="00F26EA8"/>
    <w:rsid w:val="00F30632"/>
    <w:rsid w:val="00F33544"/>
    <w:rsid w:val="00F35ACF"/>
    <w:rsid w:val="00F51C87"/>
    <w:rsid w:val="00F5214D"/>
    <w:rsid w:val="00F624BD"/>
    <w:rsid w:val="00F62A5E"/>
    <w:rsid w:val="00F634A6"/>
    <w:rsid w:val="00F6634F"/>
    <w:rsid w:val="00F72CD1"/>
    <w:rsid w:val="00F74A39"/>
    <w:rsid w:val="00F8138E"/>
    <w:rsid w:val="00F84E5C"/>
    <w:rsid w:val="00F85203"/>
    <w:rsid w:val="00F87D5A"/>
    <w:rsid w:val="00F87EF6"/>
    <w:rsid w:val="00F92676"/>
    <w:rsid w:val="00F94262"/>
    <w:rsid w:val="00F9616B"/>
    <w:rsid w:val="00F979A8"/>
    <w:rsid w:val="00FA1B93"/>
    <w:rsid w:val="00FA5551"/>
    <w:rsid w:val="00FA7C7A"/>
    <w:rsid w:val="00FD213B"/>
    <w:rsid w:val="00FD3CE8"/>
    <w:rsid w:val="00FD5B91"/>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uiPriority="1"/>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515869"/>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unhideWhenUsed/>
    <w:rsid w:val="00EC6F5D"/>
    <w:rPr>
      <w:spacing w:val="-5"/>
      <w:w w:val="130"/>
      <w:position w:val="-4"/>
      <w:vertAlign w:val="superscript"/>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545562"/>
    <w:pPr>
      <w:numPr>
        <w:numId w:val="8"/>
      </w:numPr>
      <w:tabs>
        <w:tab w:val="left" w:pos="2217"/>
      </w:tabs>
      <w:spacing w:after="120"/>
      <w:ind w:left="1746" w:right="1264" w:hanging="130"/>
      <w:jc w:val="both"/>
    </w:pPr>
  </w:style>
  <w:style w:type="paragraph" w:customStyle="1" w:styleId="Bullet2">
    <w:name w:val="Bullet 2"/>
    <w:basedOn w:val="Normal"/>
    <w:qFormat/>
    <w:rsid w:val="00545562"/>
    <w:pPr>
      <w:numPr>
        <w:numId w:val="9"/>
      </w:numPr>
      <w:tabs>
        <w:tab w:val="left" w:pos="2217"/>
      </w:tabs>
      <w:spacing w:after="120"/>
      <w:ind w:left="2217" w:right="1264" w:hanging="130"/>
      <w:jc w:val="both"/>
    </w:pPr>
  </w:style>
  <w:style w:type="character" w:styleId="CommentReference">
    <w:name w:val="annotation reference"/>
    <w:basedOn w:val="DefaultParagraphFont"/>
    <w:uiPriority w:val="1"/>
    <w:semiHidden/>
    <w:unhideWhenUsed/>
    <w:rsid w:val="00E211E1"/>
    <w:rPr>
      <w:sz w:val="16"/>
      <w:szCs w:val="16"/>
    </w:rPr>
  </w:style>
  <w:style w:type="paragraph" w:styleId="CommentText">
    <w:name w:val="annotation text"/>
    <w:basedOn w:val="Normal"/>
    <w:link w:val="CommentTextChar"/>
    <w:uiPriority w:val="99"/>
    <w:semiHidden/>
    <w:unhideWhenUsed/>
    <w:rsid w:val="00E211E1"/>
    <w:pPr>
      <w:spacing w:line="240" w:lineRule="auto"/>
    </w:pPr>
    <w:rPr>
      <w:szCs w:val="20"/>
    </w:rPr>
  </w:style>
  <w:style w:type="character" w:customStyle="1" w:styleId="CommentTextChar">
    <w:name w:val="Comment Text Char"/>
    <w:basedOn w:val="DefaultParagraphFont"/>
    <w:link w:val="CommentText"/>
    <w:uiPriority w:val="99"/>
    <w:semiHidden/>
    <w:rsid w:val="00E211E1"/>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E211E1"/>
    <w:rPr>
      <w:b/>
      <w:bCs/>
    </w:rPr>
  </w:style>
  <w:style w:type="character" w:customStyle="1" w:styleId="CommentSubjectChar">
    <w:name w:val="Comment Subject Char"/>
    <w:basedOn w:val="CommentTextChar"/>
    <w:link w:val="CommentSubject"/>
    <w:uiPriority w:val="99"/>
    <w:semiHidden/>
    <w:rsid w:val="00E211E1"/>
    <w:rPr>
      <w:rFonts w:ascii="Times New Roman" w:hAnsi="Times New Roman" w:cs="Times New Roman"/>
      <w:b/>
      <w:bCs/>
      <w:spacing w:val="4"/>
      <w:w w:val="103"/>
      <w:kern w:val="14"/>
      <w:sz w:val="20"/>
      <w:szCs w:val="20"/>
      <w:lang w:val="ru-RU"/>
    </w:rPr>
  </w:style>
  <w:style w:type="paragraph" w:styleId="BalloonText">
    <w:name w:val="Balloon Text"/>
    <w:basedOn w:val="Normal"/>
    <w:link w:val="BalloonTextChar"/>
    <w:uiPriority w:val="99"/>
    <w:semiHidden/>
    <w:unhideWhenUsed/>
    <w:rsid w:val="00BF0A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A83"/>
    <w:rPr>
      <w:rFonts w:ascii="Tahoma" w:hAnsi="Tahoma" w:cs="Tahoma"/>
      <w:spacing w:val="4"/>
      <w:w w:val="103"/>
      <w:kern w:val="14"/>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uiPriority="1"/>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515869"/>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unhideWhenUsed/>
    <w:rsid w:val="00EC6F5D"/>
    <w:rPr>
      <w:spacing w:val="-5"/>
      <w:w w:val="130"/>
      <w:position w:val="-4"/>
      <w:vertAlign w:val="superscript"/>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545562"/>
    <w:pPr>
      <w:numPr>
        <w:numId w:val="8"/>
      </w:numPr>
      <w:tabs>
        <w:tab w:val="left" w:pos="2217"/>
      </w:tabs>
      <w:spacing w:after="120"/>
      <w:ind w:left="1746" w:right="1264" w:hanging="130"/>
      <w:jc w:val="both"/>
    </w:pPr>
  </w:style>
  <w:style w:type="paragraph" w:customStyle="1" w:styleId="Bullet2">
    <w:name w:val="Bullet 2"/>
    <w:basedOn w:val="Normal"/>
    <w:qFormat/>
    <w:rsid w:val="00545562"/>
    <w:pPr>
      <w:numPr>
        <w:numId w:val="9"/>
      </w:numPr>
      <w:tabs>
        <w:tab w:val="left" w:pos="2217"/>
      </w:tabs>
      <w:spacing w:after="120"/>
      <w:ind w:left="2217" w:right="1264" w:hanging="130"/>
      <w:jc w:val="both"/>
    </w:pPr>
  </w:style>
  <w:style w:type="character" w:styleId="CommentReference">
    <w:name w:val="annotation reference"/>
    <w:basedOn w:val="DefaultParagraphFont"/>
    <w:uiPriority w:val="1"/>
    <w:semiHidden/>
    <w:unhideWhenUsed/>
    <w:rsid w:val="00E211E1"/>
    <w:rPr>
      <w:sz w:val="16"/>
      <w:szCs w:val="16"/>
    </w:rPr>
  </w:style>
  <w:style w:type="paragraph" w:styleId="CommentText">
    <w:name w:val="annotation text"/>
    <w:basedOn w:val="Normal"/>
    <w:link w:val="CommentTextChar"/>
    <w:uiPriority w:val="99"/>
    <w:semiHidden/>
    <w:unhideWhenUsed/>
    <w:rsid w:val="00E211E1"/>
    <w:pPr>
      <w:spacing w:line="240" w:lineRule="auto"/>
    </w:pPr>
    <w:rPr>
      <w:szCs w:val="20"/>
    </w:rPr>
  </w:style>
  <w:style w:type="character" w:customStyle="1" w:styleId="CommentTextChar">
    <w:name w:val="Comment Text Char"/>
    <w:basedOn w:val="DefaultParagraphFont"/>
    <w:link w:val="CommentText"/>
    <w:uiPriority w:val="99"/>
    <w:semiHidden/>
    <w:rsid w:val="00E211E1"/>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E211E1"/>
    <w:rPr>
      <w:b/>
      <w:bCs/>
    </w:rPr>
  </w:style>
  <w:style w:type="character" w:customStyle="1" w:styleId="CommentSubjectChar">
    <w:name w:val="Comment Subject Char"/>
    <w:basedOn w:val="CommentTextChar"/>
    <w:link w:val="CommentSubject"/>
    <w:uiPriority w:val="99"/>
    <w:semiHidden/>
    <w:rsid w:val="00E211E1"/>
    <w:rPr>
      <w:rFonts w:ascii="Times New Roman" w:hAnsi="Times New Roman" w:cs="Times New Roman"/>
      <w:b/>
      <w:bCs/>
      <w:spacing w:val="4"/>
      <w:w w:val="103"/>
      <w:kern w:val="14"/>
      <w:sz w:val="20"/>
      <w:szCs w:val="20"/>
      <w:lang w:val="ru-RU"/>
    </w:rPr>
  </w:style>
  <w:style w:type="paragraph" w:styleId="BalloonText">
    <w:name w:val="Balloon Text"/>
    <w:basedOn w:val="Normal"/>
    <w:link w:val="BalloonTextChar"/>
    <w:uiPriority w:val="99"/>
    <w:semiHidden/>
    <w:unhideWhenUsed/>
    <w:rsid w:val="00BF0A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A83"/>
    <w:rPr>
      <w:rFonts w:ascii="Tahoma" w:hAnsi="Tahoma" w:cs="Tahoma"/>
      <w:spacing w:val="4"/>
      <w:w w:val="103"/>
      <w:kern w:val="14"/>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90059-9571-4B47-8A0B-5D591F536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3590</Words>
  <Characters>20469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24011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Uliana Antipova</dc:creator>
  <cp:lastModifiedBy>Maria Mostovets</cp:lastModifiedBy>
  <cp:revision>4</cp:revision>
  <cp:lastPrinted>2015-07-22T12:12:00Z</cp:lastPrinted>
  <dcterms:created xsi:type="dcterms:W3CDTF">2015-08-14T13:49:00Z</dcterms:created>
  <dcterms:modified xsi:type="dcterms:W3CDTF">2015-08-14T13:50:00Z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1510777R</vt:lpwstr>
  </property>
  <property fmtid="{D5CDD505-2E9C-101B-9397-08002B2CF9AE}" pid="3" name="ODSRefJobNo">
    <vt:lpwstr>1513777R</vt:lpwstr>
  </property>
  <property fmtid="{D5CDD505-2E9C-101B-9397-08002B2CF9AE}" pid="4" name="Symbol1">
    <vt:lpwstr>ECE/TRANS/WP.5/2015/6</vt:lpwstr>
  </property>
  <property fmtid="{D5CDD505-2E9C-101B-9397-08002B2CF9AE}" pid="5" name="Symbol2">
    <vt:lpwstr/>
  </property>
  <property fmtid="{D5CDD505-2E9C-101B-9397-08002B2CF9AE}" pid="6" name="Translator">
    <vt:lpwstr/>
  </property>
  <property fmtid="{D5CDD505-2E9C-101B-9397-08002B2CF9AE}" pid="7" name="Operator">
    <vt:lpwstr>U.A.</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29 June 2015</vt:lpwstr>
  </property>
  <property fmtid="{D5CDD505-2E9C-101B-9397-08002B2CF9AE}" pid="12" name="Original">
    <vt:lpwstr>English</vt:lpwstr>
  </property>
  <property fmtid="{D5CDD505-2E9C-101B-9397-08002B2CF9AE}" pid="13" name="Release Date">
    <vt:lpwstr>220715</vt:lpwstr>
  </property>
</Properties>
</file>