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CA" w:rsidRPr="00DF7033" w:rsidRDefault="00B350CA" w:rsidP="00B350CA">
      <w:pPr>
        <w:spacing w:line="60" w:lineRule="exact"/>
        <w:rPr>
          <w:color w:val="010000"/>
          <w:sz w:val="6"/>
        </w:rPr>
        <w:sectPr w:rsidR="00B350CA" w:rsidRPr="00DF7033" w:rsidSect="00B350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DF7033">
        <w:rPr>
          <w:rStyle w:val="CommentReference"/>
        </w:rPr>
        <w:commentReference w:id="0"/>
      </w:r>
      <w:bookmarkStart w:id="1" w:name="_GoBack"/>
      <w:bookmarkEnd w:id="1"/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DF7033">
        <w:rPr>
          <w:b/>
          <w:sz w:val="28"/>
          <w:szCs w:val="28"/>
        </w:rPr>
        <w:lastRenderedPageBreak/>
        <w:t>Европейская экономическая комиссия</w:t>
      </w:r>
    </w:p>
    <w:p w:rsidR="00DF7033" w:rsidRPr="00DF7033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DF7033">
        <w:rPr>
          <w:sz w:val="28"/>
          <w:szCs w:val="28"/>
        </w:rPr>
        <w:t>Комитет по внутреннему транспорту</w:t>
      </w:r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DF7033">
        <w:rPr>
          <w:b/>
          <w:sz w:val="24"/>
          <w:szCs w:val="24"/>
        </w:rPr>
        <w:t xml:space="preserve">Всемирный форум для согласования </w:t>
      </w:r>
      <w:r w:rsidRPr="00DF7033">
        <w:rPr>
          <w:b/>
          <w:sz w:val="24"/>
          <w:szCs w:val="24"/>
        </w:rPr>
        <w:br/>
        <w:t>правил в области транспортных средств</w:t>
      </w:r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4"/>
        </w:rPr>
      </w:pPr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DF7033">
        <w:rPr>
          <w:b/>
        </w:rPr>
        <w:t>Рабочая группа по общим предписаниям,</w:t>
      </w:r>
      <w:r w:rsidRPr="00DF7033">
        <w:rPr>
          <w:b/>
        </w:rPr>
        <w:br/>
        <w:t>касающимся безопасности</w:t>
      </w:r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DF7033" w:rsidRPr="00DF7033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DF7033">
        <w:rPr>
          <w:b/>
        </w:rPr>
        <w:t>109-я сессия</w:t>
      </w:r>
    </w:p>
    <w:p w:rsidR="00DF7033" w:rsidRPr="00DF7033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F7033">
        <w:t>Женева, 29 сентября – 2 октября 2015 года</w:t>
      </w:r>
    </w:p>
    <w:p w:rsidR="00DF7033" w:rsidRPr="00DF7033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F7033">
        <w:t>Пункт 13 предварительной повестки дня</w:t>
      </w:r>
    </w:p>
    <w:p w:rsidR="00B350CA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DF7033">
        <w:rPr>
          <w:b/>
        </w:rPr>
        <w:t>Правила № 118 (характеристики горения материалов)</w:t>
      </w:r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F7033" w:rsidRPr="00564C9A" w:rsidRDefault="00DF7033" w:rsidP="00DF703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F7033" w:rsidRPr="00564C9A" w:rsidRDefault="00DF7033" w:rsidP="00DF70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64C9A">
        <w:tab/>
      </w:r>
      <w:r w:rsidRPr="00564C9A">
        <w:tab/>
      </w:r>
      <w:r w:rsidRPr="00DF7033">
        <w:t>Предложение по поправкам серии 03 к Правилам № 118 (характеристики горения материалов)</w:t>
      </w:r>
    </w:p>
    <w:p w:rsidR="00DF7033" w:rsidRPr="00564C9A" w:rsidRDefault="00DF7033" w:rsidP="00DF7033">
      <w:pPr>
        <w:pStyle w:val="SingleTxt"/>
        <w:spacing w:after="0" w:line="120" w:lineRule="exact"/>
        <w:rPr>
          <w:sz w:val="10"/>
        </w:rPr>
      </w:pPr>
    </w:p>
    <w:p w:rsidR="00DF7033" w:rsidRPr="00564C9A" w:rsidRDefault="00DF7033" w:rsidP="00DF7033">
      <w:pPr>
        <w:pStyle w:val="SingleTxt"/>
        <w:spacing w:after="0" w:line="120" w:lineRule="exact"/>
        <w:rPr>
          <w:sz w:val="10"/>
        </w:rPr>
      </w:pPr>
    </w:p>
    <w:p w:rsidR="00DF7033" w:rsidRPr="002017C7" w:rsidRDefault="00DF7033" w:rsidP="00DF703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564C9A">
        <w:tab/>
      </w:r>
      <w:r w:rsidRPr="00DF7033">
        <w:tab/>
        <w:t>Представлено экспертом от Германии</w:t>
      </w:r>
      <w:r w:rsidRPr="00564C9A">
        <w:rPr>
          <w:b w:val="0"/>
          <w:color w:val="943634" w:themeColor="accent2" w:themeShade="BF"/>
          <w:sz w:val="20"/>
          <w:szCs w:val="20"/>
        </w:rPr>
        <w:footnoteReference w:customMarkFollows="1" w:id="1"/>
        <w:t>*</w:t>
      </w:r>
    </w:p>
    <w:p w:rsidR="00DF7033" w:rsidRPr="002017C7" w:rsidRDefault="00DF7033" w:rsidP="00DF7033">
      <w:pPr>
        <w:pStyle w:val="SingleTxt"/>
        <w:spacing w:after="0" w:line="120" w:lineRule="exact"/>
        <w:rPr>
          <w:sz w:val="10"/>
        </w:rPr>
      </w:pPr>
    </w:p>
    <w:p w:rsidR="00DF7033" w:rsidRPr="002017C7" w:rsidRDefault="00DF7033" w:rsidP="00DF7033">
      <w:pPr>
        <w:pStyle w:val="SingleTxt"/>
        <w:spacing w:after="0" w:line="120" w:lineRule="exact"/>
        <w:rPr>
          <w:sz w:val="10"/>
        </w:rPr>
      </w:pPr>
    </w:p>
    <w:p w:rsidR="00DF7033" w:rsidRPr="003A16B4" w:rsidRDefault="00DF7033" w:rsidP="00DF7033">
      <w:pPr>
        <w:pStyle w:val="SingleTxt"/>
      </w:pPr>
      <w:r w:rsidRPr="002017C7">
        <w:tab/>
      </w:r>
      <w:r w:rsidRPr="00DF7033">
        <w:t>Воспроизведенный ниже текст был подготовлен экспертом от Германии для уточнения сферы действия и порядка применения Правил № 118 ООН. В его о</w:t>
      </w:r>
      <w:r w:rsidRPr="00DF7033">
        <w:t>с</w:t>
      </w:r>
      <w:r w:rsidRPr="00DF7033">
        <w:t xml:space="preserve">нову положены документ </w:t>
      </w:r>
      <w:r w:rsidRPr="00DF7033">
        <w:rPr>
          <w:lang w:val="en-GB"/>
        </w:rPr>
        <w:t>ECE</w:t>
      </w:r>
      <w:r w:rsidRPr="00DF7033">
        <w:t>/</w:t>
      </w:r>
      <w:r w:rsidRPr="00DF7033">
        <w:rPr>
          <w:lang w:val="en-GB"/>
        </w:rPr>
        <w:t>TRANS</w:t>
      </w:r>
      <w:r w:rsidRPr="00DF7033">
        <w:t>/</w:t>
      </w:r>
      <w:r w:rsidRPr="00DF7033">
        <w:rPr>
          <w:lang w:val="en-GB"/>
        </w:rPr>
        <w:t>WP</w:t>
      </w:r>
      <w:r w:rsidRPr="00DF7033">
        <w:t>.29/</w:t>
      </w:r>
      <w:r w:rsidRPr="00DF7033">
        <w:rPr>
          <w:lang w:val="en-GB"/>
        </w:rPr>
        <w:t>GRSG</w:t>
      </w:r>
      <w:r w:rsidRPr="00DF7033">
        <w:t>/2014/24, а также неофиц</w:t>
      </w:r>
      <w:r w:rsidRPr="00DF7033">
        <w:t>и</w:t>
      </w:r>
      <w:r w:rsidRPr="00DF7033">
        <w:t xml:space="preserve">альный документ </w:t>
      </w:r>
      <w:r w:rsidRPr="00DF7033">
        <w:rPr>
          <w:lang w:val="en-GB"/>
        </w:rPr>
        <w:t>GRSG</w:t>
      </w:r>
      <w:r w:rsidRPr="00DF7033">
        <w:t xml:space="preserve">-108-09, распространенный в ходе 108-й сессии </w:t>
      </w:r>
      <w:r w:rsidRPr="00DF7033">
        <w:rPr>
          <w:bCs/>
        </w:rPr>
        <w:t xml:space="preserve">Рабочей группы по общим предписаниям, касающимся безопасности </w:t>
      </w:r>
      <w:r w:rsidRPr="00DF7033">
        <w:t>(</w:t>
      </w:r>
      <w:r w:rsidRPr="00DF7033">
        <w:rPr>
          <w:lang w:val="en-GB"/>
        </w:rPr>
        <w:t>GRSG</w:t>
      </w:r>
      <w:r w:rsidRPr="00DF7033">
        <w:t xml:space="preserve">) (см. доклад </w:t>
      </w:r>
      <w:r w:rsidRPr="00DF7033">
        <w:rPr>
          <w:lang w:val="en-GB"/>
        </w:rPr>
        <w:t>ECE</w:t>
      </w:r>
      <w:r w:rsidRPr="00DF7033">
        <w:t>/</w:t>
      </w:r>
      <w:r w:rsidRPr="00DF7033">
        <w:rPr>
          <w:lang w:val="en-GB"/>
        </w:rPr>
        <w:t>TRANS</w:t>
      </w:r>
      <w:r w:rsidRPr="00DF7033">
        <w:t>/</w:t>
      </w:r>
      <w:r w:rsidRPr="00DF7033">
        <w:rPr>
          <w:lang w:val="en-GB"/>
        </w:rPr>
        <w:t>WP</w:t>
      </w:r>
      <w:r w:rsidRPr="00DF7033">
        <w:t>.29/</w:t>
      </w:r>
      <w:r w:rsidRPr="00DF7033">
        <w:rPr>
          <w:lang w:val="en-GB"/>
        </w:rPr>
        <w:t>GRSG</w:t>
      </w:r>
      <w:r w:rsidRPr="00DF7033">
        <w:t>/87, пункт 50). Изменения к нынешнему тексту Пр</w:t>
      </w:r>
      <w:r w:rsidRPr="00DF7033">
        <w:t>а</w:t>
      </w:r>
      <w:r w:rsidRPr="00DF7033">
        <w:t>вил</w:t>
      </w:r>
      <w:r w:rsidR="003A16B4">
        <w:rPr>
          <w:lang w:val="en-US"/>
        </w:rPr>
        <w:t> </w:t>
      </w:r>
      <w:r w:rsidRPr="00DF7033">
        <w:t>№ 118 выделены жирным шрифтом.</w:t>
      </w:r>
    </w:p>
    <w:p w:rsidR="003A16B4" w:rsidRPr="00564C9A" w:rsidRDefault="003A16B4" w:rsidP="003A16B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564C9A">
        <w:lastRenderedPageBreak/>
        <w:tab/>
      </w:r>
      <w:r w:rsidRPr="003A16B4">
        <w:rPr>
          <w:lang w:val="en-GB"/>
        </w:rPr>
        <w:t>I</w:t>
      </w:r>
      <w:r w:rsidRPr="003A16B4">
        <w:t>.</w:t>
      </w:r>
      <w:r w:rsidRPr="003A16B4">
        <w:tab/>
        <w:t>Предложение</w:t>
      </w:r>
    </w:p>
    <w:p w:rsidR="003A16B4" w:rsidRPr="00564C9A" w:rsidRDefault="003A16B4" w:rsidP="003A16B4">
      <w:pPr>
        <w:pStyle w:val="SingleTxt"/>
        <w:spacing w:after="0" w:line="120" w:lineRule="exact"/>
        <w:rPr>
          <w:sz w:val="10"/>
        </w:rPr>
      </w:pPr>
    </w:p>
    <w:p w:rsidR="003A16B4" w:rsidRPr="00564C9A" w:rsidRDefault="003A16B4" w:rsidP="003A16B4">
      <w:pPr>
        <w:pStyle w:val="SingleTxt"/>
        <w:spacing w:after="0" w:line="120" w:lineRule="exact"/>
        <w:rPr>
          <w:sz w:val="10"/>
        </w:rPr>
      </w:pPr>
    </w:p>
    <w:p w:rsidR="003A16B4" w:rsidRPr="003A16B4" w:rsidRDefault="003A16B4" w:rsidP="003A16B4">
      <w:pPr>
        <w:pStyle w:val="SingleTxt"/>
        <w:rPr>
          <w:iCs/>
        </w:rPr>
      </w:pPr>
      <w:r w:rsidRPr="003A16B4">
        <w:rPr>
          <w:i/>
        </w:rPr>
        <w:t>Содержание, пункт 5</w:t>
      </w:r>
      <w:r w:rsidRPr="003A16B4">
        <w:rPr>
          <w:iCs/>
        </w:rPr>
        <w:t xml:space="preserve"> </w:t>
      </w:r>
      <w:r w:rsidRPr="003A16B4">
        <w:t>изменить следующим образом</w:t>
      </w:r>
      <w:r w:rsidRPr="003A16B4">
        <w:rPr>
          <w:iCs/>
        </w:rPr>
        <w:t>:</w:t>
      </w:r>
    </w:p>
    <w:p w:rsidR="003A16B4" w:rsidRPr="003A16B4" w:rsidRDefault="003A16B4" w:rsidP="003A16B4">
      <w:pPr>
        <w:pStyle w:val="SingleTxt"/>
        <w:ind w:left="2218" w:hanging="951"/>
      </w:pPr>
      <w:r>
        <w:t>«</w:t>
      </w:r>
      <w:r w:rsidRPr="003A16B4">
        <w:t>5.</w:t>
      </w:r>
      <w:r w:rsidRPr="003A16B4">
        <w:tab/>
      </w:r>
      <w:r w:rsidRPr="003A16B4">
        <w:tab/>
        <w:t xml:space="preserve">Часть </w:t>
      </w:r>
      <w:r w:rsidRPr="003A16B4">
        <w:rPr>
          <w:lang w:val="en-GB"/>
        </w:rPr>
        <w:t>I</w:t>
      </w:r>
      <w:r w:rsidRPr="003A16B4">
        <w:t>: Официальное утверждение типа транспортного средства в о</w:t>
      </w:r>
      <w:r w:rsidRPr="003A16B4">
        <w:t>т</w:t>
      </w:r>
      <w:r w:rsidRPr="003A16B4">
        <w:t>ношении характеристик горения элементов оборудования, использу</w:t>
      </w:r>
      <w:r w:rsidRPr="003A16B4">
        <w:t>е</w:t>
      </w:r>
      <w:r w:rsidRPr="003A16B4">
        <w:t xml:space="preserve">мых во внутреннем отделении, моторном отсеке и любом отдельном отопительном отсеке, </w:t>
      </w:r>
      <w:r w:rsidRPr="003A16B4">
        <w:rPr>
          <w:b/>
          <w:bCs/>
        </w:rPr>
        <w:t xml:space="preserve">а также в отношении характеристик горения электропроводки и кабельных муфт или </w:t>
      </w:r>
      <w:proofErr w:type="spellStart"/>
      <w:r w:rsidRPr="003A16B4">
        <w:rPr>
          <w:b/>
          <w:bCs/>
        </w:rPr>
        <w:t>кабелепроводов</w:t>
      </w:r>
      <w:proofErr w:type="spellEnd"/>
      <w:r w:rsidRPr="003A16B4">
        <w:rPr>
          <w:b/>
          <w:bCs/>
        </w:rPr>
        <w:t>, испол</w:t>
      </w:r>
      <w:r w:rsidRPr="003A16B4">
        <w:rPr>
          <w:b/>
          <w:bCs/>
        </w:rPr>
        <w:t>ь</w:t>
      </w:r>
      <w:r w:rsidRPr="003A16B4">
        <w:rPr>
          <w:b/>
          <w:bCs/>
        </w:rPr>
        <w:t>зуемых в транспортном средстве,</w:t>
      </w:r>
      <w:r w:rsidRPr="003A16B4">
        <w:t xml:space="preserve"> и/или </w:t>
      </w:r>
      <w:proofErr w:type="spellStart"/>
      <w:r w:rsidRPr="003A16B4">
        <w:t>бенз</w:t>
      </w:r>
      <w:proofErr w:type="gramStart"/>
      <w:r w:rsidRPr="003A16B4">
        <w:t>о</w:t>
      </w:r>
      <w:proofErr w:type="spellEnd"/>
      <w:r w:rsidRPr="003A16B4">
        <w:t>-</w:t>
      </w:r>
      <w:proofErr w:type="gramEnd"/>
      <w:r w:rsidRPr="003A16B4">
        <w:t xml:space="preserve"> или </w:t>
      </w:r>
      <w:proofErr w:type="spellStart"/>
      <w:r w:rsidRPr="003A16B4">
        <w:t>маслоотталкив</w:t>
      </w:r>
      <w:r w:rsidRPr="003A16B4">
        <w:t>а</w:t>
      </w:r>
      <w:r w:rsidRPr="003A16B4">
        <w:t>ющих</w:t>
      </w:r>
      <w:proofErr w:type="spellEnd"/>
      <w:r w:rsidRPr="003A16B4">
        <w:t xml:space="preserve"> свойств изоляционных материалов, используемых в моторном отсеке и любом отдельном отопительном отсеке</w:t>
      </w:r>
      <w:r>
        <w:t>»</w:t>
      </w:r>
      <w:r w:rsidRPr="003A16B4">
        <w:t>.</w:t>
      </w:r>
    </w:p>
    <w:p w:rsidR="003A16B4" w:rsidRPr="003A16B4" w:rsidRDefault="003A16B4" w:rsidP="003A16B4">
      <w:pPr>
        <w:pStyle w:val="SingleTxt"/>
        <w:rPr>
          <w:iCs/>
        </w:rPr>
      </w:pPr>
      <w:r w:rsidRPr="003A16B4">
        <w:rPr>
          <w:i/>
        </w:rPr>
        <w:t>Пункт 1.2</w:t>
      </w:r>
      <w:r w:rsidRPr="003A16B4">
        <w:rPr>
          <w:iCs/>
        </w:rPr>
        <w:t xml:space="preserve"> </w:t>
      </w:r>
      <w:r w:rsidRPr="003A16B4">
        <w:t>изменить следующим образом</w:t>
      </w:r>
      <w:r w:rsidRPr="003A16B4">
        <w:rPr>
          <w:iCs/>
        </w:rPr>
        <w:t>:</w:t>
      </w:r>
    </w:p>
    <w:p w:rsidR="003A16B4" w:rsidRPr="003A16B4" w:rsidRDefault="003A16B4" w:rsidP="003A16B4">
      <w:pPr>
        <w:pStyle w:val="SingleTxt"/>
        <w:ind w:left="2218" w:hanging="951"/>
      </w:pPr>
      <w:r>
        <w:t>«</w:t>
      </w:r>
      <w:r w:rsidRPr="003A16B4">
        <w:t>1.2</w:t>
      </w:r>
      <w:r w:rsidRPr="003A16B4">
        <w:tab/>
      </w:r>
      <w:r>
        <w:tab/>
      </w:r>
      <w:r w:rsidRPr="003A16B4">
        <w:t xml:space="preserve">Часть </w:t>
      </w:r>
      <w:r w:rsidRPr="003A16B4">
        <w:rPr>
          <w:lang w:val="en-GB"/>
        </w:rPr>
        <w:t>I</w:t>
      </w:r>
      <w:r w:rsidRPr="003A16B4">
        <w:t xml:space="preserve"> </w:t>
      </w:r>
      <w:r>
        <w:t>–</w:t>
      </w:r>
      <w:r w:rsidRPr="003A16B4">
        <w:t xml:space="preserve"> Официальное утверждение типа транспортного средства в отношении характеристик горения и/или </w:t>
      </w:r>
      <w:proofErr w:type="spellStart"/>
      <w:r w:rsidRPr="003A16B4">
        <w:t>бенз</w:t>
      </w:r>
      <w:proofErr w:type="gramStart"/>
      <w:r w:rsidRPr="003A16B4">
        <w:t>о</w:t>
      </w:r>
      <w:proofErr w:type="spellEnd"/>
      <w:r w:rsidRPr="003A16B4">
        <w:t>-</w:t>
      </w:r>
      <w:proofErr w:type="gramEnd"/>
      <w:r w:rsidRPr="003A16B4">
        <w:t xml:space="preserve"> или </w:t>
      </w:r>
      <w:proofErr w:type="spellStart"/>
      <w:r w:rsidRPr="003A16B4">
        <w:t>маслоотталкив</w:t>
      </w:r>
      <w:r w:rsidRPr="003A16B4">
        <w:t>а</w:t>
      </w:r>
      <w:r w:rsidRPr="003A16B4">
        <w:t>ющих</w:t>
      </w:r>
      <w:proofErr w:type="spellEnd"/>
      <w:r w:rsidRPr="003A16B4">
        <w:t xml:space="preserve"> свойств элементов оборудования, используемых во внутреннем отделении, моторном отсеке и любом отдельном отопительном отсеке</w:t>
      </w:r>
      <w:r w:rsidRPr="003A16B4">
        <w:rPr>
          <w:b/>
          <w:bCs/>
        </w:rPr>
        <w:t xml:space="preserve">, а также в отношении характеристик горения электропроводки и кабельных муфт или </w:t>
      </w:r>
      <w:proofErr w:type="spellStart"/>
      <w:r w:rsidRPr="003A16B4">
        <w:rPr>
          <w:b/>
          <w:bCs/>
        </w:rPr>
        <w:t>кабелепроводов</w:t>
      </w:r>
      <w:proofErr w:type="spellEnd"/>
      <w:r w:rsidRPr="003A16B4">
        <w:rPr>
          <w:b/>
          <w:bCs/>
        </w:rPr>
        <w:t>, используемых в транспор</w:t>
      </w:r>
      <w:r w:rsidRPr="003A16B4">
        <w:rPr>
          <w:b/>
          <w:bCs/>
        </w:rPr>
        <w:t>т</w:t>
      </w:r>
      <w:r w:rsidRPr="003A16B4">
        <w:rPr>
          <w:b/>
          <w:bCs/>
        </w:rPr>
        <w:t>ном средстве</w:t>
      </w:r>
      <w:r>
        <w:t>»</w:t>
      </w:r>
      <w:r w:rsidRPr="003A16B4">
        <w:t>.</w:t>
      </w:r>
    </w:p>
    <w:p w:rsidR="003A16B4" w:rsidRPr="003A16B4" w:rsidRDefault="003A16B4" w:rsidP="003A16B4">
      <w:pPr>
        <w:pStyle w:val="SingleTxt"/>
        <w:rPr>
          <w:iCs/>
        </w:rPr>
      </w:pPr>
      <w:r w:rsidRPr="003A16B4">
        <w:rPr>
          <w:i/>
        </w:rPr>
        <w:t>Пункты 5.2−5.2.2</w:t>
      </w:r>
      <w:r w:rsidRPr="003A16B4">
        <w:rPr>
          <w:iCs/>
        </w:rPr>
        <w:t xml:space="preserve"> </w:t>
      </w:r>
      <w:r w:rsidRPr="003A16B4">
        <w:t>изменить следующим образом</w:t>
      </w:r>
      <w:r w:rsidRPr="003A16B4">
        <w:rPr>
          <w:iCs/>
        </w:rPr>
        <w:t>:</w:t>
      </w:r>
    </w:p>
    <w:p w:rsidR="003A16B4" w:rsidRPr="003A16B4" w:rsidRDefault="003A16B4" w:rsidP="003A16B4">
      <w:pPr>
        <w:pStyle w:val="SingleTxt"/>
      </w:pPr>
      <w:r>
        <w:t>«</w:t>
      </w:r>
      <w:r w:rsidRPr="003A16B4">
        <w:t>5.2</w:t>
      </w:r>
      <w:r w:rsidRPr="003A16B4">
        <w:tab/>
      </w:r>
      <w:r>
        <w:tab/>
      </w:r>
      <w:r w:rsidRPr="003A16B4">
        <w:t>Технические требования</w:t>
      </w:r>
    </w:p>
    <w:p w:rsidR="003A16B4" w:rsidRPr="003A16B4" w:rsidRDefault="003A16B4" w:rsidP="003A16B4">
      <w:pPr>
        <w:pStyle w:val="SingleTxt"/>
        <w:ind w:left="2218" w:hanging="951"/>
      </w:pPr>
      <w:r w:rsidRPr="003A16B4">
        <w:t>5.2.1</w:t>
      </w:r>
      <w:r w:rsidRPr="003A16B4">
        <w:tab/>
      </w:r>
      <w:r>
        <w:tab/>
      </w:r>
      <w:r w:rsidRPr="003A16B4">
        <w:t>Материалы, находящиеся внутри и в пределах не более чем 13 мм от внутреннего отделения, материалы моторного отсека и материалы л</w:t>
      </w:r>
      <w:r w:rsidRPr="003A16B4">
        <w:t>ю</w:t>
      </w:r>
      <w:r w:rsidRPr="003A16B4">
        <w:t xml:space="preserve">бого отдельного отопительного отсека, </w:t>
      </w:r>
      <w:r w:rsidRPr="003A16B4">
        <w:rPr>
          <w:b/>
          <w:bCs/>
        </w:rPr>
        <w:t>а также</w:t>
      </w:r>
      <w:r w:rsidRPr="003A16B4">
        <w:t xml:space="preserve"> </w:t>
      </w:r>
      <w:r w:rsidRPr="003A16B4">
        <w:rPr>
          <w:b/>
          <w:bCs/>
        </w:rPr>
        <w:t xml:space="preserve">электропроводка и кабельные муфты или </w:t>
      </w:r>
      <w:proofErr w:type="spellStart"/>
      <w:r w:rsidRPr="003A16B4">
        <w:rPr>
          <w:b/>
          <w:bCs/>
        </w:rPr>
        <w:t>кабелепроводы</w:t>
      </w:r>
      <w:proofErr w:type="spellEnd"/>
      <w:r w:rsidRPr="003A16B4">
        <w:rPr>
          <w:b/>
          <w:bCs/>
        </w:rPr>
        <w:t>,</w:t>
      </w:r>
      <w:r w:rsidRPr="003A16B4">
        <w:t xml:space="preserve"> используемые в транспор</w:t>
      </w:r>
      <w:r w:rsidRPr="003A16B4">
        <w:t>т</w:t>
      </w:r>
      <w:r w:rsidRPr="003A16B4">
        <w:t>ном средстве, подлежащем официальному утверждению по типу ко</w:t>
      </w:r>
      <w:r w:rsidRPr="003A16B4">
        <w:t>н</w:t>
      </w:r>
      <w:r w:rsidRPr="003A16B4">
        <w:t>струкции, должны отвечать требованиям части II настоящих Правил.</w:t>
      </w:r>
    </w:p>
    <w:p w:rsidR="003A16B4" w:rsidRPr="003A16B4" w:rsidRDefault="003A16B4" w:rsidP="003A16B4">
      <w:pPr>
        <w:pStyle w:val="SingleTxt"/>
        <w:ind w:left="2218" w:hanging="951"/>
      </w:pPr>
      <w:r w:rsidRPr="003A16B4">
        <w:t>5.2.2</w:t>
      </w:r>
      <w:r>
        <w:tab/>
      </w:r>
      <w:r w:rsidRPr="003A16B4">
        <w:tab/>
        <w:t>Материалы и/или приспособления, используемые во внутреннем отд</w:t>
      </w:r>
      <w:r w:rsidRPr="003A16B4">
        <w:t>е</w:t>
      </w:r>
      <w:r w:rsidRPr="003A16B4">
        <w:t xml:space="preserve">лении, моторном отсеке и любом отдельном отопительном отсеке и/или в устройствах, официально утвержденных в качестве элементов оборудования, </w:t>
      </w:r>
      <w:r w:rsidRPr="003A16B4">
        <w:rPr>
          <w:b/>
          <w:bCs/>
        </w:rPr>
        <w:t xml:space="preserve">электропроводку и кабельные муфты или </w:t>
      </w:r>
      <w:proofErr w:type="spellStart"/>
      <w:r w:rsidRPr="003A16B4">
        <w:rPr>
          <w:b/>
          <w:bCs/>
        </w:rPr>
        <w:t>кабел</w:t>
      </w:r>
      <w:r w:rsidRPr="003A16B4">
        <w:rPr>
          <w:b/>
          <w:bCs/>
        </w:rPr>
        <w:t>е</w:t>
      </w:r>
      <w:r w:rsidRPr="003A16B4">
        <w:rPr>
          <w:b/>
          <w:bCs/>
        </w:rPr>
        <w:t>проводы</w:t>
      </w:r>
      <w:proofErr w:type="spellEnd"/>
      <w:r w:rsidRPr="003A16B4">
        <w:rPr>
          <w:b/>
          <w:bCs/>
        </w:rPr>
        <w:t>, используемые в транспортном средстве,</w:t>
      </w:r>
      <w:r w:rsidRPr="003A16B4">
        <w:t xml:space="preserve"> размещают таким образом, чтобы свести к минимуму опасность возгорания и распр</w:t>
      </w:r>
      <w:r w:rsidRPr="003A16B4">
        <w:t>о</w:t>
      </w:r>
      <w:r w:rsidRPr="003A16B4">
        <w:t>странения огня</w:t>
      </w:r>
      <w:r>
        <w:t>»</w:t>
      </w:r>
      <w:r w:rsidRPr="003A16B4">
        <w:t>.</w:t>
      </w:r>
    </w:p>
    <w:p w:rsidR="003A16B4" w:rsidRPr="003A16B4" w:rsidRDefault="003A16B4" w:rsidP="003A16B4">
      <w:pPr>
        <w:pStyle w:val="SingleTxt"/>
        <w:rPr>
          <w:iCs/>
        </w:rPr>
      </w:pPr>
      <w:r w:rsidRPr="003A16B4">
        <w:rPr>
          <w:i/>
        </w:rPr>
        <w:t xml:space="preserve">Часть </w:t>
      </w:r>
      <w:r w:rsidRPr="003A16B4">
        <w:rPr>
          <w:i/>
          <w:lang w:val="en-GB"/>
        </w:rPr>
        <w:t>II</w:t>
      </w:r>
      <w:r w:rsidRPr="003A16B4">
        <w:rPr>
          <w:i/>
        </w:rPr>
        <w:t>, пункт 6.2.6</w:t>
      </w:r>
      <w:r w:rsidRPr="003A16B4">
        <w:rPr>
          <w:iCs/>
        </w:rPr>
        <w:t xml:space="preserve"> </w:t>
      </w:r>
      <w:r w:rsidRPr="003A16B4">
        <w:t>изменить следующим образом</w:t>
      </w:r>
      <w:r w:rsidRPr="003A16B4">
        <w:rPr>
          <w:iCs/>
        </w:rPr>
        <w:t>:</w:t>
      </w:r>
    </w:p>
    <w:p w:rsidR="003A16B4" w:rsidRPr="003A16B4" w:rsidRDefault="003A16B4" w:rsidP="003A16B4">
      <w:pPr>
        <w:pStyle w:val="SingleTxt"/>
        <w:ind w:left="2218" w:hanging="951"/>
        <w:rPr>
          <w:bCs/>
        </w:rPr>
      </w:pPr>
      <w:r>
        <w:t>«</w:t>
      </w:r>
      <w:r w:rsidRPr="003A16B4">
        <w:t>6.2.6</w:t>
      </w:r>
      <w:proofErr w:type="gramStart"/>
      <w:r w:rsidRPr="003A16B4">
        <w:tab/>
      </w:r>
      <w:r w:rsidRPr="003A16B4">
        <w:rPr>
          <w:b/>
          <w:bCs/>
        </w:rPr>
        <w:t>Л</w:t>
      </w:r>
      <w:proofErr w:type="gramEnd"/>
      <w:r w:rsidRPr="003A16B4">
        <w:rPr>
          <w:b/>
          <w:bCs/>
        </w:rPr>
        <w:t>юбой используемый в транспортном средстве</w:t>
      </w:r>
      <w:r w:rsidRPr="003A16B4">
        <w:t xml:space="preserve"> </w:t>
      </w:r>
      <w:proofErr w:type="spellStart"/>
      <w:r w:rsidRPr="003A16B4">
        <w:rPr>
          <w:b/>
          <w:bCs/>
        </w:rPr>
        <w:t>электрокабель</w:t>
      </w:r>
      <w:proofErr w:type="spellEnd"/>
      <w:r w:rsidRPr="003A16B4">
        <w:rPr>
          <w:b/>
          <w:bCs/>
        </w:rPr>
        <w:t xml:space="preserve"> (например, одножильный, многожильный, экранированный, без оплетки, в оболочке), длина которого превышает 100 мм, </w:t>
      </w:r>
      <w:r w:rsidRPr="003A16B4">
        <w:t>подве</w:t>
      </w:r>
      <w:r w:rsidRPr="003A16B4">
        <w:t>р</w:t>
      </w:r>
      <w:r w:rsidRPr="003A16B4">
        <w:t>гают испытанию на устойчивость к распространению пламени, оп</w:t>
      </w:r>
      <w:r w:rsidRPr="003A16B4">
        <w:t>и</w:t>
      </w:r>
      <w:r w:rsidRPr="003A16B4">
        <w:t xml:space="preserve">санному в пункте </w:t>
      </w:r>
      <w:r w:rsidRPr="003A16B4">
        <w:rPr>
          <w:b/>
          <w:bCs/>
        </w:rPr>
        <w:t>5.22</w:t>
      </w:r>
      <w:r w:rsidRPr="003A16B4">
        <w:t xml:space="preserve"> стандарта </w:t>
      </w:r>
      <w:r w:rsidRPr="00BF5B5F">
        <w:rPr>
          <w:b/>
        </w:rPr>
        <w:t>ISO</w:t>
      </w:r>
      <w:r w:rsidRPr="003A16B4">
        <w:t xml:space="preserve"> </w:t>
      </w:r>
      <w:r w:rsidRPr="003A16B4">
        <w:rPr>
          <w:b/>
        </w:rPr>
        <w:t>6722-1:2011</w:t>
      </w:r>
      <w:r w:rsidRPr="003A16B4">
        <w:rPr>
          <w:bCs/>
        </w:rPr>
        <w:t>.</w:t>
      </w:r>
    </w:p>
    <w:p w:rsidR="003A16B4" w:rsidRPr="003A16B4" w:rsidRDefault="003A16B4" w:rsidP="003A16B4">
      <w:pPr>
        <w:pStyle w:val="SingleTxt"/>
        <w:ind w:left="2218" w:hanging="951"/>
      </w:pPr>
      <w:r w:rsidRPr="003A16B4">
        <w:tab/>
      </w:r>
      <w:r>
        <w:tab/>
      </w:r>
      <w:r w:rsidRPr="003A16B4">
        <w:t>Результат испытания считают удовлетворительным, если с учетом наихудших результатов испытания пламя в результате горения изол</w:t>
      </w:r>
      <w:r w:rsidRPr="003A16B4">
        <w:t>я</w:t>
      </w:r>
      <w:r w:rsidRPr="003A16B4">
        <w:t>ционного материала гаснет не позднее чем через 70 секунд и если как минимум 50 мм изоляции верхней части испытуемого образца не з</w:t>
      </w:r>
      <w:r w:rsidRPr="003A16B4">
        <w:t>а</w:t>
      </w:r>
      <w:r w:rsidRPr="003A16B4">
        <w:t>тронуты пламенем.</w:t>
      </w:r>
    </w:p>
    <w:p w:rsidR="003A16B4" w:rsidRPr="003A16B4" w:rsidRDefault="003A16B4" w:rsidP="003A16B4">
      <w:pPr>
        <w:pStyle w:val="SingleTxt"/>
        <w:ind w:left="2218" w:hanging="951"/>
        <w:rPr>
          <w:b/>
          <w:bCs/>
        </w:rPr>
      </w:pPr>
      <w:r w:rsidRPr="003A16B4">
        <w:rPr>
          <w:b/>
        </w:rPr>
        <w:tab/>
      </w:r>
      <w:r>
        <w:rPr>
          <w:b/>
        </w:rPr>
        <w:tab/>
      </w:r>
      <w:r w:rsidRPr="003A16B4">
        <w:rPr>
          <w:b/>
        </w:rPr>
        <w:t xml:space="preserve">Любые </w:t>
      </w:r>
      <w:r w:rsidRPr="003A16B4">
        <w:rPr>
          <w:b/>
          <w:bCs/>
        </w:rPr>
        <w:t xml:space="preserve">кабельные муфты или </w:t>
      </w:r>
      <w:proofErr w:type="spellStart"/>
      <w:r w:rsidRPr="003A16B4">
        <w:rPr>
          <w:b/>
          <w:bCs/>
        </w:rPr>
        <w:t>кабелепроводы</w:t>
      </w:r>
      <w:proofErr w:type="spellEnd"/>
      <w:r w:rsidRPr="003A16B4">
        <w:rPr>
          <w:b/>
          <w:bCs/>
        </w:rPr>
        <w:t xml:space="preserve">, длина которых </w:t>
      </w:r>
      <w:r w:rsidRPr="003A16B4">
        <w:t>пр</w:t>
      </w:r>
      <w:r w:rsidRPr="003A16B4">
        <w:t>е</w:t>
      </w:r>
      <w:r w:rsidRPr="003A16B4">
        <w:t>вышает</w:t>
      </w:r>
      <w:r w:rsidRPr="003A16B4">
        <w:rPr>
          <w:b/>
          <w:bCs/>
        </w:rPr>
        <w:t xml:space="preserve"> 100 мм, подвергают испытанию на определение скорости горения материалов, указанному в приложении 8</w:t>
      </w:r>
      <w:r w:rsidRPr="00564C9A">
        <w:rPr>
          <w:bCs/>
        </w:rPr>
        <w:t>»</w:t>
      </w:r>
      <w:r w:rsidRPr="003A16B4">
        <w:rPr>
          <w:b/>
          <w:bCs/>
        </w:rPr>
        <w:t>.</w:t>
      </w:r>
    </w:p>
    <w:p w:rsidR="003A16B4" w:rsidRPr="003A16B4" w:rsidRDefault="003A16B4" w:rsidP="003A16B4">
      <w:pPr>
        <w:pStyle w:val="SingleTxt"/>
        <w:rPr>
          <w:i/>
        </w:rPr>
      </w:pPr>
      <w:r w:rsidRPr="003A16B4">
        <w:rPr>
          <w:i/>
        </w:rPr>
        <w:lastRenderedPageBreak/>
        <w:t>Добавить новые пункты 12.11−12.14</w:t>
      </w:r>
      <w:r w:rsidRPr="003A16B4">
        <w:t xml:space="preserve"> следующего содержания:</w:t>
      </w:r>
    </w:p>
    <w:p w:rsidR="003A16B4" w:rsidRPr="003A16B4" w:rsidRDefault="003A16B4" w:rsidP="003A16B4">
      <w:pPr>
        <w:pStyle w:val="SingleTxt"/>
        <w:ind w:left="2218" w:hanging="951"/>
        <w:rPr>
          <w:b/>
        </w:rPr>
      </w:pPr>
      <w:r w:rsidRPr="00564C9A">
        <w:rPr>
          <w:bCs/>
        </w:rPr>
        <w:t>«</w:t>
      </w:r>
      <w:r w:rsidRPr="003A16B4">
        <w:rPr>
          <w:b/>
        </w:rPr>
        <w:t>12.11</w:t>
      </w:r>
      <w:proofErr w:type="gramStart"/>
      <w:r w:rsidRPr="003A16B4">
        <w:rPr>
          <w:b/>
        </w:rPr>
        <w:tab/>
        <w:t>Н</w:t>
      </w:r>
      <w:proofErr w:type="gramEnd"/>
      <w:r w:rsidRPr="003A16B4">
        <w:rPr>
          <w:b/>
        </w:rPr>
        <w:t>ачиная с официальной даты вступления в силу поправок с</w:t>
      </w:r>
      <w:r w:rsidRPr="003A16B4">
        <w:rPr>
          <w:b/>
        </w:rPr>
        <w:t>е</w:t>
      </w:r>
      <w:r w:rsidRPr="003A16B4">
        <w:rPr>
          <w:b/>
        </w:rPr>
        <w:t>рии</w:t>
      </w:r>
      <w:r>
        <w:rPr>
          <w:b/>
        </w:rPr>
        <w:t> </w:t>
      </w:r>
      <w:r w:rsidRPr="003A16B4">
        <w:rPr>
          <w:b/>
        </w:rPr>
        <w:t>03 ни одна из Договаривающихся сторон, применяющих настоящие Правила, не отказывает в предоставлении официал</w:t>
      </w:r>
      <w:r w:rsidRPr="003A16B4">
        <w:rPr>
          <w:b/>
        </w:rPr>
        <w:t>ь</w:t>
      </w:r>
      <w:r w:rsidRPr="003A16B4">
        <w:rPr>
          <w:b/>
        </w:rPr>
        <w:t>ного утверждения на основании настоящих Правил с внесенными в них поправкам серии 03.</w:t>
      </w:r>
    </w:p>
    <w:p w:rsidR="003A16B4" w:rsidRPr="003A16B4" w:rsidRDefault="003A16B4" w:rsidP="003A16B4">
      <w:pPr>
        <w:pStyle w:val="SingleTxt"/>
        <w:ind w:left="2218" w:hanging="951"/>
        <w:rPr>
          <w:b/>
        </w:rPr>
      </w:pPr>
      <w:r w:rsidRPr="003A16B4">
        <w:rPr>
          <w:b/>
        </w:rPr>
        <w:t>12.12</w:t>
      </w:r>
      <w:proofErr w:type="gramStart"/>
      <w:r w:rsidRPr="003A16B4">
        <w:rPr>
          <w:b/>
        </w:rPr>
        <w:tab/>
        <w:t>Н</w:t>
      </w:r>
      <w:proofErr w:type="gramEnd"/>
      <w:r w:rsidRPr="003A16B4">
        <w:rPr>
          <w:b/>
        </w:rPr>
        <w:t xml:space="preserve">ачиная с 1 сентября 2019 года Договаривающиеся стороны, </w:t>
      </w:r>
      <w:r w:rsidRPr="00564C9A">
        <w:rPr>
          <w:b/>
        </w:rPr>
        <w:t>пр</w:t>
      </w:r>
      <w:r w:rsidRPr="00564C9A">
        <w:rPr>
          <w:b/>
        </w:rPr>
        <w:t>и</w:t>
      </w:r>
      <w:r w:rsidRPr="00564C9A">
        <w:rPr>
          <w:b/>
        </w:rPr>
        <w:t>меняющие</w:t>
      </w:r>
      <w:r w:rsidRPr="003A16B4">
        <w:rPr>
          <w:b/>
        </w:rPr>
        <w:t xml:space="preserve"> настоящие Правила, предоставляют официальные утверждения только в том случае, если данный тип транспортного средства или тип элемента оборудования, подлежащий официал</w:t>
      </w:r>
      <w:r w:rsidRPr="003A16B4">
        <w:rPr>
          <w:b/>
        </w:rPr>
        <w:t>ь</w:t>
      </w:r>
      <w:r w:rsidRPr="003A16B4">
        <w:rPr>
          <w:b/>
        </w:rPr>
        <w:t>ному утверждению, отвечает требованиям настоящих Правил с внесенными в них поправкам серии 03.</w:t>
      </w:r>
    </w:p>
    <w:p w:rsidR="003A16B4" w:rsidRPr="003A16B4" w:rsidRDefault="003A16B4" w:rsidP="003A16B4">
      <w:pPr>
        <w:pStyle w:val="SingleTxt"/>
        <w:ind w:left="2218" w:hanging="951"/>
        <w:rPr>
          <w:b/>
        </w:rPr>
      </w:pPr>
      <w:r w:rsidRPr="003A16B4">
        <w:rPr>
          <w:b/>
        </w:rPr>
        <w:t>12.13</w:t>
      </w:r>
      <w:proofErr w:type="gramStart"/>
      <w:r w:rsidRPr="003A16B4">
        <w:rPr>
          <w:b/>
        </w:rPr>
        <w:tab/>
        <w:t>Н</w:t>
      </w:r>
      <w:proofErr w:type="gramEnd"/>
      <w:r w:rsidRPr="003A16B4">
        <w:rPr>
          <w:b/>
        </w:rPr>
        <w:t>ачиная с 26 июля 2020 года</w:t>
      </w:r>
      <w:r w:rsidRPr="003A16B4">
        <w:t xml:space="preserve"> </w:t>
      </w:r>
      <w:r w:rsidRPr="003A16B4">
        <w:rPr>
          <w:b/>
        </w:rPr>
        <w:t xml:space="preserve">Договаривающиеся стороны, </w:t>
      </w:r>
      <w:r w:rsidRPr="00564C9A">
        <w:rPr>
          <w:b/>
        </w:rPr>
        <w:t>прим</w:t>
      </w:r>
      <w:r w:rsidRPr="00564C9A">
        <w:rPr>
          <w:b/>
        </w:rPr>
        <w:t>е</w:t>
      </w:r>
      <w:r w:rsidRPr="00564C9A">
        <w:rPr>
          <w:b/>
        </w:rPr>
        <w:t>няющие</w:t>
      </w:r>
      <w:r w:rsidRPr="003A16B4">
        <w:rPr>
          <w:b/>
        </w:rPr>
        <w:t xml:space="preserve"> настоящие Правила, могут отказывать в первоначальной национальной регистрации (первоначальном вводе в эксплуат</w:t>
      </w:r>
      <w:r w:rsidRPr="003A16B4">
        <w:rPr>
          <w:b/>
        </w:rPr>
        <w:t>а</w:t>
      </w:r>
      <w:r w:rsidRPr="003A16B4">
        <w:rPr>
          <w:b/>
        </w:rPr>
        <w:t>цию) транспортного средства, которое не отвечает требованиям настоящих Правил с внесенными в них поправками серии 03.</w:t>
      </w:r>
    </w:p>
    <w:p w:rsidR="003A16B4" w:rsidRPr="003A16B4" w:rsidRDefault="003A16B4" w:rsidP="003A16B4">
      <w:pPr>
        <w:pStyle w:val="SingleTxt"/>
        <w:ind w:left="2218" w:hanging="951"/>
        <w:rPr>
          <w:b/>
        </w:rPr>
      </w:pPr>
      <w:r w:rsidRPr="003A16B4">
        <w:rPr>
          <w:b/>
        </w:rPr>
        <w:t>12.14</w:t>
      </w:r>
      <w:proofErr w:type="gramStart"/>
      <w:r w:rsidRPr="003A16B4">
        <w:rPr>
          <w:b/>
        </w:rPr>
        <w:tab/>
        <w:t>О</w:t>
      </w:r>
      <w:proofErr w:type="gramEnd"/>
      <w:r w:rsidRPr="003A16B4">
        <w:rPr>
          <w:b/>
        </w:rPr>
        <w:t>днако даже после даты вступления в силу поправок серии 03 официальные утверждения элементов оборудования на основании предшествующих серий поправок к настоящим Правилам пр</w:t>
      </w:r>
      <w:r w:rsidRPr="003A16B4">
        <w:rPr>
          <w:b/>
        </w:rPr>
        <w:t>о</w:t>
      </w:r>
      <w:r w:rsidRPr="003A16B4">
        <w:rPr>
          <w:b/>
        </w:rPr>
        <w:t>должают действовать, и Договаривающиеся стороны, применя</w:t>
      </w:r>
      <w:r w:rsidRPr="003A16B4">
        <w:rPr>
          <w:b/>
        </w:rPr>
        <w:t>ю</w:t>
      </w:r>
      <w:r w:rsidRPr="003A16B4">
        <w:rPr>
          <w:b/>
        </w:rPr>
        <w:t>щие настоящие Правила, продолжают их признавать</w:t>
      </w:r>
      <w:r w:rsidRPr="00564C9A">
        <w:t>»</w:t>
      </w:r>
      <w:r w:rsidRPr="003A16B4">
        <w:rPr>
          <w:b/>
        </w:rPr>
        <w:t>.</w:t>
      </w:r>
    </w:p>
    <w:p w:rsidR="003A16B4" w:rsidRPr="003A16B4" w:rsidRDefault="003A16B4" w:rsidP="003A16B4">
      <w:pPr>
        <w:pStyle w:val="SingleTxt"/>
        <w:spacing w:after="0" w:line="120" w:lineRule="exact"/>
        <w:rPr>
          <w:b/>
          <w:sz w:val="10"/>
        </w:rPr>
      </w:pPr>
    </w:p>
    <w:p w:rsidR="003A16B4" w:rsidRPr="003A16B4" w:rsidRDefault="003A16B4" w:rsidP="003A16B4">
      <w:pPr>
        <w:pStyle w:val="SingleTxt"/>
        <w:spacing w:after="0" w:line="120" w:lineRule="exact"/>
        <w:rPr>
          <w:b/>
          <w:sz w:val="10"/>
        </w:rPr>
      </w:pPr>
    </w:p>
    <w:p w:rsidR="003A16B4" w:rsidRDefault="003A16B4" w:rsidP="003A16B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A16B4">
        <w:tab/>
      </w:r>
      <w:r w:rsidRPr="003A16B4">
        <w:rPr>
          <w:lang w:val="en-GB"/>
        </w:rPr>
        <w:t>II</w:t>
      </w:r>
      <w:r w:rsidRPr="003A16B4">
        <w:t>.</w:t>
      </w:r>
      <w:r w:rsidRPr="003A16B4">
        <w:tab/>
        <w:t>Обоснование</w:t>
      </w:r>
    </w:p>
    <w:p w:rsidR="003A16B4" w:rsidRPr="003A16B4" w:rsidRDefault="003A16B4" w:rsidP="003A16B4">
      <w:pPr>
        <w:pStyle w:val="SingleTxt"/>
        <w:spacing w:after="0" w:line="120" w:lineRule="exact"/>
        <w:rPr>
          <w:sz w:val="10"/>
        </w:rPr>
      </w:pPr>
    </w:p>
    <w:p w:rsidR="003A16B4" w:rsidRPr="003A16B4" w:rsidRDefault="003A16B4" w:rsidP="003A16B4">
      <w:pPr>
        <w:pStyle w:val="SingleTxt"/>
        <w:spacing w:after="0" w:line="120" w:lineRule="exact"/>
        <w:rPr>
          <w:sz w:val="10"/>
        </w:rPr>
      </w:pPr>
    </w:p>
    <w:p w:rsidR="003A16B4" w:rsidRPr="003A16B4" w:rsidRDefault="003A16B4" w:rsidP="003A16B4">
      <w:pPr>
        <w:pStyle w:val="SingleTxt"/>
      </w:pPr>
      <w:r w:rsidRPr="003A16B4">
        <w:t>1.</w:t>
      </w:r>
      <w:r w:rsidRPr="003A16B4">
        <w:tab/>
        <w:t xml:space="preserve">В пункт 6.2.6 добавлены положения, касающиеся кабельных муфт или </w:t>
      </w:r>
      <w:proofErr w:type="spellStart"/>
      <w:r w:rsidRPr="003A16B4">
        <w:t>каб</w:t>
      </w:r>
      <w:r w:rsidRPr="003A16B4">
        <w:t>е</w:t>
      </w:r>
      <w:r w:rsidRPr="003A16B4">
        <w:t>лепроводов</w:t>
      </w:r>
      <w:proofErr w:type="spellEnd"/>
      <w:r w:rsidRPr="003A16B4">
        <w:t>: поскольку электропроводка может служит</w:t>
      </w:r>
      <w:r w:rsidR="00564C9A">
        <w:t>ь</w:t>
      </w:r>
      <w:r w:rsidRPr="003A16B4">
        <w:t xml:space="preserve"> серьезным источником возгорания и распространения огня, кабельные муфты или </w:t>
      </w:r>
      <w:proofErr w:type="spellStart"/>
      <w:r w:rsidRPr="003A16B4">
        <w:t>кабелепроводы</w:t>
      </w:r>
      <w:proofErr w:type="spellEnd"/>
      <w:r w:rsidRPr="003A16B4">
        <w:t xml:space="preserve"> также способны усугубить распространение пламени.</w:t>
      </w:r>
    </w:p>
    <w:p w:rsidR="003A16B4" w:rsidRPr="003A16B4" w:rsidRDefault="003A16B4" w:rsidP="003A16B4">
      <w:pPr>
        <w:pStyle w:val="SingleTxt"/>
      </w:pPr>
      <w:r w:rsidRPr="003A16B4">
        <w:t>2.</w:t>
      </w:r>
      <w:r w:rsidRPr="003A16B4">
        <w:tab/>
        <w:t xml:space="preserve">Поскольку </w:t>
      </w:r>
      <w:proofErr w:type="spellStart"/>
      <w:r w:rsidRPr="003A16B4">
        <w:t>электрокабели</w:t>
      </w:r>
      <w:proofErr w:type="spellEnd"/>
      <w:r w:rsidRPr="003A16B4">
        <w:t xml:space="preserve">, кабельные муфты или </w:t>
      </w:r>
      <w:proofErr w:type="spellStart"/>
      <w:r w:rsidRPr="003A16B4">
        <w:t>кабелепроводы</w:t>
      </w:r>
      <w:proofErr w:type="spellEnd"/>
      <w:r w:rsidRPr="003A16B4">
        <w:t xml:space="preserve"> короткой длины, завязанные на такие элементы оборудования, как генераторы, стартеры, устройства управления и т.д., не оказывают значительного влияния на распр</w:t>
      </w:r>
      <w:r w:rsidRPr="003A16B4">
        <w:t>о</w:t>
      </w:r>
      <w:r w:rsidRPr="003A16B4">
        <w:t>странение огня, представляется обоснованным заострить внимание на тех мат</w:t>
      </w:r>
      <w:r w:rsidRPr="003A16B4">
        <w:t>е</w:t>
      </w:r>
      <w:r w:rsidRPr="003A16B4">
        <w:t>риалах, длина которых превышает, например, 100 мм.</w:t>
      </w:r>
    </w:p>
    <w:p w:rsidR="00DF7033" w:rsidRPr="003A16B4" w:rsidRDefault="003A16B4" w:rsidP="003A16B4">
      <w:pPr>
        <w:pStyle w:val="SingleTxt"/>
      </w:pPr>
      <w:r w:rsidRPr="003A16B4">
        <w:t>3.</w:t>
      </w:r>
      <w:r w:rsidRPr="003A16B4">
        <w:tab/>
        <w:t>В этой связи в пункте 6.2.6 предлагается подвергать соответствующим и</w:t>
      </w:r>
      <w:r w:rsidRPr="003A16B4">
        <w:t>с</w:t>
      </w:r>
      <w:r w:rsidRPr="003A16B4">
        <w:t xml:space="preserve">пытаниям материалы кабельных муфт или </w:t>
      </w:r>
      <w:proofErr w:type="spellStart"/>
      <w:r w:rsidRPr="003A16B4">
        <w:t>кабелепроводов</w:t>
      </w:r>
      <w:proofErr w:type="spellEnd"/>
      <w:r w:rsidRPr="003A16B4">
        <w:t>, длина которых пр</w:t>
      </w:r>
      <w:r w:rsidRPr="003A16B4">
        <w:t>е</w:t>
      </w:r>
      <w:r w:rsidRPr="003A16B4">
        <w:t>вышает, например, 100 мм.</w:t>
      </w:r>
    </w:p>
    <w:p w:rsidR="003A16B4" w:rsidRPr="003A16B4" w:rsidRDefault="003A16B4" w:rsidP="003A16B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A16B4" w:rsidRPr="003A16B4" w:rsidSect="00B350C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2T09:48:00Z" w:initials="Start">
    <w:p w:rsidR="00B350CA" w:rsidRPr="00DF7033" w:rsidRDefault="00B350CA">
      <w:pPr>
        <w:pStyle w:val="CommentText"/>
        <w:rPr>
          <w:lang w:val="en-US"/>
        </w:rPr>
      </w:pPr>
      <w:r>
        <w:fldChar w:fldCharType="begin"/>
      </w:r>
      <w:r w:rsidRPr="00DF7033">
        <w:rPr>
          <w:rStyle w:val="CommentReference"/>
          <w:lang w:val="en-US"/>
        </w:rPr>
        <w:instrText xml:space="preserve"> </w:instrText>
      </w:r>
      <w:r w:rsidRPr="00DF7033">
        <w:rPr>
          <w:lang w:val="en-US"/>
        </w:rPr>
        <w:instrText>PAGE \# "'Page: '#'</w:instrText>
      </w:r>
      <w:r w:rsidRPr="00DF7033">
        <w:rPr>
          <w:lang w:val="en-US"/>
        </w:rPr>
        <w:br/>
        <w:instrText>'"</w:instrText>
      </w:r>
      <w:r w:rsidRPr="00DF703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F7033">
        <w:rPr>
          <w:lang w:val="en-US"/>
        </w:rPr>
        <w:t>&lt;&lt;ODS JOB NO&gt;&gt;N1515367R&lt;&lt;ODS JOB NO&gt;&gt;</w:t>
      </w:r>
    </w:p>
    <w:p w:rsidR="00B350CA" w:rsidRDefault="00B350CA">
      <w:pPr>
        <w:pStyle w:val="CommentText"/>
      </w:pPr>
      <w:r>
        <w:t>&lt;&lt;ODS DOC SYMBOL1&gt;&gt;ECE/TRANS/WP.29/GRSG/2015/28&lt;&lt;ODS DOC SYMBOL1&gt;&gt;</w:t>
      </w:r>
    </w:p>
    <w:p w:rsidR="00B350CA" w:rsidRDefault="00B350C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F5" w:rsidRDefault="003633F5" w:rsidP="008A1A7A">
      <w:pPr>
        <w:spacing w:line="240" w:lineRule="auto"/>
      </w:pPr>
      <w:r>
        <w:separator/>
      </w:r>
    </w:p>
  </w:endnote>
  <w:endnote w:type="continuationSeparator" w:id="0">
    <w:p w:rsidR="003633F5" w:rsidRDefault="003633F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350CA" w:rsidTr="00B350C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350CA" w:rsidRPr="00B350CA" w:rsidRDefault="00B350CA" w:rsidP="00B350C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17C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017C7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350CA" w:rsidRPr="00B350CA" w:rsidRDefault="00B350CA" w:rsidP="00B350C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95982">
            <w:rPr>
              <w:b w:val="0"/>
              <w:color w:val="000000"/>
              <w:sz w:val="14"/>
            </w:rPr>
            <w:t>GE.15-11533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350CA" w:rsidRPr="00B350CA" w:rsidRDefault="00B350CA" w:rsidP="00B35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350CA" w:rsidTr="00B350C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350CA" w:rsidRPr="00B350CA" w:rsidRDefault="00B350CA" w:rsidP="00B350C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95982">
            <w:rPr>
              <w:b w:val="0"/>
              <w:color w:val="000000"/>
              <w:sz w:val="14"/>
            </w:rPr>
            <w:t>GE.15-11533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350CA" w:rsidRPr="00B350CA" w:rsidRDefault="00B350CA" w:rsidP="00B350C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17C7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2017C7">
              <w:rPr>
                <w:noProof/>
              </w:rPr>
              <w:t>3</w:t>
            </w:r>
          </w:fldSimple>
        </w:p>
      </w:tc>
    </w:tr>
  </w:tbl>
  <w:p w:rsidR="00B350CA" w:rsidRPr="00B350CA" w:rsidRDefault="00B350CA" w:rsidP="00B35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350CA" w:rsidTr="00B350CA">
      <w:tc>
        <w:tcPr>
          <w:tcW w:w="3873" w:type="dxa"/>
        </w:tcPr>
        <w:p w:rsidR="00B350CA" w:rsidRDefault="00B350CA" w:rsidP="00B350C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946B821" wp14:editId="191297D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GE.15-11533 (R)</w:t>
          </w:r>
          <w:r>
            <w:rPr>
              <w:color w:val="010000"/>
            </w:rPr>
            <w:t xml:space="preserve">    1</w:t>
          </w:r>
          <w:r w:rsidR="003A16B4">
            <w:rPr>
              <w:color w:val="010000"/>
            </w:rPr>
            <w:t>1</w:t>
          </w:r>
          <w:r>
            <w:rPr>
              <w:color w:val="010000"/>
            </w:rPr>
            <w:t>0815    120815</w:t>
          </w:r>
        </w:p>
        <w:p w:rsidR="00B350CA" w:rsidRPr="00B350CA" w:rsidRDefault="00B350CA" w:rsidP="00B350C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*1511533*</w:t>
          </w:r>
        </w:p>
      </w:tc>
      <w:tc>
        <w:tcPr>
          <w:tcW w:w="5127" w:type="dxa"/>
        </w:tcPr>
        <w:p w:rsidR="00B350CA" w:rsidRDefault="00B350CA" w:rsidP="00B350C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957E260" wp14:editId="3B9483D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50CA" w:rsidRPr="00B350CA" w:rsidRDefault="00B350CA" w:rsidP="00B350C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F5" w:rsidRPr="00DF7033" w:rsidRDefault="00DF7033" w:rsidP="00DF7033">
      <w:pPr>
        <w:pStyle w:val="Footer"/>
        <w:spacing w:after="80"/>
        <w:ind w:left="792"/>
        <w:rPr>
          <w:sz w:val="16"/>
        </w:rPr>
      </w:pPr>
      <w:r w:rsidRPr="00DF7033">
        <w:rPr>
          <w:sz w:val="16"/>
        </w:rPr>
        <w:t>__________________</w:t>
      </w:r>
    </w:p>
  </w:footnote>
  <w:footnote w:type="continuationSeparator" w:id="0">
    <w:p w:rsidR="003633F5" w:rsidRPr="00DF7033" w:rsidRDefault="00DF7033" w:rsidP="00DF7033">
      <w:pPr>
        <w:pStyle w:val="Footer"/>
        <w:spacing w:after="80"/>
        <w:ind w:left="792"/>
        <w:rPr>
          <w:sz w:val="16"/>
        </w:rPr>
      </w:pPr>
      <w:r w:rsidRPr="00DF7033">
        <w:rPr>
          <w:sz w:val="16"/>
        </w:rPr>
        <w:t>__________________</w:t>
      </w:r>
    </w:p>
  </w:footnote>
  <w:footnote w:id="1">
    <w:p w:rsidR="00DF7033" w:rsidRPr="00B14735" w:rsidRDefault="00DF7033" w:rsidP="00DF70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lang w:val="en-US"/>
        </w:rPr>
        <w:tab/>
      </w:r>
      <w:r w:rsidRPr="00DF7033">
        <w:rPr>
          <w:rStyle w:val="FootnoteReference"/>
          <w:vertAlign w:val="baseline"/>
        </w:rPr>
        <w:t>*</w:t>
      </w:r>
      <w:r w:rsidRPr="00A14FB2">
        <w:tab/>
      </w:r>
      <w:r w:rsidRPr="00CC458C">
        <w:t xml:space="preserve">В соответствии с программой работы Комитета по внутреннему транспорту </w:t>
      </w:r>
      <w:r>
        <w:br/>
      </w:r>
      <w:r w:rsidRPr="00CC458C">
        <w:t>на 2012−2016 годы (</w:t>
      </w:r>
      <w:r>
        <w:t>ECE</w:t>
      </w:r>
      <w:r w:rsidRPr="00CC458C">
        <w:t>/</w:t>
      </w:r>
      <w:r>
        <w:t>TRANS</w:t>
      </w:r>
      <w:r w:rsidRPr="00CC458C">
        <w:t xml:space="preserve">/224, пункт 94, и </w:t>
      </w:r>
      <w:r>
        <w:t>ECE</w:t>
      </w:r>
      <w:r w:rsidRPr="00CC458C">
        <w:t>/</w:t>
      </w:r>
      <w:r>
        <w:t>TRANS/2012/12, подпрограмма </w:t>
      </w:r>
      <w:r w:rsidRPr="00CC458C">
        <w:t>02.4) Всемирный форум будет</w:t>
      </w:r>
      <w:r>
        <w:t xml:space="preserve"> разрабатывать, согласовывать и</w:t>
      </w:r>
      <w:r>
        <w:rPr>
          <w:lang w:val="en-US"/>
        </w:rPr>
        <w:t> </w:t>
      </w:r>
      <w:r w:rsidRPr="00CC458C">
        <w:t xml:space="preserve">обновлять правила в целях улучшения характеристик транспортных средств. </w:t>
      </w:r>
      <w:r w:rsidRPr="00BA2A84">
        <w:t>Настоящий документ представлен в соответствии с этим мандатом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350CA" w:rsidTr="00B350C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350CA" w:rsidRPr="00B350CA" w:rsidRDefault="00B350CA" w:rsidP="00B350C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95982">
            <w:rPr>
              <w:b/>
            </w:rPr>
            <w:t>ECE/TRANS/WP.29/GRSG/2015/28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350CA" w:rsidRDefault="00B350CA" w:rsidP="00B350CA">
          <w:pPr>
            <w:pStyle w:val="Header"/>
          </w:pPr>
        </w:p>
      </w:tc>
    </w:tr>
  </w:tbl>
  <w:p w:rsidR="00B350CA" w:rsidRPr="00B350CA" w:rsidRDefault="00B350CA" w:rsidP="00B35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350CA" w:rsidTr="00B350C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350CA" w:rsidRDefault="00B350CA" w:rsidP="00B350C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350CA" w:rsidRPr="00B350CA" w:rsidRDefault="00B350CA" w:rsidP="00B350C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95982">
            <w:rPr>
              <w:b/>
            </w:rPr>
            <w:t>ECE/TRANS/WP.29/GRSG/2015/28</w:t>
          </w:r>
          <w:r>
            <w:rPr>
              <w:b/>
            </w:rPr>
            <w:fldChar w:fldCharType="end"/>
          </w:r>
        </w:p>
      </w:tc>
    </w:tr>
  </w:tbl>
  <w:p w:rsidR="00B350CA" w:rsidRPr="00B350CA" w:rsidRDefault="00B350CA" w:rsidP="00B35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350CA" w:rsidTr="00B350C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350CA" w:rsidRPr="00B350CA" w:rsidRDefault="00B350CA" w:rsidP="00B350C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350CA" w:rsidRDefault="00B350CA" w:rsidP="00B350C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350CA" w:rsidRPr="00B350CA" w:rsidRDefault="00B350CA" w:rsidP="00B350C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/TRANS/WP.29/GRSG/2015/28</w:t>
          </w:r>
        </w:p>
      </w:tc>
    </w:tr>
    <w:tr w:rsidR="00B350CA" w:rsidRPr="002017C7" w:rsidTr="00B350C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50CA" w:rsidRPr="00B350CA" w:rsidRDefault="00B350CA" w:rsidP="00B350C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27E9A6A" wp14:editId="6DF69F3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50CA" w:rsidRPr="00B350CA" w:rsidRDefault="00B350CA" w:rsidP="00B350C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50CA" w:rsidRPr="00B350CA" w:rsidRDefault="00B350CA" w:rsidP="00B350C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350CA" w:rsidRPr="00DF7033" w:rsidRDefault="00B350CA" w:rsidP="00B350CA">
          <w:pPr>
            <w:pStyle w:val="Distribution"/>
            <w:rPr>
              <w:color w:val="000000"/>
              <w:lang w:val="en-US"/>
            </w:rPr>
          </w:pPr>
          <w:r w:rsidRPr="00DF7033">
            <w:rPr>
              <w:color w:val="000000"/>
              <w:lang w:val="en-US"/>
            </w:rPr>
            <w:t>Distr.: General</w:t>
          </w:r>
        </w:p>
        <w:p w:rsidR="00B350CA" w:rsidRPr="00DF7033" w:rsidRDefault="00B350CA" w:rsidP="00B350CA">
          <w:pPr>
            <w:pStyle w:val="Publication"/>
            <w:rPr>
              <w:color w:val="000000"/>
              <w:lang w:val="en-US"/>
            </w:rPr>
          </w:pPr>
          <w:r w:rsidRPr="00DF7033">
            <w:rPr>
              <w:color w:val="000000"/>
              <w:lang w:val="en-US"/>
            </w:rPr>
            <w:t>10 July 2015</w:t>
          </w:r>
        </w:p>
        <w:p w:rsidR="00B350CA" w:rsidRPr="00DF7033" w:rsidRDefault="00B350CA" w:rsidP="00B350CA">
          <w:pPr>
            <w:rPr>
              <w:color w:val="000000"/>
              <w:lang w:val="en-US"/>
            </w:rPr>
          </w:pPr>
          <w:r w:rsidRPr="00DF7033">
            <w:rPr>
              <w:color w:val="000000"/>
              <w:lang w:val="en-US"/>
            </w:rPr>
            <w:t>Russian</w:t>
          </w:r>
        </w:p>
        <w:p w:rsidR="00B350CA" w:rsidRPr="00DF7033" w:rsidRDefault="00B350CA" w:rsidP="00B350CA">
          <w:pPr>
            <w:pStyle w:val="Original"/>
            <w:rPr>
              <w:color w:val="000000"/>
              <w:lang w:val="en-US"/>
            </w:rPr>
          </w:pPr>
          <w:r w:rsidRPr="00DF7033">
            <w:rPr>
              <w:color w:val="000000"/>
              <w:lang w:val="en-US"/>
            </w:rPr>
            <w:t>Original: English</w:t>
          </w:r>
        </w:p>
        <w:p w:rsidR="00B350CA" w:rsidRPr="00DF7033" w:rsidRDefault="00B350CA" w:rsidP="00B350CA">
          <w:pPr>
            <w:rPr>
              <w:lang w:val="en-US"/>
            </w:rPr>
          </w:pPr>
        </w:p>
      </w:tc>
    </w:tr>
  </w:tbl>
  <w:p w:rsidR="00B350CA" w:rsidRPr="00DF7033" w:rsidRDefault="00B350CA" w:rsidP="00B350C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33*"/>
    <w:docVar w:name="CreationDt" w:val="8/12/2015 9:48: AM"/>
    <w:docVar w:name="DocCategory" w:val="Doc"/>
    <w:docVar w:name="DocType" w:val="Final"/>
    <w:docVar w:name="DutyStation" w:val="Geneva"/>
    <w:docVar w:name="FooterJN" w:val="GE.15-11533"/>
    <w:docVar w:name="jobn" w:val="GE.15-11533 (R)"/>
    <w:docVar w:name="jobnDT" w:val="GE.15-11533 (R)   120815"/>
    <w:docVar w:name="jobnDTDT" w:val="GE.15-11533 (R)   120815   120815"/>
    <w:docVar w:name="JobNo" w:val="GE.1511533R"/>
    <w:docVar w:name="JobNo2" w:val="1515367R"/>
    <w:docVar w:name="LocalDrive" w:val="0"/>
    <w:docVar w:name="OandT" w:val=" "/>
    <w:docVar w:name="PaperSize" w:val="A4"/>
    <w:docVar w:name="sss1" w:val="ECE/TRANS/WP.29/GRSG/2015/28"/>
    <w:docVar w:name="sss2" w:val="-"/>
    <w:docVar w:name="Symbol1" w:val="ECE/TRANS/WP.29/GRSG/2015/28"/>
    <w:docVar w:name="Symbol2" w:val="-"/>
  </w:docVars>
  <w:rsids>
    <w:rsidRoot w:val="003633F5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00F7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97443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17C7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E3238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33F5"/>
    <w:rsid w:val="003658B0"/>
    <w:rsid w:val="0038044D"/>
    <w:rsid w:val="00384AEE"/>
    <w:rsid w:val="0038527A"/>
    <w:rsid w:val="00391367"/>
    <w:rsid w:val="0039505F"/>
    <w:rsid w:val="003A150E"/>
    <w:rsid w:val="003A16B4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5982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4C9A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5AFC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50CA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612B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B5F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033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35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0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C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0C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35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0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C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0C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8275-C048-4B26-80D4-7E20271A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2015-08-12T08:30:00Z</cp:lastPrinted>
  <dcterms:created xsi:type="dcterms:W3CDTF">2015-08-27T09:09:00Z</dcterms:created>
  <dcterms:modified xsi:type="dcterms:W3CDTF">2015-08-27T09:09:00Z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1511533R</vt:lpwstr>
  </property>
  <property fmtid="{D5CDD505-2E9C-101B-9397-08002B2CF9AE}" pid="3" name="ODSRefJobNo">
    <vt:lpwstr>1515367R</vt:lpwstr>
  </property>
  <property fmtid="{D5CDD505-2E9C-101B-9397-08002B2CF9AE}" pid="4" name="Symbol1">
    <vt:lpwstr>ECE/TRANS/WP.29/GRSG/2015/28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120815</vt:lpwstr>
  </property>
</Properties>
</file>