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7A" w:rsidRDefault="001C4D7A" w:rsidP="001C4D7A">
      <w:pPr>
        <w:spacing w:line="240" w:lineRule="auto"/>
        <w:rPr>
          <w:sz w:val="2"/>
        </w:rPr>
        <w:sectPr w:rsidR="001C4D7A" w:rsidSect="001C4D7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1C4D7A" w:rsidRPr="00EF0552" w:rsidRDefault="001C4D7A" w:rsidP="001C4D7A">
      <w:pPr>
        <w:pStyle w:val="H1"/>
        <w:spacing w:after="120"/>
        <w:rPr>
          <w:sz w:val="28"/>
          <w:lang w:val="fr-CH"/>
        </w:rPr>
      </w:pPr>
      <w:r w:rsidRPr="00EF0552">
        <w:rPr>
          <w:sz w:val="28"/>
          <w:lang w:val="fr-CH"/>
        </w:rPr>
        <w:lastRenderedPageBreak/>
        <w:t>Commission économique pour l’Europe</w:t>
      </w:r>
    </w:p>
    <w:p w:rsidR="001C4D7A" w:rsidRPr="00EF0552" w:rsidRDefault="001C4D7A" w:rsidP="001C4D7A">
      <w:pPr>
        <w:pStyle w:val="H1"/>
        <w:spacing w:after="120" w:line="300" w:lineRule="exact"/>
        <w:rPr>
          <w:b w:val="0"/>
          <w:sz w:val="28"/>
          <w:lang w:val="fr-CH"/>
        </w:rPr>
      </w:pPr>
      <w:r w:rsidRPr="00EF0552">
        <w:rPr>
          <w:b w:val="0"/>
          <w:sz w:val="28"/>
          <w:lang w:val="fr-CH"/>
        </w:rPr>
        <w:t>Comité des transports intérieurs</w:t>
      </w:r>
    </w:p>
    <w:p w:rsidR="00905F9E" w:rsidRDefault="00905F9E" w:rsidP="00905F9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423D4">
        <w:rPr>
          <w:lang w:val="fr-FR"/>
        </w:rPr>
        <w:t xml:space="preserve">Forum mondial de l’harmonisation des Règlements </w:t>
      </w:r>
      <w:r>
        <w:rPr>
          <w:lang w:val="fr-FR"/>
        </w:rPr>
        <w:br/>
      </w:r>
      <w:r w:rsidRPr="00C423D4">
        <w:rPr>
          <w:lang w:val="fr-FR"/>
        </w:rPr>
        <w:t>concernant les véhicules</w:t>
      </w:r>
    </w:p>
    <w:p w:rsidR="00905F9E" w:rsidRPr="00905F9E" w:rsidRDefault="00905F9E" w:rsidP="00905F9E">
      <w:pPr>
        <w:spacing w:line="120" w:lineRule="exact"/>
        <w:rPr>
          <w:sz w:val="10"/>
          <w:lang w:val="fr-FR"/>
        </w:rPr>
      </w:pPr>
    </w:p>
    <w:p w:rsidR="00905F9E" w:rsidRDefault="00905F9E" w:rsidP="00905F9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423D4">
        <w:rPr>
          <w:lang w:val="fr-FR"/>
        </w:rPr>
        <w:t>Groupe de travail en matière de roulement et de freinage</w:t>
      </w:r>
    </w:p>
    <w:p w:rsidR="00905F9E" w:rsidRPr="00905F9E" w:rsidRDefault="00905F9E" w:rsidP="00905F9E">
      <w:pPr>
        <w:spacing w:line="120" w:lineRule="exact"/>
        <w:rPr>
          <w:sz w:val="10"/>
          <w:lang w:val="fr-FR"/>
        </w:rPr>
      </w:pPr>
    </w:p>
    <w:p w:rsidR="00905F9E" w:rsidRPr="00C423D4" w:rsidRDefault="00905F9E" w:rsidP="00905F9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423D4">
        <w:rPr>
          <w:lang w:val="fr-FR"/>
        </w:rPr>
        <w:t>Quatre-vingtième session</w:t>
      </w:r>
    </w:p>
    <w:p w:rsidR="00905F9E" w:rsidRPr="00C423D4" w:rsidRDefault="00905F9E" w:rsidP="00905F9E">
      <w:pPr>
        <w:jc w:val="both"/>
        <w:rPr>
          <w:rFonts w:eastAsia="Times New Roman"/>
          <w:sz w:val="22"/>
          <w:lang w:val="fr-FR"/>
        </w:rPr>
      </w:pPr>
      <w:r w:rsidRPr="00C423D4">
        <w:rPr>
          <w:rFonts w:eastAsia="Times New Roman"/>
          <w:sz w:val="22"/>
          <w:lang w:val="fr-FR"/>
        </w:rPr>
        <w:t>Genève, 15-18</w:t>
      </w:r>
      <w:r>
        <w:rPr>
          <w:rFonts w:eastAsia="Times New Roman"/>
          <w:sz w:val="22"/>
          <w:lang w:val="fr-FR" w:eastAsia="ja-JP"/>
        </w:rPr>
        <w:t> </w:t>
      </w:r>
      <w:r w:rsidRPr="00C423D4">
        <w:rPr>
          <w:rFonts w:eastAsia="Times New Roman"/>
          <w:sz w:val="22"/>
          <w:lang w:val="fr-FR" w:eastAsia="ja-JP"/>
        </w:rPr>
        <w:t xml:space="preserve">septembre </w:t>
      </w:r>
      <w:r w:rsidRPr="00C423D4">
        <w:rPr>
          <w:rFonts w:eastAsia="Times New Roman"/>
          <w:sz w:val="22"/>
          <w:lang w:val="fr-FR"/>
        </w:rPr>
        <w:t>201</w:t>
      </w:r>
      <w:r w:rsidRPr="00C423D4">
        <w:rPr>
          <w:rFonts w:eastAsia="Times New Roman"/>
          <w:sz w:val="22"/>
          <w:lang w:val="fr-FR" w:eastAsia="ja-JP"/>
        </w:rPr>
        <w:t>5</w:t>
      </w:r>
    </w:p>
    <w:p w:rsidR="00905F9E" w:rsidRPr="00C423D4" w:rsidRDefault="00905F9E" w:rsidP="00905F9E">
      <w:pPr>
        <w:jc w:val="both"/>
        <w:rPr>
          <w:rFonts w:eastAsia="Times New Roman"/>
          <w:sz w:val="22"/>
          <w:lang w:val="fr-FR"/>
        </w:rPr>
      </w:pPr>
      <w:r w:rsidRPr="00C423D4">
        <w:rPr>
          <w:rFonts w:eastAsia="Times New Roman"/>
          <w:sz w:val="22"/>
          <w:lang w:val="fr-FR"/>
        </w:rPr>
        <w:t xml:space="preserve">Point </w:t>
      </w:r>
      <w:r>
        <w:rPr>
          <w:rFonts w:eastAsia="Times New Roman"/>
          <w:sz w:val="22"/>
          <w:lang w:val="fr-FR"/>
        </w:rPr>
        <w:t>10</w:t>
      </w:r>
      <w:r w:rsidRPr="00C423D4">
        <w:rPr>
          <w:rFonts w:eastAsia="Times New Roman"/>
          <w:sz w:val="22"/>
          <w:lang w:val="fr-FR"/>
        </w:rPr>
        <w:t xml:space="preserve"> </w:t>
      </w:r>
      <w:r>
        <w:rPr>
          <w:rFonts w:eastAsia="Times New Roman"/>
          <w:sz w:val="22"/>
          <w:lang w:val="fr-FR"/>
        </w:rPr>
        <w:t>c</w:t>
      </w:r>
      <w:r w:rsidRPr="00C423D4">
        <w:rPr>
          <w:rFonts w:eastAsia="Times New Roman"/>
          <w:sz w:val="22"/>
          <w:lang w:val="fr-FR"/>
        </w:rPr>
        <w:t>) de l’ordre du jour provisoire</w:t>
      </w:r>
    </w:p>
    <w:p w:rsidR="00905F9E" w:rsidRDefault="00905F9E" w:rsidP="00905F9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423D4">
        <w:rPr>
          <w:lang w:val="fr-FR"/>
        </w:rPr>
        <w:t>Règlement n</w:t>
      </w:r>
      <w:r w:rsidRPr="00905F9E">
        <w:rPr>
          <w:vertAlign w:val="superscript"/>
          <w:lang w:val="fr-FR"/>
        </w:rPr>
        <w:t>o</w:t>
      </w:r>
      <w:r>
        <w:rPr>
          <w:lang w:val="fr-FR"/>
        </w:rPr>
        <w:t> 13-H</w:t>
      </w:r>
      <w:r w:rsidRPr="00C423D4">
        <w:rPr>
          <w:lang w:val="fr-FR"/>
        </w:rPr>
        <w:t xml:space="preserve"> </w:t>
      </w:r>
    </w:p>
    <w:p w:rsidR="00905F9E" w:rsidRPr="00905F9E" w:rsidRDefault="00905F9E" w:rsidP="00905F9E">
      <w:pPr>
        <w:spacing w:line="120" w:lineRule="exact"/>
        <w:rPr>
          <w:sz w:val="10"/>
          <w:lang w:val="fr-FR"/>
        </w:rPr>
      </w:pPr>
    </w:p>
    <w:p w:rsidR="00905F9E" w:rsidRPr="00905F9E" w:rsidRDefault="00905F9E" w:rsidP="00905F9E">
      <w:pPr>
        <w:spacing w:line="120" w:lineRule="exact"/>
        <w:rPr>
          <w:sz w:val="10"/>
          <w:lang w:val="fr-FR"/>
        </w:rPr>
      </w:pPr>
    </w:p>
    <w:p w:rsidR="00905F9E" w:rsidRPr="00905F9E" w:rsidRDefault="00905F9E" w:rsidP="00905F9E">
      <w:pPr>
        <w:spacing w:line="120" w:lineRule="exact"/>
        <w:rPr>
          <w:sz w:val="10"/>
          <w:lang w:val="fr-FR"/>
        </w:rPr>
      </w:pPr>
    </w:p>
    <w:p w:rsidR="00905F9E" w:rsidRDefault="00905F9E" w:rsidP="00905F9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C423D4">
        <w:rPr>
          <w:lang w:val="fr-FR"/>
        </w:rPr>
        <w:tab/>
      </w:r>
      <w:r w:rsidRPr="00C423D4">
        <w:rPr>
          <w:lang w:val="fr-FR"/>
        </w:rPr>
        <w:tab/>
        <w:t xml:space="preserve">Proposition d’amendement au Règlement </w:t>
      </w:r>
      <w:r>
        <w:rPr>
          <w:lang w:val="fr-FR"/>
        </w:rPr>
        <w:t>n</w:t>
      </w:r>
      <w:r w:rsidRPr="00905F9E">
        <w:rPr>
          <w:vertAlign w:val="superscript"/>
          <w:lang w:val="fr-FR"/>
        </w:rPr>
        <w:t>o</w:t>
      </w:r>
      <w:r>
        <w:rPr>
          <w:lang w:val="fr-FR"/>
        </w:rPr>
        <w:t> 13-H</w:t>
      </w:r>
      <w:r w:rsidRPr="00C423D4">
        <w:rPr>
          <w:lang w:val="fr-FR"/>
        </w:rPr>
        <w:t xml:space="preserve"> </w:t>
      </w:r>
      <w:r>
        <w:rPr>
          <w:lang w:val="fr-FR"/>
        </w:rPr>
        <w:br/>
      </w:r>
      <w:r w:rsidRPr="00C423D4">
        <w:rPr>
          <w:lang w:val="fr-FR"/>
        </w:rPr>
        <w:t>(Frein</w:t>
      </w:r>
      <w:r>
        <w:rPr>
          <w:lang w:val="fr-FR"/>
        </w:rPr>
        <w:t xml:space="preserve">s </w:t>
      </w:r>
      <w:r w:rsidRPr="00C423D4">
        <w:rPr>
          <w:lang w:val="fr-FR"/>
        </w:rPr>
        <w:t xml:space="preserve">des </w:t>
      </w:r>
      <w:r>
        <w:rPr>
          <w:lang w:val="fr-FR"/>
        </w:rPr>
        <w:t xml:space="preserve">véhicules des catégories </w:t>
      </w:r>
      <w:r w:rsidRPr="00C423D4">
        <w:rPr>
          <w:lang w:val="fr-FR"/>
        </w:rPr>
        <w:t>M</w:t>
      </w:r>
      <w:r w:rsidRPr="00C423D4">
        <w:rPr>
          <w:vertAlign w:val="subscript"/>
          <w:lang w:val="fr-FR"/>
        </w:rPr>
        <w:t>1</w:t>
      </w:r>
      <w:r w:rsidRPr="00C423D4">
        <w:rPr>
          <w:lang w:val="fr-FR"/>
        </w:rPr>
        <w:t xml:space="preserve"> </w:t>
      </w:r>
      <w:r>
        <w:rPr>
          <w:lang w:val="fr-FR"/>
        </w:rPr>
        <w:t>et</w:t>
      </w:r>
      <w:r w:rsidRPr="00C423D4">
        <w:rPr>
          <w:lang w:val="fr-FR"/>
        </w:rPr>
        <w:t xml:space="preserve"> N</w:t>
      </w:r>
      <w:r w:rsidRPr="00C423D4">
        <w:rPr>
          <w:vertAlign w:val="subscript"/>
          <w:lang w:val="fr-FR"/>
        </w:rPr>
        <w:t>1</w:t>
      </w:r>
      <w:r w:rsidRPr="00C423D4">
        <w:rPr>
          <w:lang w:val="fr-FR"/>
        </w:rPr>
        <w:t xml:space="preserve">) </w:t>
      </w:r>
    </w:p>
    <w:p w:rsidR="00905F9E" w:rsidRPr="00905F9E" w:rsidRDefault="00905F9E" w:rsidP="00905F9E">
      <w:pPr>
        <w:spacing w:line="120" w:lineRule="exact"/>
        <w:rPr>
          <w:sz w:val="10"/>
          <w:lang w:val="fr-FR"/>
        </w:rPr>
      </w:pPr>
    </w:p>
    <w:p w:rsidR="00905F9E" w:rsidRPr="00905F9E" w:rsidRDefault="00905F9E" w:rsidP="00905F9E">
      <w:pPr>
        <w:spacing w:line="120" w:lineRule="exact"/>
        <w:rPr>
          <w:sz w:val="10"/>
          <w:lang w:val="fr-FR"/>
        </w:rPr>
      </w:pPr>
    </w:p>
    <w:p w:rsidR="00905F9E" w:rsidRDefault="00905F9E" w:rsidP="00905F9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vertAlign w:val="superscript"/>
          <w:lang w:val="fr-FR"/>
        </w:rPr>
      </w:pPr>
      <w:r w:rsidRPr="00C423D4">
        <w:rPr>
          <w:lang w:val="fr-FR"/>
        </w:rPr>
        <w:tab/>
      </w:r>
      <w:r w:rsidRPr="00C423D4">
        <w:rPr>
          <w:lang w:val="fr-FR"/>
        </w:rPr>
        <w:tab/>
        <w:t>Communication de</w:t>
      </w:r>
      <w:r>
        <w:rPr>
          <w:lang w:val="fr-FR"/>
        </w:rPr>
        <w:t>s</w:t>
      </w:r>
      <w:r w:rsidRPr="00C423D4">
        <w:rPr>
          <w:lang w:val="fr-FR"/>
        </w:rPr>
        <w:t xml:space="preserve"> expert</w:t>
      </w:r>
      <w:r>
        <w:rPr>
          <w:lang w:val="fr-FR"/>
        </w:rPr>
        <w:t>s</w:t>
      </w:r>
      <w:r w:rsidRPr="00C423D4">
        <w:rPr>
          <w:lang w:val="fr-FR"/>
        </w:rPr>
        <w:t xml:space="preserve"> </w:t>
      </w:r>
      <w:r>
        <w:rPr>
          <w:lang w:val="fr-FR"/>
        </w:rPr>
        <w:t>du Royaume-Uni</w:t>
      </w:r>
      <w:r w:rsidRPr="00905F9E">
        <w:rPr>
          <w:b w:val="0"/>
          <w:sz w:val="20"/>
          <w:szCs w:val="20"/>
          <w:lang w:val="fr-FR"/>
        </w:rPr>
        <w:footnoteReference w:customMarkFollows="1" w:id="1"/>
        <w:t>*</w:t>
      </w:r>
    </w:p>
    <w:p w:rsidR="00905F9E" w:rsidRPr="00905F9E" w:rsidRDefault="00905F9E" w:rsidP="00905F9E">
      <w:pPr>
        <w:spacing w:line="120" w:lineRule="exact"/>
        <w:rPr>
          <w:sz w:val="10"/>
          <w:lang w:val="fr-FR"/>
        </w:rPr>
      </w:pPr>
    </w:p>
    <w:p w:rsidR="00905F9E" w:rsidRPr="00905F9E" w:rsidRDefault="00905F9E" w:rsidP="00905F9E">
      <w:pPr>
        <w:spacing w:line="120" w:lineRule="exact"/>
        <w:rPr>
          <w:sz w:val="10"/>
          <w:lang w:val="fr-FR"/>
        </w:rPr>
      </w:pPr>
    </w:p>
    <w:p w:rsidR="00905F9E" w:rsidRDefault="00905F9E" w:rsidP="00905F9E">
      <w:pPr>
        <w:pStyle w:val="SingleTxt"/>
        <w:rPr>
          <w:lang w:val="fr-FR"/>
        </w:rPr>
      </w:pPr>
      <w:r>
        <w:rPr>
          <w:lang w:val="fr-FR"/>
        </w:rPr>
        <w:tab/>
      </w:r>
      <w:r w:rsidRPr="00C423D4">
        <w:rPr>
          <w:lang w:val="fr-FR"/>
        </w:rPr>
        <w:t xml:space="preserve">Le texte reproduit ci-après, élaboré par les experts du </w:t>
      </w:r>
      <w:r>
        <w:rPr>
          <w:lang w:val="fr-FR"/>
        </w:rPr>
        <w:t xml:space="preserve">Royaume-Uni, </w:t>
      </w:r>
      <w:r w:rsidRPr="00003039">
        <w:rPr>
          <w:bCs/>
          <w:lang w:val="fr-FR"/>
        </w:rPr>
        <w:t>propos</w:t>
      </w:r>
      <w:r>
        <w:rPr>
          <w:bCs/>
          <w:lang w:val="fr-FR"/>
        </w:rPr>
        <w:t>e une disposition transitoire</w:t>
      </w:r>
      <w:r w:rsidRPr="00003039">
        <w:rPr>
          <w:lang w:val="fr-FR"/>
        </w:rPr>
        <w:t>.</w:t>
      </w:r>
    </w:p>
    <w:p w:rsidR="00905F9E" w:rsidRDefault="00905F9E">
      <w:pPr>
        <w:spacing w:line="240" w:lineRule="auto"/>
        <w:rPr>
          <w:lang w:val="fr-FR"/>
        </w:rPr>
      </w:pPr>
      <w:r>
        <w:rPr>
          <w:lang w:val="fr-FR"/>
        </w:rPr>
        <w:br w:type="page"/>
      </w:r>
    </w:p>
    <w:p w:rsidR="00905F9E" w:rsidRDefault="00905F9E" w:rsidP="00905F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05F9E">
        <w:rPr>
          <w:lang w:val="fr-FR"/>
        </w:rPr>
        <w:lastRenderedPageBreak/>
        <w:tab/>
        <w:t>I.</w:t>
      </w:r>
      <w:r w:rsidRPr="00905F9E">
        <w:rPr>
          <w:lang w:val="fr-FR"/>
        </w:rPr>
        <w:tab/>
        <w:t>Proposition</w:t>
      </w:r>
    </w:p>
    <w:p w:rsidR="00905F9E" w:rsidRPr="00905F9E" w:rsidRDefault="00905F9E" w:rsidP="00905F9E">
      <w:pPr>
        <w:pStyle w:val="SingleTxt"/>
        <w:spacing w:after="0" w:line="120" w:lineRule="exact"/>
        <w:rPr>
          <w:sz w:val="10"/>
          <w:lang w:val="fr-FR"/>
        </w:rPr>
      </w:pPr>
    </w:p>
    <w:p w:rsidR="00905F9E" w:rsidRPr="00905F9E" w:rsidRDefault="00905F9E" w:rsidP="00905F9E">
      <w:pPr>
        <w:pStyle w:val="SingleTxt"/>
        <w:spacing w:after="0" w:line="120" w:lineRule="exact"/>
        <w:rPr>
          <w:sz w:val="10"/>
          <w:lang w:val="fr-FR"/>
        </w:rPr>
      </w:pPr>
    </w:p>
    <w:p w:rsidR="00905F9E" w:rsidRPr="00905F9E" w:rsidRDefault="00905F9E" w:rsidP="00905F9E">
      <w:pPr>
        <w:pStyle w:val="SingleTxt"/>
        <w:ind w:left="2218" w:hanging="951"/>
        <w:rPr>
          <w:lang w:val="fr-FR"/>
        </w:rPr>
      </w:pPr>
      <w:r>
        <w:rPr>
          <w:lang w:val="fr-FR"/>
        </w:rPr>
        <w:t>« </w:t>
      </w:r>
      <w:r w:rsidRPr="00905F9E">
        <w:rPr>
          <w:lang w:val="fr-FR"/>
        </w:rPr>
        <w:t>12.1</w:t>
      </w:r>
      <w:r w:rsidRPr="00905F9E">
        <w:rPr>
          <w:lang w:val="fr-FR"/>
        </w:rPr>
        <w:tab/>
        <w:t>À compter du [date d’entrée en vigueur de la série 01 d’amendements au présent Règlement/1</w:t>
      </w:r>
      <w:r w:rsidRPr="00905F9E">
        <w:rPr>
          <w:vertAlign w:val="superscript"/>
          <w:lang w:val="fr-FR"/>
        </w:rPr>
        <w:t>er</w:t>
      </w:r>
      <w:r>
        <w:rPr>
          <w:lang w:val="fr-FR"/>
        </w:rPr>
        <w:t> </w:t>
      </w:r>
      <w:r w:rsidRPr="00905F9E">
        <w:rPr>
          <w:lang w:val="fr-FR"/>
        </w:rPr>
        <w:t>septembre 2017],</w:t>
      </w:r>
      <w:r w:rsidRPr="00905F9E">
        <w:rPr>
          <w:lang w:val="fr-CH"/>
        </w:rPr>
        <w:t xml:space="preserve"> </w:t>
      </w:r>
      <w:r w:rsidRPr="00905F9E">
        <w:rPr>
          <w:lang w:val="fr-FR"/>
        </w:rPr>
        <w:t>aucune Partie contractante appliquant le présent Règlement ne doit refuser d’accorder des homologations de type au titre du présent Règlement tel qu’il est modifié par la série 01 d’amendements.</w:t>
      </w:r>
    </w:p>
    <w:p w:rsidR="00905F9E" w:rsidRPr="00905F9E" w:rsidRDefault="00905F9E" w:rsidP="00905F9E">
      <w:pPr>
        <w:pStyle w:val="SingleTxt"/>
        <w:ind w:left="2218" w:hanging="951"/>
        <w:rPr>
          <w:lang w:val="fr-FR"/>
        </w:rPr>
      </w:pPr>
      <w:r w:rsidRPr="00905F9E">
        <w:rPr>
          <w:lang w:val="fr-FR"/>
        </w:rPr>
        <w:t>12.2</w:t>
      </w:r>
      <w:r w:rsidRPr="00905F9E">
        <w:rPr>
          <w:lang w:val="fr-FR"/>
        </w:rPr>
        <w:tab/>
      </w:r>
      <w:r>
        <w:rPr>
          <w:lang w:val="fr-FR"/>
        </w:rPr>
        <w:tab/>
      </w:r>
      <w:r w:rsidRPr="00905F9E">
        <w:rPr>
          <w:lang w:val="fr-FR"/>
        </w:rPr>
        <w:t>Même après [l’entrée en vigueur de la série 01 d’ame</w:t>
      </w:r>
      <w:r>
        <w:rPr>
          <w:lang w:val="fr-FR"/>
        </w:rPr>
        <w:t xml:space="preserve">ndements au présent Règlement/le </w:t>
      </w:r>
      <w:r w:rsidRPr="00905F9E">
        <w:rPr>
          <w:lang w:val="fr-FR"/>
        </w:rPr>
        <w:t>1</w:t>
      </w:r>
      <w:r w:rsidRPr="00905F9E">
        <w:rPr>
          <w:vertAlign w:val="superscript"/>
          <w:lang w:val="fr-FR"/>
        </w:rPr>
        <w:t>er</w:t>
      </w:r>
      <w:r>
        <w:rPr>
          <w:lang w:val="fr-FR"/>
        </w:rPr>
        <w:t> </w:t>
      </w:r>
      <w:r w:rsidRPr="00905F9E">
        <w:rPr>
          <w:lang w:val="fr-FR"/>
        </w:rPr>
        <w:t>septembre 2017], les Parties contractantes appliquant le présent Règlement doivent continuer à accepter des homologations de type accordés titre de la version originale du présent Règlement pour autant que les véhicules concernés soient équipés d’une fonction de contrôle de stabilité ou d’un ESC et d’un système d’assistance au freinage d’urgence (AFU).</w:t>
      </w:r>
    </w:p>
    <w:p w:rsidR="00905F9E" w:rsidRPr="00905F9E" w:rsidRDefault="00905F9E" w:rsidP="00905F9E">
      <w:pPr>
        <w:pStyle w:val="SingleTxt"/>
        <w:ind w:left="2218" w:hanging="951"/>
        <w:rPr>
          <w:lang w:val="fr-FR"/>
        </w:rPr>
      </w:pPr>
      <w:r>
        <w:rPr>
          <w:lang w:val="fr-FR"/>
        </w:rPr>
        <w:tab/>
      </w:r>
      <w:r>
        <w:rPr>
          <w:lang w:val="fr-FR"/>
        </w:rPr>
        <w:tab/>
      </w:r>
      <w:r w:rsidRPr="00905F9E">
        <w:rPr>
          <w:lang w:val="fr-FR"/>
        </w:rPr>
        <w:t>Toutefois, les Parties contractantes appliquant le présent Règlement peuvent accepter, aux fins d’une homologation de type nationale ou régionale, des homologations de type accordés titre de la version originale du présent Règlement à des types de véhicule qui ne sont pas équipés d’une fonction de contrôle de stabilité ou d’un ESC ni d’un système d’assistance au freinage d’urgence (AFU).</w:t>
      </w:r>
    </w:p>
    <w:p w:rsidR="00905F9E" w:rsidRPr="00905F9E" w:rsidRDefault="00905F9E" w:rsidP="00905F9E">
      <w:pPr>
        <w:pStyle w:val="SingleTxt"/>
        <w:ind w:left="2218" w:hanging="951"/>
        <w:rPr>
          <w:b/>
          <w:lang w:val="fr-FR"/>
        </w:rPr>
      </w:pPr>
      <w:r w:rsidRPr="00905F9E">
        <w:rPr>
          <w:lang w:val="fr-FR"/>
        </w:rPr>
        <w:t>12.3</w:t>
      </w:r>
      <w:r w:rsidRPr="00905F9E">
        <w:rPr>
          <w:lang w:val="fr-FR"/>
        </w:rPr>
        <w:tab/>
      </w:r>
      <w:r>
        <w:rPr>
          <w:lang w:val="fr-FR"/>
        </w:rPr>
        <w:tab/>
      </w:r>
      <w:r w:rsidRPr="00905F9E">
        <w:rPr>
          <w:lang w:val="fr-FR"/>
        </w:rPr>
        <w:t>À compter du [date d’entrée en vigueur de la série 01 d’amendements au présent Règlement/1</w:t>
      </w:r>
      <w:r w:rsidRPr="00905F9E">
        <w:rPr>
          <w:vertAlign w:val="superscript"/>
          <w:lang w:val="fr-FR"/>
        </w:rPr>
        <w:t>er</w:t>
      </w:r>
      <w:r>
        <w:rPr>
          <w:lang w:val="fr-FR"/>
        </w:rPr>
        <w:t> </w:t>
      </w:r>
      <w:r w:rsidRPr="00905F9E">
        <w:rPr>
          <w:lang w:val="fr-FR"/>
        </w:rPr>
        <w:t xml:space="preserve">septembre 2017], aucune Partie contractante appliquant le présent Règlement n’est tenue d’accepter des homologations de type accordées au titre du présent Règlement tel qu’il est modifié par la série 01 d’amendements </w:t>
      </w:r>
      <w:r w:rsidRPr="00905F9E">
        <w:rPr>
          <w:b/>
          <w:lang w:val="fr-FR"/>
        </w:rPr>
        <w:t xml:space="preserve">[à moins que le véhicule soit aussi homologué au titre du Règlement [AFU] et/ou du Règlement [ESC]]. </w:t>
      </w:r>
    </w:p>
    <w:p w:rsidR="00905F9E" w:rsidRPr="00905F9E" w:rsidRDefault="00905F9E" w:rsidP="00905F9E">
      <w:pPr>
        <w:pStyle w:val="SingleTxt"/>
        <w:ind w:left="2218" w:hanging="951"/>
        <w:rPr>
          <w:lang w:val="fr-FR"/>
        </w:rPr>
      </w:pPr>
      <w:r w:rsidRPr="00905F9E">
        <w:rPr>
          <w:lang w:val="fr-FR"/>
        </w:rPr>
        <w:t>12.4</w:t>
      </w:r>
      <w:r w:rsidRPr="00905F9E">
        <w:rPr>
          <w:lang w:val="fr-FR"/>
        </w:rPr>
        <w:tab/>
      </w:r>
      <w:r>
        <w:rPr>
          <w:lang w:val="fr-FR"/>
        </w:rPr>
        <w:tab/>
        <w:t>À</w:t>
      </w:r>
      <w:r w:rsidRPr="00905F9E">
        <w:rPr>
          <w:lang w:val="fr-FR"/>
        </w:rPr>
        <w:t xml:space="preserve"> compter du 15</w:t>
      </w:r>
      <w:r>
        <w:rPr>
          <w:lang w:val="fr-FR"/>
        </w:rPr>
        <w:t> </w:t>
      </w:r>
      <w:r w:rsidRPr="00905F9E">
        <w:rPr>
          <w:lang w:val="fr-FR"/>
        </w:rPr>
        <w:t>juin 2015, les Parties contractantes doivent continuer à accorder des homologations de type au titre de la version originale du présent Règlement, mais à compter du 15</w:t>
      </w:r>
      <w:r>
        <w:rPr>
          <w:lang w:val="fr-FR"/>
        </w:rPr>
        <w:t> </w:t>
      </w:r>
      <w:r w:rsidRPr="00905F9E">
        <w:rPr>
          <w:lang w:val="fr-FR"/>
        </w:rPr>
        <w:t>juin 2017 elles ne doivent accorder des homologations que si le type de véhicule à homologuer satisfait aux prescriptions du complément 16 à la version originale du présent Règlement.</w:t>
      </w:r>
    </w:p>
    <w:p w:rsidR="00905F9E" w:rsidRPr="00905F9E" w:rsidRDefault="00905F9E" w:rsidP="00905F9E">
      <w:pPr>
        <w:pStyle w:val="SingleTxt"/>
        <w:ind w:left="2218" w:hanging="951"/>
        <w:rPr>
          <w:lang w:val="fr-FR"/>
        </w:rPr>
      </w:pPr>
      <w:r w:rsidRPr="00905F9E">
        <w:rPr>
          <w:lang w:val="fr-FR"/>
        </w:rPr>
        <w:t>12.5</w:t>
      </w:r>
      <w:r w:rsidRPr="00905F9E">
        <w:rPr>
          <w:lang w:val="fr-FR"/>
        </w:rPr>
        <w:tab/>
      </w:r>
      <w:r>
        <w:rPr>
          <w:lang w:val="fr-FR"/>
        </w:rPr>
        <w:tab/>
      </w:r>
      <w:r w:rsidRPr="00905F9E">
        <w:rPr>
          <w:lang w:val="fr-FR"/>
        </w:rPr>
        <w:t>À compter du [date d’entrée en vigueur de la série 01 d’amendements au présent Règlement/1</w:t>
      </w:r>
      <w:r w:rsidRPr="00905F9E">
        <w:rPr>
          <w:vertAlign w:val="superscript"/>
          <w:lang w:val="fr-FR"/>
        </w:rPr>
        <w:t>er</w:t>
      </w:r>
      <w:r>
        <w:rPr>
          <w:lang w:val="fr-FR"/>
        </w:rPr>
        <w:t> </w:t>
      </w:r>
      <w:r w:rsidRPr="00905F9E">
        <w:rPr>
          <w:lang w:val="fr-FR"/>
        </w:rPr>
        <w:t>septembre 2017], les Parties contractantes appliquant le présent Règlement ne doivent à accorder des homologations de type que si le type de véhicule à homologuer satisfait aux prescriptions du présent Règlement tel qu’il est modifié par la série 01 d’amendements.</w:t>
      </w:r>
    </w:p>
    <w:p w:rsidR="00905F9E" w:rsidRDefault="00905F9E" w:rsidP="00905F9E">
      <w:pPr>
        <w:pStyle w:val="SingleTxt"/>
        <w:ind w:left="2218" w:hanging="951"/>
        <w:rPr>
          <w:lang w:val="fr-FR"/>
        </w:rPr>
      </w:pPr>
      <w:r w:rsidRPr="00905F9E">
        <w:rPr>
          <w:lang w:val="fr-FR"/>
        </w:rPr>
        <w:t>12.6</w:t>
      </w:r>
      <w:r w:rsidRPr="00905F9E">
        <w:rPr>
          <w:lang w:val="fr-FR"/>
        </w:rPr>
        <w:tab/>
      </w:r>
      <w:r>
        <w:rPr>
          <w:lang w:val="fr-FR"/>
        </w:rPr>
        <w:tab/>
      </w:r>
      <w:r w:rsidRPr="00905F9E">
        <w:rPr>
          <w:lang w:val="fr-FR"/>
        </w:rPr>
        <w:t>Les Parties contractantes appliquant le présent Règlement ne doivent pas refuser d’accorder des extensions d’homologation de type à des types de véhicules existants, équipés ou non d’une fonction de contrôle de stabilité ou d’un ESC et d’un système d’aide au freinage d’urgence (AFU), en application des prescriptions en vigueur à la date de l’homologation d’origine.</w:t>
      </w:r>
      <w:r>
        <w:rPr>
          <w:lang w:val="fr-FR"/>
        </w:rPr>
        <w:t> »</w:t>
      </w:r>
      <w:r w:rsidRPr="00905F9E">
        <w:rPr>
          <w:lang w:val="fr-FR"/>
        </w:rPr>
        <w:t>.</w:t>
      </w:r>
    </w:p>
    <w:p w:rsidR="00905F9E" w:rsidRPr="00905F9E" w:rsidRDefault="00905F9E" w:rsidP="00905F9E">
      <w:pPr>
        <w:pStyle w:val="SingleTxt"/>
        <w:spacing w:after="0" w:line="120" w:lineRule="exact"/>
        <w:ind w:left="2218" w:hanging="951"/>
        <w:rPr>
          <w:sz w:val="10"/>
          <w:lang w:val="fr-FR"/>
        </w:rPr>
      </w:pPr>
    </w:p>
    <w:p w:rsidR="00905F9E" w:rsidRPr="00905F9E" w:rsidRDefault="00905F9E" w:rsidP="00905F9E">
      <w:pPr>
        <w:pStyle w:val="SingleTxt"/>
        <w:spacing w:after="0" w:line="120" w:lineRule="exact"/>
        <w:ind w:left="2218" w:hanging="951"/>
        <w:rPr>
          <w:sz w:val="10"/>
          <w:lang w:val="fr-FR"/>
        </w:rPr>
      </w:pPr>
    </w:p>
    <w:p w:rsidR="00905F9E" w:rsidRDefault="00905F9E" w:rsidP="00905F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05F9E">
        <w:rPr>
          <w:lang w:val="fr-FR"/>
        </w:rPr>
        <w:tab/>
      </w:r>
      <w:r>
        <w:rPr>
          <w:lang w:val="en-GB"/>
        </w:rPr>
        <w:t>II.</w:t>
      </w:r>
      <w:r>
        <w:rPr>
          <w:lang w:val="en-GB"/>
        </w:rPr>
        <w:tab/>
      </w:r>
      <w:r w:rsidRPr="00905F9E">
        <w:rPr>
          <w:lang w:val="en-GB"/>
        </w:rPr>
        <w:t>Justification</w:t>
      </w:r>
    </w:p>
    <w:p w:rsidR="00905F9E" w:rsidRPr="00905F9E" w:rsidRDefault="00905F9E" w:rsidP="00905F9E">
      <w:pPr>
        <w:pStyle w:val="SingleTxt"/>
        <w:spacing w:after="0" w:line="120" w:lineRule="exact"/>
        <w:rPr>
          <w:sz w:val="10"/>
          <w:lang w:val="en-GB"/>
        </w:rPr>
      </w:pPr>
    </w:p>
    <w:p w:rsidR="00905F9E" w:rsidRPr="00905F9E" w:rsidRDefault="00905F9E" w:rsidP="00905F9E">
      <w:pPr>
        <w:pStyle w:val="SingleTxt"/>
        <w:spacing w:after="0" w:line="120" w:lineRule="exact"/>
        <w:rPr>
          <w:sz w:val="10"/>
          <w:lang w:val="en-GB"/>
        </w:rPr>
      </w:pPr>
    </w:p>
    <w:p w:rsidR="00905F9E" w:rsidRDefault="00905F9E" w:rsidP="00905F9E">
      <w:pPr>
        <w:pStyle w:val="SingleTxt"/>
        <w:numPr>
          <w:ilvl w:val="0"/>
          <w:numId w:val="7"/>
        </w:numPr>
        <w:tabs>
          <w:tab w:val="clear" w:pos="475"/>
          <w:tab w:val="num" w:pos="1742"/>
        </w:tabs>
        <w:ind w:left="1267"/>
        <w:rPr>
          <w:lang w:val="fr-FR"/>
        </w:rPr>
      </w:pPr>
      <w:r w:rsidRPr="00905F9E">
        <w:rPr>
          <w:lang w:val="fr-FR"/>
        </w:rPr>
        <w:t xml:space="preserve">Dans le cadre de la discussion portant sur l’homologation de type internationale de l’ensemble du véhicule (IWVTA), il a été convenu de commencer à scinder le Règlement </w:t>
      </w:r>
      <w:r>
        <w:rPr>
          <w:lang w:val="fr-FR"/>
        </w:rPr>
        <w:t>n</w:t>
      </w:r>
      <w:r w:rsidRPr="00905F9E">
        <w:rPr>
          <w:vertAlign w:val="superscript"/>
          <w:lang w:val="fr-FR"/>
        </w:rPr>
        <w:t>o</w:t>
      </w:r>
      <w:r>
        <w:rPr>
          <w:lang w:val="fr-FR"/>
        </w:rPr>
        <w:t> </w:t>
      </w:r>
      <w:r w:rsidRPr="00905F9E">
        <w:rPr>
          <w:lang w:val="fr-FR"/>
        </w:rPr>
        <w:t>13-H en trois Règlements distincts portant respectivement sur le freinage, sur les systèmes d’assistance au freinage (AUF) et sur les systèmes électroniques de contrôle de stabilité (ESC).</w:t>
      </w:r>
    </w:p>
    <w:p w:rsidR="00905F9E" w:rsidRDefault="00905F9E" w:rsidP="00905F9E">
      <w:pPr>
        <w:pStyle w:val="SingleTxt"/>
        <w:numPr>
          <w:ilvl w:val="0"/>
          <w:numId w:val="7"/>
        </w:numPr>
        <w:tabs>
          <w:tab w:val="clear" w:pos="475"/>
          <w:tab w:val="num" w:pos="1742"/>
        </w:tabs>
        <w:ind w:left="1267"/>
        <w:rPr>
          <w:lang w:val="fr-FR"/>
        </w:rPr>
      </w:pPr>
      <w:r w:rsidRPr="00905F9E">
        <w:rPr>
          <w:lang w:val="fr-FR"/>
        </w:rPr>
        <w:lastRenderedPageBreak/>
        <w:t>De nouvelles dispositions transitoires sont proposé</w:t>
      </w:r>
      <w:r w:rsidR="00A16E9F">
        <w:rPr>
          <w:lang w:val="fr-FR"/>
        </w:rPr>
        <w:t>e</w:t>
      </w:r>
      <w:r w:rsidRPr="00905F9E">
        <w:rPr>
          <w:lang w:val="fr-FR"/>
        </w:rPr>
        <w:t>s en vue de l’achèvement de cette tâche et pour faciliter le travail de mise en œuvre des Parties contractantes qui se fient au texte actuel du Règlement lorsqu’il est question d’AUF ou d’ESC.</w:t>
      </w:r>
    </w:p>
    <w:p w:rsidR="001C4D7A" w:rsidRPr="00905F9E" w:rsidRDefault="00905F9E" w:rsidP="00905F9E">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C4D7A" w:rsidRPr="00905F9E" w:rsidSect="001C4D7A">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14:22:00Z" w:initials="Start">
    <w:p w:rsidR="001C4D7A" w:rsidRDefault="001C4D7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NO&gt;&gt;N1514647F&lt;&lt;ODS JOB NO&gt;&gt;</w:t>
      </w:r>
    </w:p>
    <w:p w:rsidR="001C4D7A" w:rsidRDefault="001C4D7A">
      <w:pPr>
        <w:pStyle w:val="CommentText"/>
      </w:pPr>
      <w:r>
        <w:t>&lt;&lt;ODS DOC SYMBOL1&gt;&gt;ECE/TRANS/WP.29/GRRF/2015/33&lt;&lt;ODS DOC SYMBOL1&gt;&gt;</w:t>
      </w:r>
    </w:p>
    <w:p w:rsidR="001C4D7A" w:rsidRDefault="001C4D7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89" w:rsidRDefault="009F4789" w:rsidP="00F3330B">
      <w:pPr>
        <w:spacing w:line="240" w:lineRule="auto"/>
      </w:pPr>
      <w:r>
        <w:separator/>
      </w:r>
    </w:p>
  </w:endnote>
  <w:endnote w:type="continuationSeparator" w:id="0">
    <w:p w:rsidR="009F4789" w:rsidRDefault="009F478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4D7A" w:rsidTr="001C4D7A">
      <w:trPr>
        <w:jc w:val="center"/>
      </w:trPr>
      <w:tc>
        <w:tcPr>
          <w:tcW w:w="5126" w:type="dxa"/>
          <w:shd w:val="clear" w:color="auto" w:fill="auto"/>
        </w:tcPr>
        <w:p w:rsidR="001C4D7A" w:rsidRPr="001C4D7A" w:rsidRDefault="001C4D7A" w:rsidP="001C4D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6E9F">
            <w:rPr>
              <w:b w:val="0"/>
              <w:w w:val="103"/>
              <w:sz w:val="14"/>
            </w:rPr>
            <w:t>GE.15-11267</w:t>
          </w:r>
          <w:r>
            <w:rPr>
              <w:b w:val="0"/>
              <w:w w:val="103"/>
              <w:sz w:val="14"/>
            </w:rPr>
            <w:fldChar w:fldCharType="end"/>
          </w:r>
        </w:p>
      </w:tc>
      <w:tc>
        <w:tcPr>
          <w:tcW w:w="5127" w:type="dxa"/>
          <w:shd w:val="clear" w:color="auto" w:fill="auto"/>
        </w:tcPr>
        <w:p w:rsidR="001C4D7A" w:rsidRPr="001C4D7A" w:rsidRDefault="001C4D7A" w:rsidP="001C4D7A">
          <w:pPr>
            <w:pStyle w:val="Footer"/>
            <w:rPr>
              <w:w w:val="103"/>
            </w:rPr>
          </w:pPr>
          <w:r>
            <w:rPr>
              <w:w w:val="103"/>
            </w:rPr>
            <w:fldChar w:fldCharType="begin"/>
          </w:r>
          <w:r>
            <w:rPr>
              <w:w w:val="103"/>
            </w:rPr>
            <w:instrText xml:space="preserve"> PAGE  \* Arabic  \* MERGEFORMAT </w:instrText>
          </w:r>
          <w:r>
            <w:rPr>
              <w:w w:val="103"/>
            </w:rPr>
            <w:fldChar w:fldCharType="separate"/>
          </w:r>
          <w:r w:rsidR="00EF055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0552">
            <w:rPr>
              <w:noProof/>
              <w:w w:val="103"/>
            </w:rPr>
            <w:t>3</w:t>
          </w:r>
          <w:r>
            <w:rPr>
              <w:w w:val="103"/>
            </w:rPr>
            <w:fldChar w:fldCharType="end"/>
          </w:r>
        </w:p>
      </w:tc>
    </w:tr>
  </w:tbl>
  <w:p w:rsidR="001C4D7A" w:rsidRPr="001C4D7A" w:rsidRDefault="001C4D7A" w:rsidP="001C4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4D7A" w:rsidTr="001C4D7A">
      <w:trPr>
        <w:jc w:val="center"/>
      </w:trPr>
      <w:tc>
        <w:tcPr>
          <w:tcW w:w="5126" w:type="dxa"/>
          <w:shd w:val="clear" w:color="auto" w:fill="auto"/>
        </w:tcPr>
        <w:p w:rsidR="001C4D7A" w:rsidRPr="001C4D7A" w:rsidRDefault="001C4D7A" w:rsidP="001C4D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F055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0552">
            <w:rPr>
              <w:noProof/>
              <w:w w:val="103"/>
            </w:rPr>
            <w:t>3</w:t>
          </w:r>
          <w:r>
            <w:rPr>
              <w:w w:val="103"/>
            </w:rPr>
            <w:fldChar w:fldCharType="end"/>
          </w:r>
        </w:p>
      </w:tc>
      <w:tc>
        <w:tcPr>
          <w:tcW w:w="5127" w:type="dxa"/>
          <w:shd w:val="clear" w:color="auto" w:fill="auto"/>
        </w:tcPr>
        <w:p w:rsidR="001C4D7A" w:rsidRPr="001C4D7A" w:rsidRDefault="001C4D7A" w:rsidP="001C4D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6E9F">
            <w:rPr>
              <w:b w:val="0"/>
              <w:w w:val="103"/>
              <w:sz w:val="14"/>
            </w:rPr>
            <w:t>GE.15-11267</w:t>
          </w:r>
          <w:r>
            <w:rPr>
              <w:b w:val="0"/>
              <w:w w:val="103"/>
              <w:sz w:val="14"/>
            </w:rPr>
            <w:fldChar w:fldCharType="end"/>
          </w:r>
        </w:p>
      </w:tc>
    </w:tr>
  </w:tbl>
  <w:p w:rsidR="001C4D7A" w:rsidRPr="001C4D7A" w:rsidRDefault="001C4D7A" w:rsidP="001C4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7A" w:rsidRDefault="001C4D7A">
    <w:pPr>
      <w:pStyle w:val="Footer"/>
    </w:pPr>
    <w:r>
      <w:rPr>
        <w:noProof/>
        <w:lang w:val="en-GB" w:eastAsia="en-GB"/>
      </w:rPr>
      <w:drawing>
        <wp:anchor distT="0" distB="0" distL="114300" distR="114300" simplePos="0" relativeHeight="251658240" behindDoc="0" locked="0" layoutInCell="1" allowOverlap="1" wp14:anchorId="686744DC" wp14:editId="5CC98AE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C4D7A" w:rsidTr="001C4D7A">
      <w:tc>
        <w:tcPr>
          <w:tcW w:w="3859" w:type="dxa"/>
        </w:tcPr>
        <w:p w:rsidR="001C4D7A" w:rsidRDefault="001C4D7A" w:rsidP="001C4D7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16E9F">
            <w:rPr>
              <w:b w:val="0"/>
              <w:sz w:val="20"/>
            </w:rPr>
            <w:t>GE.15-11267 (F)</w:t>
          </w:r>
          <w:r>
            <w:rPr>
              <w:b w:val="0"/>
              <w:sz w:val="20"/>
            </w:rPr>
            <w:fldChar w:fldCharType="end"/>
          </w:r>
          <w:r w:rsidR="009F119A">
            <w:rPr>
              <w:b w:val="0"/>
              <w:sz w:val="20"/>
            </w:rPr>
            <w:t xml:space="preserve">    070815    10</w:t>
          </w:r>
          <w:r>
            <w:rPr>
              <w:b w:val="0"/>
              <w:sz w:val="20"/>
            </w:rPr>
            <w:t>0815</w:t>
          </w:r>
        </w:p>
        <w:p w:rsidR="001C4D7A" w:rsidRPr="001C4D7A" w:rsidRDefault="001C4D7A" w:rsidP="001C4D7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16E9F">
            <w:rPr>
              <w:rFonts w:ascii="Barcode 3 of 9 by request" w:hAnsi="Barcode 3 of 9 by request"/>
              <w:b w:val="0"/>
              <w:spacing w:val="0"/>
              <w:w w:val="100"/>
              <w:sz w:val="24"/>
            </w:rPr>
            <w:t>*1511267*</w:t>
          </w:r>
          <w:r>
            <w:rPr>
              <w:rFonts w:ascii="Barcode 3 of 9 by request" w:hAnsi="Barcode 3 of 9 by request"/>
              <w:b w:val="0"/>
              <w:spacing w:val="0"/>
              <w:w w:val="100"/>
              <w:sz w:val="24"/>
            </w:rPr>
            <w:fldChar w:fldCharType="end"/>
          </w:r>
        </w:p>
      </w:tc>
      <w:tc>
        <w:tcPr>
          <w:tcW w:w="5127" w:type="dxa"/>
        </w:tcPr>
        <w:p w:rsidR="001C4D7A" w:rsidRDefault="001C4D7A" w:rsidP="001C4D7A">
          <w:pPr>
            <w:pStyle w:val="Footer"/>
            <w:spacing w:line="240" w:lineRule="atLeast"/>
            <w:jc w:val="right"/>
            <w:rPr>
              <w:b w:val="0"/>
              <w:sz w:val="20"/>
            </w:rPr>
          </w:pPr>
          <w:r>
            <w:rPr>
              <w:b w:val="0"/>
              <w:noProof/>
              <w:sz w:val="20"/>
              <w:lang w:val="en-GB" w:eastAsia="en-GB"/>
            </w:rPr>
            <w:drawing>
              <wp:inline distT="0" distB="0" distL="0" distR="0" wp14:anchorId="3AE3B297" wp14:editId="4C47146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C4D7A" w:rsidRPr="001C4D7A" w:rsidRDefault="001C4D7A" w:rsidP="001C4D7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89" w:rsidRPr="00905F9E" w:rsidRDefault="00905F9E" w:rsidP="00905F9E">
      <w:pPr>
        <w:pStyle w:val="Footer"/>
        <w:spacing w:after="80"/>
        <w:ind w:left="792"/>
        <w:rPr>
          <w:sz w:val="16"/>
        </w:rPr>
      </w:pPr>
      <w:r w:rsidRPr="00905F9E">
        <w:rPr>
          <w:sz w:val="16"/>
        </w:rPr>
        <w:t>__________________</w:t>
      </w:r>
    </w:p>
  </w:footnote>
  <w:footnote w:type="continuationSeparator" w:id="0">
    <w:p w:rsidR="009F4789" w:rsidRPr="00905F9E" w:rsidRDefault="00905F9E" w:rsidP="00905F9E">
      <w:pPr>
        <w:pStyle w:val="Footer"/>
        <w:spacing w:after="80"/>
        <w:ind w:left="792"/>
        <w:rPr>
          <w:sz w:val="16"/>
        </w:rPr>
      </w:pPr>
      <w:r w:rsidRPr="00905F9E">
        <w:rPr>
          <w:sz w:val="16"/>
        </w:rPr>
        <w:t>__________________</w:t>
      </w:r>
    </w:p>
  </w:footnote>
  <w:footnote w:id="1">
    <w:p w:rsidR="00905F9E" w:rsidRPr="00905F9E" w:rsidRDefault="00905F9E" w:rsidP="00905F9E">
      <w:pPr>
        <w:pStyle w:val="FootnoteText"/>
        <w:tabs>
          <w:tab w:val="right" w:pos="1195"/>
          <w:tab w:val="left" w:pos="1267"/>
          <w:tab w:val="left" w:pos="1742"/>
          <w:tab w:val="left" w:pos="2218"/>
          <w:tab w:val="left" w:pos="2693"/>
        </w:tabs>
        <w:ind w:left="1267" w:right="1260" w:hanging="432"/>
        <w:jc w:val="both"/>
        <w:rPr>
          <w:szCs w:val="17"/>
          <w:lang w:val="fr-FR"/>
        </w:rPr>
      </w:pPr>
      <w:r>
        <w:tab/>
      </w:r>
      <w:r w:rsidRPr="00905F9E">
        <w:rPr>
          <w:rStyle w:val="FootnoteReference"/>
          <w:color w:val="auto"/>
          <w:szCs w:val="17"/>
          <w:vertAlign w:val="baseline"/>
          <w:lang w:val="fr-FR"/>
        </w:rPr>
        <w:t>*</w:t>
      </w:r>
      <w:r w:rsidRPr="00905F9E">
        <w:rPr>
          <w:sz w:val="18"/>
          <w:szCs w:val="17"/>
          <w:lang w:val="fr-FR"/>
        </w:rPr>
        <w:tab/>
      </w:r>
      <w:r w:rsidRPr="00905F9E">
        <w:rPr>
          <w:szCs w:val="17"/>
          <w:lang w:val="fr-FR"/>
        </w:rPr>
        <w:t>Conformément au programme de travail du Comité des transports intérieurs pour la période 2012-2016 (ECE/TRANS/224, par.</w:t>
      </w:r>
      <w:r>
        <w:rPr>
          <w:szCs w:val="17"/>
          <w:lang w:val="fr-FR"/>
        </w:rPr>
        <w:t> </w:t>
      </w:r>
      <w:r w:rsidRPr="00905F9E">
        <w:rPr>
          <w:szCs w:val="17"/>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1C4D7A" w:rsidTr="001C4D7A">
      <w:trPr>
        <w:trHeight w:hRule="exact" w:val="864"/>
        <w:jc w:val="center"/>
      </w:trPr>
      <w:tc>
        <w:tcPr>
          <w:tcW w:w="4882" w:type="dxa"/>
          <w:shd w:val="clear" w:color="auto" w:fill="auto"/>
          <w:vAlign w:val="bottom"/>
        </w:tcPr>
        <w:p w:rsidR="001C4D7A" w:rsidRPr="001C4D7A" w:rsidRDefault="001C4D7A" w:rsidP="001C4D7A">
          <w:pPr>
            <w:pStyle w:val="Header"/>
            <w:spacing w:after="80"/>
            <w:rPr>
              <w:b/>
            </w:rPr>
          </w:pPr>
          <w:r>
            <w:rPr>
              <w:b/>
            </w:rPr>
            <w:fldChar w:fldCharType="begin"/>
          </w:r>
          <w:r>
            <w:rPr>
              <w:b/>
            </w:rPr>
            <w:instrText xml:space="preserve"> DOCVARIABLE "sss1" \* MERGEFORMAT </w:instrText>
          </w:r>
          <w:r>
            <w:rPr>
              <w:b/>
            </w:rPr>
            <w:fldChar w:fldCharType="separate"/>
          </w:r>
          <w:r w:rsidR="00A16E9F">
            <w:rPr>
              <w:b/>
            </w:rPr>
            <w:t>ECE/TRANS/WP.29/GRRF/2015/33</w:t>
          </w:r>
          <w:r>
            <w:rPr>
              <w:b/>
            </w:rPr>
            <w:fldChar w:fldCharType="end"/>
          </w:r>
        </w:p>
      </w:tc>
      <w:tc>
        <w:tcPr>
          <w:tcW w:w="5127" w:type="dxa"/>
          <w:shd w:val="clear" w:color="auto" w:fill="auto"/>
          <w:vAlign w:val="bottom"/>
        </w:tcPr>
        <w:p w:rsidR="001C4D7A" w:rsidRDefault="001C4D7A" w:rsidP="001C4D7A">
          <w:pPr>
            <w:pStyle w:val="Header"/>
          </w:pPr>
        </w:p>
      </w:tc>
    </w:tr>
  </w:tbl>
  <w:p w:rsidR="001C4D7A" w:rsidRPr="001C4D7A" w:rsidRDefault="001C4D7A" w:rsidP="001C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1C4D7A" w:rsidTr="001C4D7A">
      <w:trPr>
        <w:trHeight w:hRule="exact" w:val="864"/>
        <w:jc w:val="center"/>
      </w:trPr>
      <w:tc>
        <w:tcPr>
          <w:tcW w:w="4882" w:type="dxa"/>
          <w:shd w:val="clear" w:color="auto" w:fill="auto"/>
          <w:vAlign w:val="bottom"/>
        </w:tcPr>
        <w:p w:rsidR="001C4D7A" w:rsidRDefault="001C4D7A" w:rsidP="001C4D7A">
          <w:pPr>
            <w:pStyle w:val="Header"/>
          </w:pPr>
        </w:p>
      </w:tc>
      <w:tc>
        <w:tcPr>
          <w:tcW w:w="5127" w:type="dxa"/>
          <w:shd w:val="clear" w:color="auto" w:fill="auto"/>
          <w:vAlign w:val="bottom"/>
        </w:tcPr>
        <w:p w:rsidR="001C4D7A" w:rsidRPr="001C4D7A" w:rsidRDefault="001C4D7A" w:rsidP="001C4D7A">
          <w:pPr>
            <w:pStyle w:val="Header"/>
            <w:spacing w:after="80"/>
            <w:jc w:val="right"/>
            <w:rPr>
              <w:b/>
            </w:rPr>
          </w:pPr>
          <w:r>
            <w:rPr>
              <w:b/>
            </w:rPr>
            <w:fldChar w:fldCharType="begin"/>
          </w:r>
          <w:r>
            <w:rPr>
              <w:b/>
            </w:rPr>
            <w:instrText xml:space="preserve"> DOCVARIABLE "sss1" \* MERGEFORMAT </w:instrText>
          </w:r>
          <w:r>
            <w:rPr>
              <w:b/>
            </w:rPr>
            <w:fldChar w:fldCharType="separate"/>
          </w:r>
          <w:r w:rsidR="00A16E9F">
            <w:rPr>
              <w:b/>
            </w:rPr>
            <w:t>ECE/TRANS/WP.29/GRRF/2015/33</w:t>
          </w:r>
          <w:r>
            <w:rPr>
              <w:b/>
            </w:rPr>
            <w:fldChar w:fldCharType="end"/>
          </w:r>
        </w:p>
      </w:tc>
    </w:tr>
  </w:tbl>
  <w:p w:rsidR="001C4D7A" w:rsidRPr="001C4D7A" w:rsidRDefault="001C4D7A" w:rsidP="001C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C4D7A" w:rsidTr="001C4D7A">
      <w:trPr>
        <w:trHeight w:hRule="exact" w:val="864"/>
      </w:trPr>
      <w:tc>
        <w:tcPr>
          <w:tcW w:w="1267" w:type="dxa"/>
          <w:tcBorders>
            <w:bottom w:val="single" w:sz="4" w:space="0" w:color="auto"/>
          </w:tcBorders>
          <w:shd w:val="clear" w:color="auto" w:fill="auto"/>
          <w:vAlign w:val="bottom"/>
        </w:tcPr>
        <w:p w:rsidR="001C4D7A" w:rsidRDefault="001C4D7A" w:rsidP="001C4D7A">
          <w:pPr>
            <w:pStyle w:val="Header"/>
            <w:spacing w:after="120"/>
          </w:pPr>
        </w:p>
      </w:tc>
      <w:tc>
        <w:tcPr>
          <w:tcW w:w="2059" w:type="dxa"/>
          <w:tcBorders>
            <w:bottom w:val="single" w:sz="4" w:space="0" w:color="auto"/>
          </w:tcBorders>
          <w:shd w:val="clear" w:color="auto" w:fill="auto"/>
          <w:vAlign w:val="bottom"/>
        </w:tcPr>
        <w:p w:rsidR="001C4D7A" w:rsidRPr="001C4D7A" w:rsidRDefault="001C4D7A" w:rsidP="001C4D7A">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1C4D7A" w:rsidRDefault="001C4D7A" w:rsidP="001C4D7A">
          <w:pPr>
            <w:pStyle w:val="Header"/>
            <w:spacing w:after="120"/>
          </w:pPr>
        </w:p>
      </w:tc>
      <w:tc>
        <w:tcPr>
          <w:tcW w:w="6653" w:type="dxa"/>
          <w:gridSpan w:val="4"/>
          <w:tcBorders>
            <w:bottom w:val="single" w:sz="4" w:space="0" w:color="auto"/>
          </w:tcBorders>
          <w:shd w:val="clear" w:color="auto" w:fill="auto"/>
          <w:vAlign w:val="bottom"/>
        </w:tcPr>
        <w:p w:rsidR="001C4D7A" w:rsidRPr="001C4D7A" w:rsidRDefault="001C4D7A" w:rsidP="001C4D7A">
          <w:pPr>
            <w:spacing w:after="80" w:line="240" w:lineRule="auto"/>
            <w:jc w:val="right"/>
            <w:rPr>
              <w:position w:val="-4"/>
            </w:rPr>
          </w:pPr>
          <w:r>
            <w:rPr>
              <w:position w:val="-4"/>
              <w:sz w:val="40"/>
            </w:rPr>
            <w:t>ECE</w:t>
          </w:r>
          <w:r>
            <w:rPr>
              <w:position w:val="-4"/>
            </w:rPr>
            <w:t>/TRANS/WP.29/GRRF/2015/33</w:t>
          </w:r>
        </w:p>
      </w:tc>
    </w:tr>
    <w:tr w:rsidR="001C4D7A" w:rsidRPr="00EF0552" w:rsidTr="001C4D7A">
      <w:trPr>
        <w:gridAfter w:val="1"/>
        <w:wAfter w:w="18" w:type="dxa"/>
        <w:trHeight w:hRule="exact" w:val="2880"/>
      </w:trPr>
      <w:tc>
        <w:tcPr>
          <w:tcW w:w="1267" w:type="dxa"/>
          <w:tcBorders>
            <w:top w:val="single" w:sz="4" w:space="0" w:color="auto"/>
            <w:bottom w:val="single" w:sz="12" w:space="0" w:color="auto"/>
          </w:tcBorders>
          <w:shd w:val="clear" w:color="auto" w:fill="auto"/>
        </w:tcPr>
        <w:p w:rsidR="001C4D7A" w:rsidRPr="001C4D7A" w:rsidRDefault="001C4D7A" w:rsidP="001C4D7A">
          <w:pPr>
            <w:pStyle w:val="Header"/>
            <w:spacing w:before="120" w:line="240" w:lineRule="auto"/>
            <w:ind w:left="-72"/>
            <w:jc w:val="center"/>
          </w:pPr>
          <w:r>
            <w:t xml:space="preserve">  </w:t>
          </w:r>
          <w:r>
            <w:rPr>
              <w:noProof/>
              <w:lang w:val="en-GB" w:eastAsia="en-GB"/>
            </w:rPr>
            <w:drawing>
              <wp:inline distT="0" distB="0" distL="0" distR="0" wp14:anchorId="73A90D90" wp14:editId="377A42F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4D7A" w:rsidRPr="001C4D7A" w:rsidRDefault="001C4D7A" w:rsidP="001C4D7A">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1C4D7A" w:rsidRPr="001C4D7A" w:rsidRDefault="001C4D7A" w:rsidP="001C4D7A">
          <w:pPr>
            <w:pStyle w:val="Header"/>
            <w:spacing w:before="109"/>
          </w:pPr>
        </w:p>
      </w:tc>
      <w:tc>
        <w:tcPr>
          <w:tcW w:w="3280" w:type="dxa"/>
          <w:tcBorders>
            <w:top w:val="single" w:sz="4" w:space="0" w:color="auto"/>
            <w:bottom w:val="single" w:sz="12" w:space="0" w:color="auto"/>
          </w:tcBorders>
          <w:shd w:val="clear" w:color="auto" w:fill="auto"/>
        </w:tcPr>
        <w:p w:rsidR="001C4D7A" w:rsidRPr="00EF0552" w:rsidRDefault="001C4D7A" w:rsidP="001C4D7A">
          <w:pPr>
            <w:pStyle w:val="Distribution"/>
            <w:rPr>
              <w:color w:val="000000"/>
              <w:lang w:val="fr-CH"/>
            </w:rPr>
          </w:pPr>
          <w:proofErr w:type="spellStart"/>
          <w:r w:rsidRPr="00EF0552">
            <w:rPr>
              <w:color w:val="000000"/>
              <w:lang w:val="fr-CH"/>
            </w:rPr>
            <w:t>Distr</w:t>
          </w:r>
          <w:proofErr w:type="spellEnd"/>
          <w:r w:rsidRPr="00EF0552">
            <w:rPr>
              <w:color w:val="000000"/>
              <w:lang w:val="fr-CH"/>
            </w:rPr>
            <w:t>. générale</w:t>
          </w:r>
        </w:p>
        <w:p w:rsidR="001C4D7A" w:rsidRPr="00EF0552" w:rsidRDefault="001C4D7A" w:rsidP="001C4D7A">
          <w:pPr>
            <w:pStyle w:val="Publication"/>
            <w:rPr>
              <w:color w:val="000000"/>
              <w:lang w:val="fr-CH"/>
            </w:rPr>
          </w:pPr>
          <w:r w:rsidRPr="00EF0552">
            <w:rPr>
              <w:color w:val="000000"/>
              <w:lang w:val="fr-CH"/>
            </w:rPr>
            <w:t>3 juillet 2015</w:t>
          </w:r>
        </w:p>
        <w:p w:rsidR="001C4D7A" w:rsidRPr="00EF0552" w:rsidRDefault="001C4D7A" w:rsidP="001C4D7A">
          <w:pPr>
            <w:rPr>
              <w:lang w:val="fr-CH"/>
            </w:rPr>
          </w:pPr>
          <w:r w:rsidRPr="00EF0552">
            <w:rPr>
              <w:lang w:val="fr-CH"/>
            </w:rPr>
            <w:t>Français</w:t>
          </w:r>
        </w:p>
        <w:p w:rsidR="001C4D7A" w:rsidRPr="00EF0552" w:rsidRDefault="001C4D7A" w:rsidP="00905F9E">
          <w:pPr>
            <w:pStyle w:val="Original"/>
            <w:rPr>
              <w:color w:val="000000"/>
              <w:lang w:val="fr-CH"/>
            </w:rPr>
          </w:pPr>
          <w:r w:rsidRPr="00EF0552">
            <w:rPr>
              <w:color w:val="000000"/>
              <w:lang w:val="fr-CH"/>
            </w:rPr>
            <w:t>Original</w:t>
          </w:r>
          <w:r w:rsidR="00905F9E" w:rsidRPr="00EF0552">
            <w:rPr>
              <w:color w:val="000000"/>
              <w:lang w:val="fr-CH"/>
            </w:rPr>
            <w:t> </w:t>
          </w:r>
          <w:r w:rsidRPr="00EF0552">
            <w:rPr>
              <w:color w:val="000000"/>
              <w:lang w:val="fr-CH"/>
            </w:rPr>
            <w:t>: anglais</w:t>
          </w:r>
        </w:p>
      </w:tc>
    </w:tr>
  </w:tbl>
  <w:p w:rsidR="001C4D7A" w:rsidRPr="00EF0552" w:rsidRDefault="001C4D7A" w:rsidP="001C4D7A">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A418C"/>
    <w:multiLevelType w:val="hybridMultilevel"/>
    <w:tmpl w:val="EA7E9E16"/>
    <w:lvl w:ilvl="0" w:tplc="3B9891E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45D37A17"/>
    <w:multiLevelType w:val="singleLevel"/>
    <w:tmpl w:val="61AEB6DC"/>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67*"/>
    <w:docVar w:name="CreationDt" w:val="8/7/2015 2:22: PM"/>
    <w:docVar w:name="DocCategory" w:val="Doc"/>
    <w:docVar w:name="DocType" w:val="Final"/>
    <w:docVar w:name="DutyStation" w:val="Geneva"/>
    <w:docVar w:name="FooterJN" w:val="GE.15-11267"/>
    <w:docVar w:name="jobn" w:val="GE.15-11267 (F)"/>
    <w:docVar w:name="jobnDT" w:val="GE.15-11267 (F)   070815"/>
    <w:docVar w:name="jobnDTDT" w:val="GE.15-11267 (F)   070815   070815"/>
    <w:docVar w:name="JobNo" w:val="GE.1511267F"/>
    <w:docVar w:name="JobNo2" w:val="GE.1514647F"/>
    <w:docVar w:name="LocalDrive" w:val="0"/>
    <w:docVar w:name="OandT" w:val="Crelier"/>
    <w:docVar w:name="PaperSize" w:val="A4"/>
    <w:docVar w:name="sss1" w:val="ECE/TRANS/WP.29/GRRF/2015/33"/>
    <w:docVar w:name="sss2" w:val="-"/>
    <w:docVar w:name="Symbol1" w:val="ECE/TRANS/WP.29/GRRF/2015/33"/>
    <w:docVar w:name="Symbol2" w:val="-"/>
  </w:docVars>
  <w:rsids>
    <w:rsidRoot w:val="009F4789"/>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19AD"/>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D7A"/>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1900"/>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4DD3"/>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6F2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5F9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119A"/>
    <w:rsid w:val="009F235E"/>
    <w:rsid w:val="009F29EB"/>
    <w:rsid w:val="009F3C78"/>
    <w:rsid w:val="009F4789"/>
    <w:rsid w:val="009F5ACE"/>
    <w:rsid w:val="009F7FE9"/>
    <w:rsid w:val="00A00A92"/>
    <w:rsid w:val="00A02426"/>
    <w:rsid w:val="00A0589C"/>
    <w:rsid w:val="00A06CAB"/>
    <w:rsid w:val="00A11A9B"/>
    <w:rsid w:val="00A12DBB"/>
    <w:rsid w:val="00A150A7"/>
    <w:rsid w:val="00A157E7"/>
    <w:rsid w:val="00A16E9F"/>
    <w:rsid w:val="00A210DD"/>
    <w:rsid w:val="00A21443"/>
    <w:rsid w:val="00A22ED0"/>
    <w:rsid w:val="00A24099"/>
    <w:rsid w:val="00A264B0"/>
    <w:rsid w:val="00A2768E"/>
    <w:rsid w:val="00A33E3C"/>
    <w:rsid w:val="00A3426E"/>
    <w:rsid w:val="00A353ED"/>
    <w:rsid w:val="00A375D9"/>
    <w:rsid w:val="00A403C2"/>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552"/>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1C4D7A"/>
    <w:rPr>
      <w:sz w:val="16"/>
      <w:szCs w:val="16"/>
    </w:rPr>
  </w:style>
  <w:style w:type="paragraph" w:styleId="CommentText">
    <w:name w:val="annotation text"/>
    <w:basedOn w:val="Normal"/>
    <w:link w:val="CommentTextChar"/>
    <w:uiPriority w:val="99"/>
    <w:semiHidden/>
    <w:unhideWhenUsed/>
    <w:rsid w:val="001C4D7A"/>
    <w:pPr>
      <w:spacing w:line="240" w:lineRule="auto"/>
    </w:pPr>
    <w:rPr>
      <w:szCs w:val="20"/>
    </w:rPr>
  </w:style>
  <w:style w:type="character" w:customStyle="1" w:styleId="CommentTextChar">
    <w:name w:val="Comment Text Char"/>
    <w:basedOn w:val="DefaultParagraphFont"/>
    <w:link w:val="CommentText"/>
    <w:uiPriority w:val="99"/>
    <w:semiHidden/>
    <w:rsid w:val="001C4D7A"/>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1C4D7A"/>
    <w:rPr>
      <w:b/>
      <w:bCs/>
    </w:rPr>
  </w:style>
  <w:style w:type="character" w:customStyle="1" w:styleId="CommentSubjectChar">
    <w:name w:val="Comment Subject Char"/>
    <w:basedOn w:val="CommentTextChar"/>
    <w:link w:val="CommentSubject"/>
    <w:uiPriority w:val="99"/>
    <w:semiHidden/>
    <w:rsid w:val="001C4D7A"/>
    <w:rPr>
      <w:rFonts w:ascii="Times New Roman" w:hAnsi="Times New Roman"/>
      <w:b/>
      <w:bCs/>
      <w:spacing w:val="4"/>
      <w:w w:val="103"/>
      <w:kern w:val="14"/>
    </w:rPr>
  </w:style>
  <w:style w:type="paragraph" w:customStyle="1" w:styleId="Bullet1G">
    <w:name w:val="_Bullet 1_G"/>
    <w:basedOn w:val="Normal"/>
    <w:qFormat/>
    <w:rsid w:val="00905F9E"/>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1C4D7A"/>
    <w:rPr>
      <w:sz w:val="16"/>
      <w:szCs w:val="16"/>
    </w:rPr>
  </w:style>
  <w:style w:type="paragraph" w:styleId="CommentText">
    <w:name w:val="annotation text"/>
    <w:basedOn w:val="Normal"/>
    <w:link w:val="CommentTextChar"/>
    <w:uiPriority w:val="99"/>
    <w:semiHidden/>
    <w:unhideWhenUsed/>
    <w:rsid w:val="001C4D7A"/>
    <w:pPr>
      <w:spacing w:line="240" w:lineRule="auto"/>
    </w:pPr>
    <w:rPr>
      <w:szCs w:val="20"/>
    </w:rPr>
  </w:style>
  <w:style w:type="character" w:customStyle="1" w:styleId="CommentTextChar">
    <w:name w:val="Comment Text Char"/>
    <w:basedOn w:val="DefaultParagraphFont"/>
    <w:link w:val="CommentText"/>
    <w:uiPriority w:val="99"/>
    <w:semiHidden/>
    <w:rsid w:val="001C4D7A"/>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1C4D7A"/>
    <w:rPr>
      <w:b/>
      <w:bCs/>
    </w:rPr>
  </w:style>
  <w:style w:type="character" w:customStyle="1" w:styleId="CommentSubjectChar">
    <w:name w:val="Comment Subject Char"/>
    <w:basedOn w:val="CommentTextChar"/>
    <w:link w:val="CommentSubject"/>
    <w:uiPriority w:val="99"/>
    <w:semiHidden/>
    <w:rsid w:val="001C4D7A"/>
    <w:rPr>
      <w:rFonts w:ascii="Times New Roman" w:hAnsi="Times New Roman"/>
      <w:b/>
      <w:bCs/>
      <w:spacing w:val="4"/>
      <w:w w:val="103"/>
      <w:kern w:val="14"/>
    </w:rPr>
  </w:style>
  <w:style w:type="paragraph" w:customStyle="1" w:styleId="Bullet1G">
    <w:name w:val="_Bullet 1_G"/>
    <w:basedOn w:val="Normal"/>
    <w:qFormat/>
    <w:rsid w:val="00905F9E"/>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AE08-4FBE-46D6-82B8-A1A3DCA3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Benedicte Boudol</cp:lastModifiedBy>
  <cp:revision>2</cp:revision>
  <cp:lastPrinted>2015-08-07T12:43:00Z</cp:lastPrinted>
  <dcterms:created xsi:type="dcterms:W3CDTF">2015-08-10T11:54:00Z</dcterms:created>
  <dcterms:modified xsi:type="dcterms:W3CDTF">2015-08-10T11:54:00Z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1511267F</vt:lpwstr>
  </property>
  <property fmtid="{D5CDD505-2E9C-101B-9397-08002B2CF9AE}" pid="3" name="ODSRefJobNo">
    <vt:lpwstr>1514647F</vt:lpwstr>
  </property>
  <property fmtid="{D5CDD505-2E9C-101B-9397-08002B2CF9AE}" pid="4" name="Symbol1">
    <vt:lpwstr>ECE/TRANS/WP.29/GRRF/2015/33</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070815</vt:lpwstr>
  </property>
</Properties>
</file>