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B3D0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B3D02" w:rsidP="000B3D02">
            <w:pPr>
              <w:jc w:val="right"/>
            </w:pPr>
            <w:r w:rsidRPr="000B3D02">
              <w:rPr>
                <w:sz w:val="40"/>
              </w:rPr>
              <w:t>ECE</w:t>
            </w:r>
            <w:r>
              <w:t>/TRANS/WP.29/GRPE/2015/14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B3D02" w:rsidP="00892A2F">
            <w:pPr>
              <w:spacing w:before="240"/>
            </w:pPr>
            <w:r>
              <w:t>Distr. générale</w:t>
            </w:r>
          </w:p>
          <w:p w:rsidR="000B3D02" w:rsidRDefault="000B3D02" w:rsidP="000B3D02">
            <w:pPr>
              <w:spacing w:line="240" w:lineRule="exact"/>
            </w:pPr>
            <w:r>
              <w:t>31 mars 2015</w:t>
            </w:r>
          </w:p>
          <w:p w:rsidR="000B3D02" w:rsidRDefault="000B3D02" w:rsidP="000B3D02">
            <w:pPr>
              <w:spacing w:line="240" w:lineRule="exact"/>
            </w:pPr>
            <w:r>
              <w:t>Français</w:t>
            </w:r>
          </w:p>
          <w:p w:rsidR="000B3D02" w:rsidRPr="00DB58B5" w:rsidRDefault="000B3D02" w:rsidP="000B3D02">
            <w:pPr>
              <w:spacing w:line="240" w:lineRule="exact"/>
            </w:pPr>
            <w:r>
              <w:t>Original: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55F5E" w:rsidRPr="00F4486C" w:rsidRDefault="00155F5E" w:rsidP="00F4486C">
      <w:pPr>
        <w:spacing w:before="120"/>
        <w:rPr>
          <w:sz w:val="24"/>
          <w:szCs w:val="24"/>
        </w:rPr>
      </w:pPr>
      <w:r w:rsidRPr="00F4486C">
        <w:rPr>
          <w:b/>
          <w:sz w:val="24"/>
          <w:szCs w:val="24"/>
        </w:rPr>
        <w:t>Forum mondial de l’harmonisation</w:t>
      </w:r>
      <w:r w:rsidR="00292541">
        <w:rPr>
          <w:b/>
          <w:sz w:val="24"/>
          <w:szCs w:val="24"/>
        </w:rPr>
        <w:t xml:space="preserve"> </w:t>
      </w:r>
      <w:r w:rsidRPr="00F4486C">
        <w:rPr>
          <w:b/>
          <w:sz w:val="24"/>
          <w:szCs w:val="24"/>
        </w:rPr>
        <w:t xml:space="preserve">des Règlements </w:t>
      </w:r>
      <w:r w:rsidR="00292541">
        <w:rPr>
          <w:b/>
          <w:sz w:val="24"/>
          <w:szCs w:val="24"/>
        </w:rPr>
        <w:br/>
      </w:r>
      <w:r w:rsidRPr="00F4486C">
        <w:rPr>
          <w:b/>
          <w:sz w:val="24"/>
          <w:szCs w:val="24"/>
        </w:rPr>
        <w:t>concernant les véhicules</w:t>
      </w:r>
    </w:p>
    <w:p w:rsidR="00155F5E" w:rsidRPr="00966DDC" w:rsidRDefault="00155F5E" w:rsidP="00F4486C">
      <w:pPr>
        <w:spacing w:before="120"/>
        <w:rPr>
          <w:b/>
          <w:bCs/>
        </w:rPr>
      </w:pPr>
      <w:r w:rsidRPr="00966DDC">
        <w:rPr>
          <w:b/>
        </w:rPr>
        <w:t xml:space="preserve">Groupe de travail </w:t>
      </w:r>
      <w:r>
        <w:rPr>
          <w:b/>
        </w:rPr>
        <w:t>de la pollution et de l’énergie</w:t>
      </w:r>
    </w:p>
    <w:p w:rsidR="00155F5E" w:rsidRPr="00966DDC" w:rsidRDefault="00155F5E" w:rsidP="00292541">
      <w:pPr>
        <w:spacing w:before="120"/>
        <w:rPr>
          <w:b/>
        </w:rPr>
      </w:pPr>
      <w:r w:rsidRPr="00966DDC">
        <w:rPr>
          <w:b/>
        </w:rPr>
        <w:t>Soixante et onzième session</w:t>
      </w:r>
    </w:p>
    <w:p w:rsidR="00155F5E" w:rsidRPr="00966DDC" w:rsidRDefault="00155F5E" w:rsidP="00292541">
      <w:r w:rsidRPr="00966DDC">
        <w:t>Genève, 9-12 juin 2015</w:t>
      </w:r>
    </w:p>
    <w:p w:rsidR="00155F5E" w:rsidRPr="00966DDC" w:rsidRDefault="00155F5E" w:rsidP="00292541">
      <w:r w:rsidRPr="00966DDC">
        <w:t>Point 3 a) de l</w:t>
      </w:r>
      <w:r>
        <w:t>’</w:t>
      </w:r>
      <w:r w:rsidRPr="00966DDC">
        <w:t>ordre du jour provisoire</w:t>
      </w:r>
    </w:p>
    <w:p w:rsidR="00155F5E" w:rsidRPr="00966DDC" w:rsidRDefault="00292541" w:rsidP="00292541">
      <w:r>
        <w:rPr>
          <w:b/>
        </w:rPr>
        <w:t>Véhicules légers −</w:t>
      </w:r>
      <w:r w:rsidR="00155F5E" w:rsidRPr="00966DDC">
        <w:rPr>
          <w:b/>
        </w:rPr>
        <w:t xml:space="preserve"> Règlement</w:t>
      </w:r>
      <w:r w:rsidR="00155F5E">
        <w:rPr>
          <w:b/>
        </w:rPr>
        <w:t>s</w:t>
      </w:r>
      <w:r w:rsidR="00155F5E" w:rsidRPr="00966DDC">
        <w:rPr>
          <w:b/>
        </w:rPr>
        <w:t xml:space="preserve"> n</w:t>
      </w:r>
      <w:r w:rsidR="00155F5E" w:rsidRPr="00966DDC">
        <w:rPr>
          <w:b/>
          <w:vertAlign w:val="superscript"/>
        </w:rPr>
        <w:t>os</w:t>
      </w:r>
      <w:r w:rsidR="00155F5E" w:rsidRPr="00966DDC">
        <w:rPr>
          <w:b/>
        </w:rPr>
        <w:t xml:space="preserve"> 68 (Mesure de la vitesse maximale </w:t>
      </w:r>
      <w:r>
        <w:rPr>
          <w:b/>
        </w:rPr>
        <w:br/>
      </w:r>
      <w:r w:rsidR="00155F5E" w:rsidRPr="00966DDC">
        <w:rPr>
          <w:b/>
        </w:rPr>
        <w:t xml:space="preserve">des véhicules à moteur, y compris les véhicules électriques purs), </w:t>
      </w:r>
      <w:r>
        <w:rPr>
          <w:b/>
        </w:rPr>
        <w:br/>
      </w:r>
      <w:r w:rsidR="00155F5E" w:rsidRPr="00966DDC">
        <w:rPr>
          <w:b/>
        </w:rPr>
        <w:t>83 (Émissions polluantes des véhicules des catégories M</w:t>
      </w:r>
      <w:r w:rsidR="00155F5E" w:rsidRPr="005F6314">
        <w:rPr>
          <w:b/>
          <w:vertAlign w:val="subscript"/>
        </w:rPr>
        <w:t>1</w:t>
      </w:r>
      <w:r w:rsidR="00155F5E" w:rsidRPr="00966DDC">
        <w:rPr>
          <w:b/>
        </w:rPr>
        <w:t xml:space="preserve"> et N</w:t>
      </w:r>
      <w:r w:rsidR="00155F5E" w:rsidRPr="005F6314">
        <w:rPr>
          <w:b/>
          <w:vertAlign w:val="subscript"/>
        </w:rPr>
        <w:t>1</w:t>
      </w:r>
      <w:r w:rsidR="00155F5E" w:rsidRPr="00966DDC">
        <w:rPr>
          <w:b/>
        </w:rPr>
        <w:t xml:space="preserve">), </w:t>
      </w:r>
      <w:r>
        <w:rPr>
          <w:b/>
        </w:rPr>
        <w:br/>
      </w:r>
      <w:r w:rsidR="00155F5E" w:rsidRPr="00966DDC">
        <w:rPr>
          <w:b/>
        </w:rPr>
        <w:t>101 (Émissions de CO</w:t>
      </w:r>
      <w:r w:rsidR="00155F5E" w:rsidRPr="005F6314">
        <w:rPr>
          <w:b/>
          <w:vertAlign w:val="subscript"/>
        </w:rPr>
        <w:t>2</w:t>
      </w:r>
      <w:r w:rsidR="00155F5E" w:rsidRPr="00966DDC">
        <w:rPr>
          <w:b/>
        </w:rPr>
        <w:t xml:space="preserve">/consommation de carburant) </w:t>
      </w:r>
      <w:r>
        <w:rPr>
          <w:b/>
        </w:rPr>
        <w:br/>
      </w:r>
      <w:r w:rsidR="00155F5E" w:rsidRPr="00966DDC">
        <w:rPr>
          <w:b/>
        </w:rPr>
        <w:t>et 103 (Catalyseurs de remplacement)</w:t>
      </w:r>
    </w:p>
    <w:p w:rsidR="00155F5E" w:rsidRPr="00966DDC" w:rsidRDefault="00155F5E" w:rsidP="00DC6648">
      <w:pPr>
        <w:pStyle w:val="HChG"/>
      </w:pPr>
      <w:r w:rsidRPr="00966DDC">
        <w:rPr>
          <w:sz w:val="32"/>
        </w:rPr>
        <w:tab/>
      </w:r>
      <w:r w:rsidRPr="00966DDC">
        <w:rPr>
          <w:sz w:val="32"/>
        </w:rPr>
        <w:tab/>
      </w:r>
      <w:r w:rsidRPr="00966DDC">
        <w:t>Proposition d</w:t>
      </w:r>
      <w:r>
        <w:t>’</w:t>
      </w:r>
      <w:r w:rsidR="00DC6648">
        <w:t xml:space="preserve">amendements au Règlement </w:t>
      </w:r>
      <w:r w:rsidR="00DC6648">
        <w:rPr>
          <w:rFonts w:eastAsia="MS Mincho"/>
        </w:rPr>
        <w:t>n</w:t>
      </w:r>
      <w:r w:rsidR="00DC6648">
        <w:rPr>
          <w:rFonts w:eastAsia="MS Mincho"/>
          <w:vertAlign w:val="superscript"/>
        </w:rPr>
        <w:t>o</w:t>
      </w:r>
      <w:r w:rsidR="00DC6648">
        <w:t> </w:t>
      </w:r>
      <w:r w:rsidRPr="00966DDC">
        <w:t>101 (Émissions de CO</w:t>
      </w:r>
      <w:r w:rsidRPr="005F6314">
        <w:rPr>
          <w:vertAlign w:val="subscript"/>
        </w:rPr>
        <w:t>2</w:t>
      </w:r>
      <w:r w:rsidRPr="00966DDC">
        <w:t>/consommation de carburant)</w:t>
      </w:r>
    </w:p>
    <w:p w:rsidR="00155F5E" w:rsidRPr="00966DDC" w:rsidRDefault="00155F5E" w:rsidP="00DC6648">
      <w:pPr>
        <w:pStyle w:val="H1G"/>
      </w:pPr>
      <w:r w:rsidRPr="00966DDC">
        <w:tab/>
      </w:r>
      <w:r w:rsidRPr="00966DDC">
        <w:tab/>
        <w:t>Communication de l</w:t>
      </w:r>
      <w:r>
        <w:t>’</w:t>
      </w:r>
      <w:r w:rsidRPr="00966DDC">
        <w:t>expert de la Commission européenne</w:t>
      </w:r>
      <w:r w:rsidR="00DC6648" w:rsidRPr="00D5337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53370" w:rsidRDefault="00155F5E" w:rsidP="007A6544">
      <w:pPr>
        <w:pStyle w:val="SingleTxtG"/>
        <w:ind w:firstLine="567"/>
      </w:pPr>
      <w:r w:rsidRPr="00966DDC">
        <w:t>Le texte reproduit ci-après, soumis par l</w:t>
      </w:r>
      <w:r>
        <w:t>’</w:t>
      </w:r>
      <w:r w:rsidRPr="00966DDC">
        <w:t>expert de la Commission européenne, vise à aligner les critères de sélection des pneumatiques applicables aux essais relatifs aux polluants et à ceux qui portent sur les émissions de CO</w:t>
      </w:r>
      <w:r w:rsidRPr="005F6314">
        <w:rPr>
          <w:vertAlign w:val="subscript"/>
        </w:rPr>
        <w:t>2</w:t>
      </w:r>
      <w:r w:rsidRPr="00966DDC">
        <w:t>/la consommation de carburant. Les</w:t>
      </w:r>
      <w:r w:rsidR="00D53370">
        <w:t> </w:t>
      </w:r>
      <w:r w:rsidRPr="00966DDC">
        <w:t>modifications qu</w:t>
      </w:r>
      <w:r>
        <w:t>’</w:t>
      </w:r>
      <w:r w:rsidRPr="00966DDC">
        <w:t>il est proposé d</w:t>
      </w:r>
      <w:r>
        <w:t>’</w:t>
      </w:r>
      <w:r w:rsidRPr="00966DDC">
        <w:t xml:space="preserve">apporter </w:t>
      </w:r>
      <w:r w:rsidR="007A6544">
        <w:t xml:space="preserve">au texte actuel du Règlement </w:t>
      </w:r>
      <w:r w:rsidR="007A6544">
        <w:rPr>
          <w:rFonts w:eastAsia="MS Mincho"/>
        </w:rPr>
        <w:t>n</w:t>
      </w:r>
      <w:r w:rsidR="007A6544">
        <w:rPr>
          <w:rFonts w:eastAsia="MS Mincho"/>
          <w:vertAlign w:val="superscript"/>
        </w:rPr>
        <w:t>o</w:t>
      </w:r>
      <w:r w:rsidR="007A6544">
        <w:t> </w:t>
      </w:r>
      <w:r w:rsidRPr="00966DDC">
        <w:t>101 sont signalées en caractères gras pour les ajouts ou biffés pour les suppressions.</w:t>
      </w:r>
    </w:p>
    <w:p w:rsidR="00155F5E" w:rsidRPr="00966DDC" w:rsidRDefault="00D53370" w:rsidP="00536AB3">
      <w:pPr>
        <w:pStyle w:val="HChG"/>
      </w:pPr>
      <w:r>
        <w:br w:type="page"/>
      </w:r>
      <w:r w:rsidR="00536AB3">
        <w:lastRenderedPageBreak/>
        <w:tab/>
      </w:r>
      <w:r w:rsidR="00155F5E" w:rsidRPr="00966DDC">
        <w:t>I.</w:t>
      </w:r>
      <w:r w:rsidR="00155F5E" w:rsidRPr="00966DDC">
        <w:rPr>
          <w:sz w:val="32"/>
        </w:rPr>
        <w:tab/>
      </w:r>
      <w:r w:rsidR="00155F5E" w:rsidRPr="00966DDC">
        <w:t>Proposition</w:t>
      </w:r>
    </w:p>
    <w:p w:rsidR="00155F5E" w:rsidRPr="00966DDC" w:rsidRDefault="00155F5E" w:rsidP="00536AB3">
      <w:pPr>
        <w:pStyle w:val="SingleTxtG"/>
        <w:rPr>
          <w:iCs/>
        </w:rPr>
      </w:pPr>
      <w:r w:rsidRPr="00536AB3">
        <w:rPr>
          <w:i/>
        </w:rPr>
        <w:t>Annexe 6</w:t>
      </w:r>
      <w:r w:rsidRPr="00966DDC">
        <w:t>,</w:t>
      </w:r>
    </w:p>
    <w:p w:rsidR="00155F5E" w:rsidRPr="00966DDC" w:rsidRDefault="00155F5E" w:rsidP="00536AB3">
      <w:pPr>
        <w:pStyle w:val="SingleTxtG"/>
        <w:rPr>
          <w:iCs/>
        </w:rPr>
      </w:pPr>
      <w:r w:rsidRPr="00966DDC">
        <w:rPr>
          <w:i/>
        </w:rPr>
        <w:t>Paragraphe 1.3.5</w:t>
      </w:r>
      <w:r w:rsidRPr="00A60A2E">
        <w:t>,</w:t>
      </w:r>
      <w:r>
        <w:t xml:space="preserve"> supprimer:</w:t>
      </w:r>
    </w:p>
    <w:p w:rsidR="00155F5E" w:rsidRPr="00536AB3" w:rsidRDefault="00155F5E" w:rsidP="00536AB3">
      <w:pPr>
        <w:pStyle w:val="SingleTxtG"/>
        <w:ind w:left="2268" w:hanging="1134"/>
      </w:pPr>
      <w:r w:rsidRPr="00536AB3">
        <w:t>«</w:t>
      </w:r>
      <w:r w:rsidRPr="00536AB3">
        <w:rPr>
          <w:strike/>
        </w:rPr>
        <w:t>1.3.5</w:t>
      </w:r>
      <w:r w:rsidRPr="00536AB3">
        <w:rPr>
          <w:strike/>
        </w:rPr>
        <w:tab/>
        <w:t>On utilisera les pneumatiques les plus larges. S’il existe plus de trois tailles de pneumatiques, on choisira la taille immédiatement inférieure à la plus large.</w:t>
      </w:r>
      <w:r w:rsidRPr="00536AB3">
        <w:t>».</w:t>
      </w:r>
    </w:p>
    <w:p w:rsidR="00155F5E" w:rsidRPr="00966DDC" w:rsidRDefault="00536AB3" w:rsidP="00536AB3">
      <w:pPr>
        <w:pStyle w:val="HChG"/>
      </w:pPr>
      <w:r>
        <w:tab/>
      </w:r>
      <w:r w:rsidR="00155F5E" w:rsidRPr="00966DDC">
        <w:t>II.</w:t>
      </w:r>
      <w:r w:rsidR="00155F5E" w:rsidRPr="00966DDC">
        <w:rPr>
          <w:sz w:val="32"/>
        </w:rPr>
        <w:tab/>
      </w:r>
      <w:r w:rsidR="00155F5E" w:rsidRPr="00966DDC">
        <w:t>Justification</w:t>
      </w:r>
    </w:p>
    <w:p w:rsidR="00155F5E" w:rsidRDefault="00155F5E" w:rsidP="00536AB3">
      <w:pPr>
        <w:pStyle w:val="SingleTxtG"/>
        <w:ind w:firstLine="567"/>
      </w:pPr>
      <w:r w:rsidRPr="00966DDC">
        <w:t>Les modalités de sélection des pneumatiques aux fins du cycle d</w:t>
      </w:r>
      <w:r>
        <w:t>’</w:t>
      </w:r>
      <w:r w:rsidRPr="00966DDC">
        <w:t>essais son</w:t>
      </w:r>
      <w:r w:rsidR="00536AB3">
        <w:t xml:space="preserve">t définies dans le Règlement </w:t>
      </w:r>
      <w:r w:rsidR="00536AB3">
        <w:rPr>
          <w:rFonts w:eastAsia="MS Mincho"/>
        </w:rPr>
        <w:t>n</w:t>
      </w:r>
      <w:r w:rsidR="00536AB3">
        <w:rPr>
          <w:rFonts w:eastAsia="MS Mincho"/>
          <w:vertAlign w:val="superscript"/>
        </w:rPr>
        <w:t>o</w:t>
      </w:r>
      <w:r w:rsidR="00536AB3">
        <w:t> </w:t>
      </w:r>
      <w:r w:rsidRPr="00966DDC">
        <w:t>83 et doivent être les mêmes pour les essais relatifs aux polluants que pour ceux qui portent sur les émissions de CO</w:t>
      </w:r>
      <w:r w:rsidRPr="005F6314">
        <w:rPr>
          <w:vertAlign w:val="subscript"/>
        </w:rPr>
        <w:t>2</w:t>
      </w:r>
      <w:r w:rsidRPr="00966DDC">
        <w:t>/la consommation de carburan</w:t>
      </w:r>
      <w:r w:rsidR="00536AB3">
        <w:t xml:space="preserve">t. La référence au Règlement </w:t>
      </w:r>
      <w:r w:rsidR="00536AB3">
        <w:rPr>
          <w:rFonts w:eastAsia="MS Mincho"/>
        </w:rPr>
        <w:t>n</w:t>
      </w:r>
      <w:r w:rsidR="00536AB3">
        <w:rPr>
          <w:rFonts w:eastAsia="MS Mincho"/>
          <w:vertAlign w:val="superscript"/>
        </w:rPr>
        <w:t>o</w:t>
      </w:r>
      <w:r w:rsidR="00536AB3">
        <w:t> </w:t>
      </w:r>
      <w:r w:rsidRPr="00966DDC">
        <w:t>83 devient automatique en vertu du paragraphe 1.1 de l</w:t>
      </w:r>
      <w:r>
        <w:t>’</w:t>
      </w:r>
      <w:r w:rsidRPr="00966DDC">
        <w:t>annexe 6.</w:t>
      </w:r>
    </w:p>
    <w:p w:rsidR="00536AB3" w:rsidRPr="00536AB3" w:rsidRDefault="00536AB3" w:rsidP="00536AB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6AB3" w:rsidRPr="00536AB3" w:rsidSect="000B3D0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4F" w:rsidRDefault="0043744F" w:rsidP="00F95C08">
      <w:pPr>
        <w:spacing w:line="240" w:lineRule="auto"/>
      </w:pPr>
    </w:p>
  </w:endnote>
  <w:endnote w:type="continuationSeparator" w:id="0">
    <w:p w:rsidR="0043744F" w:rsidRPr="00AC3823" w:rsidRDefault="0043744F" w:rsidP="00AC3823">
      <w:pPr>
        <w:pStyle w:val="Footer"/>
      </w:pPr>
    </w:p>
  </w:endnote>
  <w:endnote w:type="continuationNotice" w:id="1">
    <w:p w:rsidR="0043744F" w:rsidRDefault="004374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02" w:rsidRPr="000B3D02" w:rsidRDefault="000B3D02" w:rsidP="000B3D02">
    <w:pPr>
      <w:pStyle w:val="Footer"/>
      <w:tabs>
        <w:tab w:val="right" w:pos="9638"/>
      </w:tabs>
    </w:pPr>
    <w:r w:rsidRPr="000B3D02">
      <w:rPr>
        <w:b/>
        <w:sz w:val="18"/>
      </w:rPr>
      <w:fldChar w:fldCharType="begin"/>
    </w:r>
    <w:r w:rsidRPr="000B3D02">
      <w:rPr>
        <w:b/>
        <w:sz w:val="18"/>
      </w:rPr>
      <w:instrText xml:space="preserve"> PAGE  \* MERGEFORMAT </w:instrText>
    </w:r>
    <w:r w:rsidRPr="000B3D02">
      <w:rPr>
        <w:b/>
        <w:sz w:val="18"/>
      </w:rPr>
      <w:fldChar w:fldCharType="separate"/>
    </w:r>
    <w:r w:rsidR="004024C8">
      <w:rPr>
        <w:b/>
        <w:noProof/>
        <w:sz w:val="18"/>
      </w:rPr>
      <w:t>2</w:t>
    </w:r>
    <w:r w:rsidRPr="000B3D02">
      <w:rPr>
        <w:b/>
        <w:sz w:val="18"/>
      </w:rPr>
      <w:fldChar w:fldCharType="end"/>
    </w:r>
    <w:r>
      <w:rPr>
        <w:b/>
        <w:sz w:val="18"/>
      </w:rPr>
      <w:tab/>
    </w:r>
    <w:r>
      <w:t>GE.15-06816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02" w:rsidRPr="000B3D02" w:rsidRDefault="000B3D02" w:rsidP="000B3D02">
    <w:pPr>
      <w:pStyle w:val="Footer"/>
      <w:tabs>
        <w:tab w:val="right" w:pos="9638"/>
      </w:tabs>
      <w:rPr>
        <w:b/>
        <w:sz w:val="18"/>
      </w:rPr>
    </w:pPr>
    <w:r>
      <w:t>GE.15-06816</w:t>
    </w:r>
    <w:r>
      <w:tab/>
    </w:r>
    <w:r w:rsidRPr="000B3D02">
      <w:rPr>
        <w:b/>
        <w:sz w:val="18"/>
      </w:rPr>
      <w:fldChar w:fldCharType="begin"/>
    </w:r>
    <w:r w:rsidRPr="000B3D02">
      <w:rPr>
        <w:b/>
        <w:sz w:val="18"/>
      </w:rPr>
      <w:instrText xml:space="preserve"> PAGE  \* MERGEFORMAT </w:instrText>
    </w:r>
    <w:r w:rsidRPr="000B3D02">
      <w:rPr>
        <w:b/>
        <w:sz w:val="18"/>
      </w:rPr>
      <w:fldChar w:fldCharType="separate"/>
    </w:r>
    <w:r w:rsidR="00155F5E">
      <w:rPr>
        <w:b/>
        <w:noProof/>
        <w:sz w:val="18"/>
      </w:rPr>
      <w:t>3</w:t>
    </w:r>
    <w:r w:rsidRPr="000B3D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0B3D02" w:rsidRDefault="000B3D02" w:rsidP="000B3D0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E037C32" wp14:editId="46C062A7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15-06816  (F)    230415    230415</w:t>
    </w:r>
    <w:r>
      <w:rPr>
        <w:sz w:val="20"/>
      </w:rPr>
      <w:br/>
    </w:r>
    <w:r w:rsidRPr="000B3D02">
      <w:rPr>
        <w:rFonts w:ascii="C39T30Lfz" w:hAnsi="C39T30Lfz"/>
        <w:sz w:val="56"/>
      </w:rPr>
      <w:t></w:t>
    </w:r>
    <w:r w:rsidRPr="000B3D02">
      <w:rPr>
        <w:rFonts w:ascii="C39T30Lfz" w:hAnsi="C39T30Lfz"/>
        <w:sz w:val="56"/>
      </w:rPr>
      <w:t></w:t>
    </w:r>
    <w:r w:rsidRPr="000B3D02">
      <w:rPr>
        <w:rFonts w:ascii="C39T30Lfz" w:hAnsi="C39T30Lfz"/>
        <w:sz w:val="56"/>
      </w:rPr>
      <w:t></w:t>
    </w:r>
    <w:r w:rsidRPr="000B3D02">
      <w:rPr>
        <w:rFonts w:ascii="C39T30Lfz" w:hAnsi="C39T30Lfz"/>
        <w:sz w:val="56"/>
      </w:rPr>
      <w:t></w:t>
    </w:r>
    <w:r w:rsidRPr="000B3D02">
      <w:rPr>
        <w:rFonts w:ascii="C39T30Lfz" w:hAnsi="C39T30Lfz"/>
        <w:sz w:val="56"/>
      </w:rPr>
      <w:t></w:t>
    </w:r>
    <w:r w:rsidRPr="000B3D02">
      <w:rPr>
        <w:rFonts w:ascii="C39T30Lfz" w:hAnsi="C39T30Lfz"/>
        <w:sz w:val="56"/>
      </w:rPr>
      <w:t></w:t>
    </w:r>
    <w:r w:rsidRPr="000B3D02">
      <w:rPr>
        <w:rFonts w:ascii="C39T30Lfz" w:hAnsi="C39T30Lfz"/>
        <w:sz w:val="56"/>
      </w:rPr>
      <w:t></w:t>
    </w:r>
    <w:r w:rsidRPr="000B3D02">
      <w:rPr>
        <w:rFonts w:ascii="C39T30Lfz" w:hAnsi="C39T30Lfz"/>
        <w:sz w:val="56"/>
      </w:rPr>
      <w:t></w:t>
    </w:r>
    <w:r w:rsidRPr="000B3D0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PE/2015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PE/2015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4F" w:rsidRPr="00AC3823" w:rsidRDefault="0043744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744F" w:rsidRPr="00AC3823" w:rsidRDefault="0043744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3744F" w:rsidRPr="00AC3823" w:rsidRDefault="0043744F">
      <w:pPr>
        <w:spacing w:line="240" w:lineRule="auto"/>
        <w:rPr>
          <w:sz w:val="2"/>
          <w:szCs w:val="2"/>
        </w:rPr>
      </w:pPr>
    </w:p>
  </w:footnote>
  <w:footnote w:id="2">
    <w:p w:rsidR="00DC6648" w:rsidRPr="00DC6648" w:rsidRDefault="00DC6648">
      <w:pPr>
        <w:pStyle w:val="FootnoteText"/>
      </w:pPr>
      <w:r>
        <w:rPr>
          <w:rStyle w:val="FootnoteReference"/>
        </w:rPr>
        <w:tab/>
      </w:r>
      <w:r w:rsidRPr="00DC664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2012</w:t>
      </w:r>
      <w:r>
        <w:noBreakHyphen/>
        <w:t>2016 (ECE/TRANS/224, par. 94, et ECE/TRANS/2012/12, activité 02.4), le Forum mondial a 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02" w:rsidRPr="000B3D02" w:rsidRDefault="000B3D02">
    <w:pPr>
      <w:pStyle w:val="Header"/>
    </w:pPr>
    <w:r>
      <w:t>ECE/TRANS/WP.29/GRPE/2015/14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02" w:rsidRPr="000B3D02" w:rsidRDefault="000B3D02" w:rsidP="000B3D02">
    <w:pPr>
      <w:pStyle w:val="Header"/>
      <w:jc w:val="right"/>
    </w:pPr>
    <w:r>
      <w:t>ECE/TRANS/WP.29/GRPE/2015/14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4F"/>
    <w:rsid w:val="00017F94"/>
    <w:rsid w:val="00023842"/>
    <w:rsid w:val="000334F9"/>
    <w:rsid w:val="0007796D"/>
    <w:rsid w:val="000B3D02"/>
    <w:rsid w:val="000B7790"/>
    <w:rsid w:val="00111F2F"/>
    <w:rsid w:val="0014365E"/>
    <w:rsid w:val="00143C66"/>
    <w:rsid w:val="00155F5E"/>
    <w:rsid w:val="00176178"/>
    <w:rsid w:val="001F525A"/>
    <w:rsid w:val="00223272"/>
    <w:rsid w:val="0024779E"/>
    <w:rsid w:val="00257168"/>
    <w:rsid w:val="002744B8"/>
    <w:rsid w:val="00275ED5"/>
    <w:rsid w:val="002832AC"/>
    <w:rsid w:val="00292541"/>
    <w:rsid w:val="002D7C93"/>
    <w:rsid w:val="002F6934"/>
    <w:rsid w:val="00305801"/>
    <w:rsid w:val="003916DE"/>
    <w:rsid w:val="004024C8"/>
    <w:rsid w:val="0043744F"/>
    <w:rsid w:val="00441C3B"/>
    <w:rsid w:val="00446FE5"/>
    <w:rsid w:val="00452396"/>
    <w:rsid w:val="004837D8"/>
    <w:rsid w:val="004E468C"/>
    <w:rsid w:val="00536AB3"/>
    <w:rsid w:val="005505B7"/>
    <w:rsid w:val="00557FE8"/>
    <w:rsid w:val="00573BE5"/>
    <w:rsid w:val="00586ED3"/>
    <w:rsid w:val="00596AA9"/>
    <w:rsid w:val="0071601D"/>
    <w:rsid w:val="007A62E6"/>
    <w:rsid w:val="007A6544"/>
    <w:rsid w:val="007F20FA"/>
    <w:rsid w:val="0080684C"/>
    <w:rsid w:val="00871C75"/>
    <w:rsid w:val="008776DC"/>
    <w:rsid w:val="009705C8"/>
    <w:rsid w:val="009C1CF4"/>
    <w:rsid w:val="009F6B74"/>
    <w:rsid w:val="00A30353"/>
    <w:rsid w:val="00AB17D1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53370"/>
    <w:rsid w:val="00DB1831"/>
    <w:rsid w:val="00DC6648"/>
    <w:rsid w:val="00DD3BFD"/>
    <w:rsid w:val="00DF6678"/>
    <w:rsid w:val="00E85C74"/>
    <w:rsid w:val="00EA6547"/>
    <w:rsid w:val="00EF2E22"/>
    <w:rsid w:val="00F35BAF"/>
    <w:rsid w:val="00F4486C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ECE/TRANS/WP.29/GRPE/2015/14</vt:lpstr>
      <vt:lpstr/>
    </vt:vector>
  </TitlesOfParts>
  <Company>DCM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ECE/TRANS/WP.29/GRPE/2015/14</dc:title>
  <dc:creator>Granet C.</dc:creator>
  <cp:lastModifiedBy>07 series second set of changes</cp:lastModifiedBy>
  <cp:revision>2</cp:revision>
  <cp:lastPrinted>2014-05-14T10:59:00Z</cp:lastPrinted>
  <dcterms:created xsi:type="dcterms:W3CDTF">2015-04-23T12:34:00Z</dcterms:created>
  <dcterms:modified xsi:type="dcterms:W3CDTF">2015-04-23T12:34:00Z</dcterms:modified>
</cp:coreProperties>
</file>