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3D2" w:rsidRDefault="001633D2" w:rsidP="001633D2">
      <w:pPr>
        <w:spacing w:line="240" w:lineRule="auto"/>
        <w:rPr>
          <w:sz w:val="2"/>
        </w:rPr>
        <w:sectPr w:rsidR="001633D2" w:rsidSect="001633D2">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1633D2" w:rsidRDefault="001633D2" w:rsidP="001633D2">
      <w:pPr>
        <w:pStyle w:val="H1"/>
        <w:spacing w:after="120"/>
        <w:rPr>
          <w:sz w:val="28"/>
        </w:rPr>
      </w:pPr>
      <w:r>
        <w:rPr>
          <w:sz w:val="28"/>
        </w:rPr>
        <w:lastRenderedPageBreak/>
        <w:t>Commission économique pour l’Europe</w:t>
      </w:r>
    </w:p>
    <w:p w:rsidR="001633D2" w:rsidRDefault="001633D2" w:rsidP="001633D2">
      <w:pPr>
        <w:pStyle w:val="H1"/>
        <w:spacing w:after="120" w:line="300" w:lineRule="exact"/>
        <w:rPr>
          <w:b w:val="0"/>
          <w:sz w:val="28"/>
        </w:rPr>
      </w:pPr>
      <w:r>
        <w:rPr>
          <w:b w:val="0"/>
          <w:sz w:val="28"/>
        </w:rPr>
        <w:t>Comité des transports intérieurs</w:t>
      </w:r>
    </w:p>
    <w:p w:rsidR="00D67B48" w:rsidRDefault="00D67B48" w:rsidP="00D67B4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67B48">
        <w:rPr>
          <w:lang w:val="fr-FR"/>
        </w:rPr>
        <w:t xml:space="preserve">Forum mondial de l’harmonisation </w:t>
      </w:r>
      <w:r>
        <w:rPr>
          <w:lang w:val="fr-FR"/>
        </w:rPr>
        <w:br/>
      </w:r>
      <w:r w:rsidRPr="00D67B48">
        <w:rPr>
          <w:lang w:val="fr-FR"/>
        </w:rPr>
        <w:t>des Règlements concernant les véhicules</w:t>
      </w:r>
    </w:p>
    <w:p w:rsidR="0042059C" w:rsidRPr="0042059C" w:rsidRDefault="0042059C" w:rsidP="0042059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D67B48" w:rsidRDefault="00D67B48" w:rsidP="00D67B4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67B48">
        <w:rPr>
          <w:lang w:val="fr-FR"/>
        </w:rPr>
        <w:t xml:space="preserve">Groupe de travail de l’éclairage </w:t>
      </w:r>
      <w:r>
        <w:rPr>
          <w:lang w:val="fr-FR"/>
        </w:rPr>
        <w:br/>
      </w:r>
      <w:r w:rsidRPr="00D67B48">
        <w:rPr>
          <w:lang w:val="fr-FR"/>
        </w:rPr>
        <w:t>et de la signalisation lumineuse</w:t>
      </w:r>
    </w:p>
    <w:p w:rsidR="00D67B48" w:rsidRPr="00D67B48" w:rsidRDefault="00D67B48" w:rsidP="00D67B48">
      <w:pPr>
        <w:spacing w:line="120" w:lineRule="exact"/>
        <w:rPr>
          <w:sz w:val="10"/>
          <w:lang w:val="fr-FR"/>
        </w:rPr>
      </w:pPr>
    </w:p>
    <w:p w:rsidR="00D67B48" w:rsidRPr="00D67B48" w:rsidRDefault="00D67B48" w:rsidP="00D67B4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67B48">
        <w:rPr>
          <w:lang w:val="fr-FR"/>
        </w:rPr>
        <w:t>Soixante-quatorzième session</w:t>
      </w:r>
    </w:p>
    <w:p w:rsidR="00D67B48" w:rsidRPr="00D67B48" w:rsidRDefault="00D67B48" w:rsidP="00D67B48">
      <w:pPr>
        <w:rPr>
          <w:lang w:val="fr-FR"/>
        </w:rPr>
      </w:pPr>
      <w:r>
        <w:rPr>
          <w:lang w:val="fr-FR"/>
        </w:rPr>
        <w:t>Genève, 20-23 </w:t>
      </w:r>
      <w:r w:rsidRPr="00D67B48">
        <w:rPr>
          <w:lang w:val="fr-FR"/>
        </w:rPr>
        <w:t>octobre 2015</w:t>
      </w:r>
    </w:p>
    <w:p w:rsidR="00D67B48" w:rsidRPr="00D67B48" w:rsidRDefault="00D67B48" w:rsidP="00D67B48">
      <w:pPr>
        <w:rPr>
          <w:lang w:val="fr-FR"/>
        </w:rPr>
      </w:pPr>
      <w:r w:rsidRPr="00D67B48">
        <w:rPr>
          <w:lang w:val="fr-FR"/>
        </w:rPr>
        <w:t>Point 7 a) de l’ordre du jour provisoire</w:t>
      </w:r>
    </w:p>
    <w:p w:rsidR="00D67B48" w:rsidRDefault="00D67B48" w:rsidP="00D67B4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67B48">
        <w:rPr>
          <w:lang w:val="fr-FR"/>
        </w:rPr>
        <w:t xml:space="preserve">Autres règlements : Règlement </w:t>
      </w:r>
      <w:r>
        <w:rPr>
          <w:lang w:val="fr-FR"/>
        </w:rPr>
        <w:t>n</w:t>
      </w:r>
      <w:r w:rsidRPr="00D67B48">
        <w:rPr>
          <w:vertAlign w:val="superscript"/>
          <w:lang w:val="fr-FR"/>
        </w:rPr>
        <w:t>o</w:t>
      </w:r>
      <w:r>
        <w:rPr>
          <w:lang w:val="fr-FR"/>
        </w:rPr>
        <w:t> </w:t>
      </w:r>
      <w:r w:rsidRPr="00D67B48">
        <w:rPr>
          <w:lang w:val="fr-FR"/>
        </w:rPr>
        <w:t xml:space="preserve">7 </w:t>
      </w:r>
      <w:r>
        <w:rPr>
          <w:lang w:val="fr-FR"/>
        </w:rPr>
        <w:br/>
      </w:r>
      <w:r w:rsidRPr="00D67B48">
        <w:rPr>
          <w:lang w:val="fr-FR"/>
        </w:rPr>
        <w:t>(Feux de position, feux-stop et feux d’encombrement)</w:t>
      </w:r>
    </w:p>
    <w:p w:rsidR="00D67B48" w:rsidRPr="00D67B48" w:rsidRDefault="00D67B48" w:rsidP="00D67B48">
      <w:pPr>
        <w:spacing w:line="120" w:lineRule="exact"/>
        <w:rPr>
          <w:sz w:val="10"/>
          <w:lang w:val="fr-FR"/>
        </w:rPr>
      </w:pPr>
    </w:p>
    <w:p w:rsidR="00D67B48" w:rsidRPr="00D67B48" w:rsidRDefault="00D67B48" w:rsidP="00D67B48">
      <w:pPr>
        <w:spacing w:line="120" w:lineRule="exact"/>
        <w:rPr>
          <w:sz w:val="10"/>
          <w:lang w:val="fr-FR"/>
        </w:rPr>
      </w:pPr>
    </w:p>
    <w:p w:rsidR="00D67B48" w:rsidRPr="00D67B48" w:rsidRDefault="00D67B48" w:rsidP="00D67B48">
      <w:pPr>
        <w:spacing w:line="120" w:lineRule="exact"/>
        <w:rPr>
          <w:sz w:val="10"/>
          <w:lang w:val="fr-FR"/>
        </w:rPr>
      </w:pPr>
    </w:p>
    <w:p w:rsidR="00D67B48" w:rsidRDefault="00D67B48" w:rsidP="00D67B4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D67B48">
        <w:rPr>
          <w:lang w:val="fr-FR"/>
        </w:rPr>
        <w:t xml:space="preserve">Proposition d’amendements aux prescriptions </w:t>
      </w:r>
      <w:r>
        <w:rPr>
          <w:lang w:val="fr-FR"/>
        </w:rPr>
        <w:br/>
      </w:r>
      <w:r w:rsidRPr="00D67B48">
        <w:rPr>
          <w:lang w:val="fr-FR"/>
        </w:rPr>
        <w:t xml:space="preserve">du Règlement </w:t>
      </w:r>
      <w:r>
        <w:rPr>
          <w:lang w:val="fr-FR"/>
        </w:rPr>
        <w:t>n</w:t>
      </w:r>
      <w:r w:rsidRPr="00D67B48">
        <w:rPr>
          <w:vertAlign w:val="superscript"/>
          <w:lang w:val="fr-FR"/>
        </w:rPr>
        <w:t>o</w:t>
      </w:r>
      <w:r>
        <w:rPr>
          <w:lang w:val="fr-FR"/>
        </w:rPr>
        <w:t> </w:t>
      </w:r>
      <w:r w:rsidRPr="00D67B48">
        <w:rPr>
          <w:lang w:val="fr-FR"/>
        </w:rPr>
        <w:t xml:space="preserve">7 (Feux de position, feux-stop </w:t>
      </w:r>
      <w:r>
        <w:rPr>
          <w:lang w:val="fr-FR"/>
        </w:rPr>
        <w:br/>
      </w:r>
      <w:r w:rsidRPr="00D67B48">
        <w:rPr>
          <w:lang w:val="fr-FR"/>
        </w:rPr>
        <w:t xml:space="preserve">et feux d’encombrement) relatives aux témoins </w:t>
      </w:r>
      <w:r>
        <w:rPr>
          <w:lang w:val="fr-FR"/>
        </w:rPr>
        <w:br/>
      </w:r>
      <w:r w:rsidRPr="00D67B48">
        <w:rPr>
          <w:lang w:val="fr-FR"/>
        </w:rPr>
        <w:t>qui indiqu</w:t>
      </w:r>
      <w:r>
        <w:rPr>
          <w:lang w:val="fr-FR"/>
        </w:rPr>
        <w:t>ent un défaut de fonctionnement</w:t>
      </w:r>
    </w:p>
    <w:p w:rsidR="00D67B48" w:rsidRPr="00D67B48" w:rsidRDefault="00D67B48" w:rsidP="00D67B48">
      <w:pPr>
        <w:pStyle w:val="SingleTxt"/>
        <w:spacing w:after="0" w:line="120" w:lineRule="exact"/>
        <w:rPr>
          <w:sz w:val="10"/>
          <w:lang w:val="fr-FR"/>
        </w:rPr>
      </w:pPr>
    </w:p>
    <w:p w:rsidR="00D67B48" w:rsidRPr="00D67B48" w:rsidRDefault="00D67B48" w:rsidP="00D67B48">
      <w:pPr>
        <w:pStyle w:val="SingleTxt"/>
        <w:spacing w:after="0" w:line="120" w:lineRule="exact"/>
        <w:rPr>
          <w:sz w:val="10"/>
          <w:lang w:val="fr-FR"/>
        </w:rPr>
      </w:pPr>
    </w:p>
    <w:p w:rsidR="00D67B48" w:rsidRDefault="00D67B48" w:rsidP="00D67B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FR"/>
        </w:rPr>
      </w:pPr>
      <w:r>
        <w:rPr>
          <w:lang w:val="fr-FR"/>
        </w:rPr>
        <w:tab/>
      </w:r>
      <w:r>
        <w:rPr>
          <w:lang w:val="fr-FR"/>
        </w:rPr>
        <w:tab/>
      </w:r>
      <w:r w:rsidRPr="00D67B48">
        <w:rPr>
          <w:lang w:val="fr-FR"/>
        </w:rPr>
        <w:t xml:space="preserve">Communication de l’équipe spéciale des témoins </w:t>
      </w:r>
      <w:r w:rsidR="006A1C28">
        <w:rPr>
          <w:lang w:val="fr-FR"/>
        </w:rPr>
        <w:br/>
      </w:r>
      <w:r w:rsidRPr="00D67B48">
        <w:rPr>
          <w:lang w:val="fr-FR"/>
        </w:rPr>
        <w:t>de fonctionnement</w:t>
      </w:r>
      <w:r w:rsidRPr="00D67B48">
        <w:rPr>
          <w:rStyle w:val="FootnoteReference"/>
          <w:b w:val="0"/>
          <w:sz w:val="20"/>
          <w:szCs w:val="20"/>
          <w:vertAlign w:val="baseline"/>
          <w:lang w:val="fr-FR"/>
        </w:rPr>
        <w:footnoteReference w:customMarkFollows="1" w:id="1"/>
        <w:t>*</w:t>
      </w:r>
    </w:p>
    <w:p w:rsidR="00D67B48" w:rsidRPr="00D67B48" w:rsidRDefault="00D67B48" w:rsidP="00D67B48">
      <w:pPr>
        <w:pStyle w:val="SingleTxt"/>
        <w:spacing w:after="0" w:line="120" w:lineRule="exact"/>
        <w:rPr>
          <w:sz w:val="10"/>
          <w:lang w:val="fr-FR"/>
        </w:rPr>
      </w:pPr>
    </w:p>
    <w:p w:rsidR="00D67B48" w:rsidRPr="00D67B48" w:rsidRDefault="00D67B48" w:rsidP="00D67B48">
      <w:pPr>
        <w:pStyle w:val="SingleTxt"/>
        <w:spacing w:after="0" w:line="120" w:lineRule="exact"/>
        <w:rPr>
          <w:sz w:val="10"/>
          <w:lang w:val="fr-FR"/>
        </w:rPr>
      </w:pPr>
    </w:p>
    <w:p w:rsidR="001633D2" w:rsidRDefault="00D67B48" w:rsidP="00D67B48">
      <w:pPr>
        <w:pStyle w:val="SingleTxt"/>
        <w:rPr>
          <w:lang w:val="fr-FR"/>
        </w:rPr>
      </w:pPr>
      <w:r>
        <w:rPr>
          <w:lang w:val="fr-FR"/>
        </w:rPr>
        <w:tab/>
      </w:r>
      <w:r w:rsidRPr="00D67B48">
        <w:rPr>
          <w:lang w:val="fr-FR"/>
        </w:rPr>
        <w:t>Le texte ci-après, établi par les experts de l’équipe spéciale des témoins de fonctionnement, est fondé sur le document informel GRE-73-11. Les modifications qu’il est proposé d’apporter au texte actuel du Règlement sont indiquées en caractères gras pour les ajouts ou en caractères biffés pour les suppressions.</w:t>
      </w:r>
    </w:p>
    <w:p w:rsidR="00E46336" w:rsidRDefault="00E46336">
      <w:pPr>
        <w:spacing w:line="240" w:lineRule="auto"/>
        <w:rPr>
          <w:lang w:val="fr-FR"/>
        </w:rPr>
      </w:pPr>
      <w:r>
        <w:rPr>
          <w:lang w:val="fr-FR"/>
        </w:rPr>
        <w:br w:type="page"/>
      </w:r>
    </w:p>
    <w:p w:rsidR="001D52B7" w:rsidRDefault="009A5B8C" w:rsidP="009A5B8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001D52B7" w:rsidRPr="001D52B7">
        <w:rPr>
          <w:lang w:val="fr-FR"/>
        </w:rPr>
        <w:t>I.</w:t>
      </w:r>
      <w:r w:rsidR="001D52B7" w:rsidRPr="001D52B7">
        <w:rPr>
          <w:lang w:val="fr-FR"/>
        </w:rPr>
        <w:tab/>
        <w:t>Proposition</w:t>
      </w:r>
    </w:p>
    <w:p w:rsidR="009A5B8C" w:rsidRPr="009A5B8C" w:rsidRDefault="009A5B8C" w:rsidP="009A5B8C">
      <w:pPr>
        <w:pStyle w:val="SingleTxt"/>
        <w:spacing w:after="0" w:line="120" w:lineRule="exact"/>
        <w:rPr>
          <w:sz w:val="10"/>
          <w:lang w:val="fr-FR"/>
        </w:rPr>
      </w:pPr>
    </w:p>
    <w:p w:rsidR="009A5B8C" w:rsidRPr="009A5B8C" w:rsidRDefault="009A5B8C" w:rsidP="009A5B8C">
      <w:pPr>
        <w:pStyle w:val="SingleTxt"/>
        <w:spacing w:after="0" w:line="120" w:lineRule="exact"/>
        <w:rPr>
          <w:sz w:val="10"/>
          <w:lang w:val="fr-FR"/>
        </w:rPr>
      </w:pPr>
    </w:p>
    <w:p w:rsidR="001D52B7" w:rsidRPr="001D52B7" w:rsidRDefault="001D52B7" w:rsidP="001D52B7">
      <w:pPr>
        <w:pStyle w:val="SingleTxt"/>
        <w:rPr>
          <w:b/>
          <w:u w:val="single"/>
          <w:lang w:val="fr-FR"/>
        </w:rPr>
      </w:pPr>
      <w:r w:rsidRPr="001D52B7">
        <w:rPr>
          <w:i/>
          <w:iCs/>
          <w:lang w:val="fr-FR"/>
        </w:rPr>
        <w:t>Paragraphe 6.1.7.2</w:t>
      </w:r>
      <w:r w:rsidRPr="001D52B7">
        <w:rPr>
          <w:lang w:val="fr-FR"/>
        </w:rPr>
        <w:t>, sans objet en français.</w:t>
      </w:r>
    </w:p>
    <w:p w:rsidR="001D52B7" w:rsidRPr="001D52B7" w:rsidRDefault="001D52B7" w:rsidP="001D52B7">
      <w:pPr>
        <w:pStyle w:val="SingleTxt"/>
        <w:rPr>
          <w:lang w:val="fr-FR"/>
        </w:rPr>
      </w:pPr>
      <w:r w:rsidRPr="001D52B7">
        <w:rPr>
          <w:i/>
          <w:lang w:val="fr-FR"/>
        </w:rPr>
        <w:t>Annexe 2, point 9</w:t>
      </w:r>
      <w:r w:rsidRPr="001D52B7">
        <w:rPr>
          <w:lang w:val="fr-FR"/>
        </w:rPr>
        <w:t>, modifier comme suit</w:t>
      </w:r>
      <w:r w:rsidR="009A5B8C">
        <w:rPr>
          <w:lang w:val="fr-FR"/>
        </w:rPr>
        <w:t> </w:t>
      </w:r>
      <w:r w:rsidRPr="001D52B7">
        <w:rPr>
          <w:lang w:val="fr-FR"/>
        </w:rPr>
        <w:t>:</w:t>
      </w:r>
    </w:p>
    <w:p w:rsidR="001D52B7" w:rsidRPr="001D52B7" w:rsidRDefault="009A5B8C" w:rsidP="001D52B7">
      <w:pPr>
        <w:pStyle w:val="SingleTxt"/>
        <w:rPr>
          <w:lang w:val="fr-FR"/>
        </w:rPr>
      </w:pPr>
      <w:r>
        <w:rPr>
          <w:lang w:val="fr-FR"/>
        </w:rPr>
        <w:t>« </w:t>
      </w:r>
      <w:r w:rsidR="001D52B7" w:rsidRPr="001D52B7">
        <w:rPr>
          <w:lang w:val="fr-FR"/>
        </w:rPr>
        <w:t>9.</w:t>
      </w:r>
      <w:r>
        <w:rPr>
          <w:lang w:val="fr-FR"/>
        </w:rPr>
        <w:tab/>
      </w:r>
      <w:r w:rsidR="001D52B7" w:rsidRPr="001D52B7">
        <w:rPr>
          <w:lang w:val="fr-FR"/>
        </w:rPr>
        <w:t>Description sommaire</w:t>
      </w:r>
      <w:r>
        <w:rPr>
          <w:lang w:val="fr-FR"/>
        </w:rPr>
        <w:t> </w:t>
      </w:r>
      <w:r w:rsidR="001D52B7" w:rsidRPr="001D52B7">
        <w:rPr>
          <w:lang w:val="fr-FR"/>
        </w:rPr>
        <w:t>:</w:t>
      </w:r>
    </w:p>
    <w:p w:rsidR="001D52B7" w:rsidRPr="001D52B7" w:rsidRDefault="001D52B7" w:rsidP="001D52B7">
      <w:pPr>
        <w:pStyle w:val="SingleTxt"/>
        <w:rPr>
          <w:lang w:val="fr-FR"/>
        </w:rPr>
      </w:pPr>
      <w:r w:rsidRPr="001D52B7">
        <w:rPr>
          <w:lang w:val="fr-FR"/>
        </w:rPr>
        <w:t>9.1</w:t>
      </w:r>
      <w:r w:rsidR="009A5B8C">
        <w:rPr>
          <w:lang w:val="fr-FR"/>
        </w:rPr>
        <w:tab/>
      </w:r>
      <w:r w:rsidRPr="001D52B7">
        <w:rPr>
          <w:lang w:val="fr-FR"/>
        </w:rPr>
        <w:t>Par catégorie de feu</w:t>
      </w:r>
      <w:r w:rsidR="009A5B8C">
        <w:rPr>
          <w:lang w:val="fr-FR"/>
        </w:rPr>
        <w:t> </w:t>
      </w:r>
      <w:r w:rsidRPr="001D52B7">
        <w:rPr>
          <w:lang w:val="fr-FR"/>
        </w:rPr>
        <w:t>:</w:t>
      </w:r>
    </w:p>
    <w:p w:rsidR="001D52B7" w:rsidRPr="001D52B7" w:rsidRDefault="009A5B8C" w:rsidP="001D52B7">
      <w:pPr>
        <w:pStyle w:val="SingleTxt"/>
        <w:rPr>
          <w:b/>
          <w:bCs/>
          <w:lang w:val="fr-FR"/>
        </w:rPr>
      </w:pPr>
      <w:r>
        <w:rPr>
          <w:lang w:val="fr-FR"/>
        </w:rPr>
        <w:tab/>
      </w:r>
      <w:r w:rsidR="001D52B7" w:rsidRPr="001D52B7">
        <w:rPr>
          <w:lang w:val="fr-FR"/>
        </w:rPr>
        <w:t>Pour montage à l’extérieur ou à l’intérieur, ou les deux</w:t>
      </w:r>
      <w:r w:rsidR="001D52B7" w:rsidRPr="001D52B7">
        <w:rPr>
          <w:b/>
          <w:bCs/>
          <w:vertAlign w:val="superscript"/>
          <w:lang w:val="fr-FR"/>
        </w:rPr>
        <w:t>1</w:t>
      </w:r>
    </w:p>
    <w:p w:rsidR="001D52B7" w:rsidRPr="001D52B7" w:rsidRDefault="009A5B8C" w:rsidP="001D52B7">
      <w:pPr>
        <w:pStyle w:val="SingleTxt"/>
        <w:rPr>
          <w:b/>
          <w:bCs/>
          <w:lang w:val="fr-FR"/>
        </w:rPr>
      </w:pPr>
      <w:r>
        <w:rPr>
          <w:lang w:val="fr-FR"/>
        </w:rPr>
        <w:tab/>
      </w:r>
      <w:r w:rsidR="001D52B7" w:rsidRPr="001D52B7">
        <w:rPr>
          <w:lang w:val="fr-FR"/>
        </w:rPr>
        <w:t>Couleur de la lumière émise</w:t>
      </w:r>
      <w:r w:rsidR="00C97FDF">
        <w:rPr>
          <w:lang w:val="fr-FR"/>
        </w:rPr>
        <w:t> </w:t>
      </w:r>
      <w:r w:rsidR="001D52B7" w:rsidRPr="001D52B7">
        <w:rPr>
          <w:lang w:val="fr-FR"/>
        </w:rPr>
        <w:t>: rouge/blanc</w:t>
      </w:r>
      <w:r w:rsidR="001D52B7" w:rsidRPr="001D52B7">
        <w:rPr>
          <w:b/>
          <w:bCs/>
          <w:vertAlign w:val="superscript"/>
          <w:lang w:val="fr-FR"/>
        </w:rPr>
        <w:t>1</w:t>
      </w:r>
    </w:p>
    <w:p w:rsidR="001D52B7" w:rsidRPr="001D52B7" w:rsidRDefault="009A5B8C" w:rsidP="0042059C">
      <w:pPr>
        <w:pStyle w:val="SingleTxt"/>
        <w:tabs>
          <w:tab w:val="clear" w:pos="2218"/>
          <w:tab w:val="clear" w:pos="2693"/>
          <w:tab w:val="clear" w:pos="3182"/>
          <w:tab w:val="clear" w:pos="3658"/>
          <w:tab w:val="clear" w:pos="4133"/>
          <w:tab w:val="clear" w:pos="4622"/>
          <w:tab w:val="clear" w:pos="5098"/>
          <w:tab w:val="clear" w:pos="5573"/>
          <w:tab w:val="clear" w:pos="6048"/>
          <w:tab w:val="right" w:leader="dot" w:pos="8766"/>
        </w:tabs>
        <w:rPr>
          <w:lang w:val="fr-FR"/>
        </w:rPr>
      </w:pPr>
      <w:r>
        <w:rPr>
          <w:lang w:val="fr-FR"/>
        </w:rPr>
        <w:tab/>
      </w:r>
      <w:r w:rsidR="001D52B7" w:rsidRPr="001D52B7">
        <w:rPr>
          <w:lang w:val="fr-FR"/>
        </w:rPr>
        <w:t>Nombre, catégorie et type de la ou des sources lumineuses</w:t>
      </w:r>
      <w:r>
        <w:rPr>
          <w:lang w:val="fr-FR"/>
        </w:rPr>
        <w:t> </w:t>
      </w:r>
      <w:r w:rsidR="0042059C">
        <w:rPr>
          <w:lang w:val="fr-FR"/>
        </w:rPr>
        <w:t xml:space="preserve">: </w:t>
      </w:r>
      <w:r w:rsidR="0042059C">
        <w:rPr>
          <w:lang w:val="fr-FR"/>
        </w:rPr>
        <w:tab/>
      </w:r>
    </w:p>
    <w:p w:rsidR="001D52B7" w:rsidRPr="001D52B7" w:rsidRDefault="009A5B8C" w:rsidP="00623AAD">
      <w:pPr>
        <w:pStyle w:val="SingleTxt"/>
        <w:tabs>
          <w:tab w:val="clear" w:pos="2218"/>
          <w:tab w:val="clear" w:pos="2693"/>
          <w:tab w:val="clear" w:pos="3182"/>
          <w:tab w:val="clear" w:pos="3658"/>
          <w:tab w:val="clear" w:pos="4133"/>
          <w:tab w:val="clear" w:pos="4622"/>
          <w:tab w:val="clear" w:pos="5098"/>
          <w:tab w:val="clear" w:pos="5573"/>
          <w:tab w:val="clear" w:pos="6048"/>
          <w:tab w:val="right" w:leader="dot" w:pos="8766"/>
        </w:tabs>
        <w:rPr>
          <w:lang w:val="fr-FR"/>
        </w:rPr>
      </w:pPr>
      <w:r>
        <w:rPr>
          <w:lang w:val="fr-FR"/>
        </w:rPr>
        <w:tab/>
      </w:r>
      <w:r w:rsidR="001D52B7" w:rsidRPr="001D52B7">
        <w:rPr>
          <w:lang w:val="fr-FR"/>
        </w:rPr>
        <w:t>Tension et puissance</w:t>
      </w:r>
      <w:r w:rsidR="00623AAD">
        <w:rPr>
          <w:lang w:val="fr-FR"/>
        </w:rPr>
        <w:t xml:space="preserve"> : </w:t>
      </w:r>
      <w:r w:rsidR="00623AAD">
        <w:rPr>
          <w:lang w:val="fr-FR"/>
        </w:rPr>
        <w:tab/>
      </w:r>
    </w:p>
    <w:p w:rsidR="001D52B7" w:rsidRPr="001D52B7" w:rsidRDefault="009A5B8C" w:rsidP="00623AAD">
      <w:pPr>
        <w:pStyle w:val="SingleTxt"/>
        <w:tabs>
          <w:tab w:val="clear" w:pos="2218"/>
          <w:tab w:val="clear" w:pos="2693"/>
          <w:tab w:val="clear" w:pos="3182"/>
          <w:tab w:val="clear" w:pos="3658"/>
          <w:tab w:val="clear" w:pos="4133"/>
          <w:tab w:val="clear" w:pos="4622"/>
          <w:tab w:val="clear" w:pos="5098"/>
          <w:tab w:val="clear" w:pos="5573"/>
          <w:tab w:val="clear" w:pos="6048"/>
          <w:tab w:val="right" w:leader="dot" w:pos="8766"/>
        </w:tabs>
        <w:rPr>
          <w:lang w:val="fr-FR"/>
        </w:rPr>
      </w:pPr>
      <w:r>
        <w:rPr>
          <w:lang w:val="fr-FR"/>
        </w:rPr>
        <w:tab/>
      </w:r>
      <w:r w:rsidR="001D52B7" w:rsidRPr="001D52B7">
        <w:rPr>
          <w:lang w:val="fr-FR"/>
        </w:rPr>
        <w:t>Code d’identification propre au module d’éclairage</w:t>
      </w:r>
      <w:r w:rsidR="00623AAD">
        <w:rPr>
          <w:lang w:val="fr-FR"/>
        </w:rPr>
        <w:t xml:space="preserve"> : </w:t>
      </w:r>
      <w:r w:rsidR="00623AAD">
        <w:rPr>
          <w:lang w:val="fr-FR"/>
        </w:rPr>
        <w:tab/>
      </w:r>
    </w:p>
    <w:p w:rsidR="001D52B7" w:rsidRPr="001D52B7" w:rsidRDefault="009A5B8C" w:rsidP="00E47300">
      <w:pPr>
        <w:pStyle w:val="SingleTxt"/>
        <w:ind w:left="1742" w:hanging="475"/>
        <w:rPr>
          <w:b/>
          <w:bCs/>
          <w:lang w:val="fr-FR"/>
        </w:rPr>
      </w:pPr>
      <w:r>
        <w:rPr>
          <w:lang w:val="fr-FR"/>
        </w:rPr>
        <w:tab/>
      </w:r>
      <w:r w:rsidR="001D52B7" w:rsidRPr="001D52B7">
        <w:rPr>
          <w:lang w:val="fr-FR"/>
        </w:rPr>
        <w:t>Uniquement pour une hauteur de montage limitée, égale ou inférieure à 750</w:t>
      </w:r>
      <w:r>
        <w:rPr>
          <w:lang w:val="fr-FR"/>
        </w:rPr>
        <w:t> </w:t>
      </w:r>
      <w:r w:rsidR="001D52B7" w:rsidRPr="001D52B7">
        <w:rPr>
          <w:lang w:val="fr-FR"/>
        </w:rPr>
        <w:t>mm au-dessus du sol</w:t>
      </w:r>
      <w:r>
        <w:rPr>
          <w:lang w:val="fr-FR"/>
        </w:rPr>
        <w:t> </w:t>
      </w:r>
      <w:r w:rsidR="001D52B7" w:rsidRPr="001D52B7">
        <w:rPr>
          <w:lang w:val="fr-FR"/>
        </w:rPr>
        <w:t>: oui/non</w:t>
      </w:r>
      <w:r w:rsidR="001D52B7" w:rsidRPr="001D52B7">
        <w:rPr>
          <w:b/>
          <w:bCs/>
          <w:vertAlign w:val="superscript"/>
          <w:lang w:val="fr-FR"/>
        </w:rPr>
        <w:t>1</w:t>
      </w:r>
    </w:p>
    <w:p w:rsidR="001D52B7" w:rsidRPr="001D52B7" w:rsidRDefault="009A5B8C" w:rsidP="00E47300">
      <w:pPr>
        <w:pStyle w:val="SingleTxt"/>
        <w:tabs>
          <w:tab w:val="clear" w:pos="2218"/>
          <w:tab w:val="clear" w:pos="2693"/>
          <w:tab w:val="clear" w:pos="3182"/>
          <w:tab w:val="clear" w:pos="3658"/>
          <w:tab w:val="clear" w:pos="4133"/>
          <w:tab w:val="clear" w:pos="4622"/>
          <w:tab w:val="clear" w:pos="5098"/>
          <w:tab w:val="clear" w:pos="5573"/>
          <w:tab w:val="clear" w:pos="6048"/>
          <w:tab w:val="right" w:leader="dot" w:pos="8766"/>
        </w:tabs>
        <w:rPr>
          <w:lang w:val="fr-FR"/>
        </w:rPr>
      </w:pPr>
      <w:r>
        <w:rPr>
          <w:lang w:val="fr-FR"/>
        </w:rPr>
        <w:tab/>
      </w:r>
      <w:r w:rsidR="001D52B7" w:rsidRPr="001D52B7">
        <w:rPr>
          <w:lang w:val="fr-FR"/>
        </w:rPr>
        <w:t>Caractéristiques géométriques de montage et variantes éventuelles</w:t>
      </w:r>
      <w:r>
        <w:rPr>
          <w:lang w:val="fr-FR"/>
        </w:rPr>
        <w:t> </w:t>
      </w:r>
      <w:r w:rsidR="001D52B7" w:rsidRPr="001D52B7">
        <w:rPr>
          <w:lang w:val="fr-FR"/>
        </w:rPr>
        <w:t xml:space="preserve">: </w:t>
      </w:r>
      <w:r w:rsidR="00E47300">
        <w:rPr>
          <w:lang w:val="fr-FR"/>
        </w:rPr>
        <w:tab/>
      </w:r>
    </w:p>
    <w:p w:rsidR="001D52B7" w:rsidRPr="001D52B7" w:rsidRDefault="009A5B8C" w:rsidP="00201F85">
      <w:pPr>
        <w:pStyle w:val="SingleTxt"/>
        <w:ind w:left="1742" w:hanging="475"/>
        <w:rPr>
          <w:lang w:val="fr-FR"/>
        </w:rPr>
      </w:pPr>
      <w:r>
        <w:rPr>
          <w:lang w:val="fr-FR"/>
        </w:rPr>
        <w:tab/>
      </w:r>
      <w:r w:rsidR="001D52B7" w:rsidRPr="001D52B7">
        <w:rPr>
          <w:lang w:val="fr-FR"/>
        </w:rPr>
        <w:t>Le dispositif de régulation électronique de la source lumineuse ou du régulateur d’intensité</w:t>
      </w:r>
      <w:r w:rsidR="00201F85">
        <w:rPr>
          <w:lang w:val="fr-FR"/>
        </w:rPr>
        <w:t> </w:t>
      </w:r>
      <w:r w:rsidR="001D52B7" w:rsidRPr="001D52B7">
        <w:rPr>
          <w:lang w:val="fr-FR"/>
        </w:rPr>
        <w:t>:</w:t>
      </w:r>
    </w:p>
    <w:p w:rsidR="001D52B7" w:rsidRPr="001D52B7" w:rsidRDefault="009A5B8C" w:rsidP="001D52B7">
      <w:pPr>
        <w:pStyle w:val="SingleTxt"/>
        <w:rPr>
          <w:b/>
          <w:bCs/>
          <w:lang w:val="fr-FR"/>
        </w:rPr>
      </w:pPr>
      <w:r>
        <w:rPr>
          <w:lang w:val="fr-FR"/>
        </w:rPr>
        <w:tab/>
        <w:t>a)</w:t>
      </w:r>
      <w:r>
        <w:rPr>
          <w:lang w:val="fr-FR"/>
        </w:rPr>
        <w:tab/>
      </w:r>
      <w:r w:rsidR="001D52B7" w:rsidRPr="001D52B7">
        <w:rPr>
          <w:lang w:val="fr-FR"/>
        </w:rPr>
        <w:t>Fait partie du feu</w:t>
      </w:r>
      <w:r>
        <w:rPr>
          <w:lang w:val="fr-FR"/>
        </w:rPr>
        <w:t> </w:t>
      </w:r>
      <w:r w:rsidR="001D52B7" w:rsidRPr="001D52B7">
        <w:rPr>
          <w:lang w:val="fr-FR"/>
        </w:rPr>
        <w:t>: oui/non</w:t>
      </w:r>
      <w:r w:rsidR="001D52B7" w:rsidRPr="001D52B7">
        <w:rPr>
          <w:b/>
          <w:bCs/>
          <w:vertAlign w:val="superscript"/>
          <w:lang w:val="fr-FR"/>
        </w:rPr>
        <w:t>1</w:t>
      </w:r>
    </w:p>
    <w:p w:rsidR="001D52B7" w:rsidRPr="001D52B7" w:rsidRDefault="009A5B8C" w:rsidP="001D52B7">
      <w:pPr>
        <w:pStyle w:val="SingleTxt"/>
        <w:rPr>
          <w:b/>
          <w:bCs/>
          <w:lang w:val="fr-FR"/>
        </w:rPr>
      </w:pPr>
      <w:r>
        <w:rPr>
          <w:lang w:val="fr-FR"/>
        </w:rPr>
        <w:tab/>
        <w:t>b)</w:t>
      </w:r>
      <w:r>
        <w:rPr>
          <w:lang w:val="fr-FR"/>
        </w:rPr>
        <w:tab/>
      </w:r>
      <w:r w:rsidR="001D52B7" w:rsidRPr="001D52B7">
        <w:rPr>
          <w:lang w:val="fr-FR"/>
        </w:rPr>
        <w:t>Ne fait pas partie du feu</w:t>
      </w:r>
      <w:r>
        <w:rPr>
          <w:lang w:val="fr-FR"/>
        </w:rPr>
        <w:t> </w:t>
      </w:r>
      <w:r w:rsidR="001D52B7" w:rsidRPr="001D52B7">
        <w:rPr>
          <w:lang w:val="fr-FR"/>
        </w:rPr>
        <w:t>: oui/non</w:t>
      </w:r>
      <w:r w:rsidR="001D52B7" w:rsidRPr="001D52B7">
        <w:rPr>
          <w:b/>
          <w:bCs/>
          <w:vertAlign w:val="superscript"/>
          <w:lang w:val="fr-FR"/>
        </w:rPr>
        <w:t>1</w:t>
      </w:r>
    </w:p>
    <w:p w:rsidR="001D52B7" w:rsidRPr="001D52B7" w:rsidRDefault="009A5B8C" w:rsidP="00F358AF">
      <w:pPr>
        <w:pStyle w:val="SingleTxt"/>
        <w:tabs>
          <w:tab w:val="clear" w:pos="2218"/>
          <w:tab w:val="clear" w:pos="2693"/>
          <w:tab w:val="clear" w:pos="3182"/>
          <w:tab w:val="clear" w:pos="3658"/>
          <w:tab w:val="clear" w:pos="4133"/>
          <w:tab w:val="clear" w:pos="4622"/>
          <w:tab w:val="clear" w:pos="5098"/>
          <w:tab w:val="clear" w:pos="5573"/>
          <w:tab w:val="clear" w:pos="6048"/>
          <w:tab w:val="right" w:leader="dot" w:pos="8766"/>
        </w:tabs>
        <w:ind w:left="1742" w:hanging="475"/>
        <w:rPr>
          <w:lang w:val="fr-FR"/>
        </w:rPr>
      </w:pPr>
      <w:r>
        <w:rPr>
          <w:lang w:val="fr-FR"/>
        </w:rPr>
        <w:tab/>
      </w:r>
      <w:r w:rsidR="001D52B7" w:rsidRPr="001D52B7">
        <w:rPr>
          <w:lang w:val="fr-FR"/>
        </w:rPr>
        <w:t>Tension(s) d’alimentation du dispositif de régulation électronique de la source lumineuse ou du régulateur d’intensité</w:t>
      </w:r>
      <w:r>
        <w:rPr>
          <w:lang w:val="fr-FR"/>
        </w:rPr>
        <w:t> </w:t>
      </w:r>
      <w:r w:rsidR="001D52B7" w:rsidRPr="001D52B7">
        <w:rPr>
          <w:lang w:val="fr-FR"/>
        </w:rPr>
        <w:t xml:space="preserve">: </w:t>
      </w:r>
      <w:r w:rsidR="00DC0572">
        <w:rPr>
          <w:lang w:val="fr-FR"/>
        </w:rPr>
        <w:tab/>
      </w:r>
    </w:p>
    <w:p w:rsidR="001D52B7" w:rsidRPr="001D52B7" w:rsidRDefault="009A5B8C" w:rsidP="00C36EA1">
      <w:pPr>
        <w:pStyle w:val="SingleTxt"/>
        <w:tabs>
          <w:tab w:val="clear" w:pos="2218"/>
          <w:tab w:val="clear" w:pos="2693"/>
          <w:tab w:val="clear" w:pos="3182"/>
          <w:tab w:val="clear" w:pos="3658"/>
          <w:tab w:val="clear" w:pos="4133"/>
          <w:tab w:val="clear" w:pos="4622"/>
          <w:tab w:val="clear" w:pos="5098"/>
          <w:tab w:val="clear" w:pos="5573"/>
          <w:tab w:val="clear" w:pos="6048"/>
          <w:tab w:val="right" w:leader="dot" w:pos="8766"/>
        </w:tabs>
        <w:ind w:left="1742" w:hanging="475"/>
        <w:rPr>
          <w:lang w:val="fr-FR"/>
        </w:rPr>
      </w:pPr>
      <w:r>
        <w:rPr>
          <w:lang w:val="fr-FR"/>
        </w:rPr>
        <w:tab/>
      </w:r>
      <w:r w:rsidR="001D52B7" w:rsidRPr="001D52B7">
        <w:rPr>
          <w:lang w:val="fr-FR"/>
        </w:rPr>
        <w:t>Nom du fabricant et numéro d’identification du dispositif de régulation électronique de la source lumineuse ou du régulateur d’intensité (lorsque le dispositif de régulation de la source lumineuse fait partie du feu mais n’est pas incorporé dans son boîtier)</w:t>
      </w:r>
      <w:r>
        <w:rPr>
          <w:lang w:val="fr-FR"/>
        </w:rPr>
        <w:t> </w:t>
      </w:r>
      <w:r w:rsidR="001D52B7" w:rsidRPr="001D52B7">
        <w:rPr>
          <w:lang w:val="fr-FR"/>
        </w:rPr>
        <w:t xml:space="preserve">: </w:t>
      </w:r>
      <w:r w:rsidR="00C36EA1">
        <w:rPr>
          <w:lang w:val="fr-FR"/>
        </w:rPr>
        <w:tab/>
      </w:r>
    </w:p>
    <w:p w:rsidR="001D52B7" w:rsidRPr="001D52B7" w:rsidRDefault="009A5B8C" w:rsidP="001D52B7">
      <w:pPr>
        <w:pStyle w:val="SingleTxt"/>
        <w:rPr>
          <w:b/>
          <w:bCs/>
          <w:vertAlign w:val="superscript"/>
          <w:lang w:val="fr-FR"/>
        </w:rPr>
      </w:pPr>
      <w:r>
        <w:rPr>
          <w:lang w:val="fr-FR"/>
        </w:rPr>
        <w:tab/>
      </w:r>
      <w:r w:rsidR="001D52B7" w:rsidRPr="001D52B7">
        <w:rPr>
          <w:lang w:val="fr-FR"/>
        </w:rPr>
        <w:t>Intensité lumineuse variable</w:t>
      </w:r>
      <w:r>
        <w:rPr>
          <w:lang w:val="fr-FR"/>
        </w:rPr>
        <w:t> </w:t>
      </w:r>
      <w:r w:rsidR="001D52B7" w:rsidRPr="001D52B7">
        <w:rPr>
          <w:lang w:val="fr-FR"/>
        </w:rPr>
        <w:t>: oui/non</w:t>
      </w:r>
      <w:r w:rsidR="001D52B7" w:rsidRPr="001D52B7">
        <w:rPr>
          <w:b/>
          <w:bCs/>
          <w:vertAlign w:val="superscript"/>
          <w:lang w:val="fr-FR"/>
        </w:rPr>
        <w:t>1</w:t>
      </w:r>
    </w:p>
    <w:p w:rsidR="001D52B7" w:rsidRDefault="009A5B8C" w:rsidP="00C84555">
      <w:pPr>
        <w:pStyle w:val="SingleTxt"/>
        <w:ind w:left="1742" w:hanging="475"/>
        <w:rPr>
          <w:b/>
          <w:bCs/>
          <w:vertAlign w:val="superscript"/>
          <w:lang w:val="fr-FR"/>
        </w:rPr>
      </w:pPr>
      <w:r>
        <w:rPr>
          <w:b/>
          <w:lang w:val="fr-FR"/>
        </w:rPr>
        <w:tab/>
      </w:r>
      <w:r w:rsidR="001D52B7" w:rsidRPr="001D52B7">
        <w:rPr>
          <w:b/>
          <w:lang w:val="fr-FR"/>
        </w:rPr>
        <w:t>Le feu de position avant</w:t>
      </w:r>
      <w:r w:rsidR="001D52B7" w:rsidRPr="001D52B7">
        <w:rPr>
          <w:b/>
          <w:bCs/>
          <w:vertAlign w:val="superscript"/>
          <w:lang w:val="fr-FR"/>
        </w:rPr>
        <w:t>1</w:t>
      </w:r>
      <w:r w:rsidR="001D52B7" w:rsidRPr="001D52B7">
        <w:rPr>
          <w:b/>
          <w:lang w:val="fr-FR"/>
        </w:rPr>
        <w:t>, feu de position arrière</w:t>
      </w:r>
      <w:r w:rsidR="001D52B7" w:rsidRPr="001D52B7">
        <w:rPr>
          <w:b/>
          <w:bCs/>
          <w:vertAlign w:val="superscript"/>
          <w:lang w:val="fr-FR"/>
        </w:rPr>
        <w:t>1</w:t>
      </w:r>
      <w:r w:rsidR="001D52B7" w:rsidRPr="001D52B7">
        <w:rPr>
          <w:b/>
          <w:lang w:val="fr-FR"/>
        </w:rPr>
        <w:t>, feu-stop</w:t>
      </w:r>
      <w:r w:rsidR="001D52B7" w:rsidRPr="001D52B7">
        <w:rPr>
          <w:b/>
          <w:bCs/>
          <w:vertAlign w:val="superscript"/>
          <w:lang w:val="fr-FR"/>
        </w:rPr>
        <w:t>1</w:t>
      </w:r>
      <w:r w:rsidR="001D52B7" w:rsidRPr="001D52B7">
        <w:rPr>
          <w:b/>
          <w:lang w:val="fr-FR"/>
        </w:rPr>
        <w:t>, feu d’encombrement</w:t>
      </w:r>
      <w:r w:rsidR="001D52B7" w:rsidRPr="001D52B7">
        <w:rPr>
          <w:b/>
          <w:bCs/>
          <w:vertAlign w:val="superscript"/>
          <w:lang w:val="fr-FR"/>
        </w:rPr>
        <w:t>1</w:t>
      </w:r>
      <w:r w:rsidR="001D52B7" w:rsidRPr="001D52B7">
        <w:rPr>
          <w:b/>
          <w:lang w:val="fr-FR"/>
        </w:rPr>
        <w:t xml:space="preserve"> ne peut être utilisé que sur un véhicule équipé d’un témoin indiquant un défaut de fonctionnement</w:t>
      </w:r>
      <w:r>
        <w:rPr>
          <w:b/>
          <w:lang w:val="fr-FR"/>
        </w:rPr>
        <w:t> </w:t>
      </w:r>
      <w:r w:rsidR="001D52B7" w:rsidRPr="001D52B7">
        <w:rPr>
          <w:b/>
          <w:lang w:val="fr-FR"/>
        </w:rPr>
        <w:t>: oui/non</w:t>
      </w:r>
      <w:r w:rsidR="001D52B7" w:rsidRPr="001D52B7">
        <w:rPr>
          <w:b/>
          <w:bCs/>
          <w:vertAlign w:val="superscript"/>
          <w:lang w:val="fr-FR"/>
        </w:rPr>
        <w:t>1</w:t>
      </w:r>
    </w:p>
    <w:p w:rsidR="00397630" w:rsidRPr="00397630" w:rsidRDefault="00397630" w:rsidP="00397630">
      <w:pPr>
        <w:pStyle w:val="Footer"/>
        <w:spacing w:after="80"/>
        <w:ind w:left="792"/>
        <w:rPr>
          <w:b w:val="0"/>
          <w:sz w:val="16"/>
        </w:rPr>
      </w:pPr>
      <w:r w:rsidRPr="00397630">
        <w:rPr>
          <w:b w:val="0"/>
          <w:sz w:val="16"/>
        </w:rPr>
        <w:t>__________________</w:t>
      </w:r>
    </w:p>
    <w:p w:rsidR="00397630" w:rsidRPr="00397630" w:rsidRDefault="00397630" w:rsidP="00397630">
      <w:pPr>
        <w:pStyle w:val="FootnoteText"/>
        <w:tabs>
          <w:tab w:val="right" w:pos="1195"/>
          <w:tab w:val="left" w:pos="1267"/>
          <w:tab w:val="left" w:pos="1742"/>
          <w:tab w:val="left" w:pos="2218"/>
          <w:tab w:val="left" w:pos="2693"/>
        </w:tabs>
        <w:ind w:left="1267" w:right="1260" w:hanging="432"/>
        <w:rPr>
          <w:lang w:val="fr-FR"/>
        </w:rPr>
      </w:pPr>
      <w:r w:rsidRPr="00397630">
        <w:rPr>
          <w:vertAlign w:val="superscript"/>
          <w:lang w:val="fr-FR"/>
        </w:rPr>
        <w:tab/>
      </w:r>
      <w:r w:rsidRPr="00397630">
        <w:rPr>
          <w:szCs w:val="17"/>
          <w:vertAlign w:val="superscript"/>
          <w:lang w:val="fr-FR"/>
        </w:rPr>
        <w:t>1</w:t>
      </w:r>
      <w:r w:rsidRPr="00397630">
        <w:rPr>
          <w:szCs w:val="17"/>
          <w:vertAlign w:val="superscript"/>
          <w:lang w:val="fr-FR"/>
        </w:rPr>
        <w:tab/>
      </w:r>
      <w:r w:rsidRPr="00397630">
        <w:rPr>
          <w:szCs w:val="17"/>
          <w:lang w:val="fr-FR"/>
        </w:rPr>
        <w:t>Biffer les mentions inutiles. ».</w:t>
      </w:r>
    </w:p>
    <w:p w:rsidR="00397630" w:rsidRPr="00093B25" w:rsidRDefault="00397630" w:rsidP="00397630">
      <w:pPr>
        <w:pStyle w:val="SingleTxt"/>
        <w:spacing w:after="0" w:line="120" w:lineRule="exact"/>
        <w:rPr>
          <w:i/>
          <w:sz w:val="10"/>
          <w:lang w:val="fr-FR"/>
        </w:rPr>
      </w:pPr>
    </w:p>
    <w:p w:rsidR="00397630" w:rsidRPr="00093B25" w:rsidRDefault="00397630" w:rsidP="00397630">
      <w:pPr>
        <w:pStyle w:val="SingleTxt"/>
        <w:spacing w:after="0" w:line="120" w:lineRule="exact"/>
        <w:rPr>
          <w:i/>
          <w:sz w:val="10"/>
          <w:lang w:val="fr-FR"/>
        </w:rPr>
      </w:pPr>
    </w:p>
    <w:p w:rsidR="001D52B7" w:rsidRDefault="001D52B7" w:rsidP="009A5B8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D52B7">
        <w:rPr>
          <w:lang w:val="fr-FR"/>
        </w:rPr>
        <w:tab/>
        <w:t>II.</w:t>
      </w:r>
      <w:r w:rsidRPr="001D52B7">
        <w:rPr>
          <w:lang w:val="fr-FR"/>
        </w:rPr>
        <w:tab/>
        <w:t>Justification</w:t>
      </w:r>
    </w:p>
    <w:p w:rsidR="009A5B8C" w:rsidRPr="009A5B8C" w:rsidRDefault="009A5B8C" w:rsidP="009A5B8C">
      <w:pPr>
        <w:pStyle w:val="SingleTxt"/>
        <w:spacing w:after="0" w:line="120" w:lineRule="exact"/>
        <w:rPr>
          <w:sz w:val="10"/>
          <w:lang w:val="fr-FR"/>
        </w:rPr>
      </w:pPr>
    </w:p>
    <w:p w:rsidR="009A5B8C" w:rsidRPr="009A5B8C" w:rsidRDefault="009A5B8C" w:rsidP="009A5B8C">
      <w:pPr>
        <w:pStyle w:val="SingleTxt"/>
        <w:spacing w:after="0" w:line="120" w:lineRule="exact"/>
        <w:rPr>
          <w:sz w:val="10"/>
          <w:lang w:val="fr-FR"/>
        </w:rPr>
      </w:pPr>
    </w:p>
    <w:p w:rsidR="001D52B7" w:rsidRPr="001D52B7" w:rsidRDefault="001D52B7" w:rsidP="001D52B7">
      <w:pPr>
        <w:pStyle w:val="SingleTxt"/>
        <w:rPr>
          <w:lang w:val="fr-FR"/>
        </w:rPr>
      </w:pPr>
      <w:r w:rsidRPr="001D52B7">
        <w:rPr>
          <w:lang w:val="fr-FR"/>
        </w:rPr>
        <w:t>1.</w:t>
      </w:r>
      <w:r w:rsidRPr="001D52B7">
        <w:rPr>
          <w:lang w:val="fr-FR"/>
        </w:rPr>
        <w:tab/>
        <w:t xml:space="preserve">Dans les Règlements </w:t>
      </w:r>
      <w:r w:rsidR="009A5B8C">
        <w:rPr>
          <w:lang w:val="fr-FR"/>
        </w:rPr>
        <w:t>n</w:t>
      </w:r>
      <w:r w:rsidR="009A5B8C" w:rsidRPr="009A5B8C">
        <w:rPr>
          <w:vertAlign w:val="superscript"/>
          <w:lang w:val="fr-FR"/>
        </w:rPr>
        <w:t>os</w:t>
      </w:r>
      <w:r w:rsidR="009A5B8C">
        <w:rPr>
          <w:lang w:val="fr-FR"/>
        </w:rPr>
        <w:t> </w:t>
      </w:r>
      <w:r w:rsidRPr="001D52B7">
        <w:rPr>
          <w:lang w:val="fr-FR"/>
        </w:rPr>
        <w:t>7 et 87, un témoin de fonctionnement est prescrit pour certaines catégories de feux. Il est donc nécessaire d’indiquer dans la description du composant si un témoin de fonctionnement est requis ou non.</w:t>
      </w:r>
    </w:p>
    <w:p w:rsidR="001D52B7" w:rsidRPr="001D52B7" w:rsidRDefault="001D52B7" w:rsidP="001D52B7">
      <w:pPr>
        <w:pStyle w:val="SingleTxt"/>
        <w:rPr>
          <w:lang w:val="fr-FR"/>
        </w:rPr>
      </w:pPr>
      <w:r w:rsidRPr="001D52B7">
        <w:rPr>
          <w:lang w:val="fr-FR"/>
        </w:rPr>
        <w:t>2.</w:t>
      </w:r>
      <w:r w:rsidRPr="001D52B7">
        <w:rPr>
          <w:lang w:val="fr-FR"/>
        </w:rPr>
        <w:tab/>
        <w:t xml:space="preserve">En outre, dans la fiche de communication relative au Règlement </w:t>
      </w:r>
      <w:r w:rsidR="009A5B8C">
        <w:rPr>
          <w:lang w:val="fr-FR"/>
        </w:rPr>
        <w:t>n</w:t>
      </w:r>
      <w:r w:rsidR="009A5B8C" w:rsidRPr="009A5B8C">
        <w:rPr>
          <w:vertAlign w:val="superscript"/>
          <w:lang w:val="fr-FR"/>
        </w:rPr>
        <w:t>o</w:t>
      </w:r>
      <w:r w:rsidR="009A5B8C">
        <w:rPr>
          <w:lang w:val="fr-FR"/>
        </w:rPr>
        <w:t> </w:t>
      </w:r>
      <w:r w:rsidRPr="001D52B7">
        <w:rPr>
          <w:lang w:val="fr-FR"/>
        </w:rPr>
        <w:t>48, la présence d’un témoin de fonctionnement doit être signalée.</w:t>
      </w:r>
    </w:p>
    <w:p w:rsidR="001D52B7" w:rsidRDefault="001D52B7" w:rsidP="00C14931">
      <w:pPr>
        <w:pStyle w:val="SingleTxt"/>
        <w:rPr>
          <w:lang w:val="fr-FR"/>
        </w:rPr>
      </w:pPr>
      <w:r w:rsidRPr="001D52B7">
        <w:rPr>
          <w:lang w:val="fr-FR"/>
        </w:rPr>
        <w:t>3.</w:t>
      </w:r>
      <w:r w:rsidRPr="001D52B7">
        <w:rPr>
          <w:lang w:val="fr-FR"/>
        </w:rPr>
        <w:tab/>
        <w:t xml:space="preserve">Les auteurs de la présente proposition font également observer que dans le Règlement </w:t>
      </w:r>
      <w:r w:rsidR="009A5B8C">
        <w:rPr>
          <w:lang w:val="fr-FR"/>
        </w:rPr>
        <w:t>n</w:t>
      </w:r>
      <w:r w:rsidR="009A5B8C" w:rsidRPr="009A5B8C">
        <w:rPr>
          <w:vertAlign w:val="superscript"/>
          <w:lang w:val="fr-FR"/>
        </w:rPr>
        <w:t>o</w:t>
      </w:r>
      <w:r w:rsidR="009A5B8C">
        <w:rPr>
          <w:lang w:val="fr-FR"/>
        </w:rPr>
        <w:t> </w:t>
      </w:r>
      <w:r w:rsidRPr="001D52B7">
        <w:rPr>
          <w:lang w:val="fr-FR"/>
        </w:rPr>
        <w:t>121, d’autres couleurs que celle indiquée dans la colonne 5 devraient être autorisées pour le symbole 19 (Feux de position, feux de position latéraux et/ou feux d’encombrement).</w:t>
      </w:r>
    </w:p>
    <w:p w:rsidR="00C14931" w:rsidRPr="00C14931" w:rsidRDefault="00C14931" w:rsidP="00C14931">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C14931" w:rsidRPr="00C14931" w:rsidSect="001633D2">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13T17:30:00Z" w:initials="Start">
    <w:p w:rsidR="001633D2" w:rsidRDefault="001633D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NO&gt;&gt;N1517365F&lt;&lt;ODS JOB NO&gt;&gt;</w:t>
      </w:r>
    </w:p>
    <w:p w:rsidR="001633D2" w:rsidRDefault="001633D2">
      <w:pPr>
        <w:pStyle w:val="CommentText"/>
      </w:pPr>
      <w:r>
        <w:t>&lt;&lt;ODS DOC SYMBOL1&gt;&gt;ECE/TRANS/WP.29/GRE/2015/32&lt;&lt;ODS DOC SYMBOL1&gt;&gt;</w:t>
      </w:r>
    </w:p>
    <w:p w:rsidR="001633D2" w:rsidRDefault="001633D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4AA" w:rsidRDefault="002E34AA" w:rsidP="00F3330B">
      <w:pPr>
        <w:spacing w:line="240" w:lineRule="auto"/>
      </w:pPr>
      <w:r>
        <w:separator/>
      </w:r>
    </w:p>
  </w:endnote>
  <w:endnote w:type="continuationSeparator" w:id="0">
    <w:p w:rsidR="002E34AA" w:rsidRDefault="002E34AA"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633D2" w:rsidTr="001633D2">
      <w:trPr>
        <w:jc w:val="center"/>
      </w:trPr>
      <w:tc>
        <w:tcPr>
          <w:tcW w:w="5126" w:type="dxa"/>
          <w:shd w:val="clear" w:color="auto" w:fill="auto"/>
        </w:tcPr>
        <w:p w:rsidR="001633D2" w:rsidRPr="001633D2" w:rsidRDefault="001633D2" w:rsidP="001633D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F15A1">
            <w:rPr>
              <w:b w:val="0"/>
              <w:w w:val="103"/>
              <w:sz w:val="14"/>
            </w:rPr>
            <w:t>GE.15-13290</w:t>
          </w:r>
          <w:r>
            <w:rPr>
              <w:b w:val="0"/>
              <w:w w:val="103"/>
              <w:sz w:val="14"/>
            </w:rPr>
            <w:fldChar w:fldCharType="end"/>
          </w:r>
        </w:p>
      </w:tc>
      <w:tc>
        <w:tcPr>
          <w:tcW w:w="5127" w:type="dxa"/>
          <w:shd w:val="clear" w:color="auto" w:fill="auto"/>
        </w:tcPr>
        <w:p w:rsidR="001633D2" w:rsidRPr="001633D2" w:rsidRDefault="001633D2" w:rsidP="001633D2">
          <w:pPr>
            <w:pStyle w:val="Footer"/>
            <w:rPr>
              <w:w w:val="103"/>
            </w:rPr>
          </w:pPr>
          <w:r>
            <w:rPr>
              <w:w w:val="103"/>
            </w:rPr>
            <w:fldChar w:fldCharType="begin"/>
          </w:r>
          <w:r>
            <w:rPr>
              <w:w w:val="103"/>
            </w:rPr>
            <w:instrText xml:space="preserve"> PAGE  \* Arabic  \* MERGEFORMAT </w:instrText>
          </w:r>
          <w:r>
            <w:rPr>
              <w:w w:val="103"/>
            </w:rPr>
            <w:fldChar w:fldCharType="separate"/>
          </w:r>
          <w:r w:rsidR="005627CF">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627CF">
            <w:rPr>
              <w:noProof/>
              <w:w w:val="103"/>
            </w:rPr>
            <w:t>2</w:t>
          </w:r>
          <w:r>
            <w:rPr>
              <w:w w:val="103"/>
            </w:rPr>
            <w:fldChar w:fldCharType="end"/>
          </w:r>
        </w:p>
      </w:tc>
    </w:tr>
  </w:tbl>
  <w:p w:rsidR="001633D2" w:rsidRPr="001633D2" w:rsidRDefault="001633D2" w:rsidP="001633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633D2" w:rsidTr="001633D2">
      <w:trPr>
        <w:jc w:val="center"/>
      </w:trPr>
      <w:tc>
        <w:tcPr>
          <w:tcW w:w="5126" w:type="dxa"/>
          <w:shd w:val="clear" w:color="auto" w:fill="auto"/>
        </w:tcPr>
        <w:p w:rsidR="001633D2" w:rsidRPr="001633D2" w:rsidRDefault="001633D2" w:rsidP="001633D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F15A1">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F15A1">
            <w:rPr>
              <w:noProof/>
              <w:w w:val="103"/>
            </w:rPr>
            <w:t>2</w:t>
          </w:r>
          <w:r>
            <w:rPr>
              <w:w w:val="103"/>
            </w:rPr>
            <w:fldChar w:fldCharType="end"/>
          </w:r>
        </w:p>
      </w:tc>
      <w:tc>
        <w:tcPr>
          <w:tcW w:w="5127" w:type="dxa"/>
          <w:shd w:val="clear" w:color="auto" w:fill="auto"/>
        </w:tcPr>
        <w:p w:rsidR="001633D2" w:rsidRPr="001633D2" w:rsidRDefault="001633D2" w:rsidP="001633D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F15A1">
            <w:rPr>
              <w:b w:val="0"/>
              <w:w w:val="103"/>
              <w:sz w:val="14"/>
            </w:rPr>
            <w:t>GE.15-13290</w:t>
          </w:r>
          <w:r>
            <w:rPr>
              <w:b w:val="0"/>
              <w:w w:val="103"/>
              <w:sz w:val="14"/>
            </w:rPr>
            <w:fldChar w:fldCharType="end"/>
          </w:r>
        </w:p>
      </w:tc>
    </w:tr>
  </w:tbl>
  <w:p w:rsidR="001633D2" w:rsidRPr="001633D2" w:rsidRDefault="001633D2" w:rsidP="001633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D2" w:rsidRDefault="001633D2">
    <w:pPr>
      <w:pStyle w:val="Footer"/>
    </w:pPr>
    <w:r>
      <w:rPr>
        <w:noProof/>
        <w:lang w:val="en-GB" w:eastAsia="en-GB"/>
      </w:rPr>
      <w:drawing>
        <wp:anchor distT="0" distB="0" distL="114300" distR="114300" simplePos="0" relativeHeight="251658240" behindDoc="0" locked="0" layoutInCell="1" allowOverlap="1" wp14:anchorId="007573AA" wp14:editId="34E2F49C">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E/2015/3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E/2015/3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1633D2" w:rsidTr="001633D2">
      <w:tc>
        <w:tcPr>
          <w:tcW w:w="3859" w:type="dxa"/>
        </w:tcPr>
        <w:p w:rsidR="001633D2" w:rsidRDefault="001633D2" w:rsidP="001633D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F15A1">
            <w:rPr>
              <w:b w:val="0"/>
              <w:sz w:val="20"/>
            </w:rPr>
            <w:t>GE.15-13290 (F)</w:t>
          </w:r>
          <w:r>
            <w:rPr>
              <w:b w:val="0"/>
              <w:sz w:val="20"/>
            </w:rPr>
            <w:fldChar w:fldCharType="end"/>
          </w:r>
          <w:r>
            <w:rPr>
              <w:b w:val="0"/>
              <w:sz w:val="20"/>
            </w:rPr>
            <w:t xml:space="preserve">    131015    131015</w:t>
          </w:r>
        </w:p>
        <w:p w:rsidR="001633D2" w:rsidRPr="001633D2" w:rsidRDefault="001633D2" w:rsidP="001633D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F15A1">
            <w:rPr>
              <w:rFonts w:ascii="Barcode 3 of 9 by request" w:hAnsi="Barcode 3 of 9 by request"/>
              <w:b w:val="0"/>
              <w:spacing w:val="0"/>
              <w:w w:val="100"/>
              <w:sz w:val="24"/>
            </w:rPr>
            <w:t>*1513290*</w:t>
          </w:r>
          <w:r>
            <w:rPr>
              <w:rFonts w:ascii="Barcode 3 of 9 by request" w:hAnsi="Barcode 3 of 9 by request"/>
              <w:b w:val="0"/>
              <w:spacing w:val="0"/>
              <w:w w:val="100"/>
              <w:sz w:val="24"/>
            </w:rPr>
            <w:fldChar w:fldCharType="end"/>
          </w:r>
        </w:p>
      </w:tc>
      <w:tc>
        <w:tcPr>
          <w:tcW w:w="5127" w:type="dxa"/>
        </w:tcPr>
        <w:p w:rsidR="001633D2" w:rsidRDefault="001633D2" w:rsidP="001633D2">
          <w:pPr>
            <w:pStyle w:val="Footer"/>
            <w:spacing w:line="240" w:lineRule="atLeast"/>
            <w:jc w:val="right"/>
            <w:rPr>
              <w:b w:val="0"/>
              <w:sz w:val="20"/>
            </w:rPr>
          </w:pPr>
          <w:r>
            <w:rPr>
              <w:b w:val="0"/>
              <w:noProof/>
              <w:sz w:val="20"/>
              <w:lang w:val="en-GB" w:eastAsia="en-GB"/>
            </w:rPr>
            <w:drawing>
              <wp:inline distT="0" distB="0" distL="0" distR="0" wp14:anchorId="01CED2D4" wp14:editId="767AB8E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1633D2" w:rsidRPr="001633D2" w:rsidRDefault="001633D2" w:rsidP="001633D2">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4AA" w:rsidRPr="00D67B48" w:rsidRDefault="00D67B48" w:rsidP="00D67B48">
      <w:pPr>
        <w:pStyle w:val="Footer"/>
        <w:spacing w:after="80"/>
        <w:ind w:left="792"/>
        <w:rPr>
          <w:sz w:val="16"/>
        </w:rPr>
      </w:pPr>
      <w:r w:rsidRPr="00D67B48">
        <w:rPr>
          <w:sz w:val="16"/>
        </w:rPr>
        <w:t>__________________</w:t>
      </w:r>
    </w:p>
  </w:footnote>
  <w:footnote w:type="continuationSeparator" w:id="0">
    <w:p w:rsidR="002E34AA" w:rsidRPr="00D67B48" w:rsidRDefault="00D67B48" w:rsidP="00D67B48">
      <w:pPr>
        <w:pStyle w:val="Footer"/>
        <w:spacing w:after="80"/>
        <w:ind w:left="792"/>
        <w:rPr>
          <w:sz w:val="16"/>
        </w:rPr>
      </w:pPr>
      <w:r w:rsidRPr="00D67B48">
        <w:rPr>
          <w:sz w:val="16"/>
        </w:rPr>
        <w:t>__________________</w:t>
      </w:r>
    </w:p>
  </w:footnote>
  <w:footnote w:id="1">
    <w:p w:rsidR="00D67B48" w:rsidRPr="00D67B48" w:rsidRDefault="00D67B48" w:rsidP="00D67B48">
      <w:pPr>
        <w:pStyle w:val="FootnoteText"/>
        <w:tabs>
          <w:tab w:val="right" w:pos="1195"/>
          <w:tab w:val="left" w:pos="1267"/>
          <w:tab w:val="left" w:pos="1742"/>
          <w:tab w:val="left" w:pos="2218"/>
          <w:tab w:val="left" w:pos="2693"/>
        </w:tabs>
        <w:ind w:left="1267" w:right="1260" w:hanging="432"/>
        <w:rPr>
          <w:lang w:val="fr-CH"/>
        </w:rPr>
      </w:pPr>
      <w:r>
        <w:tab/>
      </w:r>
      <w:r w:rsidRPr="00D67B48">
        <w:rPr>
          <w:rStyle w:val="FootnoteReference"/>
          <w:vertAlign w:val="baseline"/>
        </w:rPr>
        <w:t>*</w:t>
      </w:r>
      <w:r>
        <w:tab/>
      </w:r>
      <w:r w:rsidRPr="00281743">
        <w:t>Conformément au programme de travail du Comité des transports i</w:t>
      </w:r>
      <w:r>
        <w:t>ntérieurs pour la période 2012-2016 (ECE/TRANS/224, par. </w:t>
      </w:r>
      <w:r w:rsidRPr="00281743">
        <w:t>94, et ECE/TRANS/2012/12,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633D2" w:rsidTr="001633D2">
      <w:trPr>
        <w:trHeight w:hRule="exact" w:val="864"/>
        <w:jc w:val="center"/>
      </w:trPr>
      <w:tc>
        <w:tcPr>
          <w:tcW w:w="4882" w:type="dxa"/>
          <w:shd w:val="clear" w:color="auto" w:fill="auto"/>
          <w:vAlign w:val="bottom"/>
        </w:tcPr>
        <w:p w:rsidR="001633D2" w:rsidRPr="001633D2" w:rsidRDefault="001633D2" w:rsidP="001633D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F15A1">
            <w:rPr>
              <w:b/>
              <w:color w:val="000000"/>
            </w:rPr>
            <w:t>ECE/TRANS/WP.29/GRE/2015/32</w:t>
          </w:r>
          <w:r>
            <w:rPr>
              <w:b/>
              <w:color w:val="000000"/>
            </w:rPr>
            <w:fldChar w:fldCharType="end"/>
          </w:r>
        </w:p>
      </w:tc>
      <w:tc>
        <w:tcPr>
          <w:tcW w:w="5127" w:type="dxa"/>
          <w:shd w:val="clear" w:color="auto" w:fill="auto"/>
          <w:vAlign w:val="bottom"/>
        </w:tcPr>
        <w:p w:rsidR="001633D2" w:rsidRDefault="001633D2" w:rsidP="001633D2">
          <w:pPr>
            <w:pStyle w:val="Header"/>
          </w:pPr>
        </w:p>
      </w:tc>
    </w:tr>
  </w:tbl>
  <w:p w:rsidR="001633D2" w:rsidRPr="001633D2" w:rsidRDefault="001633D2" w:rsidP="001633D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633D2" w:rsidTr="001633D2">
      <w:trPr>
        <w:trHeight w:hRule="exact" w:val="864"/>
        <w:jc w:val="center"/>
      </w:trPr>
      <w:tc>
        <w:tcPr>
          <w:tcW w:w="4882" w:type="dxa"/>
          <w:shd w:val="clear" w:color="auto" w:fill="auto"/>
          <w:vAlign w:val="bottom"/>
        </w:tcPr>
        <w:p w:rsidR="001633D2" w:rsidRDefault="001633D2" w:rsidP="001633D2">
          <w:pPr>
            <w:pStyle w:val="Header"/>
          </w:pPr>
        </w:p>
      </w:tc>
      <w:tc>
        <w:tcPr>
          <w:tcW w:w="5127" w:type="dxa"/>
          <w:shd w:val="clear" w:color="auto" w:fill="auto"/>
          <w:vAlign w:val="bottom"/>
        </w:tcPr>
        <w:p w:rsidR="001633D2" w:rsidRPr="001633D2" w:rsidRDefault="001633D2" w:rsidP="001633D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F15A1">
            <w:rPr>
              <w:b/>
              <w:color w:val="000000"/>
            </w:rPr>
            <w:t>ECE/TRANS/WP.29/GRE/2015/32</w:t>
          </w:r>
          <w:r>
            <w:rPr>
              <w:b/>
              <w:color w:val="000000"/>
            </w:rPr>
            <w:fldChar w:fldCharType="end"/>
          </w:r>
        </w:p>
      </w:tc>
    </w:tr>
  </w:tbl>
  <w:p w:rsidR="001633D2" w:rsidRPr="001633D2" w:rsidRDefault="001633D2" w:rsidP="001633D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1633D2" w:rsidTr="001633D2">
      <w:trPr>
        <w:trHeight w:hRule="exact" w:val="864"/>
      </w:trPr>
      <w:tc>
        <w:tcPr>
          <w:tcW w:w="1267" w:type="dxa"/>
          <w:tcBorders>
            <w:bottom w:val="single" w:sz="4" w:space="0" w:color="auto"/>
          </w:tcBorders>
          <w:shd w:val="clear" w:color="auto" w:fill="auto"/>
          <w:vAlign w:val="bottom"/>
        </w:tcPr>
        <w:p w:rsidR="001633D2" w:rsidRDefault="001633D2" w:rsidP="001633D2">
          <w:pPr>
            <w:pStyle w:val="Header"/>
            <w:spacing w:after="120"/>
          </w:pPr>
        </w:p>
      </w:tc>
      <w:tc>
        <w:tcPr>
          <w:tcW w:w="2059" w:type="dxa"/>
          <w:tcBorders>
            <w:bottom w:val="single" w:sz="4" w:space="0" w:color="auto"/>
          </w:tcBorders>
          <w:shd w:val="clear" w:color="auto" w:fill="auto"/>
          <w:vAlign w:val="bottom"/>
        </w:tcPr>
        <w:p w:rsidR="001633D2" w:rsidRPr="001633D2" w:rsidRDefault="001633D2" w:rsidP="001633D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1633D2" w:rsidRDefault="001633D2" w:rsidP="001633D2">
          <w:pPr>
            <w:pStyle w:val="Header"/>
            <w:spacing w:after="120"/>
          </w:pPr>
        </w:p>
      </w:tc>
      <w:tc>
        <w:tcPr>
          <w:tcW w:w="6653" w:type="dxa"/>
          <w:gridSpan w:val="4"/>
          <w:tcBorders>
            <w:bottom w:val="single" w:sz="4" w:space="0" w:color="auto"/>
          </w:tcBorders>
          <w:shd w:val="clear" w:color="auto" w:fill="auto"/>
          <w:vAlign w:val="bottom"/>
        </w:tcPr>
        <w:p w:rsidR="001633D2" w:rsidRPr="001633D2" w:rsidRDefault="001633D2" w:rsidP="001633D2">
          <w:pPr>
            <w:spacing w:after="80" w:line="240" w:lineRule="auto"/>
            <w:jc w:val="right"/>
            <w:rPr>
              <w:position w:val="-4"/>
            </w:rPr>
          </w:pPr>
          <w:r>
            <w:rPr>
              <w:position w:val="-4"/>
              <w:sz w:val="40"/>
            </w:rPr>
            <w:t>ECE</w:t>
          </w:r>
          <w:r>
            <w:rPr>
              <w:position w:val="-4"/>
            </w:rPr>
            <w:t>/TRANS/WP.29/GRE/2015/32</w:t>
          </w:r>
        </w:p>
      </w:tc>
    </w:tr>
    <w:tr w:rsidR="001633D2" w:rsidRPr="001633D2" w:rsidTr="001633D2">
      <w:trPr>
        <w:gridAfter w:val="1"/>
        <w:wAfter w:w="18" w:type="dxa"/>
        <w:trHeight w:hRule="exact" w:val="2880"/>
      </w:trPr>
      <w:tc>
        <w:tcPr>
          <w:tcW w:w="1267" w:type="dxa"/>
          <w:tcBorders>
            <w:top w:val="single" w:sz="4" w:space="0" w:color="auto"/>
            <w:bottom w:val="single" w:sz="12" w:space="0" w:color="auto"/>
          </w:tcBorders>
          <w:shd w:val="clear" w:color="auto" w:fill="auto"/>
        </w:tcPr>
        <w:p w:rsidR="001633D2" w:rsidRPr="001633D2" w:rsidRDefault="001633D2" w:rsidP="001633D2">
          <w:pPr>
            <w:pStyle w:val="Header"/>
            <w:spacing w:before="120" w:line="240" w:lineRule="auto"/>
            <w:ind w:left="-72"/>
            <w:jc w:val="center"/>
          </w:pPr>
          <w:r>
            <w:rPr>
              <w:noProof/>
              <w:lang w:val="en-GB" w:eastAsia="en-GB"/>
            </w:rPr>
            <w:drawing>
              <wp:inline distT="0" distB="0" distL="0" distR="0" wp14:anchorId="6870CAE6" wp14:editId="4A24CA6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633D2" w:rsidRPr="001633D2" w:rsidRDefault="001633D2" w:rsidP="001633D2">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1633D2" w:rsidRPr="001633D2" w:rsidRDefault="001633D2" w:rsidP="001633D2">
          <w:pPr>
            <w:pStyle w:val="Header"/>
            <w:spacing w:before="109"/>
          </w:pPr>
        </w:p>
      </w:tc>
      <w:tc>
        <w:tcPr>
          <w:tcW w:w="3280" w:type="dxa"/>
          <w:tcBorders>
            <w:top w:val="single" w:sz="4" w:space="0" w:color="auto"/>
            <w:bottom w:val="single" w:sz="12" w:space="0" w:color="auto"/>
          </w:tcBorders>
          <w:shd w:val="clear" w:color="auto" w:fill="auto"/>
        </w:tcPr>
        <w:p w:rsidR="001633D2" w:rsidRDefault="001633D2" w:rsidP="001633D2">
          <w:pPr>
            <w:pStyle w:val="Distribution"/>
            <w:rPr>
              <w:color w:val="000000"/>
            </w:rPr>
          </w:pPr>
          <w:r>
            <w:rPr>
              <w:color w:val="000000"/>
            </w:rPr>
            <w:t>Distr. générale</w:t>
          </w:r>
        </w:p>
        <w:p w:rsidR="001633D2" w:rsidRDefault="001633D2" w:rsidP="001633D2">
          <w:pPr>
            <w:pStyle w:val="Publication"/>
            <w:rPr>
              <w:color w:val="000000"/>
            </w:rPr>
          </w:pPr>
          <w:r>
            <w:rPr>
              <w:color w:val="000000"/>
            </w:rPr>
            <w:t>6 août 2015</w:t>
          </w:r>
        </w:p>
        <w:p w:rsidR="001633D2" w:rsidRDefault="001633D2" w:rsidP="001633D2">
          <w:pPr>
            <w:rPr>
              <w:lang w:val="en-US"/>
            </w:rPr>
          </w:pPr>
          <w:r>
            <w:rPr>
              <w:lang w:val="en-US"/>
            </w:rPr>
            <w:t>Français</w:t>
          </w:r>
        </w:p>
        <w:p w:rsidR="001633D2" w:rsidRPr="001633D2" w:rsidRDefault="001633D2" w:rsidP="001633D2">
          <w:pPr>
            <w:pStyle w:val="Original"/>
            <w:rPr>
              <w:color w:val="000000"/>
            </w:rPr>
          </w:pPr>
          <w:r>
            <w:rPr>
              <w:color w:val="000000"/>
            </w:rPr>
            <w:t>Original : anglais</w:t>
          </w:r>
        </w:p>
      </w:tc>
    </w:tr>
  </w:tbl>
  <w:p w:rsidR="001633D2" w:rsidRPr="001633D2" w:rsidRDefault="001633D2" w:rsidP="001633D2">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290*"/>
    <w:docVar w:name="CreationDt" w:val="10/13/2015 5:30: PM"/>
    <w:docVar w:name="DocCategory" w:val="Doc"/>
    <w:docVar w:name="DocType" w:val="Final"/>
    <w:docVar w:name="DutyStation" w:val="Geneva"/>
    <w:docVar w:name="FooterJN" w:val="GE.15-13290"/>
    <w:docVar w:name="jobn" w:val="GE.15-13290 (F)"/>
    <w:docVar w:name="jobnDT" w:val="GE.15-13290 (F)   131015"/>
    <w:docVar w:name="jobnDTDT" w:val="GE.15-13290 (F)   131015   131015"/>
    <w:docVar w:name="JobNo" w:val="GE.1513290F"/>
    <w:docVar w:name="JobNo2" w:val="GE.1517365F"/>
    <w:docVar w:name="LocalDrive" w:val="0"/>
    <w:docVar w:name="OandT" w:val="M. Deschamps"/>
    <w:docVar w:name="PaperSize" w:val="A4"/>
    <w:docVar w:name="sss1" w:val="ECE/TRANS/WP.29/GRE/2015/32"/>
    <w:docVar w:name="sss2" w:val="-"/>
    <w:docVar w:name="Symbol1" w:val="ECE/TRANS/WP.29/GRE/2015/32"/>
    <w:docVar w:name="Symbol2" w:val="-"/>
  </w:docVars>
  <w:rsids>
    <w:rsidRoot w:val="002E34AA"/>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56F7"/>
    <w:rsid w:val="00116149"/>
    <w:rsid w:val="00123812"/>
    <w:rsid w:val="001256F6"/>
    <w:rsid w:val="001262BA"/>
    <w:rsid w:val="00126FB2"/>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3D2"/>
    <w:rsid w:val="001639FC"/>
    <w:rsid w:val="00163D26"/>
    <w:rsid w:val="00164BB5"/>
    <w:rsid w:val="00166384"/>
    <w:rsid w:val="001709F1"/>
    <w:rsid w:val="00177D83"/>
    <w:rsid w:val="00180387"/>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52B7"/>
    <w:rsid w:val="001D688B"/>
    <w:rsid w:val="001E2D50"/>
    <w:rsid w:val="001E44F3"/>
    <w:rsid w:val="001F053A"/>
    <w:rsid w:val="001F2DA6"/>
    <w:rsid w:val="001F4DBE"/>
    <w:rsid w:val="001F62AF"/>
    <w:rsid w:val="001F793D"/>
    <w:rsid w:val="001F7E9D"/>
    <w:rsid w:val="00201F85"/>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4AA"/>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97630"/>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059C"/>
    <w:rsid w:val="00423B4A"/>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27CF"/>
    <w:rsid w:val="00565346"/>
    <w:rsid w:val="005669CA"/>
    <w:rsid w:val="00567A87"/>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C765D"/>
    <w:rsid w:val="005C7B4D"/>
    <w:rsid w:val="005D7CA9"/>
    <w:rsid w:val="005E0F5F"/>
    <w:rsid w:val="005F12E0"/>
    <w:rsid w:val="005F15A1"/>
    <w:rsid w:val="005F2726"/>
    <w:rsid w:val="005F2A30"/>
    <w:rsid w:val="005F2FA6"/>
    <w:rsid w:val="005F35C5"/>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3AAD"/>
    <w:rsid w:val="00632332"/>
    <w:rsid w:val="00633E85"/>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1C28"/>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5B8C"/>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59CE"/>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28F0"/>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7AC"/>
    <w:rsid w:val="00C13C81"/>
    <w:rsid w:val="00C14931"/>
    <w:rsid w:val="00C14A5C"/>
    <w:rsid w:val="00C14B0A"/>
    <w:rsid w:val="00C23EFE"/>
    <w:rsid w:val="00C26CD3"/>
    <w:rsid w:val="00C3047B"/>
    <w:rsid w:val="00C30749"/>
    <w:rsid w:val="00C3163F"/>
    <w:rsid w:val="00C35E4D"/>
    <w:rsid w:val="00C36EA1"/>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770FD"/>
    <w:rsid w:val="00C84555"/>
    <w:rsid w:val="00C865D9"/>
    <w:rsid w:val="00C87110"/>
    <w:rsid w:val="00C90813"/>
    <w:rsid w:val="00C90C2B"/>
    <w:rsid w:val="00C9582B"/>
    <w:rsid w:val="00C978FA"/>
    <w:rsid w:val="00C97FDF"/>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9DE"/>
    <w:rsid w:val="00D42F04"/>
    <w:rsid w:val="00D447E5"/>
    <w:rsid w:val="00D457D0"/>
    <w:rsid w:val="00D463A4"/>
    <w:rsid w:val="00D4699C"/>
    <w:rsid w:val="00D47877"/>
    <w:rsid w:val="00D513A1"/>
    <w:rsid w:val="00D57D07"/>
    <w:rsid w:val="00D618E7"/>
    <w:rsid w:val="00D619A2"/>
    <w:rsid w:val="00D66AB5"/>
    <w:rsid w:val="00D676A0"/>
    <w:rsid w:val="00D67B48"/>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0572"/>
    <w:rsid w:val="00DC23FE"/>
    <w:rsid w:val="00DC38B9"/>
    <w:rsid w:val="00DC5B37"/>
    <w:rsid w:val="00DC5DDD"/>
    <w:rsid w:val="00DD309E"/>
    <w:rsid w:val="00DD7C73"/>
    <w:rsid w:val="00DE01B6"/>
    <w:rsid w:val="00DE1304"/>
    <w:rsid w:val="00DE1DD3"/>
    <w:rsid w:val="00DE1FBD"/>
    <w:rsid w:val="00DE4677"/>
    <w:rsid w:val="00DE64ED"/>
    <w:rsid w:val="00DF064D"/>
    <w:rsid w:val="00DF0CBF"/>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6336"/>
    <w:rsid w:val="00E47300"/>
    <w:rsid w:val="00E474F9"/>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030C"/>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8AF"/>
    <w:rsid w:val="00F35CA0"/>
    <w:rsid w:val="00F36A57"/>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633D2"/>
    <w:rPr>
      <w:sz w:val="16"/>
      <w:szCs w:val="16"/>
    </w:rPr>
  </w:style>
  <w:style w:type="paragraph" w:styleId="CommentText">
    <w:name w:val="annotation text"/>
    <w:basedOn w:val="Normal"/>
    <w:link w:val="CommentTextChar"/>
    <w:uiPriority w:val="99"/>
    <w:semiHidden/>
    <w:unhideWhenUsed/>
    <w:rsid w:val="001633D2"/>
    <w:pPr>
      <w:spacing w:line="240" w:lineRule="auto"/>
    </w:pPr>
    <w:rPr>
      <w:szCs w:val="20"/>
    </w:rPr>
  </w:style>
  <w:style w:type="character" w:customStyle="1" w:styleId="CommentTextChar">
    <w:name w:val="Comment Text Char"/>
    <w:basedOn w:val="DefaultParagraphFont"/>
    <w:link w:val="CommentText"/>
    <w:uiPriority w:val="99"/>
    <w:semiHidden/>
    <w:rsid w:val="001633D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633D2"/>
    <w:rPr>
      <w:b/>
      <w:bCs/>
    </w:rPr>
  </w:style>
  <w:style w:type="character" w:customStyle="1" w:styleId="CommentSubjectChar">
    <w:name w:val="Comment Subject Char"/>
    <w:basedOn w:val="CommentTextChar"/>
    <w:link w:val="CommentSubject"/>
    <w:uiPriority w:val="99"/>
    <w:semiHidden/>
    <w:rsid w:val="001633D2"/>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633D2"/>
    <w:rPr>
      <w:sz w:val="16"/>
      <w:szCs w:val="16"/>
    </w:rPr>
  </w:style>
  <w:style w:type="paragraph" w:styleId="CommentText">
    <w:name w:val="annotation text"/>
    <w:basedOn w:val="Normal"/>
    <w:link w:val="CommentTextChar"/>
    <w:uiPriority w:val="99"/>
    <w:semiHidden/>
    <w:unhideWhenUsed/>
    <w:rsid w:val="001633D2"/>
    <w:pPr>
      <w:spacing w:line="240" w:lineRule="auto"/>
    </w:pPr>
    <w:rPr>
      <w:szCs w:val="20"/>
    </w:rPr>
  </w:style>
  <w:style w:type="character" w:customStyle="1" w:styleId="CommentTextChar">
    <w:name w:val="Comment Text Char"/>
    <w:basedOn w:val="DefaultParagraphFont"/>
    <w:link w:val="CommentText"/>
    <w:uiPriority w:val="99"/>
    <w:semiHidden/>
    <w:rsid w:val="001633D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633D2"/>
    <w:rPr>
      <w:b/>
      <w:bCs/>
    </w:rPr>
  </w:style>
  <w:style w:type="character" w:customStyle="1" w:styleId="CommentSubjectChar">
    <w:name w:val="Comment Subject Char"/>
    <w:basedOn w:val="CommentTextChar"/>
    <w:link w:val="CommentSubject"/>
    <w:uiPriority w:val="99"/>
    <w:semiHidden/>
    <w:rsid w:val="001633D2"/>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936A7-D9E4-4FE8-939D-F514EDC8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Benedicte Boudol</cp:lastModifiedBy>
  <cp:revision>2</cp:revision>
  <cp:lastPrinted>2015-10-13T15:56:00Z</cp:lastPrinted>
  <dcterms:created xsi:type="dcterms:W3CDTF">2015-10-14T06:47:00Z</dcterms:created>
  <dcterms:modified xsi:type="dcterms:W3CDTF">2015-10-14T06:47:00Z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1513290F</vt:lpwstr>
  </property>
  <property fmtid="{D5CDD505-2E9C-101B-9397-08002B2CF9AE}" pid="3" name="ODSRefJobNo">
    <vt:lpwstr>1517365F</vt:lpwstr>
  </property>
  <property fmtid="{D5CDD505-2E9C-101B-9397-08002B2CF9AE}" pid="4" name="Symbol1">
    <vt:lpwstr>ECE/TRANS/WP.29/GRE/2015/32</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6 août 2015</vt:lpwstr>
  </property>
  <property fmtid="{D5CDD505-2E9C-101B-9397-08002B2CF9AE}" pid="12" name="Original">
    <vt:lpwstr>anglais</vt:lpwstr>
  </property>
  <property fmtid="{D5CDD505-2E9C-101B-9397-08002B2CF9AE}" pid="13" name="Release Date">
    <vt:lpwstr>131015</vt:lpwstr>
  </property>
</Properties>
</file>