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548" w:rsidRDefault="008F2548" w:rsidP="008F2548">
      <w:pPr>
        <w:spacing w:line="240" w:lineRule="auto"/>
        <w:rPr>
          <w:sz w:val="2"/>
        </w:rPr>
        <w:sectPr w:rsidR="008F2548" w:rsidSect="008F2548">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cols w:space="720"/>
          <w:titlePg/>
          <w:docGrid w:linePitch="360"/>
        </w:sectPr>
      </w:pPr>
      <w:bookmarkStart w:id="0" w:name="_GoBack"/>
      <w:bookmarkEnd w:id="0"/>
    </w:p>
    <w:p w:rsidR="008F2548" w:rsidRDefault="008F2548" w:rsidP="008F2548">
      <w:pPr>
        <w:pStyle w:val="H1"/>
        <w:spacing w:after="120"/>
        <w:rPr>
          <w:sz w:val="28"/>
        </w:rPr>
      </w:pPr>
      <w:r>
        <w:rPr>
          <w:sz w:val="28"/>
        </w:rPr>
        <w:lastRenderedPageBreak/>
        <w:t>Commission économique pour l’Europe</w:t>
      </w:r>
    </w:p>
    <w:p w:rsidR="008F2548" w:rsidRDefault="008F2548" w:rsidP="008F2548">
      <w:pPr>
        <w:pStyle w:val="H1"/>
        <w:spacing w:after="120" w:line="300" w:lineRule="exact"/>
        <w:rPr>
          <w:b w:val="0"/>
          <w:sz w:val="28"/>
        </w:rPr>
      </w:pPr>
      <w:r>
        <w:rPr>
          <w:b w:val="0"/>
          <w:sz w:val="28"/>
        </w:rPr>
        <w:t>Comité des transports intérieurs</w:t>
      </w:r>
    </w:p>
    <w:p w:rsidR="007146FA" w:rsidRPr="007146FA" w:rsidRDefault="007146FA" w:rsidP="007146FA">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7146FA">
        <w:rPr>
          <w:lang w:val="fr-CH"/>
        </w:rPr>
        <w:t xml:space="preserve">Forum mondial de l’harmonisation </w:t>
      </w:r>
      <w:r w:rsidRPr="007146FA">
        <w:rPr>
          <w:lang w:val="fr-CH"/>
        </w:rPr>
        <w:br/>
        <w:t>des Règlements concernant les véhicules</w:t>
      </w:r>
    </w:p>
    <w:p w:rsidR="007146FA" w:rsidRPr="00806D8E" w:rsidRDefault="007146FA" w:rsidP="00806D8E">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right="1260"/>
        <w:rPr>
          <w:sz w:val="10"/>
          <w:lang w:val="fr-CH"/>
        </w:rPr>
      </w:pPr>
    </w:p>
    <w:p w:rsidR="007146FA" w:rsidRPr="007146FA" w:rsidRDefault="007146FA" w:rsidP="007146F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7146FA">
        <w:rPr>
          <w:lang w:val="fr-CH"/>
        </w:rPr>
        <w:t>167</w:t>
      </w:r>
      <w:r w:rsidRPr="007146FA">
        <w:rPr>
          <w:vertAlign w:val="superscript"/>
          <w:lang w:val="fr-CH"/>
        </w:rPr>
        <w:t>e</w:t>
      </w:r>
      <w:r w:rsidRPr="007146FA">
        <w:rPr>
          <w:lang w:val="fr-CH"/>
        </w:rPr>
        <w:t xml:space="preserve"> session</w:t>
      </w:r>
    </w:p>
    <w:p w:rsidR="007146FA" w:rsidRPr="007146FA" w:rsidRDefault="007146FA" w:rsidP="007146FA">
      <w:pPr>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7146FA">
        <w:rPr>
          <w:lang w:val="fr-CH"/>
        </w:rPr>
        <w:t>Genève, 10-13 novembre 2015</w:t>
      </w:r>
    </w:p>
    <w:p w:rsidR="007146FA" w:rsidRPr="007146FA" w:rsidRDefault="007146FA" w:rsidP="007146FA">
      <w:pPr>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7146FA">
        <w:rPr>
          <w:lang w:val="fr-CH"/>
        </w:rPr>
        <w:t>Point 4.13.1 de l’ordre du jour provisoire</w:t>
      </w:r>
    </w:p>
    <w:p w:rsidR="007146FA" w:rsidRPr="007146FA" w:rsidRDefault="007146FA" w:rsidP="007146F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7146FA">
        <w:rPr>
          <w:lang w:val="fr-CH"/>
        </w:rPr>
        <w:t xml:space="preserve">Accord de 1958 – Examen de propositions </w:t>
      </w:r>
      <w:r w:rsidRPr="007146FA">
        <w:rPr>
          <w:lang w:val="fr-CH"/>
        </w:rPr>
        <w:br/>
        <w:t xml:space="preserve">de nouveaux Règlements soumises par les groupes </w:t>
      </w:r>
      <w:r w:rsidRPr="007146FA">
        <w:rPr>
          <w:lang w:val="fr-CH"/>
        </w:rPr>
        <w:br/>
        <w:t>de travail subsidiaires du Forum mondial</w:t>
      </w:r>
    </w:p>
    <w:p w:rsidR="007146FA" w:rsidRPr="007146FA" w:rsidRDefault="007146FA" w:rsidP="007146FA">
      <w:pPr>
        <w:pStyle w:val="SingleTxt"/>
        <w:spacing w:after="0" w:line="120" w:lineRule="exact"/>
        <w:rPr>
          <w:sz w:val="10"/>
          <w:lang w:val="fr-CH"/>
        </w:rPr>
      </w:pPr>
    </w:p>
    <w:p w:rsidR="007146FA" w:rsidRPr="007146FA" w:rsidRDefault="007146FA" w:rsidP="007146FA">
      <w:pPr>
        <w:pStyle w:val="SingleTxt"/>
        <w:spacing w:after="0" w:line="120" w:lineRule="exact"/>
        <w:rPr>
          <w:sz w:val="10"/>
          <w:lang w:val="fr-CH"/>
        </w:rPr>
      </w:pPr>
    </w:p>
    <w:p w:rsidR="007146FA" w:rsidRPr="007146FA" w:rsidRDefault="007146FA" w:rsidP="007146FA">
      <w:pPr>
        <w:pStyle w:val="SingleTxt"/>
        <w:spacing w:after="0" w:line="120" w:lineRule="exact"/>
        <w:rPr>
          <w:sz w:val="10"/>
          <w:lang w:val="fr-CH"/>
        </w:rPr>
      </w:pPr>
    </w:p>
    <w:p w:rsidR="007146FA" w:rsidRPr="007146FA" w:rsidRDefault="007146FA" w:rsidP="007146F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146FA">
        <w:rPr>
          <w:lang w:val="fr-CH"/>
        </w:rPr>
        <w:tab/>
      </w:r>
      <w:r w:rsidRPr="007146FA">
        <w:rPr>
          <w:lang w:val="fr-CH"/>
        </w:rPr>
        <w:tab/>
        <w:t xml:space="preserve">Proposition de nouveau Règlement sur le choc avant, </w:t>
      </w:r>
      <w:r w:rsidRPr="007146FA">
        <w:rPr>
          <w:lang w:val="fr-CH"/>
        </w:rPr>
        <w:br/>
        <w:t>l’accent étant mis sur les dispositifs de retenue</w:t>
      </w:r>
    </w:p>
    <w:p w:rsidR="007146FA" w:rsidRPr="007146FA" w:rsidRDefault="007146FA" w:rsidP="007146FA">
      <w:pPr>
        <w:pStyle w:val="SingleTxt"/>
        <w:spacing w:after="0" w:line="120" w:lineRule="exact"/>
        <w:rPr>
          <w:sz w:val="10"/>
          <w:lang w:val="fr-CH"/>
        </w:rPr>
      </w:pPr>
    </w:p>
    <w:p w:rsidR="007146FA" w:rsidRPr="007146FA" w:rsidRDefault="007146FA" w:rsidP="007146FA">
      <w:pPr>
        <w:pStyle w:val="SingleTxt"/>
        <w:spacing w:after="0" w:line="120" w:lineRule="exact"/>
        <w:rPr>
          <w:sz w:val="10"/>
          <w:lang w:val="fr-CH"/>
        </w:rPr>
      </w:pPr>
    </w:p>
    <w:p w:rsidR="007146FA" w:rsidRPr="007146FA" w:rsidRDefault="007146FA" w:rsidP="007146FA">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146FA">
        <w:rPr>
          <w:lang w:val="fr-CH"/>
        </w:rPr>
        <w:tab/>
      </w:r>
      <w:r w:rsidRPr="007146FA">
        <w:rPr>
          <w:lang w:val="fr-CH"/>
        </w:rPr>
        <w:tab/>
        <w:t>Communication du Groupe de travail de la sécurité passive</w:t>
      </w:r>
      <w:r w:rsidRPr="001F0D2C">
        <w:rPr>
          <w:b w:val="0"/>
          <w:sz w:val="20"/>
          <w:szCs w:val="20"/>
          <w:lang w:val="fr-CH"/>
        </w:rPr>
        <w:footnoteReference w:customMarkFollows="1" w:id="1"/>
        <w:t>*</w:t>
      </w:r>
    </w:p>
    <w:p w:rsidR="007146FA" w:rsidRPr="007146FA" w:rsidRDefault="007146FA" w:rsidP="007146FA">
      <w:pPr>
        <w:pStyle w:val="SingleTxt"/>
        <w:spacing w:after="0" w:line="120" w:lineRule="exact"/>
        <w:rPr>
          <w:sz w:val="10"/>
          <w:lang w:val="fr-CH"/>
        </w:rPr>
      </w:pPr>
    </w:p>
    <w:p w:rsidR="007146FA" w:rsidRPr="007146FA" w:rsidRDefault="007146FA" w:rsidP="007146FA">
      <w:pPr>
        <w:pStyle w:val="SingleTxt"/>
        <w:spacing w:after="0" w:line="120" w:lineRule="exact"/>
        <w:rPr>
          <w:sz w:val="10"/>
          <w:lang w:val="fr-CH"/>
        </w:rPr>
      </w:pPr>
    </w:p>
    <w:p w:rsidR="008F2548" w:rsidRDefault="007146FA" w:rsidP="007146FA">
      <w:pPr>
        <w:pStyle w:val="SingleTxt"/>
        <w:rPr>
          <w:lang w:val="fr-CH"/>
        </w:rPr>
      </w:pPr>
      <w:r w:rsidRPr="007146FA">
        <w:rPr>
          <w:lang w:val="fr-CH"/>
        </w:rPr>
        <w:tab/>
        <w:t xml:space="preserve">Le texte reproduit ci-après a été adopté par le Groupe de travail de la sécurité passive (GRSP) lors de sa </w:t>
      </w:r>
      <w:bookmarkStart w:id="1" w:name="insstart"/>
      <w:bookmarkEnd w:id="1"/>
      <w:r w:rsidRPr="007146FA">
        <w:rPr>
          <w:lang w:val="fr-CH"/>
        </w:rPr>
        <w:t>cinquante-septième session (ECE/TRANS/WP.29/GRSP/57, par. 33). Il est fondé sur le document ECE/TRANS/WP.29/GRSP/2015/11 tel que modifié par l’annexe V du rapport. Il est soumis au Forum mondial de l’harmonisation des Règlements concernant les véhicules (WP.29) et au Comité d’administration (AC.1) pour examen.</w:t>
      </w:r>
    </w:p>
    <w:p w:rsidR="007146FA" w:rsidRDefault="007146FA">
      <w:pPr>
        <w:spacing w:line="240" w:lineRule="auto"/>
        <w:rPr>
          <w:lang w:val="fr-CH"/>
        </w:rPr>
      </w:pPr>
      <w:r>
        <w:rPr>
          <w:lang w:val="fr-CH"/>
        </w:rPr>
        <w:br w:type="page"/>
      </w:r>
    </w:p>
    <w:p w:rsidR="007146FA" w:rsidRDefault="007360C7" w:rsidP="007360C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b/>
      </w:r>
      <w:r>
        <w:rPr>
          <w:lang w:val="fr-CH"/>
        </w:rPr>
        <w:tab/>
      </w:r>
      <w:r w:rsidRPr="007360C7">
        <w:rPr>
          <w:lang w:val="fr-CH"/>
        </w:rPr>
        <w:t xml:space="preserve">Prescriptions uniformes relatives à l’homologation </w:t>
      </w:r>
      <w:r w:rsidRPr="007360C7">
        <w:rPr>
          <w:lang w:val="fr-CH"/>
        </w:rPr>
        <w:br/>
        <w:t xml:space="preserve">des voitures particulières en cas de choc avant, </w:t>
      </w:r>
      <w:r w:rsidRPr="007360C7">
        <w:rPr>
          <w:lang w:val="fr-CH"/>
        </w:rPr>
        <w:br/>
        <w:t>l’accent étant mis sur les dispositifs de retenue</w:t>
      </w:r>
    </w:p>
    <w:p w:rsidR="007360C7" w:rsidRPr="007360C7" w:rsidRDefault="007360C7" w:rsidP="007360C7">
      <w:pPr>
        <w:pStyle w:val="SingleTxt"/>
        <w:spacing w:after="0" w:line="120" w:lineRule="exact"/>
        <w:rPr>
          <w:sz w:val="10"/>
          <w:lang w:val="fr-CH"/>
        </w:rPr>
      </w:pPr>
    </w:p>
    <w:p w:rsidR="007360C7" w:rsidRPr="007360C7" w:rsidRDefault="007360C7" w:rsidP="007360C7">
      <w:pPr>
        <w:pStyle w:val="SingleTxt"/>
        <w:spacing w:after="0" w:line="120" w:lineRule="exact"/>
        <w:rPr>
          <w:sz w:val="10"/>
          <w:lang w:val="fr-CH"/>
        </w:rPr>
      </w:pPr>
    </w:p>
    <w:p w:rsidR="007360C7" w:rsidRPr="007360C7" w:rsidRDefault="007360C7" w:rsidP="007360C7">
      <w:pPr>
        <w:pStyle w:val="SingleTxt"/>
        <w:spacing w:after="0" w:line="120" w:lineRule="exact"/>
        <w:rPr>
          <w:sz w:val="10"/>
          <w:lang w:val="fr-CH"/>
        </w:rPr>
      </w:pPr>
    </w:p>
    <w:p w:rsidR="007360C7" w:rsidRPr="007360C7" w:rsidRDefault="007360C7" w:rsidP="007360C7">
      <w:pPr>
        <w:pStyle w:val="HCH"/>
        <w:spacing w:after="120"/>
        <w:rPr>
          <w:b w:val="0"/>
          <w:lang w:val="fr-CH"/>
        </w:rPr>
      </w:pPr>
      <w:r w:rsidRPr="007360C7">
        <w:rPr>
          <w:b w:val="0"/>
          <w:lang w:val="fr-CH"/>
        </w:rPr>
        <w:t>Table des matières</w:t>
      </w:r>
    </w:p>
    <w:tbl>
      <w:tblPr>
        <w:tblW w:w="10044" w:type="dxa"/>
        <w:tblLayout w:type="fixed"/>
        <w:tblCellMar>
          <w:left w:w="0" w:type="dxa"/>
          <w:right w:w="0" w:type="dxa"/>
        </w:tblCellMar>
        <w:tblLook w:val="0000" w:firstRow="0" w:lastRow="0" w:firstColumn="0" w:lastColumn="0" w:noHBand="0" w:noVBand="0"/>
      </w:tblPr>
      <w:tblGrid>
        <w:gridCol w:w="1060"/>
        <w:gridCol w:w="7315"/>
        <w:gridCol w:w="994"/>
        <w:gridCol w:w="657"/>
        <w:gridCol w:w="18"/>
      </w:tblGrid>
      <w:tr w:rsidR="007360C7" w:rsidRPr="007360C7" w:rsidTr="009B5369">
        <w:tc>
          <w:tcPr>
            <w:tcW w:w="1060" w:type="dxa"/>
            <w:shd w:val="clear" w:color="auto" w:fill="auto"/>
          </w:tcPr>
          <w:p w:rsidR="007360C7" w:rsidRPr="007360C7" w:rsidRDefault="007360C7" w:rsidP="007360C7">
            <w:pPr>
              <w:spacing w:after="120" w:line="240" w:lineRule="auto"/>
              <w:jc w:val="right"/>
              <w:rPr>
                <w:i/>
                <w:sz w:val="14"/>
                <w:lang w:val="fr-CH"/>
              </w:rPr>
            </w:pPr>
          </w:p>
        </w:tc>
        <w:tc>
          <w:tcPr>
            <w:tcW w:w="7315" w:type="dxa"/>
            <w:shd w:val="clear" w:color="auto" w:fill="auto"/>
          </w:tcPr>
          <w:p w:rsidR="007360C7" w:rsidRPr="007360C7" w:rsidRDefault="007360C7" w:rsidP="007360C7">
            <w:pPr>
              <w:spacing w:after="120" w:line="240" w:lineRule="auto"/>
              <w:rPr>
                <w:i/>
                <w:sz w:val="14"/>
                <w:lang w:val="fr-CH"/>
              </w:rPr>
            </w:pPr>
          </w:p>
        </w:tc>
        <w:tc>
          <w:tcPr>
            <w:tcW w:w="994" w:type="dxa"/>
            <w:shd w:val="clear" w:color="auto" w:fill="auto"/>
          </w:tcPr>
          <w:p w:rsidR="007360C7" w:rsidRPr="007360C7" w:rsidRDefault="007360C7" w:rsidP="007360C7">
            <w:pPr>
              <w:spacing w:after="120" w:line="240" w:lineRule="auto"/>
              <w:jc w:val="right"/>
              <w:rPr>
                <w:i/>
                <w:sz w:val="14"/>
                <w:lang w:val="fr-CH"/>
              </w:rPr>
            </w:pPr>
          </w:p>
        </w:tc>
        <w:tc>
          <w:tcPr>
            <w:tcW w:w="675" w:type="dxa"/>
            <w:gridSpan w:val="2"/>
            <w:shd w:val="clear" w:color="auto" w:fill="auto"/>
          </w:tcPr>
          <w:p w:rsidR="007360C7" w:rsidRPr="007360C7" w:rsidRDefault="007360C7" w:rsidP="007360C7">
            <w:pPr>
              <w:spacing w:after="120" w:line="240" w:lineRule="auto"/>
              <w:jc w:val="right"/>
              <w:rPr>
                <w:i/>
                <w:sz w:val="14"/>
                <w:lang w:val="fr-CH"/>
              </w:rPr>
            </w:pPr>
            <w:r>
              <w:rPr>
                <w:i/>
                <w:sz w:val="14"/>
                <w:lang w:val="fr-CH"/>
              </w:rPr>
              <w:t>Page</w:t>
            </w:r>
          </w:p>
        </w:tc>
      </w:tr>
      <w:tr w:rsidR="007360C7" w:rsidRPr="007360C7" w:rsidTr="009B5369">
        <w:tc>
          <w:tcPr>
            <w:tcW w:w="9369" w:type="dxa"/>
            <w:gridSpan w:val="3"/>
            <w:shd w:val="clear" w:color="auto" w:fill="auto"/>
          </w:tcPr>
          <w:p w:rsidR="007360C7" w:rsidRPr="007360C7" w:rsidRDefault="00EF56EB" w:rsidP="0055074C">
            <w:pPr>
              <w:pStyle w:val="ListParagraph"/>
              <w:numPr>
                <w:ilvl w:val="0"/>
                <w:numId w:val="6"/>
              </w:numPr>
              <w:tabs>
                <w:tab w:val="left" w:pos="1728"/>
                <w:tab w:val="left" w:pos="2160"/>
                <w:tab w:val="left" w:pos="2592"/>
                <w:tab w:val="left" w:pos="3024"/>
                <w:tab w:val="right" w:leader="dot" w:pos="9360"/>
              </w:tabs>
              <w:suppressAutoHyphens/>
              <w:spacing w:after="120"/>
              <w:rPr>
                <w:lang w:val="fr-CH"/>
              </w:rPr>
            </w:pPr>
            <w:r w:rsidRPr="00EF56EB">
              <w:rPr>
                <w:lang w:val="fr-CH"/>
              </w:rPr>
              <w:t>Domaine d’application</w:t>
            </w:r>
            <w:r>
              <w:rPr>
                <w:spacing w:val="60"/>
                <w:sz w:val="17"/>
                <w:lang w:val="fr-CH"/>
              </w:rPr>
              <w:tab/>
            </w:r>
          </w:p>
        </w:tc>
        <w:tc>
          <w:tcPr>
            <w:tcW w:w="675" w:type="dxa"/>
            <w:gridSpan w:val="2"/>
            <w:shd w:val="clear" w:color="auto" w:fill="auto"/>
            <w:vAlign w:val="bottom"/>
          </w:tcPr>
          <w:p w:rsidR="007360C7" w:rsidRPr="007360C7" w:rsidRDefault="00EF56EB" w:rsidP="007360C7">
            <w:pPr>
              <w:spacing w:after="120"/>
              <w:ind w:right="40"/>
              <w:jc w:val="right"/>
              <w:rPr>
                <w:lang w:val="fr-CH"/>
              </w:rPr>
            </w:pPr>
            <w:r>
              <w:rPr>
                <w:lang w:val="fr-CH"/>
              </w:rPr>
              <w:t>3</w:t>
            </w:r>
          </w:p>
        </w:tc>
      </w:tr>
      <w:tr w:rsidR="007360C7" w:rsidRPr="007360C7" w:rsidTr="009B5369">
        <w:tc>
          <w:tcPr>
            <w:tcW w:w="9369" w:type="dxa"/>
            <w:gridSpan w:val="3"/>
            <w:shd w:val="clear" w:color="auto" w:fill="auto"/>
          </w:tcPr>
          <w:p w:rsidR="007360C7" w:rsidRPr="007360C7" w:rsidRDefault="00EF56EB" w:rsidP="00EF56EB">
            <w:pPr>
              <w:pStyle w:val="ListParagraph"/>
              <w:numPr>
                <w:ilvl w:val="0"/>
                <w:numId w:val="6"/>
              </w:numPr>
              <w:tabs>
                <w:tab w:val="left" w:pos="1296"/>
                <w:tab w:val="left" w:pos="1728"/>
                <w:tab w:val="left" w:pos="2160"/>
                <w:tab w:val="right" w:leader="dot" w:pos="9360"/>
              </w:tabs>
              <w:suppressAutoHyphens/>
              <w:spacing w:after="120"/>
              <w:rPr>
                <w:lang w:val="fr-CH"/>
              </w:rPr>
            </w:pPr>
            <w:r w:rsidRPr="00EF56EB">
              <w:rPr>
                <w:lang w:val="fr-CH"/>
              </w:rPr>
              <w:t>Définitions</w:t>
            </w:r>
            <w:r>
              <w:rPr>
                <w:spacing w:val="60"/>
                <w:sz w:val="17"/>
                <w:lang w:val="fr-CH"/>
              </w:rPr>
              <w:tab/>
            </w:r>
          </w:p>
        </w:tc>
        <w:tc>
          <w:tcPr>
            <w:tcW w:w="675" w:type="dxa"/>
            <w:gridSpan w:val="2"/>
            <w:shd w:val="clear" w:color="auto" w:fill="auto"/>
            <w:vAlign w:val="bottom"/>
          </w:tcPr>
          <w:p w:rsidR="007360C7" w:rsidRPr="007360C7" w:rsidRDefault="00EF56EB" w:rsidP="007360C7">
            <w:pPr>
              <w:spacing w:after="120"/>
              <w:ind w:right="40"/>
              <w:jc w:val="right"/>
              <w:rPr>
                <w:lang w:val="fr-CH"/>
              </w:rPr>
            </w:pPr>
            <w:r>
              <w:rPr>
                <w:lang w:val="fr-CH"/>
              </w:rPr>
              <w:t>3</w:t>
            </w:r>
          </w:p>
        </w:tc>
      </w:tr>
      <w:tr w:rsidR="007360C7" w:rsidRPr="007360C7" w:rsidTr="009B5369">
        <w:tc>
          <w:tcPr>
            <w:tcW w:w="9369" w:type="dxa"/>
            <w:gridSpan w:val="3"/>
            <w:shd w:val="clear" w:color="auto" w:fill="auto"/>
          </w:tcPr>
          <w:p w:rsidR="007360C7" w:rsidRPr="007360C7" w:rsidRDefault="00EF56EB" w:rsidP="00EF56EB">
            <w:pPr>
              <w:pStyle w:val="ListParagraph"/>
              <w:numPr>
                <w:ilvl w:val="0"/>
                <w:numId w:val="6"/>
              </w:numPr>
              <w:tabs>
                <w:tab w:val="left" w:pos="1296"/>
                <w:tab w:val="left" w:pos="1728"/>
                <w:tab w:val="left" w:pos="2160"/>
                <w:tab w:val="left" w:pos="2592"/>
                <w:tab w:val="left" w:pos="3024"/>
                <w:tab w:val="left" w:pos="3456"/>
                <w:tab w:val="right" w:leader="dot" w:pos="9360"/>
              </w:tabs>
              <w:suppressAutoHyphens/>
              <w:spacing w:after="120"/>
              <w:rPr>
                <w:lang w:val="fr-CH"/>
              </w:rPr>
            </w:pPr>
            <w:r w:rsidRPr="00EF56EB">
              <w:rPr>
                <w:lang w:val="fr-CH"/>
              </w:rPr>
              <w:t>Demande d’homologation</w:t>
            </w:r>
            <w:r>
              <w:rPr>
                <w:spacing w:val="60"/>
                <w:sz w:val="17"/>
                <w:lang w:val="fr-CH"/>
              </w:rPr>
              <w:tab/>
            </w:r>
          </w:p>
        </w:tc>
        <w:tc>
          <w:tcPr>
            <w:tcW w:w="675" w:type="dxa"/>
            <w:gridSpan w:val="2"/>
            <w:shd w:val="clear" w:color="auto" w:fill="auto"/>
            <w:vAlign w:val="bottom"/>
          </w:tcPr>
          <w:p w:rsidR="007360C7" w:rsidRPr="007360C7" w:rsidRDefault="00EF56EB" w:rsidP="007360C7">
            <w:pPr>
              <w:spacing w:after="120"/>
              <w:ind w:right="40"/>
              <w:jc w:val="right"/>
              <w:rPr>
                <w:lang w:val="fr-CH"/>
              </w:rPr>
            </w:pPr>
            <w:r>
              <w:rPr>
                <w:lang w:val="fr-CH"/>
              </w:rPr>
              <w:t>6</w:t>
            </w:r>
          </w:p>
        </w:tc>
      </w:tr>
      <w:tr w:rsidR="007360C7" w:rsidRPr="007360C7" w:rsidTr="009B5369">
        <w:tc>
          <w:tcPr>
            <w:tcW w:w="9369" w:type="dxa"/>
            <w:gridSpan w:val="3"/>
            <w:shd w:val="clear" w:color="auto" w:fill="auto"/>
          </w:tcPr>
          <w:p w:rsidR="007360C7" w:rsidRPr="007360C7" w:rsidRDefault="00EF56EB" w:rsidP="00EF56EB">
            <w:pPr>
              <w:pStyle w:val="ListParagraph"/>
              <w:numPr>
                <w:ilvl w:val="0"/>
                <w:numId w:val="6"/>
              </w:numPr>
              <w:tabs>
                <w:tab w:val="left" w:pos="1296"/>
                <w:tab w:val="left" w:pos="1728"/>
                <w:tab w:val="left" w:pos="2160"/>
                <w:tab w:val="right" w:leader="dot" w:pos="9360"/>
              </w:tabs>
              <w:suppressAutoHyphens/>
              <w:spacing w:after="120"/>
              <w:rPr>
                <w:lang w:val="fr-CH"/>
              </w:rPr>
            </w:pPr>
            <w:r w:rsidRPr="00EF56EB">
              <w:rPr>
                <w:lang w:val="fr-CH"/>
              </w:rPr>
              <w:t>Homologation</w:t>
            </w:r>
            <w:r>
              <w:rPr>
                <w:spacing w:val="60"/>
                <w:sz w:val="17"/>
                <w:lang w:val="fr-CH"/>
              </w:rPr>
              <w:tab/>
            </w:r>
          </w:p>
        </w:tc>
        <w:tc>
          <w:tcPr>
            <w:tcW w:w="675" w:type="dxa"/>
            <w:gridSpan w:val="2"/>
            <w:shd w:val="clear" w:color="auto" w:fill="auto"/>
            <w:vAlign w:val="bottom"/>
          </w:tcPr>
          <w:p w:rsidR="007360C7" w:rsidRPr="007360C7" w:rsidRDefault="00EF56EB" w:rsidP="007360C7">
            <w:pPr>
              <w:spacing w:after="120"/>
              <w:ind w:right="40"/>
              <w:jc w:val="right"/>
              <w:rPr>
                <w:lang w:val="fr-CH"/>
              </w:rPr>
            </w:pPr>
            <w:r>
              <w:rPr>
                <w:lang w:val="fr-CH"/>
              </w:rPr>
              <w:t>6</w:t>
            </w:r>
          </w:p>
        </w:tc>
      </w:tr>
      <w:tr w:rsidR="007360C7" w:rsidRPr="007360C7" w:rsidTr="009B5369">
        <w:tc>
          <w:tcPr>
            <w:tcW w:w="9369" w:type="dxa"/>
            <w:gridSpan w:val="3"/>
            <w:shd w:val="clear" w:color="auto" w:fill="auto"/>
          </w:tcPr>
          <w:p w:rsidR="007360C7" w:rsidRPr="007360C7" w:rsidRDefault="00EF56EB" w:rsidP="00EF56EB">
            <w:pPr>
              <w:pStyle w:val="ListParagraph"/>
              <w:numPr>
                <w:ilvl w:val="0"/>
                <w:numId w:val="6"/>
              </w:numPr>
              <w:tabs>
                <w:tab w:val="left" w:pos="1296"/>
                <w:tab w:val="left" w:pos="1728"/>
                <w:tab w:val="left" w:pos="2160"/>
                <w:tab w:val="right" w:leader="dot" w:pos="9360"/>
              </w:tabs>
              <w:suppressAutoHyphens/>
              <w:spacing w:after="120"/>
              <w:rPr>
                <w:lang w:val="fr-CH"/>
              </w:rPr>
            </w:pPr>
            <w:r w:rsidRPr="00EF56EB">
              <w:rPr>
                <w:lang w:val="fr-CH"/>
              </w:rPr>
              <w:t>Spécifications</w:t>
            </w:r>
            <w:r>
              <w:rPr>
                <w:spacing w:val="60"/>
                <w:sz w:val="17"/>
                <w:lang w:val="fr-CH"/>
              </w:rPr>
              <w:tab/>
            </w:r>
          </w:p>
        </w:tc>
        <w:tc>
          <w:tcPr>
            <w:tcW w:w="675" w:type="dxa"/>
            <w:gridSpan w:val="2"/>
            <w:shd w:val="clear" w:color="auto" w:fill="auto"/>
            <w:vAlign w:val="bottom"/>
          </w:tcPr>
          <w:p w:rsidR="007360C7" w:rsidRPr="007360C7" w:rsidRDefault="00EF56EB" w:rsidP="007360C7">
            <w:pPr>
              <w:spacing w:after="120"/>
              <w:ind w:right="40"/>
              <w:jc w:val="right"/>
              <w:rPr>
                <w:lang w:val="fr-CH"/>
              </w:rPr>
            </w:pPr>
            <w:r>
              <w:rPr>
                <w:lang w:val="fr-CH"/>
              </w:rPr>
              <w:t>8</w:t>
            </w:r>
          </w:p>
        </w:tc>
      </w:tr>
      <w:tr w:rsidR="007360C7" w:rsidRPr="007360C7" w:rsidTr="009B5369">
        <w:tc>
          <w:tcPr>
            <w:tcW w:w="9369" w:type="dxa"/>
            <w:gridSpan w:val="3"/>
            <w:shd w:val="clear" w:color="auto" w:fill="auto"/>
          </w:tcPr>
          <w:p w:rsidR="007360C7" w:rsidRPr="007360C7" w:rsidRDefault="00EF56EB" w:rsidP="00EF56EB">
            <w:pPr>
              <w:pStyle w:val="ListParagraph"/>
              <w:numPr>
                <w:ilvl w:val="0"/>
                <w:numId w:val="6"/>
              </w:numPr>
              <w:tabs>
                <w:tab w:val="left" w:pos="1296"/>
                <w:tab w:val="left" w:pos="1728"/>
                <w:tab w:val="left" w:pos="2160"/>
                <w:tab w:val="left" w:pos="2592"/>
                <w:tab w:val="left" w:pos="3024"/>
                <w:tab w:val="left" w:pos="3456"/>
                <w:tab w:val="right" w:leader="dot" w:pos="9360"/>
              </w:tabs>
              <w:suppressAutoHyphens/>
              <w:spacing w:after="120"/>
              <w:rPr>
                <w:lang w:val="fr-CH"/>
              </w:rPr>
            </w:pPr>
            <w:r w:rsidRPr="00EF56EB">
              <w:rPr>
                <w:lang w:val="fr-CH"/>
              </w:rPr>
              <w:t>Instructions pour les utilisateurs de véhicules munis de coussins gonflables</w:t>
            </w:r>
            <w:r>
              <w:rPr>
                <w:spacing w:val="60"/>
                <w:sz w:val="17"/>
                <w:lang w:val="fr-CH"/>
              </w:rPr>
              <w:tab/>
            </w:r>
          </w:p>
        </w:tc>
        <w:tc>
          <w:tcPr>
            <w:tcW w:w="675" w:type="dxa"/>
            <w:gridSpan w:val="2"/>
            <w:shd w:val="clear" w:color="auto" w:fill="auto"/>
            <w:vAlign w:val="bottom"/>
          </w:tcPr>
          <w:p w:rsidR="007360C7" w:rsidRPr="007360C7" w:rsidRDefault="00EF56EB" w:rsidP="007360C7">
            <w:pPr>
              <w:spacing w:after="120"/>
              <w:ind w:right="40"/>
              <w:jc w:val="right"/>
              <w:rPr>
                <w:lang w:val="fr-CH"/>
              </w:rPr>
            </w:pPr>
            <w:r>
              <w:rPr>
                <w:lang w:val="fr-CH"/>
              </w:rPr>
              <w:t>12</w:t>
            </w:r>
          </w:p>
        </w:tc>
      </w:tr>
      <w:tr w:rsidR="00BE1156" w:rsidRPr="007360C7" w:rsidTr="009B5369">
        <w:tc>
          <w:tcPr>
            <w:tcW w:w="9369" w:type="dxa"/>
            <w:gridSpan w:val="3"/>
            <w:shd w:val="clear" w:color="auto" w:fill="auto"/>
          </w:tcPr>
          <w:p w:rsidR="00BE1156" w:rsidRPr="00EF56EB" w:rsidRDefault="00BE1156" w:rsidP="00BE1156">
            <w:pPr>
              <w:pStyle w:val="ListParagraph"/>
              <w:numPr>
                <w:ilvl w:val="0"/>
                <w:numId w:val="6"/>
              </w:num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right" w:leader="dot" w:pos="9360"/>
              </w:tabs>
              <w:suppressAutoHyphens/>
              <w:spacing w:after="120"/>
              <w:rPr>
                <w:lang w:val="fr-CH"/>
              </w:rPr>
            </w:pPr>
            <w:r w:rsidRPr="00BE1156">
              <w:rPr>
                <w:lang w:val="fr-CH"/>
              </w:rPr>
              <w:t>Modification et extension de l’homologation du type de véhicule</w:t>
            </w:r>
            <w:r>
              <w:rPr>
                <w:spacing w:val="60"/>
                <w:sz w:val="17"/>
                <w:lang w:val="fr-CH"/>
              </w:rPr>
              <w:tab/>
            </w:r>
          </w:p>
        </w:tc>
        <w:tc>
          <w:tcPr>
            <w:tcW w:w="675" w:type="dxa"/>
            <w:gridSpan w:val="2"/>
            <w:shd w:val="clear" w:color="auto" w:fill="auto"/>
            <w:vAlign w:val="bottom"/>
          </w:tcPr>
          <w:p w:rsidR="00BE1156" w:rsidRDefault="00BE1156" w:rsidP="005D2926">
            <w:pPr>
              <w:spacing w:after="120"/>
              <w:ind w:right="40"/>
              <w:jc w:val="right"/>
              <w:rPr>
                <w:lang w:val="fr-CH"/>
              </w:rPr>
            </w:pPr>
            <w:r>
              <w:rPr>
                <w:lang w:val="fr-CH"/>
              </w:rPr>
              <w:t>1</w:t>
            </w:r>
            <w:r w:rsidR="005D2926">
              <w:rPr>
                <w:lang w:val="fr-CH"/>
              </w:rPr>
              <w:t>4</w:t>
            </w:r>
          </w:p>
        </w:tc>
      </w:tr>
      <w:tr w:rsidR="00BE1156" w:rsidRPr="007360C7" w:rsidTr="009B5369">
        <w:tc>
          <w:tcPr>
            <w:tcW w:w="9369" w:type="dxa"/>
            <w:gridSpan w:val="3"/>
            <w:shd w:val="clear" w:color="auto" w:fill="auto"/>
          </w:tcPr>
          <w:p w:rsidR="00BE1156" w:rsidRPr="00EF56EB" w:rsidRDefault="00BE1156" w:rsidP="00BE1156">
            <w:pPr>
              <w:pStyle w:val="ListParagraph"/>
              <w:numPr>
                <w:ilvl w:val="0"/>
                <w:numId w:val="6"/>
              </w:numPr>
              <w:tabs>
                <w:tab w:val="left" w:pos="1296"/>
                <w:tab w:val="left" w:pos="1728"/>
                <w:tab w:val="left" w:pos="2160"/>
                <w:tab w:val="left" w:pos="2592"/>
                <w:tab w:val="left" w:pos="3024"/>
                <w:tab w:val="left" w:pos="3456"/>
                <w:tab w:val="right" w:leader="dot" w:pos="9360"/>
              </w:tabs>
              <w:suppressAutoHyphens/>
              <w:spacing w:after="120"/>
              <w:rPr>
                <w:lang w:val="fr-CH"/>
              </w:rPr>
            </w:pPr>
            <w:r w:rsidRPr="00BE1156">
              <w:rPr>
                <w:lang w:val="fr-CH"/>
              </w:rPr>
              <w:t>Conformité de la production</w:t>
            </w:r>
            <w:r>
              <w:rPr>
                <w:spacing w:val="60"/>
                <w:sz w:val="17"/>
                <w:lang w:val="fr-CH"/>
              </w:rPr>
              <w:tab/>
            </w:r>
          </w:p>
        </w:tc>
        <w:tc>
          <w:tcPr>
            <w:tcW w:w="675" w:type="dxa"/>
            <w:gridSpan w:val="2"/>
            <w:shd w:val="clear" w:color="auto" w:fill="auto"/>
            <w:vAlign w:val="bottom"/>
          </w:tcPr>
          <w:p w:rsidR="00BE1156" w:rsidRDefault="00BE1156" w:rsidP="005D2926">
            <w:pPr>
              <w:spacing w:after="120"/>
              <w:ind w:right="40"/>
              <w:jc w:val="right"/>
              <w:rPr>
                <w:lang w:val="fr-CH"/>
              </w:rPr>
            </w:pPr>
            <w:r>
              <w:rPr>
                <w:lang w:val="fr-CH"/>
              </w:rPr>
              <w:t>1</w:t>
            </w:r>
            <w:r w:rsidR="005D2926">
              <w:rPr>
                <w:lang w:val="fr-CH"/>
              </w:rPr>
              <w:t>5</w:t>
            </w:r>
          </w:p>
        </w:tc>
      </w:tr>
      <w:tr w:rsidR="00BE1156" w:rsidRPr="007360C7" w:rsidTr="009B5369">
        <w:tc>
          <w:tcPr>
            <w:tcW w:w="9369" w:type="dxa"/>
            <w:gridSpan w:val="3"/>
            <w:shd w:val="clear" w:color="auto" w:fill="auto"/>
          </w:tcPr>
          <w:p w:rsidR="00BE1156" w:rsidRPr="00EF56EB" w:rsidRDefault="00BE1156" w:rsidP="00BE1156">
            <w:pPr>
              <w:pStyle w:val="ListParagraph"/>
              <w:numPr>
                <w:ilvl w:val="0"/>
                <w:numId w:val="6"/>
              </w:numPr>
              <w:tabs>
                <w:tab w:val="left" w:pos="1296"/>
                <w:tab w:val="left" w:pos="1728"/>
                <w:tab w:val="left" w:pos="2160"/>
                <w:tab w:val="left" w:pos="2592"/>
                <w:tab w:val="left" w:pos="3024"/>
                <w:tab w:val="left" w:pos="3456"/>
                <w:tab w:val="left" w:pos="3888"/>
                <w:tab w:val="left" w:pos="4320"/>
                <w:tab w:val="left" w:pos="4752"/>
                <w:tab w:val="left" w:pos="5184"/>
                <w:tab w:val="right" w:leader="dot" w:pos="9360"/>
              </w:tabs>
              <w:suppressAutoHyphens/>
              <w:spacing w:after="120"/>
              <w:rPr>
                <w:lang w:val="fr-CH"/>
              </w:rPr>
            </w:pPr>
            <w:r w:rsidRPr="00BE1156">
              <w:rPr>
                <w:lang w:val="fr-CH"/>
              </w:rPr>
              <w:t>Sanctions pour non-conformité de la production</w:t>
            </w:r>
            <w:r>
              <w:rPr>
                <w:spacing w:val="60"/>
                <w:sz w:val="17"/>
                <w:lang w:val="fr-CH"/>
              </w:rPr>
              <w:tab/>
            </w:r>
          </w:p>
        </w:tc>
        <w:tc>
          <w:tcPr>
            <w:tcW w:w="675" w:type="dxa"/>
            <w:gridSpan w:val="2"/>
            <w:shd w:val="clear" w:color="auto" w:fill="auto"/>
            <w:vAlign w:val="bottom"/>
          </w:tcPr>
          <w:p w:rsidR="00BE1156" w:rsidRDefault="00BE1156" w:rsidP="009A7090">
            <w:pPr>
              <w:spacing w:after="120"/>
              <w:ind w:right="43"/>
              <w:jc w:val="right"/>
              <w:rPr>
                <w:lang w:val="fr-CH"/>
              </w:rPr>
            </w:pPr>
            <w:r>
              <w:rPr>
                <w:lang w:val="fr-CH"/>
              </w:rPr>
              <w:t>16</w:t>
            </w:r>
          </w:p>
        </w:tc>
      </w:tr>
      <w:tr w:rsidR="00BE1156" w:rsidRPr="007360C7" w:rsidTr="009B5369">
        <w:tc>
          <w:tcPr>
            <w:tcW w:w="9369" w:type="dxa"/>
            <w:gridSpan w:val="3"/>
            <w:shd w:val="clear" w:color="auto" w:fill="auto"/>
          </w:tcPr>
          <w:p w:rsidR="00BE1156" w:rsidRPr="00EF56EB" w:rsidRDefault="00C84809" w:rsidP="004624C8">
            <w:pPr>
              <w:pStyle w:val="ListParagraph"/>
              <w:numPr>
                <w:ilvl w:val="0"/>
                <w:numId w:val="6"/>
              </w:numPr>
              <w:tabs>
                <w:tab w:val="left" w:pos="1296"/>
                <w:tab w:val="left" w:pos="1728"/>
                <w:tab w:val="left" w:pos="2160"/>
                <w:tab w:val="left" w:pos="2592"/>
                <w:tab w:val="left" w:pos="3024"/>
                <w:tab w:val="left" w:pos="3456"/>
                <w:tab w:val="left" w:pos="3888"/>
                <w:tab w:val="right" w:leader="dot" w:pos="9360"/>
              </w:tabs>
              <w:suppressAutoHyphens/>
              <w:spacing w:after="120"/>
              <w:rPr>
                <w:lang w:val="fr-CH"/>
              </w:rPr>
            </w:pPr>
            <w:r w:rsidRPr="00C84809">
              <w:rPr>
                <w:lang w:val="fr-CH"/>
              </w:rPr>
              <w:t>Arrêt définitif de la production</w:t>
            </w:r>
            <w:r w:rsidR="004624C8">
              <w:rPr>
                <w:spacing w:val="60"/>
                <w:sz w:val="17"/>
                <w:lang w:val="fr-CH"/>
              </w:rPr>
              <w:tab/>
            </w:r>
          </w:p>
        </w:tc>
        <w:tc>
          <w:tcPr>
            <w:tcW w:w="675" w:type="dxa"/>
            <w:gridSpan w:val="2"/>
            <w:shd w:val="clear" w:color="auto" w:fill="auto"/>
            <w:vAlign w:val="bottom"/>
          </w:tcPr>
          <w:p w:rsidR="00BE1156" w:rsidRDefault="00C84809" w:rsidP="005D2926">
            <w:pPr>
              <w:spacing w:after="120"/>
              <w:ind w:right="40"/>
              <w:jc w:val="right"/>
              <w:rPr>
                <w:lang w:val="fr-CH"/>
              </w:rPr>
            </w:pPr>
            <w:r>
              <w:rPr>
                <w:lang w:val="fr-CH"/>
              </w:rPr>
              <w:t>1</w:t>
            </w:r>
            <w:r w:rsidR="005D2926">
              <w:rPr>
                <w:lang w:val="fr-CH"/>
              </w:rPr>
              <w:t>6</w:t>
            </w:r>
          </w:p>
        </w:tc>
      </w:tr>
      <w:tr w:rsidR="00BE1156" w:rsidRPr="007360C7" w:rsidTr="009B5369">
        <w:tc>
          <w:tcPr>
            <w:tcW w:w="9369" w:type="dxa"/>
            <w:gridSpan w:val="3"/>
            <w:shd w:val="clear" w:color="auto" w:fill="auto"/>
          </w:tcPr>
          <w:p w:rsidR="00BE1156" w:rsidRPr="00EF56EB" w:rsidRDefault="00C84809" w:rsidP="004624C8">
            <w:pPr>
              <w:pStyle w:val="ListParagraph"/>
              <w:numPr>
                <w:ilvl w:val="0"/>
                <w:numId w:val="6"/>
              </w:numPr>
              <w:tabs>
                <w:tab w:val="left" w:pos="1296"/>
                <w:tab w:val="left" w:pos="1728"/>
                <w:tab w:val="left" w:pos="2160"/>
                <w:tab w:val="left" w:pos="2592"/>
                <w:tab w:val="left" w:pos="3024"/>
                <w:tab w:val="right" w:leader="dot" w:pos="9360"/>
              </w:tabs>
              <w:suppressAutoHyphens/>
              <w:spacing w:after="120"/>
              <w:rPr>
                <w:lang w:val="fr-CH"/>
              </w:rPr>
            </w:pPr>
            <w:r w:rsidRPr="00C84809">
              <w:rPr>
                <w:lang w:val="fr-CH"/>
              </w:rPr>
              <w:t>Dispositions transitoires</w:t>
            </w:r>
            <w:r w:rsidR="004624C8">
              <w:rPr>
                <w:spacing w:val="60"/>
                <w:sz w:val="17"/>
                <w:lang w:val="fr-CH"/>
              </w:rPr>
              <w:tab/>
            </w:r>
          </w:p>
        </w:tc>
        <w:tc>
          <w:tcPr>
            <w:tcW w:w="675" w:type="dxa"/>
            <w:gridSpan w:val="2"/>
            <w:shd w:val="clear" w:color="auto" w:fill="auto"/>
            <w:vAlign w:val="bottom"/>
          </w:tcPr>
          <w:p w:rsidR="00BE1156" w:rsidRDefault="00C84809" w:rsidP="005D2926">
            <w:pPr>
              <w:spacing w:after="120"/>
              <w:ind w:right="40"/>
              <w:jc w:val="right"/>
              <w:rPr>
                <w:lang w:val="fr-CH"/>
              </w:rPr>
            </w:pPr>
            <w:r>
              <w:rPr>
                <w:lang w:val="fr-CH"/>
              </w:rPr>
              <w:t>1</w:t>
            </w:r>
            <w:r w:rsidR="005D2926">
              <w:rPr>
                <w:lang w:val="fr-CH"/>
              </w:rPr>
              <w:t>6</w:t>
            </w:r>
          </w:p>
        </w:tc>
      </w:tr>
      <w:tr w:rsidR="00BE1156" w:rsidRPr="007360C7" w:rsidTr="009B5369">
        <w:tc>
          <w:tcPr>
            <w:tcW w:w="9369" w:type="dxa"/>
            <w:gridSpan w:val="3"/>
            <w:shd w:val="clear" w:color="auto" w:fill="auto"/>
          </w:tcPr>
          <w:p w:rsidR="00BE1156" w:rsidRPr="00EF56EB" w:rsidRDefault="00C84809" w:rsidP="00C83335">
            <w:pPr>
              <w:pStyle w:val="ListParagraph"/>
              <w:numPr>
                <w:ilvl w:val="0"/>
                <w:numId w:val="6"/>
              </w:numPr>
              <w:tabs>
                <w:tab w:val="left" w:pos="1296"/>
                <w:tab w:val="left" w:pos="1728"/>
                <w:tab w:val="left" w:pos="2160"/>
                <w:tab w:val="left" w:pos="2592"/>
                <w:tab w:val="left" w:pos="3024"/>
                <w:tab w:val="right" w:leader="dot" w:pos="9360"/>
              </w:tabs>
              <w:suppressAutoHyphens/>
              <w:spacing w:after="120"/>
              <w:rPr>
                <w:lang w:val="fr-CH"/>
              </w:rPr>
            </w:pPr>
            <w:r w:rsidRPr="00C84809">
              <w:rPr>
                <w:lang w:val="fr-CH"/>
              </w:rPr>
              <w:t xml:space="preserve">Noms et adresses des services techniques chargés des essais d’homologation </w:t>
            </w:r>
            <w:r>
              <w:rPr>
                <w:lang w:val="fr-CH"/>
              </w:rPr>
              <w:br/>
            </w:r>
            <w:r w:rsidRPr="00C84809">
              <w:rPr>
                <w:lang w:val="fr-CH"/>
              </w:rPr>
              <w:t>et des autorités d’homologation de type</w:t>
            </w:r>
            <w:r>
              <w:rPr>
                <w:spacing w:val="60"/>
                <w:sz w:val="17"/>
                <w:lang w:val="fr-CH"/>
              </w:rPr>
              <w:tab/>
            </w:r>
          </w:p>
        </w:tc>
        <w:tc>
          <w:tcPr>
            <w:tcW w:w="675" w:type="dxa"/>
            <w:gridSpan w:val="2"/>
            <w:shd w:val="clear" w:color="auto" w:fill="auto"/>
            <w:vAlign w:val="bottom"/>
          </w:tcPr>
          <w:p w:rsidR="00BE1156" w:rsidRDefault="00C84809" w:rsidP="005D2926">
            <w:pPr>
              <w:spacing w:after="120"/>
              <w:ind w:right="40"/>
              <w:jc w:val="right"/>
              <w:rPr>
                <w:lang w:val="fr-CH"/>
              </w:rPr>
            </w:pPr>
            <w:r>
              <w:rPr>
                <w:lang w:val="fr-CH"/>
              </w:rPr>
              <w:t>1</w:t>
            </w:r>
            <w:r w:rsidR="005D2926">
              <w:rPr>
                <w:lang w:val="fr-CH"/>
              </w:rPr>
              <w:t>6</w:t>
            </w:r>
          </w:p>
        </w:tc>
      </w:tr>
      <w:tr w:rsidR="009B5369" w:rsidRPr="009B5369" w:rsidTr="009B5369">
        <w:trPr>
          <w:gridAfter w:val="1"/>
          <w:wAfter w:w="18" w:type="dxa"/>
        </w:trPr>
        <w:tc>
          <w:tcPr>
            <w:tcW w:w="9369" w:type="dxa"/>
            <w:gridSpan w:val="3"/>
            <w:shd w:val="clear" w:color="auto" w:fill="auto"/>
          </w:tcPr>
          <w:p w:rsidR="009B5369" w:rsidRDefault="009B5369" w:rsidP="00CC7761">
            <w:pPr>
              <w:pStyle w:val="ListParagraph"/>
              <w:tabs>
                <w:tab w:val="right" w:pos="1080"/>
                <w:tab w:val="left" w:pos="1296"/>
                <w:tab w:val="right" w:pos="1714"/>
                <w:tab w:val="left" w:pos="2160"/>
                <w:tab w:val="left" w:pos="2592"/>
                <w:tab w:val="left" w:pos="3024"/>
                <w:tab w:val="left" w:pos="3456"/>
              </w:tabs>
              <w:suppressAutoHyphens/>
              <w:spacing w:after="120"/>
              <w:ind w:left="0"/>
              <w:rPr>
                <w:lang w:val="fr-CH"/>
              </w:rPr>
            </w:pPr>
            <w:r>
              <w:rPr>
                <w:lang w:val="fr-CH"/>
              </w:rPr>
              <w:tab/>
              <w:t>Annexes</w:t>
            </w:r>
          </w:p>
        </w:tc>
        <w:tc>
          <w:tcPr>
            <w:tcW w:w="657" w:type="dxa"/>
            <w:shd w:val="clear" w:color="auto" w:fill="auto"/>
            <w:vAlign w:val="bottom"/>
          </w:tcPr>
          <w:p w:rsidR="009B5369" w:rsidRPr="009B5369" w:rsidRDefault="009B5369" w:rsidP="00CC7761">
            <w:pPr>
              <w:spacing w:after="120"/>
              <w:ind w:right="40"/>
              <w:jc w:val="right"/>
              <w:rPr>
                <w:lang w:val="fr-CH"/>
              </w:rPr>
            </w:pPr>
          </w:p>
        </w:tc>
      </w:tr>
      <w:tr w:rsidR="00214F62" w:rsidRPr="00291F71" w:rsidTr="009B5369">
        <w:trPr>
          <w:gridAfter w:val="1"/>
          <w:wAfter w:w="18" w:type="dxa"/>
        </w:trPr>
        <w:tc>
          <w:tcPr>
            <w:tcW w:w="9369" w:type="dxa"/>
            <w:gridSpan w:val="3"/>
            <w:shd w:val="clear" w:color="auto" w:fill="auto"/>
          </w:tcPr>
          <w:p w:rsidR="00214F62" w:rsidRPr="00F72007" w:rsidRDefault="00214F62" w:rsidP="00F72007">
            <w:pPr>
              <w:pStyle w:val="ListParagraph"/>
              <w:numPr>
                <w:ilvl w:val="0"/>
                <w:numId w:val="10"/>
              </w:numPr>
              <w:tabs>
                <w:tab w:val="left" w:pos="1296"/>
                <w:tab w:val="left" w:pos="1728"/>
                <w:tab w:val="left" w:pos="2160"/>
                <w:tab w:val="left" w:pos="2592"/>
                <w:tab w:val="right" w:leader="dot" w:pos="9360"/>
              </w:tabs>
              <w:suppressAutoHyphens/>
              <w:spacing w:after="120"/>
              <w:rPr>
                <w:lang w:val="fr-CH"/>
              </w:rPr>
            </w:pPr>
            <w:r w:rsidRPr="00214F62">
              <w:rPr>
                <w:lang w:val="fr-CH"/>
              </w:rPr>
              <w:t>Communication</w:t>
            </w:r>
            <w:r w:rsidR="00F72007">
              <w:rPr>
                <w:spacing w:val="60"/>
                <w:sz w:val="17"/>
                <w:lang w:val="fr-CH"/>
              </w:rPr>
              <w:tab/>
            </w:r>
          </w:p>
        </w:tc>
        <w:tc>
          <w:tcPr>
            <w:tcW w:w="657" w:type="dxa"/>
            <w:shd w:val="clear" w:color="auto" w:fill="auto"/>
          </w:tcPr>
          <w:p w:rsidR="00214F62" w:rsidRPr="00291F71" w:rsidRDefault="00214F62" w:rsidP="007C442E">
            <w:pPr>
              <w:spacing w:after="120"/>
              <w:jc w:val="right"/>
              <w:rPr>
                <w:lang w:val="fr-CH"/>
              </w:rPr>
            </w:pPr>
            <w:r>
              <w:rPr>
                <w:lang w:val="fr-CH"/>
              </w:rPr>
              <w:t>1</w:t>
            </w:r>
            <w:r w:rsidR="007C442E">
              <w:rPr>
                <w:lang w:val="fr-CH"/>
              </w:rPr>
              <w:t>7</w:t>
            </w:r>
          </w:p>
        </w:tc>
      </w:tr>
      <w:tr w:rsidR="00F72007" w:rsidRPr="00291F71" w:rsidTr="009B5369">
        <w:trPr>
          <w:gridAfter w:val="1"/>
          <w:wAfter w:w="18" w:type="dxa"/>
        </w:trPr>
        <w:tc>
          <w:tcPr>
            <w:tcW w:w="9369" w:type="dxa"/>
            <w:gridSpan w:val="3"/>
            <w:shd w:val="clear" w:color="auto" w:fill="auto"/>
          </w:tcPr>
          <w:p w:rsidR="00F72007" w:rsidRPr="00214F62" w:rsidRDefault="00F72007" w:rsidP="00F72007">
            <w:pPr>
              <w:pStyle w:val="ListParagraph"/>
              <w:numPr>
                <w:ilvl w:val="0"/>
                <w:numId w:val="10"/>
              </w:numPr>
              <w:tabs>
                <w:tab w:val="left" w:pos="1296"/>
                <w:tab w:val="left" w:pos="1728"/>
                <w:tab w:val="left" w:pos="2160"/>
                <w:tab w:val="left" w:pos="2592"/>
                <w:tab w:val="left" w:pos="3024"/>
                <w:tab w:val="left" w:pos="3456"/>
                <w:tab w:val="left" w:pos="3888"/>
                <w:tab w:val="left" w:pos="4320"/>
                <w:tab w:val="right" w:leader="dot" w:pos="9360"/>
              </w:tabs>
              <w:suppressAutoHyphens/>
              <w:spacing w:after="120"/>
              <w:rPr>
                <w:lang w:val="fr-CH"/>
              </w:rPr>
            </w:pPr>
            <w:r w:rsidRPr="00F72007">
              <w:rPr>
                <w:lang w:val="fr-CH"/>
              </w:rPr>
              <w:t>Exemples de marques d’homologation</w:t>
            </w:r>
            <w:r>
              <w:rPr>
                <w:spacing w:val="60"/>
                <w:sz w:val="17"/>
                <w:lang w:val="fr-CH"/>
              </w:rPr>
              <w:tab/>
            </w:r>
          </w:p>
        </w:tc>
        <w:tc>
          <w:tcPr>
            <w:tcW w:w="657" w:type="dxa"/>
            <w:shd w:val="clear" w:color="auto" w:fill="auto"/>
          </w:tcPr>
          <w:p w:rsidR="00F72007" w:rsidRDefault="007C442E" w:rsidP="00CC7761">
            <w:pPr>
              <w:spacing w:after="120"/>
              <w:jc w:val="right"/>
              <w:rPr>
                <w:lang w:val="fr-CH"/>
              </w:rPr>
            </w:pPr>
            <w:r>
              <w:rPr>
                <w:lang w:val="fr-CH"/>
              </w:rPr>
              <w:t>19</w:t>
            </w:r>
          </w:p>
        </w:tc>
      </w:tr>
      <w:tr w:rsidR="00F72007" w:rsidRPr="00291F71" w:rsidTr="009B5369">
        <w:trPr>
          <w:gridAfter w:val="1"/>
          <w:wAfter w:w="18" w:type="dxa"/>
        </w:trPr>
        <w:tc>
          <w:tcPr>
            <w:tcW w:w="9369" w:type="dxa"/>
            <w:gridSpan w:val="3"/>
            <w:shd w:val="clear" w:color="auto" w:fill="auto"/>
          </w:tcPr>
          <w:p w:rsidR="00F72007" w:rsidRPr="00F72007" w:rsidRDefault="00F72007" w:rsidP="00F72007">
            <w:pPr>
              <w:pStyle w:val="ListParagraph"/>
              <w:numPr>
                <w:ilvl w:val="0"/>
                <w:numId w:val="10"/>
              </w:numPr>
              <w:tabs>
                <w:tab w:val="left" w:pos="1296"/>
                <w:tab w:val="left" w:pos="1728"/>
                <w:tab w:val="left" w:pos="2160"/>
                <w:tab w:val="left" w:pos="2592"/>
                <w:tab w:val="right" w:leader="dot" w:pos="9360"/>
              </w:tabs>
              <w:suppressAutoHyphens/>
              <w:spacing w:after="120"/>
              <w:rPr>
                <w:lang w:val="fr-CH"/>
              </w:rPr>
            </w:pPr>
            <w:r w:rsidRPr="00F72007">
              <w:rPr>
                <w:lang w:val="fr-CH"/>
              </w:rPr>
              <w:t>Procédure d’essai</w:t>
            </w:r>
            <w:r>
              <w:rPr>
                <w:spacing w:val="60"/>
                <w:sz w:val="17"/>
                <w:lang w:val="fr-CH"/>
              </w:rPr>
              <w:tab/>
            </w:r>
          </w:p>
        </w:tc>
        <w:tc>
          <w:tcPr>
            <w:tcW w:w="657" w:type="dxa"/>
            <w:shd w:val="clear" w:color="auto" w:fill="auto"/>
          </w:tcPr>
          <w:p w:rsidR="00F72007" w:rsidRDefault="00F72007" w:rsidP="007C442E">
            <w:pPr>
              <w:spacing w:after="120"/>
              <w:jc w:val="right"/>
              <w:rPr>
                <w:lang w:val="fr-CH"/>
              </w:rPr>
            </w:pPr>
            <w:r>
              <w:rPr>
                <w:lang w:val="fr-CH"/>
              </w:rPr>
              <w:t>2</w:t>
            </w:r>
            <w:r w:rsidR="007C442E">
              <w:rPr>
                <w:lang w:val="fr-CH"/>
              </w:rPr>
              <w:t>0</w:t>
            </w:r>
          </w:p>
        </w:tc>
      </w:tr>
      <w:tr w:rsidR="00F72007" w:rsidRPr="00291F71" w:rsidTr="009B5369">
        <w:trPr>
          <w:gridAfter w:val="1"/>
          <w:wAfter w:w="18" w:type="dxa"/>
        </w:trPr>
        <w:tc>
          <w:tcPr>
            <w:tcW w:w="9369" w:type="dxa"/>
            <w:gridSpan w:val="3"/>
            <w:shd w:val="clear" w:color="auto" w:fill="auto"/>
          </w:tcPr>
          <w:p w:rsidR="00F72007" w:rsidRPr="00F72007" w:rsidRDefault="00F72007" w:rsidP="00F72007">
            <w:pPr>
              <w:pStyle w:val="ListParagraph"/>
              <w:numPr>
                <w:ilvl w:val="0"/>
                <w:numId w:val="10"/>
              </w:numPr>
              <w:tabs>
                <w:tab w:val="left" w:pos="1296"/>
                <w:tab w:val="left" w:pos="1728"/>
                <w:tab w:val="left" w:pos="2160"/>
                <w:tab w:val="left" w:pos="2592"/>
                <w:tab w:val="left" w:pos="3024"/>
                <w:tab w:val="right" w:leader="dot" w:pos="9360"/>
              </w:tabs>
              <w:suppressAutoHyphens/>
              <w:spacing w:after="120"/>
              <w:rPr>
                <w:lang w:val="fr-CH"/>
              </w:rPr>
            </w:pPr>
            <w:r w:rsidRPr="00F72007">
              <w:rPr>
                <w:lang w:val="fr-CH"/>
              </w:rPr>
              <w:t>Critères de performance</w:t>
            </w:r>
            <w:r>
              <w:rPr>
                <w:spacing w:val="60"/>
                <w:sz w:val="17"/>
                <w:lang w:val="fr-CH"/>
              </w:rPr>
              <w:tab/>
            </w:r>
          </w:p>
        </w:tc>
        <w:tc>
          <w:tcPr>
            <w:tcW w:w="657" w:type="dxa"/>
            <w:shd w:val="clear" w:color="auto" w:fill="auto"/>
          </w:tcPr>
          <w:p w:rsidR="00F72007" w:rsidRDefault="00F72007" w:rsidP="007C442E">
            <w:pPr>
              <w:spacing w:after="120"/>
              <w:jc w:val="right"/>
              <w:rPr>
                <w:lang w:val="fr-CH"/>
              </w:rPr>
            </w:pPr>
            <w:r>
              <w:rPr>
                <w:lang w:val="fr-CH"/>
              </w:rPr>
              <w:t>2</w:t>
            </w:r>
            <w:r w:rsidR="007C442E">
              <w:rPr>
                <w:lang w:val="fr-CH"/>
              </w:rPr>
              <w:t>6</w:t>
            </w:r>
          </w:p>
        </w:tc>
      </w:tr>
      <w:tr w:rsidR="00F72007" w:rsidRPr="00291F71" w:rsidTr="009B5369">
        <w:trPr>
          <w:gridAfter w:val="1"/>
          <w:wAfter w:w="18" w:type="dxa"/>
        </w:trPr>
        <w:tc>
          <w:tcPr>
            <w:tcW w:w="9369" w:type="dxa"/>
            <w:gridSpan w:val="3"/>
            <w:shd w:val="clear" w:color="auto" w:fill="auto"/>
          </w:tcPr>
          <w:p w:rsidR="00F72007" w:rsidRPr="00F72007" w:rsidRDefault="00F72007" w:rsidP="00F72007">
            <w:pPr>
              <w:pStyle w:val="ListParagraph"/>
              <w:numPr>
                <w:ilvl w:val="0"/>
                <w:numId w:val="10"/>
              </w:num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right" w:leader="dot" w:pos="9360"/>
              </w:tabs>
              <w:suppressAutoHyphens/>
              <w:spacing w:after="120"/>
              <w:rPr>
                <w:lang w:val="fr-CH"/>
              </w:rPr>
            </w:pPr>
            <w:r w:rsidRPr="00F72007">
              <w:rPr>
                <w:lang w:val="fr-CH"/>
              </w:rPr>
              <w:t>Emplacement et installation des mannequins et réglage des systèmes de retenue</w:t>
            </w:r>
            <w:r>
              <w:rPr>
                <w:spacing w:val="60"/>
                <w:sz w:val="17"/>
                <w:lang w:val="fr-CH"/>
              </w:rPr>
              <w:tab/>
            </w:r>
          </w:p>
        </w:tc>
        <w:tc>
          <w:tcPr>
            <w:tcW w:w="657" w:type="dxa"/>
            <w:shd w:val="clear" w:color="auto" w:fill="auto"/>
          </w:tcPr>
          <w:p w:rsidR="00F72007" w:rsidRDefault="00F72007" w:rsidP="007C442E">
            <w:pPr>
              <w:spacing w:after="120"/>
              <w:jc w:val="right"/>
              <w:rPr>
                <w:lang w:val="fr-CH"/>
              </w:rPr>
            </w:pPr>
            <w:r>
              <w:rPr>
                <w:lang w:val="fr-CH"/>
              </w:rPr>
              <w:t>2</w:t>
            </w:r>
            <w:r w:rsidR="007C442E">
              <w:rPr>
                <w:lang w:val="fr-CH"/>
              </w:rPr>
              <w:t>8</w:t>
            </w:r>
          </w:p>
        </w:tc>
      </w:tr>
      <w:tr w:rsidR="00F72007" w:rsidRPr="00291F71" w:rsidTr="009A7090">
        <w:trPr>
          <w:gridAfter w:val="1"/>
          <w:wAfter w:w="18" w:type="dxa"/>
        </w:trPr>
        <w:tc>
          <w:tcPr>
            <w:tcW w:w="9369" w:type="dxa"/>
            <w:gridSpan w:val="3"/>
            <w:shd w:val="clear" w:color="auto" w:fill="auto"/>
          </w:tcPr>
          <w:p w:rsidR="00F72007" w:rsidRPr="00F72007" w:rsidRDefault="00F72007" w:rsidP="00F72007">
            <w:pPr>
              <w:pStyle w:val="ListParagraph"/>
              <w:numPr>
                <w:ilvl w:val="0"/>
                <w:numId w:val="10"/>
              </w:numPr>
              <w:tabs>
                <w:tab w:val="left" w:pos="1296"/>
                <w:tab w:val="left" w:pos="1728"/>
                <w:tab w:val="left" w:pos="2160"/>
                <w:tab w:val="left" w:pos="2592"/>
                <w:tab w:val="left" w:pos="3024"/>
                <w:tab w:val="left" w:pos="3456"/>
                <w:tab w:val="left" w:pos="3888"/>
                <w:tab w:val="left" w:pos="4320"/>
                <w:tab w:val="left" w:pos="4752"/>
                <w:tab w:val="left" w:pos="5184"/>
                <w:tab w:val="right" w:leader="dot" w:pos="9360"/>
              </w:tabs>
              <w:suppressAutoHyphens/>
              <w:spacing w:after="120"/>
              <w:rPr>
                <w:lang w:val="fr-CH"/>
              </w:rPr>
            </w:pPr>
            <w:r w:rsidRPr="00F72007">
              <w:rPr>
                <w:lang w:val="fr-CH"/>
              </w:rPr>
              <w:t xml:space="preserve">Procédure de détermination du point « H » et de l’angle réel de torse </w:t>
            </w:r>
            <w:r w:rsidRPr="00F72007">
              <w:rPr>
                <w:lang w:val="fr-CH"/>
              </w:rPr>
              <w:br/>
              <w:t>pour les places assises des véhicules automobiles</w:t>
            </w:r>
            <w:r>
              <w:rPr>
                <w:spacing w:val="60"/>
                <w:sz w:val="17"/>
                <w:lang w:val="fr-CH"/>
              </w:rPr>
              <w:tab/>
            </w:r>
          </w:p>
        </w:tc>
        <w:tc>
          <w:tcPr>
            <w:tcW w:w="657" w:type="dxa"/>
            <w:shd w:val="clear" w:color="auto" w:fill="auto"/>
            <w:vAlign w:val="bottom"/>
          </w:tcPr>
          <w:p w:rsidR="00F72007" w:rsidRDefault="00F72007" w:rsidP="009A7090">
            <w:pPr>
              <w:spacing w:after="120"/>
              <w:jc w:val="right"/>
              <w:rPr>
                <w:lang w:val="fr-CH"/>
              </w:rPr>
            </w:pPr>
            <w:r>
              <w:rPr>
                <w:lang w:val="fr-CH"/>
              </w:rPr>
              <w:t>3</w:t>
            </w:r>
            <w:r w:rsidR="007C442E">
              <w:rPr>
                <w:lang w:val="fr-CH"/>
              </w:rPr>
              <w:t>4</w:t>
            </w:r>
          </w:p>
        </w:tc>
      </w:tr>
      <w:tr w:rsidR="00F72007" w:rsidRPr="00291F71" w:rsidTr="009B5369">
        <w:trPr>
          <w:gridAfter w:val="1"/>
          <w:wAfter w:w="18" w:type="dxa"/>
        </w:trPr>
        <w:tc>
          <w:tcPr>
            <w:tcW w:w="9369" w:type="dxa"/>
            <w:gridSpan w:val="3"/>
            <w:shd w:val="clear" w:color="auto" w:fill="auto"/>
          </w:tcPr>
          <w:p w:rsidR="00F72007" w:rsidRPr="00853253" w:rsidRDefault="00F72007" w:rsidP="00853253">
            <w:pPr>
              <w:pStyle w:val="ListParagraph"/>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leader="dot" w:pos="9360"/>
              </w:tabs>
              <w:suppressAutoHyphens/>
              <w:spacing w:after="120"/>
              <w:ind w:left="1296"/>
              <w:rPr>
                <w:spacing w:val="60"/>
                <w:sz w:val="17"/>
                <w:lang w:val="fr-CH"/>
              </w:rPr>
            </w:pPr>
            <w:r w:rsidRPr="00F72007">
              <w:rPr>
                <w:lang w:val="fr-CH"/>
              </w:rPr>
              <w:t>Appendice 1 − Description du gabarit tridimensionnel point « H » (Gabarit 3-D H)</w:t>
            </w:r>
            <w:r w:rsidR="00853253">
              <w:rPr>
                <w:spacing w:val="60"/>
                <w:sz w:val="17"/>
                <w:lang w:val="fr-CH"/>
              </w:rPr>
              <w:tab/>
            </w:r>
          </w:p>
        </w:tc>
        <w:tc>
          <w:tcPr>
            <w:tcW w:w="657" w:type="dxa"/>
            <w:shd w:val="clear" w:color="auto" w:fill="auto"/>
          </w:tcPr>
          <w:p w:rsidR="00F72007" w:rsidRDefault="00F72007" w:rsidP="007C442E">
            <w:pPr>
              <w:spacing w:after="120"/>
              <w:jc w:val="right"/>
              <w:rPr>
                <w:lang w:val="fr-CH"/>
              </w:rPr>
            </w:pPr>
            <w:r>
              <w:rPr>
                <w:lang w:val="fr-CH"/>
              </w:rPr>
              <w:t>3</w:t>
            </w:r>
            <w:r w:rsidR="007C442E">
              <w:rPr>
                <w:lang w:val="fr-CH"/>
              </w:rPr>
              <w:t>4</w:t>
            </w:r>
          </w:p>
        </w:tc>
      </w:tr>
      <w:tr w:rsidR="00F72007" w:rsidRPr="00291F71" w:rsidTr="009B5369">
        <w:trPr>
          <w:gridAfter w:val="1"/>
          <w:wAfter w:w="18" w:type="dxa"/>
        </w:trPr>
        <w:tc>
          <w:tcPr>
            <w:tcW w:w="9369" w:type="dxa"/>
            <w:gridSpan w:val="3"/>
            <w:shd w:val="clear" w:color="auto" w:fill="auto"/>
          </w:tcPr>
          <w:p w:rsidR="00F72007" w:rsidRPr="00F72007" w:rsidRDefault="00F72007" w:rsidP="00F72007">
            <w:pPr>
              <w:pStyle w:val="ListParagraph"/>
              <w:tabs>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360"/>
              </w:tabs>
              <w:suppressAutoHyphens/>
              <w:spacing w:after="120"/>
              <w:ind w:left="1296"/>
              <w:rPr>
                <w:spacing w:val="60"/>
                <w:sz w:val="17"/>
                <w:lang w:val="fr-CH"/>
              </w:rPr>
            </w:pPr>
            <w:r w:rsidRPr="00F72007">
              <w:rPr>
                <w:lang w:val="fr-CH"/>
              </w:rPr>
              <w:t>Appendice 2 − Système de référence à trois dimensions</w:t>
            </w:r>
            <w:r>
              <w:rPr>
                <w:spacing w:val="60"/>
                <w:sz w:val="17"/>
                <w:lang w:val="fr-CH"/>
              </w:rPr>
              <w:tab/>
            </w:r>
          </w:p>
        </w:tc>
        <w:tc>
          <w:tcPr>
            <w:tcW w:w="657" w:type="dxa"/>
            <w:shd w:val="clear" w:color="auto" w:fill="auto"/>
          </w:tcPr>
          <w:p w:rsidR="00F72007" w:rsidRDefault="00F72007" w:rsidP="007C442E">
            <w:pPr>
              <w:spacing w:after="120"/>
              <w:jc w:val="right"/>
              <w:rPr>
                <w:lang w:val="fr-CH"/>
              </w:rPr>
            </w:pPr>
            <w:r>
              <w:rPr>
                <w:lang w:val="fr-CH"/>
              </w:rPr>
              <w:t>3</w:t>
            </w:r>
            <w:r w:rsidR="007C442E">
              <w:rPr>
                <w:lang w:val="fr-CH"/>
              </w:rPr>
              <w:t>4</w:t>
            </w:r>
          </w:p>
        </w:tc>
      </w:tr>
      <w:tr w:rsidR="00F72007" w:rsidRPr="00291F71" w:rsidTr="009B5369">
        <w:trPr>
          <w:gridAfter w:val="1"/>
          <w:wAfter w:w="18" w:type="dxa"/>
        </w:trPr>
        <w:tc>
          <w:tcPr>
            <w:tcW w:w="9369" w:type="dxa"/>
            <w:gridSpan w:val="3"/>
            <w:shd w:val="clear" w:color="auto" w:fill="auto"/>
          </w:tcPr>
          <w:p w:rsidR="00F72007" w:rsidRPr="00F72007" w:rsidRDefault="00F72007" w:rsidP="00F72007">
            <w:pPr>
              <w:pStyle w:val="ListParagraph"/>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right" w:leader="dot" w:pos="9360"/>
              </w:tabs>
              <w:suppressAutoHyphens/>
              <w:spacing w:after="120"/>
              <w:ind w:left="1296"/>
              <w:rPr>
                <w:spacing w:val="60"/>
                <w:sz w:val="17"/>
                <w:lang w:val="fr-CH"/>
              </w:rPr>
            </w:pPr>
            <w:r w:rsidRPr="00F72007">
              <w:rPr>
                <w:lang w:val="fr-CH"/>
              </w:rPr>
              <w:t>Appendice 3 − Paramètres de référence des places assises</w:t>
            </w:r>
            <w:r>
              <w:rPr>
                <w:spacing w:val="60"/>
                <w:sz w:val="17"/>
                <w:lang w:val="fr-CH"/>
              </w:rPr>
              <w:tab/>
            </w:r>
          </w:p>
        </w:tc>
        <w:tc>
          <w:tcPr>
            <w:tcW w:w="657" w:type="dxa"/>
            <w:shd w:val="clear" w:color="auto" w:fill="auto"/>
          </w:tcPr>
          <w:p w:rsidR="00F72007" w:rsidRDefault="00F72007" w:rsidP="007C442E">
            <w:pPr>
              <w:spacing w:after="120"/>
              <w:jc w:val="right"/>
              <w:rPr>
                <w:lang w:val="fr-CH"/>
              </w:rPr>
            </w:pPr>
            <w:r>
              <w:rPr>
                <w:lang w:val="fr-CH"/>
              </w:rPr>
              <w:t>3</w:t>
            </w:r>
            <w:r w:rsidR="007C442E">
              <w:rPr>
                <w:lang w:val="fr-CH"/>
              </w:rPr>
              <w:t>4</w:t>
            </w:r>
          </w:p>
        </w:tc>
      </w:tr>
      <w:tr w:rsidR="00F72007" w:rsidRPr="00291F71" w:rsidTr="009B5369">
        <w:trPr>
          <w:gridAfter w:val="1"/>
          <w:wAfter w:w="18" w:type="dxa"/>
        </w:trPr>
        <w:tc>
          <w:tcPr>
            <w:tcW w:w="9369" w:type="dxa"/>
            <w:gridSpan w:val="3"/>
            <w:shd w:val="clear" w:color="auto" w:fill="auto"/>
          </w:tcPr>
          <w:p w:rsidR="00F72007" w:rsidRPr="00F72007" w:rsidRDefault="00F72007" w:rsidP="00F72007">
            <w:pPr>
              <w:pStyle w:val="ListParagraph"/>
              <w:numPr>
                <w:ilvl w:val="0"/>
                <w:numId w:val="10"/>
              </w:numPr>
              <w:tabs>
                <w:tab w:val="left" w:pos="1296"/>
                <w:tab w:val="left" w:pos="1728"/>
                <w:tab w:val="left" w:pos="2160"/>
                <w:tab w:val="left" w:pos="2592"/>
                <w:tab w:val="left" w:pos="3024"/>
                <w:tab w:val="left" w:pos="3456"/>
                <w:tab w:val="right" w:leader="dot" w:pos="9360"/>
              </w:tabs>
              <w:suppressAutoHyphens/>
              <w:spacing w:after="120"/>
              <w:rPr>
                <w:lang w:val="fr-CH"/>
              </w:rPr>
            </w:pPr>
            <w:r w:rsidRPr="00F72007">
              <w:rPr>
                <w:lang w:val="fr-CH"/>
              </w:rPr>
              <w:t>Procédure d’essai avec chariot</w:t>
            </w:r>
            <w:r>
              <w:rPr>
                <w:spacing w:val="60"/>
                <w:sz w:val="17"/>
                <w:lang w:val="fr-CH"/>
              </w:rPr>
              <w:tab/>
            </w:r>
          </w:p>
        </w:tc>
        <w:tc>
          <w:tcPr>
            <w:tcW w:w="657" w:type="dxa"/>
            <w:shd w:val="clear" w:color="auto" w:fill="auto"/>
          </w:tcPr>
          <w:p w:rsidR="00F72007" w:rsidRDefault="00F72007" w:rsidP="007C442E">
            <w:pPr>
              <w:spacing w:after="120"/>
              <w:jc w:val="right"/>
              <w:rPr>
                <w:lang w:val="fr-CH"/>
              </w:rPr>
            </w:pPr>
            <w:r>
              <w:rPr>
                <w:lang w:val="fr-CH"/>
              </w:rPr>
              <w:t>3</w:t>
            </w:r>
            <w:r w:rsidR="007C442E">
              <w:rPr>
                <w:lang w:val="fr-CH"/>
              </w:rPr>
              <w:t>5</w:t>
            </w:r>
          </w:p>
        </w:tc>
      </w:tr>
      <w:tr w:rsidR="001A4DC2" w:rsidRPr="00291F71" w:rsidTr="009B5369">
        <w:trPr>
          <w:gridAfter w:val="1"/>
          <w:wAfter w:w="18" w:type="dxa"/>
        </w:trPr>
        <w:tc>
          <w:tcPr>
            <w:tcW w:w="9369" w:type="dxa"/>
            <w:gridSpan w:val="3"/>
            <w:shd w:val="clear" w:color="auto" w:fill="auto"/>
          </w:tcPr>
          <w:p w:rsidR="001A4DC2" w:rsidRPr="001A4DC2" w:rsidRDefault="007C442E" w:rsidP="001A4DC2">
            <w:pPr>
              <w:pStyle w:val="ListParagraph"/>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right" w:leader="dot" w:pos="9360"/>
              </w:tabs>
              <w:suppressAutoHyphens/>
              <w:spacing w:after="120"/>
              <w:ind w:left="1296"/>
              <w:rPr>
                <w:spacing w:val="60"/>
                <w:sz w:val="17"/>
                <w:lang w:val="fr-CH"/>
              </w:rPr>
            </w:pPr>
            <w:r>
              <w:rPr>
                <w:lang w:val="fr-CH"/>
              </w:rPr>
              <w:t xml:space="preserve">Appendice – </w:t>
            </w:r>
            <w:r w:rsidR="001A4DC2" w:rsidRPr="001A4DC2">
              <w:rPr>
                <w:lang w:val="fr-CH"/>
              </w:rPr>
              <w:t xml:space="preserve">Courbe d’équivalence − bande de tolérance pour la courbe </w:t>
            </w:r>
            <w:r w:rsidR="001A4DC2" w:rsidRPr="001A4DC2">
              <w:rPr>
                <w:lang w:val="fr-CH"/>
              </w:rPr>
              <w:sym w:font="Symbol" w:char="F044"/>
            </w:r>
            <w:r w:rsidR="001A4DC2" w:rsidRPr="001A4DC2">
              <w:rPr>
                <w:lang w:val="fr-CH"/>
              </w:rPr>
              <w:t>V = f(t)</w:t>
            </w:r>
            <w:r w:rsidR="001A4DC2">
              <w:rPr>
                <w:spacing w:val="60"/>
                <w:sz w:val="17"/>
                <w:lang w:val="fr-CH"/>
              </w:rPr>
              <w:tab/>
            </w:r>
          </w:p>
        </w:tc>
        <w:tc>
          <w:tcPr>
            <w:tcW w:w="657" w:type="dxa"/>
            <w:shd w:val="clear" w:color="auto" w:fill="auto"/>
          </w:tcPr>
          <w:p w:rsidR="001A4DC2" w:rsidRDefault="001A4DC2" w:rsidP="007C442E">
            <w:pPr>
              <w:spacing w:after="120"/>
              <w:jc w:val="right"/>
              <w:rPr>
                <w:lang w:val="fr-CH"/>
              </w:rPr>
            </w:pPr>
            <w:r>
              <w:rPr>
                <w:lang w:val="fr-CH"/>
              </w:rPr>
              <w:t>3</w:t>
            </w:r>
            <w:r w:rsidR="007C442E">
              <w:rPr>
                <w:lang w:val="fr-CH"/>
              </w:rPr>
              <w:t>7</w:t>
            </w:r>
          </w:p>
        </w:tc>
      </w:tr>
      <w:tr w:rsidR="00F72007" w:rsidRPr="00291F71" w:rsidTr="009B5369">
        <w:trPr>
          <w:gridAfter w:val="1"/>
          <w:wAfter w:w="18" w:type="dxa"/>
        </w:trPr>
        <w:tc>
          <w:tcPr>
            <w:tcW w:w="9369" w:type="dxa"/>
            <w:gridSpan w:val="3"/>
            <w:shd w:val="clear" w:color="auto" w:fill="auto"/>
          </w:tcPr>
          <w:p w:rsidR="00F72007" w:rsidRPr="00F72007" w:rsidRDefault="00F72007" w:rsidP="00F72007">
            <w:pPr>
              <w:pStyle w:val="ListParagraph"/>
              <w:numPr>
                <w:ilvl w:val="0"/>
                <w:numId w:val="10"/>
              </w:num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right" w:leader="dot" w:pos="9360"/>
              </w:tabs>
              <w:suppressAutoHyphens/>
              <w:spacing w:after="120"/>
              <w:rPr>
                <w:lang w:val="fr-CH"/>
              </w:rPr>
            </w:pPr>
            <w:r w:rsidRPr="00F72007">
              <w:rPr>
                <w:lang w:val="fr-CH"/>
              </w:rPr>
              <w:t>Technique de mesurage pour les essais de mesure : instrumentation</w:t>
            </w:r>
            <w:r>
              <w:rPr>
                <w:spacing w:val="60"/>
                <w:sz w:val="17"/>
                <w:lang w:val="fr-CH"/>
              </w:rPr>
              <w:tab/>
            </w:r>
          </w:p>
        </w:tc>
        <w:tc>
          <w:tcPr>
            <w:tcW w:w="657" w:type="dxa"/>
            <w:shd w:val="clear" w:color="auto" w:fill="auto"/>
          </w:tcPr>
          <w:p w:rsidR="00F72007" w:rsidRDefault="00F72007" w:rsidP="007C442E">
            <w:pPr>
              <w:spacing w:after="120"/>
              <w:jc w:val="right"/>
              <w:rPr>
                <w:lang w:val="fr-CH"/>
              </w:rPr>
            </w:pPr>
            <w:r>
              <w:rPr>
                <w:lang w:val="fr-CH"/>
              </w:rPr>
              <w:t>3</w:t>
            </w:r>
            <w:r w:rsidR="007C442E">
              <w:rPr>
                <w:lang w:val="fr-CH"/>
              </w:rPr>
              <w:t>8</w:t>
            </w:r>
          </w:p>
        </w:tc>
      </w:tr>
      <w:tr w:rsidR="00F72007" w:rsidRPr="00291F71" w:rsidTr="00BA3EB9">
        <w:trPr>
          <w:gridAfter w:val="1"/>
          <w:wAfter w:w="18" w:type="dxa"/>
        </w:trPr>
        <w:tc>
          <w:tcPr>
            <w:tcW w:w="9369" w:type="dxa"/>
            <w:gridSpan w:val="3"/>
            <w:shd w:val="clear" w:color="auto" w:fill="auto"/>
          </w:tcPr>
          <w:p w:rsidR="00F72007" w:rsidRPr="00F72007" w:rsidRDefault="00F72007" w:rsidP="00F72007">
            <w:pPr>
              <w:pStyle w:val="ListParagraph"/>
              <w:numPr>
                <w:ilvl w:val="0"/>
                <w:numId w:val="10"/>
              </w:numPr>
              <w:tabs>
                <w:tab w:val="left" w:pos="1296"/>
                <w:tab w:val="left" w:pos="1728"/>
                <w:tab w:val="left" w:pos="2160"/>
                <w:tab w:val="left" w:pos="2592"/>
                <w:tab w:val="left" w:pos="3024"/>
                <w:tab w:val="left" w:pos="3456"/>
                <w:tab w:val="left" w:pos="3888"/>
                <w:tab w:val="right" w:leader="dot" w:pos="9360"/>
              </w:tabs>
              <w:suppressAutoHyphens/>
              <w:spacing w:after="120"/>
              <w:rPr>
                <w:lang w:val="fr-CH"/>
              </w:rPr>
            </w:pPr>
            <w:r w:rsidRPr="00F72007">
              <w:rPr>
                <w:lang w:val="fr-CH"/>
              </w:rPr>
              <w:t xml:space="preserve">Procédures d’essai applicables à la protection des occupants des véhicules </w:t>
            </w:r>
            <w:r>
              <w:rPr>
                <w:lang w:val="fr-CH"/>
              </w:rPr>
              <w:br/>
            </w:r>
            <w:r w:rsidRPr="00F72007">
              <w:rPr>
                <w:lang w:val="fr-CH"/>
              </w:rPr>
              <w:t xml:space="preserve">électriques contre tout contact avec les éléments à haute tension </w:t>
            </w:r>
            <w:r>
              <w:rPr>
                <w:lang w:val="fr-CH"/>
              </w:rPr>
              <w:br/>
            </w:r>
            <w:r w:rsidRPr="00F72007">
              <w:rPr>
                <w:lang w:val="fr-CH"/>
              </w:rPr>
              <w:t>et contre toute fuite d’électrolyte</w:t>
            </w:r>
            <w:r>
              <w:rPr>
                <w:spacing w:val="60"/>
                <w:sz w:val="17"/>
                <w:lang w:val="fr-CH"/>
              </w:rPr>
              <w:tab/>
            </w:r>
          </w:p>
        </w:tc>
        <w:tc>
          <w:tcPr>
            <w:tcW w:w="657" w:type="dxa"/>
            <w:shd w:val="clear" w:color="auto" w:fill="auto"/>
            <w:vAlign w:val="bottom"/>
          </w:tcPr>
          <w:p w:rsidR="00F72007" w:rsidRDefault="007C442E" w:rsidP="00BA3EB9">
            <w:pPr>
              <w:spacing w:after="120"/>
              <w:jc w:val="right"/>
              <w:rPr>
                <w:lang w:val="fr-CH"/>
              </w:rPr>
            </w:pPr>
            <w:r>
              <w:rPr>
                <w:lang w:val="fr-CH"/>
              </w:rPr>
              <w:t>43</w:t>
            </w:r>
          </w:p>
        </w:tc>
      </w:tr>
      <w:tr w:rsidR="005F0A44" w:rsidRPr="00291F71" w:rsidTr="009B5369">
        <w:trPr>
          <w:gridAfter w:val="1"/>
          <w:wAfter w:w="18" w:type="dxa"/>
        </w:trPr>
        <w:tc>
          <w:tcPr>
            <w:tcW w:w="9369" w:type="dxa"/>
            <w:gridSpan w:val="3"/>
            <w:shd w:val="clear" w:color="auto" w:fill="auto"/>
          </w:tcPr>
          <w:p w:rsidR="005F0A44" w:rsidRPr="005F0A44" w:rsidRDefault="007C442E" w:rsidP="005F0A44">
            <w:pPr>
              <w:pStyle w:val="ListParagraph"/>
              <w:tabs>
                <w:tab w:val="left" w:pos="1296"/>
                <w:tab w:val="left" w:pos="1728"/>
                <w:tab w:val="left" w:pos="2160"/>
                <w:tab w:val="left" w:pos="2592"/>
                <w:tab w:val="left" w:pos="3024"/>
                <w:tab w:val="left" w:pos="3456"/>
                <w:tab w:val="left" w:pos="3888"/>
                <w:tab w:val="right" w:leader="dot" w:pos="9360"/>
              </w:tabs>
              <w:suppressAutoHyphens/>
              <w:spacing w:after="120"/>
              <w:ind w:left="1296"/>
              <w:rPr>
                <w:spacing w:val="60"/>
                <w:sz w:val="17"/>
                <w:lang w:val="fr-CH"/>
              </w:rPr>
            </w:pPr>
            <w:r>
              <w:rPr>
                <w:lang w:val="fr-CH"/>
              </w:rPr>
              <w:t xml:space="preserve">Appendice – </w:t>
            </w:r>
            <w:r w:rsidR="005F0A44" w:rsidRPr="005F0A44">
              <w:rPr>
                <w:lang w:val="fr-CH"/>
              </w:rPr>
              <w:t>Doigt d’épreuve articulé (IPXXB)</w:t>
            </w:r>
            <w:r w:rsidR="005F0A44">
              <w:rPr>
                <w:spacing w:val="60"/>
                <w:sz w:val="17"/>
                <w:lang w:val="fr-CH"/>
              </w:rPr>
              <w:tab/>
            </w:r>
          </w:p>
        </w:tc>
        <w:tc>
          <w:tcPr>
            <w:tcW w:w="657" w:type="dxa"/>
            <w:shd w:val="clear" w:color="auto" w:fill="auto"/>
          </w:tcPr>
          <w:p w:rsidR="005F0A44" w:rsidRDefault="00083717" w:rsidP="00CC7761">
            <w:pPr>
              <w:spacing w:after="120"/>
              <w:jc w:val="right"/>
              <w:rPr>
                <w:lang w:val="fr-CH"/>
              </w:rPr>
            </w:pPr>
            <w:r>
              <w:rPr>
                <w:lang w:val="fr-CH"/>
              </w:rPr>
              <w:t>48</w:t>
            </w:r>
          </w:p>
        </w:tc>
      </w:tr>
    </w:tbl>
    <w:p w:rsidR="007360C7" w:rsidRDefault="007360C7">
      <w:pPr>
        <w:spacing w:line="240" w:lineRule="auto"/>
        <w:rPr>
          <w:lang w:val="fr-CH"/>
        </w:rPr>
      </w:pPr>
      <w:r>
        <w:rPr>
          <w:lang w:val="fr-CH"/>
        </w:rPr>
        <w:br w:type="page"/>
      </w:r>
    </w:p>
    <w:p w:rsidR="007360C7" w:rsidRPr="00CA019D" w:rsidRDefault="00EF56EB" w:rsidP="007360C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b/>
      </w:r>
      <w:r>
        <w:rPr>
          <w:lang w:val="fr-CH"/>
        </w:rPr>
        <w:tab/>
      </w:r>
      <w:r w:rsidR="007360C7" w:rsidRPr="00CA019D">
        <w:rPr>
          <w:lang w:val="fr-CH"/>
        </w:rPr>
        <w:t>1.</w:t>
      </w:r>
      <w:r w:rsidR="007360C7" w:rsidRPr="00CA019D">
        <w:rPr>
          <w:lang w:val="fr-CH"/>
        </w:rPr>
        <w:tab/>
      </w:r>
      <w:r w:rsidR="007360C7" w:rsidRPr="00CA019D">
        <w:rPr>
          <w:lang w:val="fr-CH"/>
        </w:rPr>
        <w:tab/>
        <w:t>Domaine d’application</w:t>
      </w:r>
    </w:p>
    <w:p w:rsidR="007360C7" w:rsidRPr="00CA019D" w:rsidRDefault="007360C7" w:rsidP="007360C7">
      <w:pPr>
        <w:pStyle w:val="SingleTxt"/>
        <w:spacing w:after="0" w:line="120" w:lineRule="exact"/>
        <w:rPr>
          <w:sz w:val="10"/>
          <w:lang w:val="fr-CH"/>
        </w:rPr>
      </w:pPr>
    </w:p>
    <w:p w:rsidR="007360C7" w:rsidRPr="00CA019D" w:rsidRDefault="007360C7" w:rsidP="007360C7">
      <w:pPr>
        <w:pStyle w:val="SingleTxt"/>
        <w:spacing w:after="0" w:line="120" w:lineRule="exact"/>
        <w:rPr>
          <w:sz w:val="10"/>
          <w:lang w:val="fr-CH"/>
        </w:rPr>
      </w:pPr>
    </w:p>
    <w:p w:rsidR="007360C7" w:rsidRPr="00CA019D" w:rsidRDefault="007360C7" w:rsidP="007360C7">
      <w:pPr>
        <w:pStyle w:val="SingleTxt"/>
        <w:ind w:left="2218" w:hanging="951"/>
        <w:rPr>
          <w:lang w:val="fr-CH"/>
        </w:rPr>
      </w:pPr>
      <w:r w:rsidRPr="00CA019D">
        <w:rPr>
          <w:lang w:val="fr-CH"/>
        </w:rPr>
        <w:tab/>
      </w:r>
      <w:r w:rsidRPr="00CA019D">
        <w:rPr>
          <w:lang w:val="fr-CH"/>
        </w:rPr>
        <w:tab/>
        <w:t>Le présent Règlement s’applique aux véhicules de la catégorie M</w:t>
      </w:r>
      <w:r w:rsidRPr="00CA019D">
        <w:rPr>
          <w:vertAlign w:val="subscript"/>
          <w:lang w:val="fr-CH"/>
        </w:rPr>
        <w:t>1</w:t>
      </w:r>
      <w:r w:rsidRPr="001F0D2C">
        <w:rPr>
          <w:rStyle w:val="FootnoteReference"/>
          <w:lang w:val="fr-CH"/>
        </w:rPr>
        <w:footnoteReference w:id="2"/>
      </w:r>
      <w:r w:rsidRPr="00CA019D">
        <w:rPr>
          <w:lang w:val="fr-CH"/>
        </w:rPr>
        <w:t xml:space="preserve"> dont la masse maximale admissible est inférieure à 3,5 tonnes; des véhicules d’autres catégories peuvent être homologués à la demande du constructeur.</w:t>
      </w:r>
    </w:p>
    <w:p w:rsidR="007360C7" w:rsidRPr="00CA019D" w:rsidRDefault="007360C7" w:rsidP="007360C7">
      <w:pPr>
        <w:pStyle w:val="SingleTxt"/>
        <w:spacing w:after="0" w:line="120" w:lineRule="exact"/>
        <w:rPr>
          <w:sz w:val="10"/>
          <w:lang w:val="fr-CH"/>
        </w:rPr>
      </w:pPr>
    </w:p>
    <w:p w:rsidR="007360C7" w:rsidRPr="00CA019D" w:rsidRDefault="007360C7" w:rsidP="007360C7">
      <w:pPr>
        <w:pStyle w:val="SingleTxt"/>
        <w:spacing w:after="0" w:line="120" w:lineRule="exact"/>
        <w:rPr>
          <w:sz w:val="10"/>
          <w:lang w:val="fr-CH"/>
        </w:rPr>
      </w:pPr>
    </w:p>
    <w:p w:rsidR="007360C7" w:rsidRPr="00CA019D" w:rsidRDefault="007360C7" w:rsidP="007360C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2" w:name="_Toc381109759"/>
      <w:bookmarkStart w:id="3" w:name="_Toc413834074"/>
      <w:r w:rsidRPr="00CA019D">
        <w:rPr>
          <w:lang w:val="fr-CH"/>
        </w:rPr>
        <w:tab/>
      </w:r>
      <w:r w:rsidRPr="00CA019D">
        <w:rPr>
          <w:lang w:val="fr-CH"/>
        </w:rPr>
        <w:tab/>
        <w:t>2.</w:t>
      </w:r>
      <w:r w:rsidRPr="00CA019D">
        <w:rPr>
          <w:lang w:val="fr-CH"/>
        </w:rPr>
        <w:tab/>
      </w:r>
      <w:r w:rsidRPr="00CA019D">
        <w:rPr>
          <w:lang w:val="fr-CH"/>
        </w:rPr>
        <w:tab/>
        <w:t>Définitions</w:t>
      </w:r>
      <w:bookmarkEnd w:id="2"/>
      <w:bookmarkEnd w:id="3"/>
    </w:p>
    <w:p w:rsidR="007360C7" w:rsidRPr="00CA019D" w:rsidRDefault="007360C7" w:rsidP="007360C7">
      <w:pPr>
        <w:pStyle w:val="SingleTxt"/>
        <w:spacing w:after="0" w:line="120" w:lineRule="exact"/>
        <w:rPr>
          <w:sz w:val="10"/>
          <w:lang w:val="fr-CH"/>
        </w:rPr>
      </w:pPr>
    </w:p>
    <w:p w:rsidR="007360C7" w:rsidRPr="00CA019D" w:rsidRDefault="007360C7" w:rsidP="007360C7">
      <w:pPr>
        <w:pStyle w:val="SingleTxt"/>
        <w:spacing w:after="0" w:line="120" w:lineRule="exact"/>
        <w:rPr>
          <w:sz w:val="10"/>
          <w:lang w:val="fr-CH"/>
        </w:rPr>
      </w:pPr>
    </w:p>
    <w:p w:rsidR="007360C7" w:rsidRPr="00CA019D" w:rsidRDefault="007360C7" w:rsidP="007360C7">
      <w:pPr>
        <w:pStyle w:val="SingleTxt"/>
        <w:rPr>
          <w:lang w:val="fr-CH"/>
        </w:rPr>
      </w:pPr>
      <w:r w:rsidRPr="00CA019D">
        <w:rPr>
          <w:lang w:val="fr-CH"/>
        </w:rPr>
        <w:tab/>
      </w:r>
      <w:r w:rsidRPr="00CA019D">
        <w:rPr>
          <w:lang w:val="fr-CH"/>
        </w:rPr>
        <w:tab/>
        <w:t>Au sens du présent Règlement, on entend par :</w:t>
      </w:r>
    </w:p>
    <w:p w:rsidR="007360C7" w:rsidRPr="00CA019D" w:rsidRDefault="007360C7" w:rsidP="007360C7">
      <w:pPr>
        <w:pStyle w:val="SingleTxt"/>
        <w:ind w:left="2218" w:hanging="951"/>
        <w:rPr>
          <w:lang w:val="fr-CH"/>
        </w:rPr>
      </w:pPr>
      <w:r w:rsidRPr="00CA019D">
        <w:rPr>
          <w:lang w:val="fr-CH"/>
        </w:rPr>
        <w:t>2.1</w:t>
      </w:r>
      <w:r>
        <w:rPr>
          <w:lang w:val="fr-CH"/>
        </w:rPr>
        <w:tab/>
      </w:r>
      <w:r w:rsidRPr="00CA019D">
        <w:rPr>
          <w:lang w:val="fr-CH"/>
        </w:rPr>
        <w:tab/>
        <w:t>« </w:t>
      </w:r>
      <w:r w:rsidRPr="00CA019D">
        <w:rPr>
          <w:i/>
          <w:lang w:val="fr-CH"/>
        </w:rPr>
        <w:t>Système de protection</w:t>
      </w:r>
      <w:r w:rsidRPr="00CA019D">
        <w:rPr>
          <w:lang w:val="fr-CH"/>
        </w:rPr>
        <w:t> », les aménagements intérieurs et dispositifs conçus pour maintenir les occupants et contribuer à satisfaire aux prescriptions du paragraphe 5 ci-après.</w:t>
      </w:r>
    </w:p>
    <w:p w:rsidR="007360C7" w:rsidRPr="00CA019D" w:rsidRDefault="007360C7" w:rsidP="007360C7">
      <w:pPr>
        <w:pStyle w:val="SingleTxt"/>
        <w:ind w:left="2218" w:hanging="951"/>
        <w:rPr>
          <w:lang w:val="fr-CH"/>
        </w:rPr>
      </w:pPr>
      <w:r w:rsidRPr="00CA019D">
        <w:rPr>
          <w:lang w:val="fr-CH"/>
        </w:rPr>
        <w:t>2.2</w:t>
      </w:r>
      <w:r w:rsidRPr="00CA019D">
        <w:rPr>
          <w:lang w:val="fr-CH"/>
        </w:rPr>
        <w:tab/>
      </w:r>
      <w:r>
        <w:rPr>
          <w:lang w:val="fr-CH"/>
        </w:rPr>
        <w:tab/>
      </w:r>
      <w:r w:rsidRPr="00CA019D">
        <w:rPr>
          <w:lang w:val="fr-CH"/>
        </w:rPr>
        <w:t>« </w:t>
      </w:r>
      <w:r w:rsidRPr="00CA019D">
        <w:rPr>
          <w:i/>
          <w:lang w:val="fr-CH"/>
        </w:rPr>
        <w:t>Type de système de protection</w:t>
      </w:r>
      <w:r w:rsidRPr="00CA019D">
        <w:rPr>
          <w:lang w:val="fr-CH"/>
        </w:rPr>
        <w:t> », une catégorie de dispositifs de protection ne présentant pas entre eux de différences essentielles, notamment en ce qui concerne</w:t>
      </w:r>
      <w:r w:rsidR="008B4BCA">
        <w:rPr>
          <w:lang w:val="fr-CH"/>
        </w:rPr>
        <w:t> </w:t>
      </w:r>
      <w:r w:rsidRPr="00CA019D">
        <w:rPr>
          <w:lang w:val="fr-CH"/>
        </w:rPr>
        <w:t>:</w:t>
      </w:r>
    </w:p>
    <w:p w:rsidR="007360C7" w:rsidRPr="00CA019D" w:rsidRDefault="007360C7" w:rsidP="007360C7">
      <w:pPr>
        <w:pStyle w:val="SingleTxt"/>
        <w:rPr>
          <w:lang w:val="fr-CH"/>
        </w:rPr>
      </w:pPr>
      <w:r w:rsidRPr="00CA019D">
        <w:rPr>
          <w:lang w:val="fr-CH"/>
        </w:rPr>
        <w:tab/>
      </w:r>
      <w:r w:rsidRPr="00CA019D">
        <w:rPr>
          <w:lang w:val="fr-CH"/>
        </w:rPr>
        <w:tab/>
        <w:t>a)</w:t>
      </w:r>
      <w:r w:rsidRPr="00CA019D">
        <w:rPr>
          <w:lang w:val="fr-CH"/>
        </w:rPr>
        <w:tab/>
        <w:t>Les techniques utilisées;</w:t>
      </w:r>
    </w:p>
    <w:p w:rsidR="007360C7" w:rsidRPr="00CA019D" w:rsidRDefault="007360C7" w:rsidP="007360C7">
      <w:pPr>
        <w:pStyle w:val="SingleTxt"/>
        <w:rPr>
          <w:lang w:val="fr-CH"/>
        </w:rPr>
      </w:pPr>
      <w:r w:rsidRPr="00CA019D">
        <w:rPr>
          <w:lang w:val="fr-CH"/>
        </w:rPr>
        <w:tab/>
      </w:r>
      <w:r w:rsidRPr="00CA019D">
        <w:rPr>
          <w:lang w:val="fr-CH"/>
        </w:rPr>
        <w:tab/>
        <w:t>b)</w:t>
      </w:r>
      <w:r w:rsidRPr="00CA019D">
        <w:rPr>
          <w:lang w:val="fr-CH"/>
        </w:rPr>
        <w:tab/>
        <w:t>Leur géométrie;</w:t>
      </w:r>
    </w:p>
    <w:p w:rsidR="007360C7" w:rsidRPr="00CA019D" w:rsidRDefault="007360C7" w:rsidP="007360C7">
      <w:pPr>
        <w:pStyle w:val="SingleTxt"/>
        <w:rPr>
          <w:lang w:val="fr-CH"/>
        </w:rPr>
      </w:pPr>
      <w:r w:rsidRPr="00CA019D">
        <w:rPr>
          <w:lang w:val="fr-CH"/>
        </w:rPr>
        <w:tab/>
      </w:r>
      <w:r w:rsidRPr="00CA019D">
        <w:rPr>
          <w:lang w:val="fr-CH"/>
        </w:rPr>
        <w:tab/>
        <w:t>c)</w:t>
      </w:r>
      <w:r w:rsidRPr="00CA019D">
        <w:rPr>
          <w:lang w:val="fr-CH"/>
        </w:rPr>
        <w:tab/>
        <w:t>Leurs matériaux constitutifs.</w:t>
      </w:r>
    </w:p>
    <w:p w:rsidR="007360C7" w:rsidRPr="00CA019D" w:rsidRDefault="007360C7" w:rsidP="007360C7">
      <w:pPr>
        <w:pStyle w:val="SingleTxt"/>
        <w:ind w:left="2218" w:hanging="951"/>
        <w:rPr>
          <w:i/>
          <w:u w:val="single"/>
          <w:lang w:val="fr-CH"/>
        </w:rPr>
      </w:pPr>
      <w:r w:rsidRPr="00CA019D">
        <w:rPr>
          <w:lang w:val="fr-CH"/>
        </w:rPr>
        <w:fldChar w:fldCharType="begin"/>
      </w:r>
      <w:r w:rsidRPr="00CA019D">
        <w:rPr>
          <w:lang w:val="fr-CH"/>
        </w:rPr>
        <w:instrText xml:space="preserve"> SEQ CHAPTER \h \r 1</w:instrText>
      </w:r>
      <w:r w:rsidRPr="00CA019D">
        <w:rPr>
          <w:lang w:val="fr-CH"/>
        </w:rPr>
        <w:fldChar w:fldCharType="end"/>
      </w:r>
      <w:r w:rsidRPr="00CA019D">
        <w:rPr>
          <w:lang w:val="fr-CH"/>
        </w:rPr>
        <w:t>2.3</w:t>
      </w:r>
      <w:r w:rsidRPr="00CA019D">
        <w:rPr>
          <w:lang w:val="fr-CH"/>
        </w:rPr>
        <w:tab/>
      </w:r>
      <w:r>
        <w:rPr>
          <w:lang w:val="fr-CH"/>
        </w:rPr>
        <w:tab/>
      </w:r>
      <w:r w:rsidRPr="00CA019D">
        <w:rPr>
          <w:lang w:val="fr-CH"/>
        </w:rPr>
        <w:t>« </w:t>
      </w:r>
      <w:r w:rsidRPr="00CA019D">
        <w:rPr>
          <w:i/>
          <w:lang w:val="fr-CH"/>
        </w:rPr>
        <w:t>Largeur du véhicule</w:t>
      </w:r>
      <w:r w:rsidRPr="00CA019D">
        <w:rPr>
          <w:lang w:val="fr-CH"/>
        </w:rPr>
        <w:t> », la distance entre deux plans parallèles au plan longitudinal médian du véhicule et tangents à ce dernier de chaque côté dudit plan, à l’exclusion des rétroviseurs, des feux de gabarit, des indicateurs de pression des pneumatiques, des feux indicateurs de direction, des feux de position, des garde-boue souples et du renflement des flancs des pneumatiques juste au-dessus du point de contact avec le sol.</w:t>
      </w:r>
    </w:p>
    <w:p w:rsidR="007360C7" w:rsidRPr="00CA019D" w:rsidRDefault="007360C7" w:rsidP="007360C7">
      <w:pPr>
        <w:pStyle w:val="SingleTxt"/>
        <w:ind w:left="2218" w:hanging="951"/>
        <w:rPr>
          <w:lang w:val="fr-CH"/>
        </w:rPr>
      </w:pPr>
      <w:r w:rsidRPr="00CA019D">
        <w:rPr>
          <w:lang w:val="fr-CH"/>
        </w:rPr>
        <w:t>2.4</w:t>
      </w:r>
      <w:r w:rsidRPr="00CA019D">
        <w:rPr>
          <w:lang w:val="fr-CH"/>
        </w:rPr>
        <w:tab/>
      </w:r>
      <w:r>
        <w:rPr>
          <w:lang w:val="fr-CH"/>
        </w:rPr>
        <w:tab/>
      </w:r>
      <w:r w:rsidRPr="00CA019D">
        <w:rPr>
          <w:lang w:val="fr-CH"/>
        </w:rPr>
        <w:t>« </w:t>
      </w:r>
      <w:r w:rsidRPr="00CA019D">
        <w:rPr>
          <w:i/>
          <w:lang w:val="fr-CH"/>
        </w:rPr>
        <w:t>Type de véhicule</w:t>
      </w:r>
      <w:r w:rsidRPr="00CA019D">
        <w:rPr>
          <w:lang w:val="fr-CH"/>
        </w:rPr>
        <w:t> », une catégorie de véhicules à moteur ne présentant pas entre eux de différences essentielles, notamment en ce qui concerne</w:t>
      </w:r>
      <w:r w:rsidR="008B4BCA">
        <w:rPr>
          <w:lang w:val="fr-CH"/>
        </w:rPr>
        <w:t> </w:t>
      </w:r>
      <w:r w:rsidRPr="00CA019D">
        <w:rPr>
          <w:lang w:val="fr-CH"/>
        </w:rPr>
        <w:t>:</w:t>
      </w:r>
    </w:p>
    <w:p w:rsidR="007360C7" w:rsidRPr="00CA019D" w:rsidRDefault="007360C7" w:rsidP="007360C7">
      <w:pPr>
        <w:pStyle w:val="SingleTxt"/>
        <w:ind w:left="2218" w:hanging="951"/>
        <w:rPr>
          <w:lang w:val="fr-CH"/>
        </w:rPr>
      </w:pPr>
      <w:r w:rsidRPr="00CA019D">
        <w:rPr>
          <w:lang w:val="fr-CH"/>
        </w:rPr>
        <w:t>2.4.1</w:t>
      </w:r>
      <w:r w:rsidRPr="00CA019D">
        <w:rPr>
          <w:lang w:val="fr-CH"/>
        </w:rPr>
        <w:tab/>
      </w:r>
      <w:r>
        <w:rPr>
          <w:lang w:val="fr-CH"/>
        </w:rPr>
        <w:tab/>
      </w:r>
      <w:r w:rsidRPr="00CA019D">
        <w:rPr>
          <w:lang w:val="fr-CH"/>
        </w:rPr>
        <w:t>La longueur et la largeur du véhicule, dans la mesure où elles faussent les résultats de l’essai de choc prescrit dans le présent Règlement;</w:t>
      </w:r>
    </w:p>
    <w:p w:rsidR="007360C7" w:rsidRPr="00CA019D" w:rsidRDefault="007360C7" w:rsidP="007360C7">
      <w:pPr>
        <w:pStyle w:val="SingleTxt"/>
        <w:ind w:left="2218" w:hanging="951"/>
        <w:rPr>
          <w:lang w:val="fr-CH"/>
        </w:rPr>
      </w:pPr>
      <w:r w:rsidRPr="00CA019D">
        <w:rPr>
          <w:lang w:val="fr-CH"/>
        </w:rPr>
        <w:t>2.4.2</w:t>
      </w:r>
      <w:r w:rsidRPr="00CA019D">
        <w:rPr>
          <w:lang w:val="fr-CH"/>
        </w:rPr>
        <w:tab/>
      </w:r>
      <w:r>
        <w:rPr>
          <w:lang w:val="fr-CH"/>
        </w:rPr>
        <w:tab/>
      </w:r>
      <w:r w:rsidRPr="00CA019D">
        <w:rPr>
          <w:lang w:val="fr-CH"/>
        </w:rPr>
        <w:t>La structure, les dimensions, la forme et les matériaux de la partie du véhicule à l’avant du plan transversal passant par le point R du siège du conducteur, dans la mesure où ils faussent les résultats de l’essai de choc prescrit dans le présent Règlement;</w:t>
      </w:r>
    </w:p>
    <w:p w:rsidR="007360C7" w:rsidRPr="00CA019D" w:rsidRDefault="007360C7" w:rsidP="007360C7">
      <w:pPr>
        <w:pStyle w:val="SingleTxt"/>
        <w:ind w:left="2218" w:hanging="951"/>
        <w:rPr>
          <w:lang w:val="fr-CH"/>
        </w:rPr>
      </w:pPr>
      <w:r w:rsidRPr="00CA019D">
        <w:rPr>
          <w:lang w:val="fr-CH"/>
        </w:rPr>
        <w:t>2.4.3</w:t>
      </w:r>
      <w:r>
        <w:rPr>
          <w:lang w:val="fr-CH"/>
        </w:rPr>
        <w:tab/>
      </w:r>
      <w:r w:rsidRPr="00CA019D">
        <w:rPr>
          <w:lang w:val="fr-CH"/>
        </w:rPr>
        <w:tab/>
        <w:t>La forme et les dimensions intérieures de l’habitacle et le type de système de protection, dans la mesure où ils faussent les résultats de l’essai de choc prescrit dans le présent Règlement;</w:t>
      </w:r>
    </w:p>
    <w:p w:rsidR="007360C7" w:rsidRPr="00CA019D" w:rsidRDefault="007360C7" w:rsidP="007360C7">
      <w:pPr>
        <w:pStyle w:val="SingleTxt"/>
        <w:ind w:left="2218" w:hanging="951"/>
        <w:rPr>
          <w:lang w:val="fr-CH"/>
        </w:rPr>
      </w:pPr>
      <w:r w:rsidRPr="00CA019D">
        <w:rPr>
          <w:lang w:val="fr-CH"/>
        </w:rPr>
        <w:t>2.4.4</w:t>
      </w:r>
      <w:r w:rsidRPr="00CA019D">
        <w:rPr>
          <w:lang w:val="fr-CH"/>
        </w:rPr>
        <w:tab/>
      </w:r>
      <w:r>
        <w:rPr>
          <w:lang w:val="fr-CH"/>
        </w:rPr>
        <w:tab/>
      </w:r>
      <w:r w:rsidRPr="00CA019D">
        <w:rPr>
          <w:lang w:val="fr-CH"/>
        </w:rPr>
        <w:t>L’emplacement (avant, arrière ou central) et l’orientation (transversale ou longitudinale) du moteur, dans la mesure où ils faussent les résultats de l’essai de choc prescrit dans le présent Règlement;</w:t>
      </w:r>
    </w:p>
    <w:p w:rsidR="007360C7" w:rsidRPr="00CA019D" w:rsidRDefault="007360C7" w:rsidP="007360C7">
      <w:pPr>
        <w:pStyle w:val="SingleTxt"/>
        <w:ind w:left="2218" w:hanging="951"/>
        <w:rPr>
          <w:lang w:val="fr-CH"/>
        </w:rPr>
      </w:pPr>
      <w:r w:rsidRPr="00CA019D">
        <w:rPr>
          <w:lang w:val="fr-CH"/>
        </w:rPr>
        <w:t>2.4.5</w:t>
      </w:r>
      <w:r w:rsidRPr="00CA019D">
        <w:rPr>
          <w:lang w:val="fr-CH"/>
        </w:rPr>
        <w:tab/>
      </w:r>
      <w:r>
        <w:rPr>
          <w:lang w:val="fr-CH"/>
        </w:rPr>
        <w:tab/>
      </w:r>
      <w:r w:rsidRPr="00CA019D">
        <w:rPr>
          <w:lang w:val="fr-CH"/>
        </w:rPr>
        <w:t>La masse à vide, dans la mesure où elle fausse les résultats de l’essai de choc prescrit dans le présent Règlement;</w:t>
      </w:r>
    </w:p>
    <w:p w:rsidR="007360C7" w:rsidRPr="00CA019D" w:rsidRDefault="007360C7" w:rsidP="007360C7">
      <w:pPr>
        <w:pStyle w:val="SingleTxt"/>
        <w:ind w:left="2218" w:hanging="951"/>
        <w:rPr>
          <w:lang w:val="fr-CH"/>
        </w:rPr>
      </w:pPr>
      <w:r w:rsidRPr="00CA019D">
        <w:rPr>
          <w:lang w:val="fr-CH"/>
        </w:rPr>
        <w:t>2.4.6</w:t>
      </w:r>
      <w:r w:rsidRPr="00CA019D">
        <w:rPr>
          <w:lang w:val="fr-CH"/>
        </w:rPr>
        <w:tab/>
      </w:r>
      <w:r>
        <w:rPr>
          <w:lang w:val="fr-CH"/>
        </w:rPr>
        <w:tab/>
      </w:r>
      <w:r w:rsidRPr="00CA019D">
        <w:rPr>
          <w:lang w:val="fr-CH"/>
        </w:rPr>
        <w:t>Les accessoires ou aménagements fournis en option par le constructeur, dans la mesure où ils faussent les résultats de l’essai de choc prescrit dans le présent Règlement;</w:t>
      </w:r>
    </w:p>
    <w:p w:rsidR="007360C7" w:rsidRPr="00CA019D" w:rsidRDefault="007360C7" w:rsidP="007360C7">
      <w:pPr>
        <w:pStyle w:val="SingleTxt"/>
        <w:ind w:left="2218" w:hanging="951"/>
        <w:rPr>
          <w:lang w:val="fr-CH"/>
        </w:rPr>
      </w:pPr>
      <w:r w:rsidRPr="00CA019D">
        <w:rPr>
          <w:lang w:val="fr-CH"/>
        </w:rPr>
        <w:lastRenderedPageBreak/>
        <w:t>2.4.7</w:t>
      </w:r>
      <w:r w:rsidRPr="00CA019D">
        <w:rPr>
          <w:lang w:val="fr-CH"/>
        </w:rPr>
        <w:tab/>
      </w:r>
      <w:r>
        <w:rPr>
          <w:lang w:val="fr-CH"/>
        </w:rPr>
        <w:tab/>
      </w:r>
      <w:r w:rsidRPr="00CA019D">
        <w:rPr>
          <w:lang w:val="fr-CH"/>
        </w:rPr>
        <w:t xml:space="preserve">Les emplacements des systèmes rechargeables de stockage de l’énergie électrique (SRSEE), dans la mesure où ils </w:t>
      </w:r>
      <w:bookmarkStart w:id="4" w:name="hit1"/>
      <w:bookmarkEnd w:id="4"/>
      <w:r w:rsidRPr="00CA019D">
        <w:rPr>
          <w:lang w:val="fr-CH"/>
        </w:rPr>
        <w:t xml:space="preserve">faussent </w:t>
      </w:r>
      <w:bookmarkStart w:id="5" w:name="hit2"/>
      <w:bookmarkEnd w:id="5"/>
      <w:r w:rsidRPr="00CA019D">
        <w:rPr>
          <w:lang w:val="fr-CH"/>
        </w:rPr>
        <w:t xml:space="preserve">les </w:t>
      </w:r>
      <w:bookmarkStart w:id="6" w:name="hit3"/>
      <w:bookmarkEnd w:id="6"/>
      <w:r w:rsidRPr="00CA019D">
        <w:rPr>
          <w:lang w:val="fr-CH"/>
        </w:rPr>
        <w:t xml:space="preserve">résultats </w:t>
      </w:r>
      <w:bookmarkStart w:id="7" w:name="hit4"/>
      <w:bookmarkEnd w:id="7"/>
      <w:r w:rsidRPr="00CA019D">
        <w:rPr>
          <w:lang w:val="fr-CH"/>
        </w:rPr>
        <w:t xml:space="preserve">de </w:t>
      </w:r>
      <w:bookmarkStart w:id="8" w:name="hit5"/>
      <w:bookmarkEnd w:id="8"/>
      <w:r w:rsidRPr="00CA019D">
        <w:rPr>
          <w:lang w:val="fr-CH"/>
        </w:rPr>
        <w:t>l’</w:t>
      </w:r>
      <w:bookmarkStart w:id="9" w:name="hit6"/>
      <w:bookmarkEnd w:id="9"/>
      <w:r w:rsidRPr="00CA019D">
        <w:rPr>
          <w:lang w:val="fr-CH"/>
        </w:rPr>
        <w:t xml:space="preserve">essai </w:t>
      </w:r>
      <w:bookmarkStart w:id="10" w:name="hit7"/>
      <w:bookmarkEnd w:id="10"/>
      <w:r w:rsidRPr="00CA019D">
        <w:rPr>
          <w:lang w:val="fr-CH"/>
        </w:rPr>
        <w:t xml:space="preserve">de </w:t>
      </w:r>
      <w:bookmarkStart w:id="11" w:name="hit8"/>
      <w:bookmarkEnd w:id="11"/>
      <w:r w:rsidRPr="00CA019D">
        <w:rPr>
          <w:lang w:val="fr-CH"/>
        </w:rPr>
        <w:t xml:space="preserve">choc </w:t>
      </w:r>
      <w:bookmarkStart w:id="12" w:name="hit9"/>
      <w:bookmarkEnd w:id="12"/>
      <w:r w:rsidRPr="00CA019D">
        <w:rPr>
          <w:lang w:val="fr-CH"/>
        </w:rPr>
        <w:t xml:space="preserve">prescrit </w:t>
      </w:r>
      <w:bookmarkStart w:id="13" w:name="hit10"/>
      <w:bookmarkEnd w:id="13"/>
      <w:r w:rsidRPr="00CA019D">
        <w:rPr>
          <w:lang w:val="fr-CH"/>
        </w:rPr>
        <w:t xml:space="preserve">dans </w:t>
      </w:r>
      <w:bookmarkStart w:id="14" w:name="hit11"/>
      <w:bookmarkEnd w:id="14"/>
      <w:r w:rsidRPr="00CA019D">
        <w:rPr>
          <w:lang w:val="fr-CH"/>
        </w:rPr>
        <w:t xml:space="preserve">le </w:t>
      </w:r>
      <w:bookmarkStart w:id="15" w:name="hit12"/>
      <w:bookmarkEnd w:id="15"/>
      <w:r w:rsidRPr="00CA019D">
        <w:rPr>
          <w:lang w:val="fr-CH"/>
        </w:rPr>
        <w:t xml:space="preserve">présent </w:t>
      </w:r>
      <w:bookmarkStart w:id="16" w:name="hit_last"/>
      <w:bookmarkEnd w:id="16"/>
      <w:r w:rsidRPr="00CA019D">
        <w:rPr>
          <w:lang w:val="fr-CH"/>
        </w:rPr>
        <w:t>Règlement.</w:t>
      </w:r>
    </w:p>
    <w:p w:rsidR="007360C7" w:rsidRPr="00CA019D" w:rsidRDefault="007360C7" w:rsidP="007360C7">
      <w:pPr>
        <w:pStyle w:val="SingleTxt"/>
        <w:ind w:left="2218" w:hanging="951"/>
        <w:rPr>
          <w:lang w:val="fr-CH"/>
        </w:rPr>
      </w:pPr>
      <w:r w:rsidRPr="00CA019D">
        <w:rPr>
          <w:lang w:val="fr-CH"/>
        </w:rPr>
        <w:t>2.5</w:t>
      </w:r>
      <w:r w:rsidRPr="00CA019D">
        <w:rPr>
          <w:lang w:val="fr-CH"/>
        </w:rPr>
        <w:tab/>
      </w:r>
      <w:r>
        <w:rPr>
          <w:lang w:val="fr-CH"/>
        </w:rPr>
        <w:tab/>
      </w:r>
      <w:r w:rsidRPr="00CA019D">
        <w:rPr>
          <w:lang w:val="fr-CH"/>
        </w:rPr>
        <w:t>Habitacle</w:t>
      </w:r>
    </w:p>
    <w:p w:rsidR="007360C7" w:rsidRPr="00CA019D" w:rsidRDefault="007360C7" w:rsidP="007360C7">
      <w:pPr>
        <w:pStyle w:val="SingleTxt"/>
        <w:ind w:left="2218" w:hanging="951"/>
        <w:rPr>
          <w:lang w:val="fr-CH"/>
        </w:rPr>
      </w:pPr>
      <w:r w:rsidRPr="00CA019D">
        <w:rPr>
          <w:lang w:val="fr-CH"/>
        </w:rPr>
        <w:t>2.5.1</w:t>
      </w:r>
      <w:r w:rsidRPr="00CA019D">
        <w:rPr>
          <w:lang w:val="fr-CH"/>
        </w:rPr>
        <w:tab/>
      </w:r>
      <w:r>
        <w:rPr>
          <w:lang w:val="fr-CH"/>
        </w:rPr>
        <w:tab/>
        <w:t>« </w:t>
      </w:r>
      <w:r w:rsidRPr="00CA019D">
        <w:rPr>
          <w:i/>
          <w:lang w:val="fr-CH"/>
        </w:rPr>
        <w:t>Habitacle, s’agissant de la protection des occupants</w:t>
      </w:r>
      <w:r>
        <w:rPr>
          <w:lang w:val="fr-CH"/>
        </w:rPr>
        <w:t> »</w:t>
      </w:r>
      <w:r w:rsidRPr="00CA019D">
        <w:rPr>
          <w:lang w:val="fr-CH"/>
        </w:rPr>
        <w:t>, l’espace réservé aux occupants et délimité par le pavillon, le plancher, les parois latérales, les portières, les vitres extérieures, la cloison moteur et le plan de la cloison du compartiment arrière ou celui du support du dossier du siège arrière;</w:t>
      </w:r>
    </w:p>
    <w:p w:rsidR="007360C7" w:rsidRPr="00CA019D" w:rsidRDefault="007360C7" w:rsidP="007360C7">
      <w:pPr>
        <w:pStyle w:val="SingleTxt"/>
        <w:ind w:left="2218" w:hanging="951"/>
        <w:rPr>
          <w:lang w:val="fr-CH"/>
        </w:rPr>
      </w:pPr>
      <w:r w:rsidRPr="00CA019D">
        <w:rPr>
          <w:lang w:val="fr-CH"/>
        </w:rPr>
        <w:t>2.5.2</w:t>
      </w:r>
      <w:r>
        <w:rPr>
          <w:lang w:val="fr-CH"/>
        </w:rPr>
        <w:tab/>
      </w:r>
      <w:r w:rsidRPr="00CA019D">
        <w:rPr>
          <w:lang w:val="fr-CH"/>
        </w:rPr>
        <w:tab/>
      </w:r>
      <w:r>
        <w:rPr>
          <w:lang w:val="fr-CH"/>
        </w:rPr>
        <w:t>« </w:t>
      </w:r>
      <w:r w:rsidRPr="00CA019D">
        <w:rPr>
          <w:i/>
          <w:lang w:val="fr-CH"/>
        </w:rPr>
        <w:t>Habitacle, s’agissant de l’évaluation de la sûreté électrique</w:t>
      </w:r>
      <w:r>
        <w:rPr>
          <w:lang w:val="fr-CH"/>
        </w:rPr>
        <w:t> »</w:t>
      </w:r>
      <w:r w:rsidR="00360ADF">
        <w:rPr>
          <w:lang w:val="fr-CH"/>
        </w:rPr>
        <w:t>,</w:t>
      </w:r>
      <w:r w:rsidRPr="00CA019D">
        <w:rPr>
          <w:lang w:val="fr-CH"/>
        </w:rPr>
        <w:t xml:space="preserve"> l’espace réservé aux occupants et délimité par le pavillon, le plancher, les parois latérales, les portières, les vitres extérieures, la cloison avant et la cloison arrière, ainsi que par les barrières et les carters servant à protéger les occupants de tout contact direct avec les éléments à haute tension.</w:t>
      </w:r>
    </w:p>
    <w:p w:rsidR="007360C7" w:rsidRPr="00CA019D" w:rsidRDefault="007360C7" w:rsidP="007360C7">
      <w:pPr>
        <w:pStyle w:val="SingleTxt"/>
        <w:ind w:left="2218" w:hanging="951"/>
        <w:rPr>
          <w:lang w:val="fr-CH"/>
        </w:rPr>
      </w:pPr>
      <w:r w:rsidRPr="00CA019D">
        <w:rPr>
          <w:lang w:val="fr-CH"/>
        </w:rPr>
        <w:t>2.6</w:t>
      </w:r>
      <w:r>
        <w:rPr>
          <w:lang w:val="fr-CH"/>
        </w:rPr>
        <w:tab/>
      </w:r>
      <w:r w:rsidRPr="00CA019D">
        <w:rPr>
          <w:lang w:val="fr-CH"/>
        </w:rPr>
        <w:tab/>
      </w:r>
      <w:r>
        <w:rPr>
          <w:lang w:val="fr-CH"/>
        </w:rPr>
        <w:t>« </w:t>
      </w:r>
      <w:r w:rsidRPr="00CA019D">
        <w:rPr>
          <w:i/>
          <w:lang w:val="fr-CH"/>
        </w:rPr>
        <w:t>Point R</w:t>
      </w:r>
      <w:r>
        <w:rPr>
          <w:lang w:val="fr-CH"/>
        </w:rPr>
        <w:t> »</w:t>
      </w:r>
      <w:r w:rsidRPr="00CA019D">
        <w:rPr>
          <w:lang w:val="fr-CH"/>
        </w:rPr>
        <w:t>, un point de référence défini pour chaque siège par le constructeur, en relation avec la structure du véhicule, comme indiqué à l’annexe 6.</w:t>
      </w:r>
    </w:p>
    <w:p w:rsidR="007360C7" w:rsidRPr="00CA019D" w:rsidRDefault="007360C7" w:rsidP="007360C7">
      <w:pPr>
        <w:pStyle w:val="SingleTxt"/>
        <w:ind w:left="2218" w:hanging="951"/>
        <w:rPr>
          <w:lang w:val="fr-CH"/>
        </w:rPr>
      </w:pPr>
      <w:r w:rsidRPr="00CA019D">
        <w:rPr>
          <w:lang w:val="fr-CH"/>
        </w:rPr>
        <w:t>2.7</w:t>
      </w:r>
      <w:r>
        <w:rPr>
          <w:lang w:val="fr-CH"/>
        </w:rPr>
        <w:tab/>
      </w:r>
      <w:r w:rsidRPr="00CA019D">
        <w:rPr>
          <w:lang w:val="fr-CH"/>
        </w:rPr>
        <w:tab/>
      </w:r>
      <w:r>
        <w:rPr>
          <w:lang w:val="fr-CH"/>
        </w:rPr>
        <w:t>« </w:t>
      </w:r>
      <w:r w:rsidRPr="00CA019D">
        <w:rPr>
          <w:i/>
          <w:lang w:val="fr-CH"/>
        </w:rPr>
        <w:t>Point H</w:t>
      </w:r>
      <w:r>
        <w:rPr>
          <w:lang w:val="fr-CH"/>
        </w:rPr>
        <w:t> »</w:t>
      </w:r>
      <w:r w:rsidRPr="00CA019D">
        <w:rPr>
          <w:lang w:val="fr-CH"/>
        </w:rPr>
        <w:t>, un point de référence déterminé pour chaque siège par le service technique chargé des essais, conformément à la procédure décrite à l’annexe 6.</w:t>
      </w:r>
    </w:p>
    <w:p w:rsidR="007360C7" w:rsidRPr="00CA019D" w:rsidRDefault="007360C7" w:rsidP="007360C7">
      <w:pPr>
        <w:pStyle w:val="SingleTxt"/>
        <w:ind w:left="2218" w:hanging="951"/>
        <w:rPr>
          <w:lang w:val="fr-CH"/>
        </w:rPr>
      </w:pPr>
      <w:r w:rsidRPr="00CA019D">
        <w:rPr>
          <w:lang w:val="fr-CH"/>
        </w:rPr>
        <w:t>2.8</w:t>
      </w:r>
      <w:r w:rsidRPr="00CA019D">
        <w:rPr>
          <w:lang w:val="fr-CH"/>
        </w:rPr>
        <w:tab/>
      </w:r>
      <w:r>
        <w:rPr>
          <w:lang w:val="fr-CH"/>
        </w:rPr>
        <w:tab/>
        <w:t>« </w:t>
      </w:r>
      <w:r w:rsidRPr="00CA019D">
        <w:rPr>
          <w:i/>
          <w:lang w:val="fr-CH"/>
        </w:rPr>
        <w:t>Masse à vide du véhicule en ordre de marche</w:t>
      </w:r>
      <w:r>
        <w:rPr>
          <w:lang w:val="fr-CH"/>
        </w:rPr>
        <w:t> »</w:t>
      </w:r>
      <w:r w:rsidRPr="00CA019D">
        <w:rPr>
          <w:lang w:val="fr-CH"/>
        </w:rPr>
        <w:t>, la masse du véhicule en ordre de marche, sans occupant ni chargement, mais avec carburant, liquide de refroidissement, lubrifiant, outillage et roue de secours (s’ils sont fournis normalement par le constructeur).</w:t>
      </w:r>
    </w:p>
    <w:p w:rsidR="007360C7" w:rsidRPr="00CA019D" w:rsidRDefault="007360C7" w:rsidP="007360C7">
      <w:pPr>
        <w:pStyle w:val="SingleTxt"/>
        <w:ind w:left="2218" w:hanging="951"/>
        <w:rPr>
          <w:lang w:val="fr-CH"/>
        </w:rPr>
      </w:pPr>
      <w:r w:rsidRPr="00CA019D">
        <w:rPr>
          <w:lang w:val="fr-CH"/>
        </w:rPr>
        <w:t>2.9</w:t>
      </w:r>
      <w:r>
        <w:rPr>
          <w:lang w:val="fr-CH"/>
        </w:rPr>
        <w:tab/>
      </w:r>
      <w:r w:rsidRPr="00CA019D">
        <w:rPr>
          <w:lang w:val="fr-CH"/>
        </w:rPr>
        <w:tab/>
      </w:r>
      <w:r>
        <w:rPr>
          <w:lang w:val="fr-CH"/>
        </w:rPr>
        <w:t>« </w:t>
      </w:r>
      <w:r w:rsidRPr="00CA019D">
        <w:rPr>
          <w:i/>
          <w:lang w:val="fr-CH"/>
        </w:rPr>
        <w:t>Coussin gonflable</w:t>
      </w:r>
      <w:r>
        <w:rPr>
          <w:lang w:val="fr-CH"/>
        </w:rPr>
        <w:t> »</w:t>
      </w:r>
      <w:r w:rsidRPr="00CA019D">
        <w:rPr>
          <w:lang w:val="fr-CH"/>
        </w:rPr>
        <w:t>, un dispositif conçu pour compléter les ceintures de sécurité et les systèmes de retenue dans les véhicules à moteur, c’est-à-dire qui, en cas de choc violent subi par le véhicule, libère une structure souple capable d’atténuer, par compression du gaz qu’elle contient, la gravité du contact entre une ou plusieurs des parties du corps d’un occupant du véhicule et l’intérieur de l’habitacle.</w:t>
      </w:r>
    </w:p>
    <w:p w:rsidR="007360C7" w:rsidRPr="00CA019D" w:rsidRDefault="007360C7" w:rsidP="007360C7">
      <w:pPr>
        <w:pStyle w:val="SingleTxt"/>
        <w:ind w:left="2218" w:hanging="951"/>
        <w:rPr>
          <w:lang w:val="fr-CH"/>
        </w:rPr>
      </w:pPr>
      <w:r w:rsidRPr="00CA019D">
        <w:rPr>
          <w:lang w:val="fr-CH"/>
        </w:rPr>
        <w:t>2.10</w:t>
      </w:r>
      <w:r>
        <w:rPr>
          <w:lang w:val="fr-CH"/>
        </w:rPr>
        <w:tab/>
      </w:r>
      <w:r w:rsidRPr="00CA019D">
        <w:rPr>
          <w:lang w:val="fr-CH"/>
        </w:rPr>
        <w:tab/>
      </w:r>
      <w:r>
        <w:rPr>
          <w:lang w:val="fr-CH"/>
        </w:rPr>
        <w:t>« </w:t>
      </w:r>
      <w:r w:rsidRPr="00CA019D">
        <w:rPr>
          <w:i/>
          <w:lang w:val="fr-CH"/>
        </w:rPr>
        <w:t>Coussin gonflable pour passager</w:t>
      </w:r>
      <w:r>
        <w:rPr>
          <w:lang w:val="fr-CH"/>
        </w:rPr>
        <w:t> »</w:t>
      </w:r>
      <w:r w:rsidR="00360ADF">
        <w:rPr>
          <w:lang w:val="fr-CH"/>
        </w:rPr>
        <w:t>,</w:t>
      </w:r>
      <w:r w:rsidRPr="00CA019D">
        <w:rPr>
          <w:lang w:val="fr-CH"/>
        </w:rPr>
        <w:t xml:space="preserve"> une installation de coussin gonflable conçue pour protéger l’occupant (les occupants) du (des) siège(s) autre(s) que celui du conducteur en cas de choc frontal.</w:t>
      </w:r>
    </w:p>
    <w:p w:rsidR="007360C7" w:rsidRPr="00CA019D" w:rsidRDefault="007360C7" w:rsidP="007360C7">
      <w:pPr>
        <w:pStyle w:val="SingleTxt"/>
        <w:ind w:left="2218" w:hanging="951"/>
        <w:rPr>
          <w:lang w:val="fr-CH"/>
        </w:rPr>
      </w:pPr>
      <w:r w:rsidRPr="00CA019D">
        <w:rPr>
          <w:lang w:val="fr-CH"/>
        </w:rPr>
        <w:t>2.11</w:t>
      </w:r>
      <w:r>
        <w:rPr>
          <w:lang w:val="fr-CH"/>
        </w:rPr>
        <w:tab/>
      </w:r>
      <w:r>
        <w:rPr>
          <w:lang w:val="fr-CH"/>
        </w:rPr>
        <w:tab/>
        <w:t>« </w:t>
      </w:r>
      <w:r w:rsidRPr="00CA019D">
        <w:rPr>
          <w:i/>
          <w:lang w:val="fr-CH"/>
        </w:rPr>
        <w:t>Haute tension</w:t>
      </w:r>
      <w:r>
        <w:rPr>
          <w:lang w:val="fr-CH"/>
        </w:rPr>
        <w:t> »</w:t>
      </w:r>
      <w:r w:rsidRPr="00CA019D">
        <w:rPr>
          <w:lang w:val="fr-CH"/>
        </w:rPr>
        <w:t>, la classification nominale d’un composant ou circuit électrique, si sa tension de fonctionnement est &gt;60 V et ≤1 500 V en courant continu (CC) ou &gt;30 V et ≤1 000 V en courant alternatif (CA), en valeur efficace.</w:t>
      </w:r>
    </w:p>
    <w:p w:rsidR="007360C7" w:rsidRPr="00CA019D" w:rsidRDefault="007360C7" w:rsidP="007360C7">
      <w:pPr>
        <w:pStyle w:val="SingleTxt"/>
        <w:ind w:left="2218" w:hanging="951"/>
        <w:rPr>
          <w:lang w:val="fr-CH"/>
        </w:rPr>
      </w:pPr>
      <w:r w:rsidRPr="00CA019D">
        <w:rPr>
          <w:lang w:val="fr-CH"/>
        </w:rPr>
        <w:t>2.12</w:t>
      </w:r>
      <w:r>
        <w:rPr>
          <w:lang w:val="fr-CH"/>
        </w:rPr>
        <w:tab/>
      </w:r>
      <w:r>
        <w:rPr>
          <w:lang w:val="fr-CH"/>
        </w:rPr>
        <w:tab/>
        <w:t>« </w:t>
      </w:r>
      <w:r w:rsidRPr="00CA019D">
        <w:rPr>
          <w:i/>
          <w:lang w:val="fr-CH"/>
        </w:rPr>
        <w:t>Système rechargeable de stockage de l’énergie (SRSEE)</w:t>
      </w:r>
      <w:r>
        <w:rPr>
          <w:lang w:val="fr-CH"/>
        </w:rPr>
        <w:t> »</w:t>
      </w:r>
      <w:r w:rsidRPr="00CA019D">
        <w:rPr>
          <w:lang w:val="fr-CH"/>
        </w:rPr>
        <w:t>, le système de stockage de l’énergie rechargeable qui fournit l’énergie électrique nécessaire à la traction.</w:t>
      </w:r>
    </w:p>
    <w:p w:rsidR="007360C7" w:rsidRPr="00CA019D" w:rsidRDefault="007360C7" w:rsidP="007360C7">
      <w:pPr>
        <w:pStyle w:val="SingleTxt"/>
        <w:ind w:left="2218" w:hanging="951"/>
        <w:rPr>
          <w:lang w:val="fr-CH"/>
        </w:rPr>
      </w:pPr>
      <w:r>
        <w:rPr>
          <w:lang w:val="fr-CH"/>
        </w:rPr>
        <w:t>2.13</w:t>
      </w:r>
      <w:r>
        <w:rPr>
          <w:lang w:val="fr-CH"/>
        </w:rPr>
        <w:tab/>
      </w:r>
      <w:r>
        <w:rPr>
          <w:lang w:val="fr-CH"/>
        </w:rPr>
        <w:tab/>
        <w:t>« </w:t>
      </w:r>
      <w:r w:rsidRPr="00CA019D">
        <w:rPr>
          <w:lang w:val="fr-CH"/>
        </w:rPr>
        <w:t>B</w:t>
      </w:r>
      <w:r w:rsidRPr="00CA019D">
        <w:rPr>
          <w:i/>
          <w:lang w:val="fr-CH"/>
        </w:rPr>
        <w:t>arrière de protection électrique</w:t>
      </w:r>
      <w:r>
        <w:rPr>
          <w:lang w:val="fr-CH"/>
        </w:rPr>
        <w:t> »</w:t>
      </w:r>
      <w:r w:rsidRPr="00CA019D">
        <w:rPr>
          <w:lang w:val="fr-CH"/>
        </w:rPr>
        <w:t>, l’élément de protection contre tout contact direct avec des éléments sous haute tension.</w:t>
      </w:r>
    </w:p>
    <w:p w:rsidR="007360C7" w:rsidRPr="00CA019D" w:rsidRDefault="007360C7" w:rsidP="007360C7">
      <w:pPr>
        <w:pStyle w:val="SingleTxt"/>
        <w:ind w:left="2218" w:hanging="951"/>
        <w:rPr>
          <w:lang w:val="fr-CH"/>
        </w:rPr>
      </w:pPr>
      <w:r>
        <w:rPr>
          <w:lang w:val="fr-CH"/>
        </w:rPr>
        <w:t>2.14</w:t>
      </w:r>
      <w:r>
        <w:rPr>
          <w:lang w:val="fr-CH"/>
        </w:rPr>
        <w:tab/>
      </w:r>
      <w:r>
        <w:rPr>
          <w:lang w:val="fr-CH"/>
        </w:rPr>
        <w:tab/>
        <w:t>« </w:t>
      </w:r>
      <w:r w:rsidRPr="00CA019D">
        <w:rPr>
          <w:i/>
          <w:lang w:val="fr-CH"/>
        </w:rPr>
        <w:t>Chaîne de traction électrique</w:t>
      </w:r>
      <w:r>
        <w:rPr>
          <w:lang w:val="fr-CH"/>
        </w:rPr>
        <w:t> »</w:t>
      </w:r>
      <w:r w:rsidRPr="00CA019D">
        <w:rPr>
          <w:lang w:val="fr-CH"/>
        </w:rPr>
        <w:t>, l’ensemble du circuit électrique comprenant le ou les moteurs de traction, et pouvant comprendre le SRSEE, le système de conversion de l’énergie électrique, les convertisseurs électroniques, le faisceau de câblage et les connecteurs, et le système de raccordement pour la recharge du SRSEE.</w:t>
      </w:r>
    </w:p>
    <w:p w:rsidR="007360C7" w:rsidRPr="00CA019D" w:rsidRDefault="007360C7" w:rsidP="007360C7">
      <w:pPr>
        <w:pStyle w:val="SingleTxt"/>
        <w:ind w:left="2218" w:hanging="951"/>
        <w:rPr>
          <w:lang w:val="fr-CH"/>
        </w:rPr>
      </w:pPr>
      <w:r w:rsidRPr="00CA019D">
        <w:rPr>
          <w:lang w:val="fr-CH"/>
        </w:rPr>
        <w:lastRenderedPageBreak/>
        <w:t>2.15</w:t>
      </w:r>
      <w:r w:rsidRPr="00CA019D">
        <w:rPr>
          <w:lang w:val="fr-CH"/>
        </w:rPr>
        <w:tab/>
      </w:r>
      <w:r>
        <w:rPr>
          <w:lang w:val="fr-CH"/>
        </w:rPr>
        <w:tab/>
        <w:t>« </w:t>
      </w:r>
      <w:r w:rsidRPr="00CA019D">
        <w:rPr>
          <w:i/>
          <w:lang w:val="fr-CH"/>
        </w:rPr>
        <w:t>Élément sous tension</w:t>
      </w:r>
      <w:r>
        <w:rPr>
          <w:lang w:val="fr-CH"/>
        </w:rPr>
        <w:t> »</w:t>
      </w:r>
      <w:r w:rsidRPr="00CA019D">
        <w:rPr>
          <w:lang w:val="fr-CH"/>
        </w:rPr>
        <w:t>, un élément conducteur conçu pour être mis sous tension en conditions normales d’utilisation.</w:t>
      </w:r>
    </w:p>
    <w:p w:rsidR="007360C7" w:rsidRPr="00CA019D" w:rsidRDefault="007360C7" w:rsidP="007360C7">
      <w:pPr>
        <w:pStyle w:val="SingleTxt"/>
        <w:ind w:left="2218" w:hanging="951"/>
        <w:rPr>
          <w:lang w:val="fr-CH"/>
        </w:rPr>
      </w:pPr>
      <w:r w:rsidRPr="00CA019D">
        <w:rPr>
          <w:bCs/>
          <w:lang w:val="fr-CH"/>
        </w:rPr>
        <w:t>2.16</w:t>
      </w:r>
      <w:r>
        <w:rPr>
          <w:bCs/>
          <w:lang w:val="fr-CH"/>
        </w:rPr>
        <w:tab/>
      </w:r>
      <w:r w:rsidRPr="00CA019D">
        <w:rPr>
          <w:bCs/>
          <w:lang w:val="fr-CH"/>
        </w:rPr>
        <w:tab/>
      </w:r>
      <w:r>
        <w:rPr>
          <w:bCs/>
          <w:lang w:val="fr-CH"/>
        </w:rPr>
        <w:t>« </w:t>
      </w:r>
      <w:r w:rsidRPr="00CA019D">
        <w:rPr>
          <w:bCs/>
          <w:i/>
          <w:lang w:val="fr-CH"/>
        </w:rPr>
        <w:t>Élément conducteur exposé</w:t>
      </w:r>
      <w:r>
        <w:rPr>
          <w:bCs/>
          <w:lang w:val="fr-CH"/>
        </w:rPr>
        <w:t> »</w:t>
      </w:r>
      <w:r w:rsidRPr="00CA019D">
        <w:rPr>
          <w:bCs/>
          <w:lang w:val="fr-CH"/>
        </w:rPr>
        <w:t xml:space="preserve">, </w:t>
      </w:r>
      <w:r w:rsidRPr="00CA019D">
        <w:rPr>
          <w:lang w:val="fr-CH"/>
        </w:rPr>
        <w:t>une élément conducteur qui peut être facilement touché selon les dispositions relatives au degré de protection IPXXB et qui est mis sous tension en cas de défaillance de l’isolation</w:t>
      </w:r>
      <w:r w:rsidRPr="00CA019D">
        <w:rPr>
          <w:bCs/>
          <w:lang w:val="fr-CH"/>
        </w:rPr>
        <w:t xml:space="preserve">. </w:t>
      </w:r>
      <w:r w:rsidRPr="00CA019D">
        <w:rPr>
          <w:lang w:val="fr-CH"/>
        </w:rPr>
        <w:t>Il s’agit notamment des éléments protégés par un cache qui peut être enlevé sans avoir recours à des outils</w:t>
      </w:r>
      <w:r w:rsidRPr="00CA019D">
        <w:rPr>
          <w:bCs/>
          <w:lang w:val="fr-CH"/>
        </w:rPr>
        <w:t>.</w:t>
      </w:r>
    </w:p>
    <w:p w:rsidR="007360C7" w:rsidRPr="00CA019D" w:rsidRDefault="007360C7" w:rsidP="007360C7">
      <w:pPr>
        <w:pStyle w:val="SingleTxt"/>
        <w:ind w:left="2218" w:hanging="951"/>
        <w:rPr>
          <w:lang w:val="fr-CH"/>
        </w:rPr>
      </w:pPr>
      <w:r w:rsidRPr="00CA019D">
        <w:rPr>
          <w:lang w:val="fr-CH"/>
        </w:rPr>
        <w:t>2.17</w:t>
      </w:r>
      <w:r>
        <w:rPr>
          <w:lang w:val="fr-CH"/>
        </w:rPr>
        <w:tab/>
      </w:r>
      <w:r w:rsidRPr="00CA019D">
        <w:rPr>
          <w:lang w:val="fr-CH"/>
        </w:rPr>
        <w:tab/>
      </w:r>
      <w:r>
        <w:rPr>
          <w:lang w:val="fr-CH"/>
        </w:rPr>
        <w:t>« </w:t>
      </w:r>
      <w:r w:rsidRPr="00CA019D">
        <w:rPr>
          <w:i/>
          <w:lang w:val="fr-CH"/>
        </w:rPr>
        <w:t>Contact direct</w:t>
      </w:r>
      <w:r>
        <w:rPr>
          <w:lang w:val="fr-CH"/>
        </w:rPr>
        <w:t> »</w:t>
      </w:r>
      <w:r w:rsidRPr="00CA019D">
        <w:rPr>
          <w:lang w:val="fr-CH"/>
        </w:rPr>
        <w:t>, le contact de personnes avec des éléments sous haute tension.</w:t>
      </w:r>
    </w:p>
    <w:p w:rsidR="007360C7" w:rsidRPr="00CA019D" w:rsidRDefault="007360C7" w:rsidP="007360C7">
      <w:pPr>
        <w:pStyle w:val="SingleTxt"/>
        <w:ind w:left="2218" w:hanging="951"/>
        <w:rPr>
          <w:lang w:val="fr-CH"/>
        </w:rPr>
      </w:pPr>
      <w:r w:rsidRPr="00CA019D">
        <w:rPr>
          <w:lang w:val="fr-CH"/>
        </w:rPr>
        <w:t>2.18</w:t>
      </w:r>
      <w:r>
        <w:rPr>
          <w:lang w:val="fr-CH"/>
        </w:rPr>
        <w:tab/>
      </w:r>
      <w:r>
        <w:rPr>
          <w:lang w:val="fr-CH"/>
        </w:rPr>
        <w:tab/>
        <w:t>« </w:t>
      </w:r>
      <w:r w:rsidRPr="00CA019D">
        <w:rPr>
          <w:lang w:val="fr-CH"/>
        </w:rPr>
        <w:t>C</w:t>
      </w:r>
      <w:r w:rsidRPr="00CA019D">
        <w:rPr>
          <w:i/>
          <w:lang w:val="fr-CH"/>
        </w:rPr>
        <w:t>ontact indirect</w:t>
      </w:r>
      <w:r>
        <w:rPr>
          <w:lang w:val="fr-CH"/>
        </w:rPr>
        <w:t> »</w:t>
      </w:r>
      <w:r w:rsidRPr="00CA019D">
        <w:rPr>
          <w:lang w:val="fr-CH"/>
        </w:rPr>
        <w:t>, le contact de personnes avec des éléments conducteurs exposés.</w:t>
      </w:r>
    </w:p>
    <w:p w:rsidR="007360C7" w:rsidRPr="00CA019D" w:rsidRDefault="007360C7" w:rsidP="007360C7">
      <w:pPr>
        <w:pStyle w:val="SingleTxt"/>
        <w:ind w:left="2218" w:hanging="951"/>
        <w:rPr>
          <w:lang w:val="fr-CH"/>
        </w:rPr>
      </w:pPr>
      <w:r w:rsidRPr="00CA019D">
        <w:rPr>
          <w:lang w:val="fr-CH"/>
        </w:rPr>
        <w:t>2.19</w:t>
      </w:r>
      <w:r>
        <w:rPr>
          <w:lang w:val="fr-CH"/>
        </w:rPr>
        <w:tab/>
      </w:r>
      <w:r w:rsidRPr="00CA019D">
        <w:rPr>
          <w:lang w:val="fr-CH"/>
        </w:rPr>
        <w:tab/>
      </w:r>
      <w:r>
        <w:rPr>
          <w:lang w:val="fr-CH"/>
        </w:rPr>
        <w:t>« </w:t>
      </w:r>
      <w:r w:rsidRPr="00CA019D">
        <w:rPr>
          <w:i/>
          <w:lang w:val="fr-CH"/>
        </w:rPr>
        <w:t>Degré de protection IPXXB</w:t>
      </w:r>
      <w:r>
        <w:rPr>
          <w:lang w:val="fr-CH"/>
        </w:rPr>
        <w:t> »</w:t>
      </w:r>
      <w:r w:rsidRPr="00CA019D">
        <w:rPr>
          <w:lang w:val="fr-CH"/>
        </w:rPr>
        <w:t>, la protection contre tout risque de contact avec les parties sous haute tension grâce à une barrière de protection électrique ou un carter de protection, déterminée au moyen d’un doigt d’épreuve articulé (IPXXB), tel qu’il est décrit au paragraphe 4 de l’annexe 11.</w:t>
      </w:r>
    </w:p>
    <w:p w:rsidR="007360C7" w:rsidRPr="00CA019D" w:rsidRDefault="007360C7" w:rsidP="007360C7">
      <w:pPr>
        <w:pStyle w:val="SingleTxt"/>
        <w:ind w:left="2218" w:hanging="951"/>
        <w:rPr>
          <w:lang w:val="fr-CH"/>
        </w:rPr>
      </w:pPr>
      <w:r w:rsidRPr="00CA019D">
        <w:rPr>
          <w:lang w:val="fr-CH"/>
        </w:rPr>
        <w:t>2.20</w:t>
      </w:r>
      <w:r>
        <w:rPr>
          <w:lang w:val="fr-CH"/>
        </w:rPr>
        <w:tab/>
      </w:r>
      <w:r>
        <w:rPr>
          <w:lang w:val="fr-CH"/>
        </w:rPr>
        <w:tab/>
        <w:t>« </w:t>
      </w:r>
      <w:r w:rsidRPr="00CA019D">
        <w:rPr>
          <w:i/>
          <w:lang w:val="fr-CH"/>
        </w:rPr>
        <w:t>Tension de fonctionnement</w:t>
      </w:r>
      <w:r>
        <w:rPr>
          <w:lang w:val="fr-CH"/>
        </w:rPr>
        <w:t> »</w:t>
      </w:r>
      <w:r w:rsidRPr="00CA019D">
        <w:rPr>
          <w:lang w:val="fr-CH"/>
        </w:rPr>
        <w:t xml:space="preserve">, la valeur la plus élevée de la tension efficace d’un circuit électrique </w:t>
      </w:r>
      <w:r>
        <w:rPr>
          <w:lang w:val="fr-CH"/>
        </w:rPr>
        <w:t>définie</w:t>
      </w:r>
      <w:r w:rsidRPr="00CA019D">
        <w:rPr>
          <w:lang w:val="fr-CH"/>
        </w:rPr>
        <w:t xml:space="preserve"> par le constructeur, qui peut exister entre des éléments conducteurs quand le circuit est ouvert ou dans des conditions normales de fonctionnement. Si le circuit électrique est divisé en plusieurs circuits par isolement galvanique, la tension de fonctionnement est définie pour chacun d’eux.</w:t>
      </w:r>
    </w:p>
    <w:p w:rsidR="007360C7" w:rsidRPr="00CA019D" w:rsidRDefault="007360C7" w:rsidP="007360C7">
      <w:pPr>
        <w:pStyle w:val="SingleTxt"/>
        <w:ind w:left="2218" w:hanging="951"/>
        <w:rPr>
          <w:lang w:val="fr-CH"/>
        </w:rPr>
      </w:pPr>
      <w:r w:rsidRPr="00CA019D">
        <w:rPr>
          <w:lang w:val="fr-CH"/>
        </w:rPr>
        <w:t>2.21</w:t>
      </w:r>
      <w:r w:rsidRPr="00CA019D">
        <w:rPr>
          <w:lang w:val="fr-CH"/>
        </w:rPr>
        <w:tab/>
      </w:r>
      <w:r>
        <w:rPr>
          <w:lang w:val="fr-CH"/>
        </w:rPr>
        <w:tab/>
        <w:t>« </w:t>
      </w:r>
      <w:r w:rsidRPr="00CA019D">
        <w:rPr>
          <w:i/>
          <w:lang w:val="fr-CH"/>
        </w:rPr>
        <w:t>Système de raccordement pour la recharge du système rechargeable de stockage de l’énergie (SRSEE)</w:t>
      </w:r>
      <w:r>
        <w:rPr>
          <w:lang w:val="fr-CH"/>
        </w:rPr>
        <w:t> »</w:t>
      </w:r>
      <w:r w:rsidRPr="00CA019D">
        <w:rPr>
          <w:lang w:val="fr-CH"/>
        </w:rPr>
        <w:t>, le circuit électrique utilisé pour recharger le SRSEE à partir d’une source électrique extérieure, y compris la prise de raccordement côté véhicule.</w:t>
      </w:r>
    </w:p>
    <w:p w:rsidR="007360C7" w:rsidRPr="00CA019D" w:rsidRDefault="007360C7" w:rsidP="007360C7">
      <w:pPr>
        <w:pStyle w:val="SingleTxt"/>
        <w:ind w:left="2218" w:hanging="951"/>
        <w:rPr>
          <w:lang w:val="fr-CH"/>
        </w:rPr>
      </w:pPr>
      <w:r w:rsidRPr="00CA019D">
        <w:rPr>
          <w:lang w:val="fr-CH"/>
        </w:rPr>
        <w:t>2.22</w:t>
      </w:r>
      <w:r w:rsidRPr="00CA019D">
        <w:rPr>
          <w:lang w:val="fr-CH"/>
        </w:rPr>
        <w:tab/>
      </w:r>
      <w:r>
        <w:rPr>
          <w:lang w:val="fr-CH"/>
        </w:rPr>
        <w:tab/>
        <w:t>« </w:t>
      </w:r>
      <w:r w:rsidRPr="00CA019D">
        <w:rPr>
          <w:i/>
          <w:lang w:val="fr-CH"/>
        </w:rPr>
        <w:t>Masse électrique</w:t>
      </w:r>
      <w:r>
        <w:rPr>
          <w:lang w:val="fr-CH"/>
        </w:rPr>
        <w:t> »</w:t>
      </w:r>
      <w:r w:rsidRPr="00CA019D">
        <w:rPr>
          <w:lang w:val="fr-CH"/>
        </w:rPr>
        <w:t>, un ensemble d’éléments conducteurs reliés électriquement, dont le potentiel électrique est pris comme référence.</w:t>
      </w:r>
    </w:p>
    <w:p w:rsidR="007360C7" w:rsidRPr="00CA019D" w:rsidRDefault="007360C7" w:rsidP="007360C7">
      <w:pPr>
        <w:pStyle w:val="SingleTxt"/>
        <w:ind w:left="2218" w:hanging="951"/>
        <w:rPr>
          <w:lang w:val="fr-CH"/>
        </w:rPr>
      </w:pPr>
      <w:r w:rsidRPr="00CA019D">
        <w:rPr>
          <w:lang w:val="fr-CH"/>
        </w:rPr>
        <w:t>2.23</w:t>
      </w:r>
      <w:r w:rsidRPr="00CA019D">
        <w:rPr>
          <w:lang w:val="fr-CH"/>
        </w:rPr>
        <w:tab/>
      </w:r>
      <w:r>
        <w:rPr>
          <w:lang w:val="fr-CH"/>
        </w:rPr>
        <w:tab/>
        <w:t>« </w:t>
      </w:r>
      <w:r w:rsidRPr="00CA019D">
        <w:rPr>
          <w:i/>
          <w:lang w:val="fr-CH"/>
        </w:rPr>
        <w:t>Circuit électrique</w:t>
      </w:r>
      <w:r>
        <w:rPr>
          <w:lang w:val="fr-CH"/>
        </w:rPr>
        <w:t> »</w:t>
      </w:r>
      <w:r w:rsidRPr="00CA019D">
        <w:rPr>
          <w:lang w:val="fr-CH"/>
        </w:rPr>
        <w:t>, un ensemble d’éléments interconnectés conçus pour être sous haute tension dans des conditions normales de fonctionnement.</w:t>
      </w:r>
    </w:p>
    <w:p w:rsidR="007360C7" w:rsidRPr="00CA019D" w:rsidRDefault="007360C7" w:rsidP="007360C7">
      <w:pPr>
        <w:pStyle w:val="SingleTxt"/>
        <w:ind w:left="2218" w:hanging="951"/>
        <w:rPr>
          <w:lang w:val="fr-CH"/>
        </w:rPr>
      </w:pPr>
      <w:r w:rsidRPr="00CA019D">
        <w:rPr>
          <w:lang w:val="fr-CH"/>
        </w:rPr>
        <w:t>2.24</w:t>
      </w:r>
      <w:r>
        <w:rPr>
          <w:lang w:val="fr-CH"/>
        </w:rPr>
        <w:tab/>
      </w:r>
      <w:r w:rsidRPr="00CA019D">
        <w:rPr>
          <w:lang w:val="fr-CH"/>
        </w:rPr>
        <w:tab/>
      </w:r>
      <w:r>
        <w:rPr>
          <w:lang w:val="fr-CH"/>
        </w:rPr>
        <w:t>« </w:t>
      </w:r>
      <w:r w:rsidRPr="00CA019D">
        <w:rPr>
          <w:i/>
          <w:lang w:val="fr-CH"/>
        </w:rPr>
        <w:t>Système de conversion de l’énergie électrique</w:t>
      </w:r>
      <w:r>
        <w:rPr>
          <w:lang w:val="fr-CH"/>
        </w:rPr>
        <w:t> »</w:t>
      </w:r>
      <w:r w:rsidRPr="00CA019D">
        <w:rPr>
          <w:lang w:val="fr-CH"/>
        </w:rPr>
        <w:t>, un système (une pile à combustible, par exemple) qui produit et fournit l’énergie électrique nécessaire à la traction.</w:t>
      </w:r>
    </w:p>
    <w:p w:rsidR="007360C7" w:rsidRPr="00CA019D" w:rsidRDefault="007360C7" w:rsidP="007360C7">
      <w:pPr>
        <w:pStyle w:val="SingleTxt"/>
        <w:ind w:left="2218" w:hanging="951"/>
        <w:rPr>
          <w:lang w:val="fr-CH"/>
        </w:rPr>
      </w:pPr>
      <w:r w:rsidRPr="00CA019D">
        <w:rPr>
          <w:lang w:val="fr-CH"/>
        </w:rPr>
        <w:t>2.25</w:t>
      </w:r>
      <w:r w:rsidRPr="00CA019D">
        <w:rPr>
          <w:lang w:val="fr-CH"/>
        </w:rPr>
        <w:tab/>
      </w:r>
      <w:r>
        <w:rPr>
          <w:lang w:val="fr-CH"/>
        </w:rPr>
        <w:tab/>
        <w:t>« </w:t>
      </w:r>
      <w:r w:rsidRPr="00CA019D">
        <w:rPr>
          <w:i/>
          <w:lang w:val="fr-CH"/>
        </w:rPr>
        <w:t>Convertisseur électronique</w:t>
      </w:r>
      <w:r>
        <w:rPr>
          <w:lang w:val="fr-CH"/>
        </w:rPr>
        <w:t> »</w:t>
      </w:r>
      <w:r w:rsidRPr="00CA019D">
        <w:rPr>
          <w:lang w:val="fr-CH"/>
        </w:rPr>
        <w:t>, un appareil capable de réguler et/ou de convertir l’énergie électrique nécessaire à la traction.</w:t>
      </w:r>
    </w:p>
    <w:p w:rsidR="007360C7" w:rsidRPr="00CA019D" w:rsidRDefault="007360C7" w:rsidP="007360C7">
      <w:pPr>
        <w:pStyle w:val="SingleTxt"/>
        <w:ind w:left="2218" w:hanging="951"/>
        <w:rPr>
          <w:lang w:val="fr-CH"/>
        </w:rPr>
      </w:pPr>
      <w:r w:rsidRPr="00CA019D">
        <w:rPr>
          <w:lang w:val="fr-CH"/>
        </w:rPr>
        <w:t>2.26</w:t>
      </w:r>
      <w:r>
        <w:rPr>
          <w:lang w:val="fr-CH"/>
        </w:rPr>
        <w:tab/>
      </w:r>
      <w:r w:rsidRPr="00CA019D">
        <w:rPr>
          <w:lang w:val="fr-CH"/>
        </w:rPr>
        <w:tab/>
      </w:r>
      <w:r>
        <w:rPr>
          <w:lang w:val="fr-CH"/>
        </w:rPr>
        <w:t>« </w:t>
      </w:r>
      <w:r w:rsidRPr="00CA019D">
        <w:rPr>
          <w:i/>
          <w:lang w:val="fr-CH"/>
        </w:rPr>
        <w:t>Carter de protection</w:t>
      </w:r>
      <w:r>
        <w:rPr>
          <w:lang w:val="fr-CH"/>
        </w:rPr>
        <w:t> »</w:t>
      </w:r>
      <w:r w:rsidRPr="00CA019D">
        <w:rPr>
          <w:lang w:val="fr-CH"/>
        </w:rPr>
        <w:t>, un élément qui contient les organes internes et protège contre tout contact direct.</w:t>
      </w:r>
    </w:p>
    <w:p w:rsidR="007360C7" w:rsidRPr="00CA019D" w:rsidRDefault="007360C7" w:rsidP="007360C7">
      <w:pPr>
        <w:pStyle w:val="SingleTxt"/>
        <w:ind w:left="2218" w:hanging="951"/>
        <w:rPr>
          <w:lang w:val="fr-CH"/>
        </w:rPr>
      </w:pPr>
      <w:r w:rsidRPr="00CA019D">
        <w:rPr>
          <w:lang w:val="fr-CH"/>
        </w:rPr>
        <w:t>2.27</w:t>
      </w:r>
      <w:r>
        <w:rPr>
          <w:lang w:val="fr-CH"/>
        </w:rPr>
        <w:tab/>
      </w:r>
      <w:r w:rsidRPr="00CA019D">
        <w:rPr>
          <w:lang w:val="fr-CH"/>
        </w:rPr>
        <w:tab/>
      </w:r>
      <w:r>
        <w:rPr>
          <w:lang w:val="fr-CH"/>
        </w:rPr>
        <w:t>« </w:t>
      </w:r>
      <w:r w:rsidRPr="00CA019D">
        <w:rPr>
          <w:i/>
          <w:lang w:val="fr-CH"/>
        </w:rPr>
        <w:t>Rail haute tension</w:t>
      </w:r>
      <w:r>
        <w:rPr>
          <w:lang w:val="fr-CH"/>
        </w:rPr>
        <w:t> »</w:t>
      </w:r>
      <w:r w:rsidRPr="00CA019D">
        <w:rPr>
          <w:lang w:val="fr-CH"/>
        </w:rPr>
        <w:t>, le circuit électrique, y compris le système de raccordement pour la recharge du SRSEE, qui fonctionne sous haute tension.</w:t>
      </w:r>
    </w:p>
    <w:p w:rsidR="007360C7" w:rsidRPr="00CA019D" w:rsidRDefault="007360C7" w:rsidP="007360C7">
      <w:pPr>
        <w:pStyle w:val="SingleTxt"/>
        <w:ind w:left="2218" w:hanging="951"/>
        <w:rPr>
          <w:lang w:val="fr-CH"/>
        </w:rPr>
      </w:pPr>
      <w:r w:rsidRPr="00CA019D">
        <w:rPr>
          <w:lang w:val="fr-CH"/>
        </w:rPr>
        <w:t>2.28</w:t>
      </w:r>
      <w:r w:rsidRPr="00CA019D">
        <w:rPr>
          <w:lang w:val="fr-CH"/>
        </w:rPr>
        <w:tab/>
      </w:r>
      <w:r>
        <w:rPr>
          <w:lang w:val="fr-CH"/>
        </w:rPr>
        <w:tab/>
        <w:t>« </w:t>
      </w:r>
      <w:r w:rsidRPr="00CA019D">
        <w:rPr>
          <w:i/>
          <w:lang w:val="fr-CH"/>
        </w:rPr>
        <w:t>Isolant solide</w:t>
      </w:r>
      <w:r>
        <w:rPr>
          <w:lang w:val="fr-CH"/>
        </w:rPr>
        <w:t> »</w:t>
      </w:r>
      <w:r w:rsidRPr="00CA019D">
        <w:rPr>
          <w:lang w:val="fr-CH"/>
        </w:rPr>
        <w:t>, le revêtement isolant du faisceau de câblage destiné à recouvrir les éléments sous haute tension et à les protéger de tout contact direct. Cela englobe les carters d’isolement des parties sous haute tension des connecteurs et les vernis ou peintures utilisés à des fins d’isolation.</w:t>
      </w:r>
    </w:p>
    <w:p w:rsidR="007360C7" w:rsidRPr="00CA019D" w:rsidRDefault="007360C7" w:rsidP="007360C7">
      <w:pPr>
        <w:pStyle w:val="SingleTxt"/>
        <w:ind w:left="2218" w:hanging="951"/>
        <w:rPr>
          <w:lang w:val="fr-CH"/>
        </w:rPr>
      </w:pPr>
      <w:r w:rsidRPr="00CA019D">
        <w:rPr>
          <w:lang w:val="fr-CH"/>
        </w:rPr>
        <w:t>2.29</w:t>
      </w:r>
      <w:r w:rsidRPr="00CA019D">
        <w:rPr>
          <w:lang w:val="fr-CH"/>
        </w:rPr>
        <w:tab/>
      </w:r>
      <w:r>
        <w:rPr>
          <w:lang w:val="fr-CH"/>
        </w:rPr>
        <w:tab/>
        <w:t>« </w:t>
      </w:r>
      <w:r w:rsidRPr="00CA019D">
        <w:rPr>
          <w:i/>
          <w:lang w:val="fr-CH"/>
        </w:rPr>
        <w:t>Fonction de déconnexion automatique</w:t>
      </w:r>
      <w:r>
        <w:rPr>
          <w:lang w:val="fr-CH"/>
        </w:rPr>
        <w:t> »</w:t>
      </w:r>
      <w:r w:rsidRPr="00CA019D">
        <w:rPr>
          <w:lang w:val="fr-CH"/>
        </w:rPr>
        <w:t>, une fonction qui, lorsqu’elle est activée, sépare de façon galvanique les sources d’énergie électrique du reste du circuit haute tension de la chaîne de traction électrique.</w:t>
      </w:r>
    </w:p>
    <w:p w:rsidR="007360C7" w:rsidRPr="00CA019D" w:rsidRDefault="007360C7" w:rsidP="007360C7">
      <w:pPr>
        <w:pStyle w:val="SingleTxt"/>
        <w:ind w:left="2218" w:hanging="951"/>
        <w:rPr>
          <w:lang w:val="fr-CH"/>
        </w:rPr>
      </w:pPr>
      <w:r w:rsidRPr="00CA019D">
        <w:rPr>
          <w:lang w:val="fr-CH"/>
        </w:rPr>
        <w:lastRenderedPageBreak/>
        <w:t>2.30</w:t>
      </w:r>
      <w:r w:rsidRPr="00CA019D">
        <w:rPr>
          <w:lang w:val="fr-CH"/>
        </w:rPr>
        <w:tab/>
      </w:r>
      <w:r>
        <w:rPr>
          <w:lang w:val="fr-CH"/>
        </w:rPr>
        <w:tab/>
        <w:t>« </w:t>
      </w:r>
      <w:r w:rsidRPr="00CA019D">
        <w:rPr>
          <w:i/>
          <w:lang w:val="fr-CH"/>
        </w:rPr>
        <w:t>Batterie de traction de type ouvert</w:t>
      </w:r>
      <w:r>
        <w:rPr>
          <w:lang w:val="fr-CH"/>
        </w:rPr>
        <w:t> »</w:t>
      </w:r>
      <w:r w:rsidRPr="00CA019D">
        <w:rPr>
          <w:lang w:val="fr-CH"/>
        </w:rPr>
        <w:t>, un type de batterie nécessitant un liquide et produisant de l’hydrogène qui est relâché dans l’atmosphère.</w:t>
      </w:r>
    </w:p>
    <w:p w:rsidR="007360C7" w:rsidRDefault="007360C7" w:rsidP="007360C7">
      <w:pPr>
        <w:pStyle w:val="SingleTxt"/>
        <w:ind w:left="2218" w:hanging="951"/>
        <w:rPr>
          <w:lang w:val="fr-CH"/>
        </w:rPr>
      </w:pPr>
      <w:r w:rsidRPr="00CA019D">
        <w:rPr>
          <w:lang w:val="fr-CH"/>
        </w:rPr>
        <w:t>2.31</w:t>
      </w:r>
      <w:r>
        <w:rPr>
          <w:lang w:val="fr-CH"/>
        </w:rPr>
        <w:tab/>
      </w:r>
      <w:r w:rsidRPr="00CA019D">
        <w:rPr>
          <w:lang w:val="fr-CH"/>
        </w:rPr>
        <w:tab/>
      </w:r>
      <w:r>
        <w:rPr>
          <w:lang w:val="fr-CH"/>
        </w:rPr>
        <w:t>« </w:t>
      </w:r>
      <w:r w:rsidRPr="00CA019D">
        <w:rPr>
          <w:i/>
          <w:lang w:val="fr-CH"/>
        </w:rPr>
        <w:t>Système de verrouillage automatique des portes</w:t>
      </w:r>
      <w:r>
        <w:rPr>
          <w:lang w:val="fr-CH"/>
        </w:rPr>
        <w:t> »</w:t>
      </w:r>
      <w:r w:rsidRPr="00CA019D">
        <w:rPr>
          <w:lang w:val="fr-CH"/>
        </w:rPr>
        <w:t>, un système qui verrouille les portes automatiquement dès qu’une vitesse prédéfinie est atteinte ou dans toute autre situation prévue par le constructeur.</w:t>
      </w:r>
    </w:p>
    <w:p w:rsidR="007360C7" w:rsidRPr="00F7273F" w:rsidRDefault="007360C7" w:rsidP="007360C7">
      <w:pPr>
        <w:pStyle w:val="SingleTxt"/>
        <w:spacing w:after="0" w:line="120" w:lineRule="exact"/>
        <w:ind w:left="2218" w:hanging="951"/>
        <w:rPr>
          <w:sz w:val="10"/>
          <w:lang w:val="fr-CH"/>
        </w:rPr>
      </w:pPr>
    </w:p>
    <w:p w:rsidR="007360C7" w:rsidRPr="00F7273F" w:rsidRDefault="007360C7" w:rsidP="007360C7">
      <w:pPr>
        <w:pStyle w:val="SingleTxt"/>
        <w:spacing w:after="0" w:line="120" w:lineRule="exact"/>
        <w:ind w:left="2218" w:hanging="951"/>
        <w:rPr>
          <w:sz w:val="10"/>
          <w:lang w:val="fr-CH"/>
        </w:rPr>
      </w:pPr>
    </w:p>
    <w:p w:rsidR="007360C7" w:rsidRDefault="007360C7" w:rsidP="007360C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17" w:name="_Toc381109058"/>
      <w:bookmarkStart w:id="18" w:name="_Toc381109123"/>
      <w:bookmarkStart w:id="19" w:name="_Toc381109760"/>
      <w:bookmarkStart w:id="20" w:name="_Toc413834075"/>
      <w:r>
        <w:rPr>
          <w:lang w:val="fr-CH"/>
        </w:rPr>
        <w:tab/>
      </w:r>
      <w:r>
        <w:rPr>
          <w:lang w:val="fr-CH"/>
        </w:rPr>
        <w:tab/>
      </w:r>
      <w:r w:rsidRPr="00CA019D">
        <w:rPr>
          <w:lang w:val="fr-CH"/>
        </w:rPr>
        <w:t>3.</w:t>
      </w:r>
      <w:r w:rsidRPr="00CA019D">
        <w:rPr>
          <w:lang w:val="fr-CH"/>
        </w:rPr>
        <w:tab/>
      </w:r>
      <w:r w:rsidRPr="00CA019D">
        <w:rPr>
          <w:lang w:val="fr-CH"/>
        </w:rPr>
        <w:tab/>
      </w:r>
      <w:bookmarkEnd w:id="17"/>
      <w:bookmarkEnd w:id="18"/>
      <w:bookmarkEnd w:id="19"/>
      <w:bookmarkEnd w:id="20"/>
      <w:r w:rsidRPr="00CA019D">
        <w:rPr>
          <w:lang w:val="fr-CH"/>
        </w:rPr>
        <w:t>Demande d’homologation</w:t>
      </w:r>
    </w:p>
    <w:p w:rsidR="007360C7" w:rsidRPr="00F7273F" w:rsidRDefault="007360C7" w:rsidP="007360C7">
      <w:pPr>
        <w:pStyle w:val="SingleTxt"/>
        <w:spacing w:after="0" w:line="120" w:lineRule="exact"/>
        <w:rPr>
          <w:sz w:val="10"/>
          <w:lang w:val="fr-CH"/>
        </w:rPr>
      </w:pPr>
    </w:p>
    <w:p w:rsidR="007360C7" w:rsidRPr="00F7273F" w:rsidRDefault="007360C7" w:rsidP="007360C7">
      <w:pPr>
        <w:pStyle w:val="SingleTxt"/>
        <w:spacing w:after="0" w:line="120" w:lineRule="exact"/>
        <w:rPr>
          <w:sz w:val="10"/>
          <w:lang w:val="fr-CH"/>
        </w:rPr>
      </w:pPr>
    </w:p>
    <w:p w:rsidR="007360C7" w:rsidRPr="00CA019D" w:rsidRDefault="007360C7" w:rsidP="007360C7">
      <w:pPr>
        <w:pStyle w:val="SingleTxt"/>
        <w:ind w:left="2218" w:hanging="951"/>
        <w:rPr>
          <w:lang w:val="fr-CH"/>
        </w:rPr>
      </w:pPr>
      <w:r w:rsidRPr="00CA019D">
        <w:rPr>
          <w:lang w:val="fr-CH"/>
        </w:rPr>
        <w:t>3.1</w:t>
      </w:r>
      <w:r>
        <w:rPr>
          <w:lang w:val="fr-CH"/>
        </w:rPr>
        <w:tab/>
      </w:r>
      <w:r w:rsidRPr="00CA019D">
        <w:rPr>
          <w:lang w:val="fr-CH"/>
        </w:rPr>
        <w:tab/>
        <w:t>La demande d’homologation d’un type de véhicule en ce qui concerne la protection des occupants des sièges avant en cas de collision frontale doit être présentée par le constructeur du véhicule ou par son représentant dûment accrédité.</w:t>
      </w:r>
    </w:p>
    <w:p w:rsidR="007360C7" w:rsidRPr="00CA019D" w:rsidRDefault="007360C7" w:rsidP="007360C7">
      <w:pPr>
        <w:pStyle w:val="SingleTxt"/>
        <w:ind w:left="2218" w:hanging="951"/>
        <w:rPr>
          <w:lang w:val="fr-CH"/>
        </w:rPr>
      </w:pPr>
      <w:r w:rsidRPr="00CA019D">
        <w:rPr>
          <w:lang w:val="fr-CH"/>
        </w:rPr>
        <w:t>3.2</w:t>
      </w:r>
      <w:r>
        <w:rPr>
          <w:lang w:val="fr-CH"/>
        </w:rPr>
        <w:tab/>
      </w:r>
      <w:r w:rsidRPr="00CA019D">
        <w:rPr>
          <w:lang w:val="fr-CH"/>
        </w:rPr>
        <w:tab/>
        <w:t>Elle doit être accompagnée des pièces ci-dessous, en triple exemplaire, et des indications suivantes</w:t>
      </w:r>
      <w:r w:rsidR="008B4BCA">
        <w:rPr>
          <w:lang w:val="fr-CH"/>
        </w:rPr>
        <w:t> </w:t>
      </w:r>
      <w:r w:rsidRPr="00CA019D">
        <w:rPr>
          <w:lang w:val="fr-CH"/>
        </w:rPr>
        <w:t>:</w:t>
      </w:r>
    </w:p>
    <w:p w:rsidR="007360C7" w:rsidRPr="00CA019D" w:rsidRDefault="007360C7" w:rsidP="007360C7">
      <w:pPr>
        <w:pStyle w:val="SingleTxt"/>
        <w:ind w:left="2218" w:hanging="951"/>
        <w:rPr>
          <w:lang w:val="fr-CH"/>
        </w:rPr>
      </w:pPr>
      <w:r w:rsidRPr="00CA019D">
        <w:rPr>
          <w:lang w:val="fr-CH"/>
        </w:rPr>
        <w:t>3.2.1</w:t>
      </w:r>
      <w:r>
        <w:rPr>
          <w:lang w:val="fr-CH"/>
        </w:rPr>
        <w:tab/>
      </w:r>
      <w:r w:rsidRPr="00CA019D">
        <w:rPr>
          <w:lang w:val="fr-CH"/>
        </w:rPr>
        <w:tab/>
        <w:t>Description détaillée du type de véhicule en ce qui concerne sa structure, ses dimensions, sa forme et ses matériaux constitutifs;</w:t>
      </w:r>
    </w:p>
    <w:p w:rsidR="007360C7" w:rsidRPr="00CA019D" w:rsidRDefault="007360C7" w:rsidP="007360C7">
      <w:pPr>
        <w:pStyle w:val="SingleTxt"/>
        <w:ind w:left="2218" w:hanging="951"/>
        <w:rPr>
          <w:lang w:val="fr-CH"/>
        </w:rPr>
      </w:pPr>
      <w:r w:rsidRPr="00CA019D">
        <w:rPr>
          <w:lang w:val="fr-CH"/>
        </w:rPr>
        <w:t>3.2.2</w:t>
      </w:r>
      <w:r>
        <w:rPr>
          <w:lang w:val="fr-CH"/>
        </w:rPr>
        <w:tab/>
      </w:r>
      <w:r w:rsidRPr="00CA019D">
        <w:rPr>
          <w:lang w:val="fr-CH"/>
        </w:rPr>
        <w:tab/>
        <w:t>Photographies et/ou schémas et dessins du véhicule représentant le type de véhicule vu de face, de côté et de l’arrière, et détails de construction de la partie avant de sa structure;</w:t>
      </w:r>
    </w:p>
    <w:p w:rsidR="007360C7" w:rsidRPr="00CA019D" w:rsidRDefault="007360C7" w:rsidP="007360C7">
      <w:pPr>
        <w:pStyle w:val="SingleTxt"/>
        <w:ind w:left="2218" w:hanging="951"/>
        <w:rPr>
          <w:lang w:val="fr-CH"/>
        </w:rPr>
      </w:pPr>
      <w:r w:rsidRPr="00CA019D">
        <w:rPr>
          <w:lang w:val="fr-CH"/>
        </w:rPr>
        <w:t>3.2.3</w:t>
      </w:r>
      <w:r>
        <w:rPr>
          <w:lang w:val="fr-CH"/>
        </w:rPr>
        <w:tab/>
      </w:r>
      <w:r w:rsidRPr="00CA019D">
        <w:rPr>
          <w:lang w:val="fr-CH"/>
        </w:rPr>
        <w:tab/>
        <w:t>Masse à vide du véhicule en ordre de marche;</w:t>
      </w:r>
    </w:p>
    <w:p w:rsidR="007360C7" w:rsidRPr="00CA019D" w:rsidRDefault="007360C7" w:rsidP="007360C7">
      <w:pPr>
        <w:pStyle w:val="SingleTxt"/>
        <w:ind w:left="2218" w:hanging="951"/>
        <w:rPr>
          <w:lang w:val="fr-CH"/>
        </w:rPr>
      </w:pPr>
      <w:r w:rsidRPr="00CA019D">
        <w:rPr>
          <w:lang w:val="fr-CH"/>
        </w:rPr>
        <w:t>3.2.4</w:t>
      </w:r>
      <w:r>
        <w:rPr>
          <w:lang w:val="fr-CH"/>
        </w:rPr>
        <w:tab/>
      </w:r>
      <w:r w:rsidRPr="00CA019D">
        <w:rPr>
          <w:lang w:val="fr-CH"/>
        </w:rPr>
        <w:tab/>
        <w:t>Forme et dimensions intérieures de l’habitacle;</w:t>
      </w:r>
    </w:p>
    <w:p w:rsidR="007360C7" w:rsidRPr="00CA019D" w:rsidRDefault="007360C7" w:rsidP="007360C7">
      <w:pPr>
        <w:pStyle w:val="SingleTxt"/>
        <w:ind w:left="2218" w:hanging="951"/>
        <w:rPr>
          <w:lang w:val="fr-CH"/>
        </w:rPr>
      </w:pPr>
      <w:r w:rsidRPr="00CA019D">
        <w:rPr>
          <w:lang w:val="fr-CH"/>
        </w:rPr>
        <w:t>3.2.5</w:t>
      </w:r>
      <w:r w:rsidRPr="00CA019D">
        <w:rPr>
          <w:lang w:val="fr-CH"/>
        </w:rPr>
        <w:tab/>
      </w:r>
      <w:r>
        <w:rPr>
          <w:lang w:val="fr-CH"/>
        </w:rPr>
        <w:tab/>
      </w:r>
      <w:r w:rsidRPr="00CA019D">
        <w:rPr>
          <w:lang w:val="fr-CH"/>
        </w:rPr>
        <w:t>Description des aménagements intérieurs et des systèmes de protection installés dans le véhicule;</w:t>
      </w:r>
    </w:p>
    <w:p w:rsidR="007360C7" w:rsidRPr="00CA019D" w:rsidRDefault="007360C7" w:rsidP="007360C7">
      <w:pPr>
        <w:pStyle w:val="SingleTxt"/>
        <w:ind w:left="2218" w:hanging="951"/>
        <w:rPr>
          <w:lang w:val="fr-CH"/>
        </w:rPr>
      </w:pPr>
      <w:r w:rsidRPr="00CA019D">
        <w:rPr>
          <w:lang w:val="fr-CH"/>
        </w:rPr>
        <w:t>3.2.6</w:t>
      </w:r>
      <w:r>
        <w:rPr>
          <w:lang w:val="fr-CH"/>
        </w:rPr>
        <w:tab/>
      </w:r>
      <w:r w:rsidRPr="00CA019D">
        <w:rPr>
          <w:lang w:val="fr-CH"/>
        </w:rPr>
        <w:tab/>
        <w:t>Description générale du type de la source d’énergie électrique et de l’emplacement de la chaîne de traction électrique (par exemple, chaîne hybride ou chaîne électrique).</w:t>
      </w:r>
    </w:p>
    <w:p w:rsidR="007360C7" w:rsidRPr="00CA019D" w:rsidRDefault="007360C7" w:rsidP="007360C7">
      <w:pPr>
        <w:pStyle w:val="SingleTxt"/>
        <w:ind w:left="2218" w:hanging="951"/>
        <w:rPr>
          <w:lang w:val="fr-CH"/>
        </w:rPr>
      </w:pPr>
      <w:r w:rsidRPr="00CA019D">
        <w:rPr>
          <w:lang w:val="fr-CH"/>
        </w:rPr>
        <w:t>3.3</w:t>
      </w:r>
      <w:r w:rsidRPr="00CA019D">
        <w:rPr>
          <w:lang w:val="fr-CH"/>
        </w:rPr>
        <w:tab/>
      </w:r>
      <w:r>
        <w:rPr>
          <w:lang w:val="fr-CH"/>
        </w:rPr>
        <w:tab/>
      </w:r>
      <w:r w:rsidRPr="00CA019D">
        <w:rPr>
          <w:lang w:val="fr-CH"/>
        </w:rPr>
        <w:t>Le demandeur peut présenter toutes les données et les résultats d’essais prouvant que des véhicules prototypes peuvent satisfaire aux prescriptions avec un degré de certitude suffisant.</w:t>
      </w:r>
    </w:p>
    <w:p w:rsidR="007360C7" w:rsidRPr="00CA019D" w:rsidRDefault="007360C7" w:rsidP="007360C7">
      <w:pPr>
        <w:pStyle w:val="SingleTxt"/>
        <w:ind w:left="2218" w:hanging="951"/>
        <w:rPr>
          <w:lang w:val="fr-CH"/>
        </w:rPr>
      </w:pPr>
      <w:r w:rsidRPr="00CA019D">
        <w:rPr>
          <w:lang w:val="fr-CH"/>
        </w:rPr>
        <w:t>3.4</w:t>
      </w:r>
      <w:r w:rsidRPr="00CA019D">
        <w:rPr>
          <w:lang w:val="fr-CH"/>
        </w:rPr>
        <w:tab/>
      </w:r>
      <w:r>
        <w:rPr>
          <w:lang w:val="fr-CH"/>
        </w:rPr>
        <w:tab/>
      </w:r>
      <w:r w:rsidRPr="00CA019D">
        <w:rPr>
          <w:lang w:val="fr-CH"/>
        </w:rPr>
        <w:t>Un véhicule représentatif du type de véhicule à homologuer est soumis aux services techniques chargés d’effectuer les essais d’homologation.</w:t>
      </w:r>
    </w:p>
    <w:p w:rsidR="007360C7" w:rsidRPr="00CA019D" w:rsidRDefault="007360C7" w:rsidP="007360C7">
      <w:pPr>
        <w:pStyle w:val="SingleTxt"/>
        <w:ind w:left="2218" w:hanging="951"/>
        <w:rPr>
          <w:lang w:val="fr-CH"/>
        </w:rPr>
      </w:pPr>
      <w:r w:rsidRPr="00CA019D">
        <w:rPr>
          <w:lang w:val="fr-CH"/>
        </w:rPr>
        <w:t>3.4.1</w:t>
      </w:r>
      <w:r w:rsidRPr="00CA019D">
        <w:rPr>
          <w:lang w:val="fr-CH"/>
        </w:rPr>
        <w:tab/>
      </w:r>
      <w:r>
        <w:rPr>
          <w:lang w:val="fr-CH"/>
        </w:rPr>
        <w:tab/>
      </w:r>
      <w:r w:rsidRPr="00CA019D">
        <w:rPr>
          <w:lang w:val="fr-CH"/>
        </w:rPr>
        <w:t>Un véhicule ne comprenant pas tous les éléments propres au type de véhicule peut être admis aux essais à condition qu’il soit prouvé que l’absence des éléments en question ne fausse pas les résultats des essais au regard des prescriptions du présent Règlement.</w:t>
      </w:r>
    </w:p>
    <w:p w:rsidR="007360C7" w:rsidRDefault="007360C7" w:rsidP="007360C7">
      <w:pPr>
        <w:pStyle w:val="SingleTxt"/>
        <w:ind w:left="2218" w:hanging="951"/>
        <w:rPr>
          <w:lang w:val="fr-CH"/>
        </w:rPr>
      </w:pPr>
      <w:r w:rsidRPr="00CA019D">
        <w:rPr>
          <w:lang w:val="fr-CH"/>
        </w:rPr>
        <w:t>3.4.2</w:t>
      </w:r>
      <w:r>
        <w:rPr>
          <w:lang w:val="fr-CH"/>
        </w:rPr>
        <w:tab/>
      </w:r>
      <w:r w:rsidRPr="00CA019D">
        <w:rPr>
          <w:lang w:val="fr-CH"/>
        </w:rPr>
        <w:tab/>
        <w:t>Il appartient au demandeur de prouver que l’application du paragraphe 3.4.1 ci-dessus permet de satisfaire aux prescriptions du présent Règlement.</w:t>
      </w:r>
    </w:p>
    <w:p w:rsidR="007360C7" w:rsidRPr="00F7273F" w:rsidRDefault="007360C7" w:rsidP="007360C7">
      <w:pPr>
        <w:pStyle w:val="SingleTxt"/>
        <w:spacing w:after="0" w:line="120" w:lineRule="exact"/>
        <w:ind w:left="2218" w:hanging="951"/>
        <w:rPr>
          <w:sz w:val="10"/>
          <w:lang w:val="fr-CH"/>
        </w:rPr>
      </w:pPr>
    </w:p>
    <w:p w:rsidR="007360C7" w:rsidRPr="00F7273F" w:rsidRDefault="007360C7" w:rsidP="007360C7">
      <w:pPr>
        <w:pStyle w:val="SingleTxt"/>
        <w:spacing w:after="0" w:line="120" w:lineRule="exact"/>
        <w:ind w:left="2218" w:hanging="951"/>
        <w:rPr>
          <w:sz w:val="10"/>
          <w:lang w:val="fr-CH"/>
        </w:rPr>
      </w:pPr>
    </w:p>
    <w:p w:rsidR="007360C7" w:rsidRDefault="007360C7" w:rsidP="007360C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21" w:name="_Toc381109059"/>
      <w:bookmarkStart w:id="22" w:name="_Toc381109124"/>
      <w:bookmarkStart w:id="23" w:name="_Toc381109761"/>
      <w:bookmarkStart w:id="24" w:name="_Toc413834076"/>
      <w:r>
        <w:rPr>
          <w:lang w:val="fr-CH"/>
        </w:rPr>
        <w:tab/>
      </w:r>
      <w:r>
        <w:rPr>
          <w:lang w:val="fr-CH"/>
        </w:rPr>
        <w:tab/>
      </w:r>
      <w:r w:rsidRPr="00CA019D">
        <w:rPr>
          <w:lang w:val="fr-CH"/>
        </w:rPr>
        <w:t>4.</w:t>
      </w:r>
      <w:r w:rsidRPr="00CA019D">
        <w:rPr>
          <w:lang w:val="fr-CH"/>
        </w:rPr>
        <w:tab/>
      </w:r>
      <w:r w:rsidRPr="00CA019D">
        <w:rPr>
          <w:lang w:val="fr-CH"/>
        </w:rPr>
        <w:tab/>
      </w:r>
      <w:bookmarkEnd w:id="21"/>
      <w:bookmarkEnd w:id="22"/>
      <w:bookmarkEnd w:id="23"/>
      <w:bookmarkEnd w:id="24"/>
      <w:r w:rsidRPr="00CA019D">
        <w:rPr>
          <w:lang w:val="fr-CH"/>
        </w:rPr>
        <w:t>Homologation</w:t>
      </w:r>
    </w:p>
    <w:p w:rsidR="007360C7" w:rsidRPr="00F7273F" w:rsidRDefault="007360C7" w:rsidP="007360C7">
      <w:pPr>
        <w:pStyle w:val="SingleTxt"/>
        <w:spacing w:after="0" w:line="120" w:lineRule="exact"/>
        <w:rPr>
          <w:sz w:val="10"/>
          <w:lang w:val="fr-CH"/>
        </w:rPr>
      </w:pPr>
    </w:p>
    <w:p w:rsidR="007360C7" w:rsidRPr="00F7273F" w:rsidRDefault="007360C7" w:rsidP="007360C7">
      <w:pPr>
        <w:pStyle w:val="SingleTxt"/>
        <w:spacing w:after="0" w:line="120" w:lineRule="exact"/>
        <w:rPr>
          <w:sz w:val="10"/>
          <w:lang w:val="fr-CH"/>
        </w:rPr>
      </w:pPr>
    </w:p>
    <w:p w:rsidR="007360C7" w:rsidRPr="00CA019D" w:rsidRDefault="007360C7" w:rsidP="007360C7">
      <w:pPr>
        <w:pStyle w:val="SingleTxt"/>
        <w:ind w:left="2218" w:hanging="951"/>
        <w:rPr>
          <w:lang w:val="fr-CH"/>
        </w:rPr>
      </w:pPr>
      <w:r w:rsidRPr="00CA019D">
        <w:rPr>
          <w:lang w:val="fr-CH"/>
        </w:rPr>
        <w:t>4.1</w:t>
      </w:r>
      <w:r w:rsidRPr="00CA019D">
        <w:rPr>
          <w:lang w:val="fr-CH"/>
        </w:rPr>
        <w:tab/>
      </w:r>
      <w:r>
        <w:rPr>
          <w:lang w:val="fr-CH"/>
        </w:rPr>
        <w:tab/>
      </w:r>
      <w:r w:rsidRPr="00CA019D">
        <w:rPr>
          <w:lang w:val="fr-CH"/>
        </w:rPr>
        <w:t>Si le type de véhicule présenté à l’homologation conformément au présent Règlement satisfait aux prescriptions dudit Règlement, l’homologation est accordée pour ce type de véhicule.</w:t>
      </w:r>
    </w:p>
    <w:p w:rsidR="007360C7" w:rsidRPr="00CA019D" w:rsidRDefault="007360C7" w:rsidP="007360C7">
      <w:pPr>
        <w:pStyle w:val="SingleTxt"/>
        <w:ind w:left="2218" w:hanging="951"/>
        <w:rPr>
          <w:lang w:val="fr-CH"/>
        </w:rPr>
      </w:pPr>
      <w:r w:rsidRPr="00CA019D">
        <w:rPr>
          <w:lang w:val="fr-CH"/>
        </w:rPr>
        <w:t>4.1.1</w:t>
      </w:r>
      <w:r>
        <w:rPr>
          <w:lang w:val="fr-CH"/>
        </w:rPr>
        <w:tab/>
      </w:r>
      <w:r w:rsidRPr="00CA019D">
        <w:rPr>
          <w:lang w:val="fr-CH"/>
        </w:rPr>
        <w:tab/>
        <w:t>Le service technique désigné conformément au paragraphe</w:t>
      </w:r>
      <w:r>
        <w:rPr>
          <w:lang w:val="fr-CH"/>
        </w:rPr>
        <w:t xml:space="preserve"> </w:t>
      </w:r>
      <w:r w:rsidRPr="00CA019D">
        <w:rPr>
          <w:lang w:val="fr-CH"/>
        </w:rPr>
        <w:t>12 ci-après vérifie si les conditions requises ont été satisfaites.</w:t>
      </w:r>
    </w:p>
    <w:p w:rsidR="007360C7" w:rsidRPr="00CA019D" w:rsidRDefault="007360C7" w:rsidP="007360C7">
      <w:pPr>
        <w:pStyle w:val="SingleTxt"/>
        <w:ind w:left="2218" w:hanging="951"/>
        <w:rPr>
          <w:lang w:val="fr-CH"/>
        </w:rPr>
      </w:pPr>
      <w:r w:rsidRPr="00CA019D">
        <w:rPr>
          <w:lang w:val="fr-CH"/>
        </w:rPr>
        <w:lastRenderedPageBreak/>
        <w:t>4.1.2</w:t>
      </w:r>
      <w:r>
        <w:rPr>
          <w:lang w:val="fr-CH"/>
        </w:rPr>
        <w:tab/>
      </w:r>
      <w:r w:rsidRPr="00CA019D">
        <w:rPr>
          <w:lang w:val="fr-CH"/>
        </w:rPr>
        <w:tab/>
        <w:t>En cas de doute, il est tenu compte, pour la vérification de la conformité du véhicule aux prescriptions du présent Règlement, de toute donnée ou résultat d’essai communiqué par le constructeur, qui peut être pris en considération pour valider l’essai d’homologation effectué par le service technique.</w:t>
      </w:r>
    </w:p>
    <w:p w:rsidR="007360C7" w:rsidRPr="00CA019D" w:rsidRDefault="007360C7" w:rsidP="007360C7">
      <w:pPr>
        <w:pStyle w:val="SingleTxt"/>
        <w:ind w:left="2218" w:hanging="951"/>
        <w:rPr>
          <w:lang w:val="fr-CH"/>
        </w:rPr>
      </w:pPr>
      <w:r w:rsidRPr="00CA019D">
        <w:rPr>
          <w:lang w:val="fr-CH"/>
        </w:rPr>
        <w:t>4.2</w:t>
      </w:r>
      <w:r w:rsidRPr="00CA019D">
        <w:rPr>
          <w:lang w:val="fr-CH"/>
        </w:rPr>
        <w:tab/>
      </w:r>
      <w:r>
        <w:rPr>
          <w:lang w:val="fr-CH"/>
        </w:rPr>
        <w:tab/>
      </w:r>
      <w:r w:rsidRPr="00CA019D">
        <w:rPr>
          <w:lang w:val="fr-CH"/>
        </w:rPr>
        <w:t>Chaque type de véhicule homologué reçoit un numéro d’homologation dont les deux premiers chiffres (actuellement 00 pour le Règlement sous sa forme originale) indiquent la série d’amendements correspondant aux principales modifications techniques les plus récentes apportées au Règlement, à la date de délivrance de l’homologation. Une même Partie contractante ne peut pas attribuer ce numéro à un autre type de véhicule.</w:t>
      </w:r>
    </w:p>
    <w:p w:rsidR="007360C7" w:rsidRPr="00CA019D" w:rsidRDefault="007360C7" w:rsidP="00360ADF">
      <w:pPr>
        <w:pStyle w:val="SingleTxt"/>
        <w:ind w:left="2218" w:hanging="951"/>
        <w:rPr>
          <w:lang w:val="fr-CH"/>
        </w:rPr>
      </w:pPr>
      <w:r w:rsidRPr="00CA019D">
        <w:rPr>
          <w:lang w:val="fr-CH"/>
        </w:rPr>
        <w:t>4.3</w:t>
      </w:r>
      <w:r>
        <w:rPr>
          <w:lang w:val="fr-CH"/>
        </w:rPr>
        <w:tab/>
      </w:r>
      <w:r w:rsidRPr="00CA019D">
        <w:rPr>
          <w:lang w:val="fr-CH"/>
        </w:rPr>
        <w:tab/>
        <w:t xml:space="preserve">L’homologation, l’extension de l’homologation, le refus d’homologation ou le retrait de l’homologation en application du présent Règlement est notifié aux Parties à l’Accord appliquant le présent Règlement au moyen d’une fiche conforme au modèle visé à l’annexe 1 dudit Règlement et de photographies et/ou schémas et dessins fournis par le demandeur de l’homologation, à un format ne dépassant pas A4 (210 </w:t>
      </w:r>
      <w:r w:rsidR="00360ADF">
        <w:rPr>
          <w:lang w:val="fr-CH"/>
        </w:rPr>
        <w:t>x</w:t>
      </w:r>
      <w:r w:rsidRPr="00CA019D">
        <w:rPr>
          <w:lang w:val="fr-CH"/>
        </w:rPr>
        <w:t xml:space="preserve"> 297 mm) ou pliés à ce format et réalisés à une échelle appropriée.</w:t>
      </w:r>
    </w:p>
    <w:p w:rsidR="007360C7" w:rsidRPr="00CA019D" w:rsidRDefault="007360C7" w:rsidP="007360C7">
      <w:pPr>
        <w:pStyle w:val="SingleTxt"/>
        <w:ind w:left="2218" w:hanging="951"/>
        <w:rPr>
          <w:lang w:val="fr-CH"/>
        </w:rPr>
      </w:pPr>
      <w:r w:rsidRPr="00CA019D">
        <w:rPr>
          <w:lang w:val="fr-CH"/>
        </w:rPr>
        <w:t>4.4</w:t>
      </w:r>
      <w:r w:rsidRPr="00CA019D">
        <w:rPr>
          <w:lang w:val="fr-CH"/>
        </w:rPr>
        <w:tab/>
      </w:r>
      <w:r>
        <w:rPr>
          <w:lang w:val="fr-CH"/>
        </w:rPr>
        <w:tab/>
      </w:r>
      <w:r w:rsidRPr="00CA019D">
        <w:rPr>
          <w:lang w:val="fr-CH"/>
        </w:rPr>
        <w:t>Sur tout véhicule conforme à un type homologué en application du présent Règlement, il est apposé de manière visible, en un endroit facilement accessible et indiqué sur la fiche d’homologation, une marque d’homologation internationale composée</w:t>
      </w:r>
      <w:r w:rsidR="008B4BCA">
        <w:rPr>
          <w:lang w:val="fr-CH"/>
        </w:rPr>
        <w:t> </w:t>
      </w:r>
      <w:r w:rsidRPr="00CA019D">
        <w:rPr>
          <w:lang w:val="fr-CH"/>
        </w:rPr>
        <w:t>:</w:t>
      </w:r>
    </w:p>
    <w:p w:rsidR="007360C7" w:rsidRPr="00CA019D" w:rsidRDefault="007360C7" w:rsidP="007360C7">
      <w:pPr>
        <w:pStyle w:val="SingleTxt"/>
        <w:ind w:left="2218" w:hanging="951"/>
        <w:rPr>
          <w:lang w:val="fr-CH"/>
        </w:rPr>
      </w:pPr>
      <w:r w:rsidRPr="00CA019D">
        <w:rPr>
          <w:lang w:val="fr-CH"/>
        </w:rPr>
        <w:t>4.4.1</w:t>
      </w:r>
      <w:r>
        <w:rPr>
          <w:lang w:val="fr-CH"/>
        </w:rPr>
        <w:tab/>
      </w:r>
      <w:r w:rsidRPr="00CA019D">
        <w:rPr>
          <w:lang w:val="fr-CH"/>
        </w:rPr>
        <w:tab/>
        <w:t xml:space="preserve">D’un cercle à l’intérieur duquel est placée la lettre </w:t>
      </w:r>
      <w:r>
        <w:rPr>
          <w:lang w:val="fr-CH"/>
        </w:rPr>
        <w:t>« </w:t>
      </w:r>
      <w:r w:rsidRPr="00CA019D">
        <w:rPr>
          <w:lang w:val="fr-CH"/>
        </w:rPr>
        <w:t>E</w:t>
      </w:r>
      <w:r>
        <w:rPr>
          <w:lang w:val="fr-CH"/>
        </w:rPr>
        <w:t> »</w:t>
      </w:r>
      <w:r w:rsidRPr="00CA019D">
        <w:rPr>
          <w:lang w:val="fr-CH"/>
        </w:rPr>
        <w:t xml:space="preserve"> suivie du numéro distinctif du pays ayant délivré l’homologation</w:t>
      </w:r>
      <w:r w:rsidRPr="001F0D2C">
        <w:rPr>
          <w:rStyle w:val="FootnoteReference"/>
          <w:lang w:val="fr-CH"/>
        </w:rPr>
        <w:footnoteReference w:id="3"/>
      </w:r>
      <w:r w:rsidRPr="00CA019D">
        <w:rPr>
          <w:lang w:val="fr-CH"/>
        </w:rPr>
        <w:t>;</w:t>
      </w:r>
    </w:p>
    <w:p w:rsidR="007360C7" w:rsidRPr="00CA019D" w:rsidRDefault="007360C7" w:rsidP="007360C7">
      <w:pPr>
        <w:pStyle w:val="SingleTxt"/>
        <w:ind w:left="2218" w:hanging="951"/>
        <w:rPr>
          <w:lang w:val="fr-CH"/>
        </w:rPr>
      </w:pPr>
      <w:r w:rsidRPr="00CA019D">
        <w:rPr>
          <w:lang w:val="fr-CH"/>
        </w:rPr>
        <w:t>4.4.2</w:t>
      </w:r>
      <w:r w:rsidRPr="00CA019D">
        <w:rPr>
          <w:lang w:val="fr-CH"/>
        </w:rPr>
        <w:tab/>
      </w:r>
      <w:r>
        <w:rPr>
          <w:lang w:val="fr-CH"/>
        </w:rPr>
        <w:tab/>
      </w:r>
      <w:r w:rsidRPr="00CA019D">
        <w:rPr>
          <w:lang w:val="fr-CH"/>
        </w:rPr>
        <w:t xml:space="preserve">Du numéro du présent Règlement, suivi de la lettre </w:t>
      </w:r>
      <w:r>
        <w:rPr>
          <w:lang w:val="fr-CH"/>
        </w:rPr>
        <w:t>« </w:t>
      </w:r>
      <w:r w:rsidRPr="00CA019D">
        <w:rPr>
          <w:lang w:val="fr-CH"/>
        </w:rPr>
        <w:t>R</w:t>
      </w:r>
      <w:r>
        <w:rPr>
          <w:lang w:val="fr-CH"/>
        </w:rPr>
        <w:t> »</w:t>
      </w:r>
      <w:r w:rsidRPr="00CA019D">
        <w:rPr>
          <w:lang w:val="fr-CH"/>
        </w:rPr>
        <w:t>, d’un tiret et du numéro d’homologation, placé à la droite du cercle prévu au paragraphe 4.4.1 ci-dessus.</w:t>
      </w:r>
    </w:p>
    <w:p w:rsidR="007360C7" w:rsidRPr="00CA019D" w:rsidRDefault="007360C7" w:rsidP="007360C7">
      <w:pPr>
        <w:pStyle w:val="SingleTxt"/>
        <w:ind w:left="2218" w:hanging="951"/>
        <w:rPr>
          <w:lang w:val="fr-CH"/>
        </w:rPr>
      </w:pPr>
      <w:r w:rsidRPr="00CA019D">
        <w:rPr>
          <w:lang w:val="fr-CH"/>
        </w:rPr>
        <w:t>4.5</w:t>
      </w:r>
      <w:r w:rsidRPr="00CA019D">
        <w:rPr>
          <w:lang w:val="fr-CH"/>
        </w:rPr>
        <w:tab/>
      </w:r>
      <w:r>
        <w:rPr>
          <w:lang w:val="fr-CH"/>
        </w:rPr>
        <w:tab/>
      </w:r>
      <w:r w:rsidRPr="00CA019D">
        <w:rPr>
          <w:lang w:val="fr-CH"/>
        </w:rPr>
        <w:t>Si le véhicule est conforme à un type de véhicule homologué, en application d’un ou de plusieurs autres Règlements joints en annexe à l’Accord, dans le pays même qui a accordé l’homologation en application du présent Règlement, il n’est pas nécessaire de répéter le symbole prescrit au paragraphe 4.4.1 ci-dessus; en pareil cas, les numéros de Règlement et d’homologation et les symboles additionnels pour tous les Règlements pour lesquels l’homologation a été accordée dans le pays qui a accordé l’homologation en application du présent Règlement sont inscrits l’un au</w:t>
      </w:r>
      <w:r w:rsidR="007559F1">
        <w:rPr>
          <w:lang w:val="fr-CH"/>
        </w:rPr>
        <w:t>-</w:t>
      </w:r>
      <w:r w:rsidRPr="00CA019D">
        <w:rPr>
          <w:lang w:val="fr-CH"/>
        </w:rPr>
        <w:t>dessous de l’autre, à droite du symbole prescrit au paragraphe 4.4.1 ci</w:t>
      </w:r>
      <w:r w:rsidR="007559F1">
        <w:rPr>
          <w:lang w:val="fr-CH"/>
        </w:rPr>
        <w:t>-</w:t>
      </w:r>
      <w:r w:rsidRPr="00CA019D">
        <w:rPr>
          <w:lang w:val="fr-CH"/>
        </w:rPr>
        <w:t>dessus.</w:t>
      </w:r>
    </w:p>
    <w:p w:rsidR="007360C7" w:rsidRPr="00CA019D" w:rsidRDefault="007360C7" w:rsidP="007360C7">
      <w:pPr>
        <w:pStyle w:val="SingleTxt"/>
        <w:rPr>
          <w:lang w:val="fr-CH"/>
        </w:rPr>
      </w:pPr>
      <w:r w:rsidRPr="00CA019D">
        <w:rPr>
          <w:lang w:val="fr-CH"/>
        </w:rPr>
        <w:t>4.6</w:t>
      </w:r>
      <w:r>
        <w:rPr>
          <w:lang w:val="fr-CH"/>
        </w:rPr>
        <w:tab/>
      </w:r>
      <w:r>
        <w:rPr>
          <w:lang w:val="fr-CH"/>
        </w:rPr>
        <w:tab/>
      </w:r>
      <w:r w:rsidRPr="00CA019D">
        <w:rPr>
          <w:lang w:val="fr-CH"/>
        </w:rPr>
        <w:t>La marque d’homologation doit être clairement lisible et indélébile.</w:t>
      </w:r>
    </w:p>
    <w:p w:rsidR="007360C7" w:rsidRPr="00CA019D" w:rsidRDefault="007360C7" w:rsidP="007360C7">
      <w:pPr>
        <w:pStyle w:val="SingleTxt"/>
        <w:ind w:left="2218" w:hanging="951"/>
        <w:rPr>
          <w:lang w:val="fr-CH"/>
        </w:rPr>
      </w:pPr>
      <w:r w:rsidRPr="00CA019D">
        <w:rPr>
          <w:lang w:val="fr-CH"/>
        </w:rPr>
        <w:t>4.7</w:t>
      </w:r>
      <w:r>
        <w:rPr>
          <w:lang w:val="fr-CH"/>
        </w:rPr>
        <w:tab/>
      </w:r>
      <w:r>
        <w:rPr>
          <w:lang w:val="fr-CH"/>
        </w:rPr>
        <w:tab/>
      </w:r>
      <w:r w:rsidRPr="00CA019D">
        <w:rPr>
          <w:lang w:val="fr-CH"/>
        </w:rPr>
        <w:t>La marque d’homologation doit être placée sur la plaque signalétique du véhicule apposée par le constructeur ou à proximité.</w:t>
      </w:r>
    </w:p>
    <w:p w:rsidR="007360C7" w:rsidRDefault="007360C7" w:rsidP="007360C7">
      <w:pPr>
        <w:pStyle w:val="SingleTxt"/>
        <w:ind w:left="2218" w:hanging="951"/>
        <w:rPr>
          <w:lang w:val="fr-CH"/>
        </w:rPr>
      </w:pPr>
      <w:r w:rsidRPr="00CA019D">
        <w:rPr>
          <w:lang w:val="fr-CH"/>
        </w:rPr>
        <w:t>4.8</w:t>
      </w:r>
      <w:r>
        <w:rPr>
          <w:lang w:val="fr-CH"/>
        </w:rPr>
        <w:tab/>
      </w:r>
      <w:r>
        <w:rPr>
          <w:lang w:val="fr-CH"/>
        </w:rPr>
        <w:tab/>
      </w:r>
      <w:r w:rsidRPr="00CA019D">
        <w:rPr>
          <w:lang w:val="fr-CH"/>
        </w:rPr>
        <w:t>L’annexe</w:t>
      </w:r>
      <w:r>
        <w:rPr>
          <w:lang w:val="fr-CH"/>
        </w:rPr>
        <w:t xml:space="preserve"> </w:t>
      </w:r>
      <w:r w:rsidRPr="00CA019D">
        <w:rPr>
          <w:lang w:val="fr-CH"/>
        </w:rPr>
        <w:t>2 du présent Règlement donne des exemples de marques d’homologation</w:t>
      </w:r>
      <w:r>
        <w:rPr>
          <w:lang w:val="fr-CH"/>
        </w:rPr>
        <w:t>.</w:t>
      </w:r>
    </w:p>
    <w:p w:rsidR="007360C7" w:rsidRPr="00F7273F" w:rsidRDefault="007360C7" w:rsidP="007360C7">
      <w:pPr>
        <w:pStyle w:val="SingleTxt"/>
        <w:spacing w:after="0" w:line="120" w:lineRule="exact"/>
        <w:ind w:left="2218" w:hanging="951"/>
        <w:rPr>
          <w:sz w:val="10"/>
          <w:lang w:val="fr-CH"/>
        </w:rPr>
      </w:pPr>
    </w:p>
    <w:p w:rsidR="007360C7" w:rsidRPr="00F7273F" w:rsidRDefault="007360C7" w:rsidP="007360C7">
      <w:pPr>
        <w:pStyle w:val="SingleTxt"/>
        <w:spacing w:after="0" w:line="120" w:lineRule="exact"/>
        <w:ind w:left="2218" w:hanging="951"/>
        <w:rPr>
          <w:sz w:val="10"/>
          <w:lang w:val="fr-CH"/>
        </w:rPr>
      </w:pPr>
    </w:p>
    <w:p w:rsidR="007360C7" w:rsidRDefault="007360C7" w:rsidP="007360C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25" w:name="_Toc381109060"/>
      <w:bookmarkStart w:id="26" w:name="_Toc381109125"/>
      <w:bookmarkStart w:id="27" w:name="_Toc381109762"/>
      <w:bookmarkStart w:id="28" w:name="_Toc413834077"/>
      <w:r>
        <w:rPr>
          <w:lang w:val="fr-CH"/>
        </w:rPr>
        <w:lastRenderedPageBreak/>
        <w:tab/>
      </w:r>
      <w:r>
        <w:rPr>
          <w:lang w:val="fr-CH"/>
        </w:rPr>
        <w:tab/>
      </w:r>
      <w:r w:rsidRPr="00CA019D">
        <w:rPr>
          <w:lang w:val="fr-CH"/>
        </w:rPr>
        <w:t>5.</w:t>
      </w:r>
      <w:r w:rsidRPr="00CA019D">
        <w:rPr>
          <w:lang w:val="fr-CH"/>
        </w:rPr>
        <w:tab/>
      </w:r>
      <w:r w:rsidRPr="00CA019D">
        <w:rPr>
          <w:lang w:val="fr-CH"/>
        </w:rPr>
        <w:tab/>
        <w:t>Spécifications</w:t>
      </w:r>
      <w:bookmarkEnd w:id="25"/>
      <w:bookmarkEnd w:id="26"/>
      <w:bookmarkEnd w:id="27"/>
      <w:bookmarkEnd w:id="28"/>
    </w:p>
    <w:p w:rsidR="007360C7" w:rsidRPr="00F7273F" w:rsidRDefault="007360C7" w:rsidP="007360C7">
      <w:pPr>
        <w:pStyle w:val="SingleTxt"/>
        <w:keepNext/>
        <w:keepLines/>
        <w:spacing w:after="0" w:line="120" w:lineRule="exact"/>
        <w:rPr>
          <w:sz w:val="10"/>
          <w:lang w:val="fr-CH"/>
        </w:rPr>
      </w:pPr>
    </w:p>
    <w:p w:rsidR="007360C7" w:rsidRPr="00F7273F" w:rsidRDefault="007360C7" w:rsidP="007360C7">
      <w:pPr>
        <w:pStyle w:val="SingleTxt"/>
        <w:keepNext/>
        <w:keepLines/>
        <w:spacing w:after="0" w:line="120" w:lineRule="exact"/>
        <w:rPr>
          <w:sz w:val="10"/>
          <w:lang w:val="fr-CH"/>
        </w:rPr>
      </w:pPr>
    </w:p>
    <w:p w:rsidR="007360C7" w:rsidRPr="00CA019D" w:rsidRDefault="007360C7" w:rsidP="007360C7">
      <w:pPr>
        <w:pStyle w:val="SingleTxt"/>
        <w:keepNext/>
        <w:keepLines/>
        <w:ind w:left="2218" w:hanging="951"/>
        <w:rPr>
          <w:lang w:val="fr-CH"/>
        </w:rPr>
      </w:pPr>
      <w:r w:rsidRPr="00CA019D">
        <w:rPr>
          <w:lang w:val="fr-CH"/>
        </w:rPr>
        <w:t>5.1</w:t>
      </w:r>
      <w:r>
        <w:rPr>
          <w:lang w:val="fr-CH"/>
        </w:rPr>
        <w:tab/>
      </w:r>
      <w:r w:rsidRPr="00CA019D">
        <w:rPr>
          <w:lang w:val="fr-CH"/>
        </w:rPr>
        <w:tab/>
        <w:t>Spécifications générales</w:t>
      </w:r>
    </w:p>
    <w:p w:rsidR="007360C7" w:rsidRPr="00855718" w:rsidRDefault="007360C7" w:rsidP="007360C7">
      <w:pPr>
        <w:pStyle w:val="SingleTxt"/>
        <w:keepNext/>
        <w:keepLines/>
        <w:ind w:left="2218" w:hanging="951"/>
        <w:rPr>
          <w:lang w:val="fr-CH"/>
        </w:rPr>
      </w:pPr>
      <w:r w:rsidRPr="00CA019D">
        <w:rPr>
          <w:lang w:val="fr-CH"/>
        </w:rPr>
        <w:t>5.1.1</w:t>
      </w:r>
      <w:r>
        <w:rPr>
          <w:lang w:val="fr-CH"/>
        </w:rPr>
        <w:tab/>
      </w:r>
      <w:r>
        <w:rPr>
          <w:lang w:val="fr-CH"/>
        </w:rPr>
        <w:tab/>
        <w:t xml:space="preserve">Pour chaque siège, le </w:t>
      </w:r>
      <w:r w:rsidRPr="00CA019D">
        <w:rPr>
          <w:lang w:val="fr-CH"/>
        </w:rPr>
        <w:t xml:space="preserve">point H pour chaque siège doit être déterminé selon la procédure décrite </w:t>
      </w:r>
      <w:r w:rsidRPr="00855718">
        <w:rPr>
          <w:lang w:val="fr-CH"/>
        </w:rPr>
        <w:t>à l’annexe 6.</w:t>
      </w:r>
    </w:p>
    <w:p w:rsidR="007360C7" w:rsidRPr="00CA019D" w:rsidRDefault="007360C7" w:rsidP="007360C7">
      <w:pPr>
        <w:pStyle w:val="SingleTxt"/>
        <w:ind w:left="2218" w:hanging="951"/>
        <w:rPr>
          <w:lang w:val="fr-CH"/>
        </w:rPr>
      </w:pPr>
      <w:r w:rsidRPr="00855718">
        <w:rPr>
          <w:lang w:val="fr-CH"/>
        </w:rPr>
        <w:t>5.1.2</w:t>
      </w:r>
      <w:r w:rsidRPr="00855718">
        <w:rPr>
          <w:lang w:val="fr-CH"/>
        </w:rPr>
        <w:tab/>
      </w:r>
      <w:r>
        <w:rPr>
          <w:lang w:val="fr-CH"/>
        </w:rPr>
        <w:tab/>
      </w:r>
      <w:r w:rsidRPr="00855718">
        <w:rPr>
          <w:lang w:val="fr-CH"/>
        </w:rPr>
        <w:t>Lorsque le système de protection des places assises avant comporte des ceintures, les éléments constitutifs de ces ceintures doivent être conformes aux prescriptions du</w:t>
      </w:r>
      <w:r w:rsidRPr="00CA019D">
        <w:rPr>
          <w:lang w:val="fr-CH"/>
        </w:rPr>
        <w:t xml:space="preserve"> Règlement n</w:t>
      </w:r>
      <w:r w:rsidRPr="00CA019D">
        <w:rPr>
          <w:vertAlign w:val="superscript"/>
          <w:lang w:val="fr-CH"/>
        </w:rPr>
        <w:t>o</w:t>
      </w:r>
      <w:r w:rsidRPr="00CA019D">
        <w:rPr>
          <w:lang w:val="fr-CH"/>
        </w:rPr>
        <w:t> 16.</w:t>
      </w:r>
    </w:p>
    <w:p w:rsidR="007360C7" w:rsidRPr="00CA019D" w:rsidRDefault="007360C7" w:rsidP="007360C7">
      <w:pPr>
        <w:pStyle w:val="SingleTxt"/>
        <w:ind w:left="2218" w:hanging="951"/>
        <w:rPr>
          <w:lang w:val="fr-CH"/>
        </w:rPr>
      </w:pPr>
      <w:r w:rsidRPr="00CA019D">
        <w:rPr>
          <w:lang w:val="fr-CH"/>
        </w:rPr>
        <w:t>5.1.3</w:t>
      </w:r>
      <w:r w:rsidRPr="00CA019D">
        <w:rPr>
          <w:lang w:val="fr-CH"/>
        </w:rPr>
        <w:tab/>
      </w:r>
      <w:r>
        <w:rPr>
          <w:lang w:val="fr-CH"/>
        </w:rPr>
        <w:tab/>
      </w:r>
      <w:r w:rsidRPr="00CA019D">
        <w:rPr>
          <w:lang w:val="fr-CH"/>
        </w:rPr>
        <w:t>Les places assises occupées par un mannequin et dont les systèmes de protection comportent des ceintures doivent être munies de points d’ancrage conformes au Règlement n</w:t>
      </w:r>
      <w:r w:rsidRPr="00CA019D">
        <w:rPr>
          <w:vertAlign w:val="superscript"/>
          <w:lang w:val="fr-CH"/>
        </w:rPr>
        <w:t>o</w:t>
      </w:r>
      <w:r>
        <w:rPr>
          <w:lang w:val="fr-CH"/>
        </w:rPr>
        <w:t> 14.</w:t>
      </w:r>
    </w:p>
    <w:p w:rsidR="007360C7" w:rsidRPr="00CA019D" w:rsidRDefault="007360C7" w:rsidP="007360C7">
      <w:pPr>
        <w:pStyle w:val="SingleTxt"/>
        <w:ind w:left="2218" w:hanging="951"/>
        <w:rPr>
          <w:lang w:val="fr-CH"/>
        </w:rPr>
      </w:pPr>
      <w:bookmarkStart w:id="29" w:name="_Toc355089223"/>
      <w:r w:rsidRPr="00CA019D">
        <w:rPr>
          <w:lang w:val="fr-CH"/>
        </w:rPr>
        <w:t>5.2</w:t>
      </w:r>
      <w:r>
        <w:rPr>
          <w:lang w:val="fr-CH"/>
        </w:rPr>
        <w:tab/>
      </w:r>
      <w:r w:rsidRPr="00CA019D">
        <w:rPr>
          <w:lang w:val="fr-CH"/>
        </w:rPr>
        <w:tab/>
        <w:t>Spécifications pour l’essai du système de retenue</w:t>
      </w:r>
      <w:bookmarkEnd w:id="29"/>
      <w:r w:rsidRPr="00CA019D">
        <w:rPr>
          <w:lang w:val="fr-CH"/>
        </w:rPr>
        <w:t xml:space="preserve"> (essai avec une barrière rigide sur toute la largeur)</w:t>
      </w:r>
    </w:p>
    <w:p w:rsidR="007360C7" w:rsidRPr="00CA019D" w:rsidRDefault="007360C7" w:rsidP="007360C7">
      <w:pPr>
        <w:pStyle w:val="SingleTxt"/>
        <w:ind w:left="2218" w:hanging="951"/>
        <w:rPr>
          <w:lang w:val="fr-CH"/>
        </w:rPr>
      </w:pPr>
      <w:r>
        <w:rPr>
          <w:lang w:val="fr-CH"/>
        </w:rPr>
        <w:tab/>
      </w:r>
      <w:r w:rsidRPr="00CA019D">
        <w:rPr>
          <w:lang w:val="fr-CH"/>
        </w:rPr>
        <w:tab/>
        <w:t>Le véhicule doit subir les essais et être homologué conformément à la méthode décrite à l’annexe</w:t>
      </w:r>
      <w:r>
        <w:rPr>
          <w:lang w:val="fr-CH"/>
        </w:rPr>
        <w:t xml:space="preserve"> </w:t>
      </w:r>
      <w:r w:rsidRPr="00CA019D">
        <w:rPr>
          <w:lang w:val="fr-CH"/>
        </w:rPr>
        <w:t>3.</w:t>
      </w:r>
    </w:p>
    <w:p w:rsidR="007360C7" w:rsidRPr="00CA019D" w:rsidRDefault="007360C7" w:rsidP="007360C7">
      <w:pPr>
        <w:pStyle w:val="SingleTxt"/>
        <w:ind w:left="2218" w:hanging="951"/>
        <w:rPr>
          <w:lang w:val="fr-CH"/>
        </w:rPr>
      </w:pPr>
      <w:r>
        <w:rPr>
          <w:lang w:val="fr-CH"/>
        </w:rPr>
        <w:tab/>
      </w:r>
      <w:r w:rsidRPr="00CA019D">
        <w:rPr>
          <w:lang w:val="fr-CH"/>
        </w:rPr>
        <w:tab/>
        <w:t>Le véhicule qui, en accord avec le service technique, est considéré comme ayant l’effet le plus néfaste au regard des critères de lésion définis au paragraphe 5.2.1 est sélectionné pour cet essai.</w:t>
      </w:r>
    </w:p>
    <w:p w:rsidR="007360C7" w:rsidRPr="00CA019D" w:rsidRDefault="007360C7" w:rsidP="007360C7">
      <w:pPr>
        <w:pStyle w:val="SingleTxt"/>
        <w:ind w:left="2218" w:hanging="951"/>
        <w:rPr>
          <w:lang w:val="fr-CH"/>
        </w:rPr>
      </w:pPr>
      <w:r>
        <w:rPr>
          <w:lang w:val="fr-CH"/>
        </w:rPr>
        <w:tab/>
      </w:r>
      <w:r w:rsidRPr="00CA019D">
        <w:rPr>
          <w:lang w:val="fr-CH"/>
        </w:rPr>
        <w:tab/>
        <w:t>L’essai du véhicule réalisé conformément à la méthode décrite à l’annexe 3 est considéré comme satisfaisant si toutes les conditions énoncées aux paragraphes 5.2.1 à 5.2.6 ci-après sont satisfaites en même temps.</w:t>
      </w:r>
    </w:p>
    <w:p w:rsidR="007360C7" w:rsidRPr="00CA019D" w:rsidRDefault="007360C7" w:rsidP="007360C7">
      <w:pPr>
        <w:pStyle w:val="SingleTxt"/>
        <w:ind w:left="2218" w:hanging="951"/>
        <w:rPr>
          <w:lang w:val="fr-CH"/>
        </w:rPr>
      </w:pPr>
      <w:r>
        <w:rPr>
          <w:lang w:val="fr-CH"/>
        </w:rPr>
        <w:tab/>
      </w:r>
      <w:r w:rsidRPr="00CA019D">
        <w:rPr>
          <w:lang w:val="fr-CH"/>
        </w:rPr>
        <w:tab/>
        <w:t>En outre, les véhicules équipés d’une chaîne de traction électrique doivent satisfaire aux prescriptions du paragraphe 5.2.8. La démonstration peut en être faite lors d’un essai de choc distinct, à la demande du constructeur et après validation par le service technique, pour autant que les composants électriques n’aient pas d’influence sur l’efficacité en matière de protection des occupants du type de véhicule considéré, telle qu’elle est prescrite aux paragraphes 5.2.1 à 5.2.5 du présent Règlement. Si tel est le cas, le respect des prescriptions énoncées au paragraphe 5.2.8 doit être vérifié conformément aux méthodes définies à l’annexe 3 du présent Règlement, à l’exception des paragraphes 2, 5 et 6 de ladite annexe.</w:t>
      </w:r>
    </w:p>
    <w:p w:rsidR="007360C7" w:rsidRPr="00CA019D" w:rsidRDefault="007360C7" w:rsidP="007360C7">
      <w:pPr>
        <w:pStyle w:val="SingleTxt"/>
        <w:ind w:left="2218" w:hanging="951"/>
        <w:rPr>
          <w:lang w:val="fr-CH"/>
        </w:rPr>
      </w:pPr>
      <w:r>
        <w:rPr>
          <w:lang w:val="fr-CH"/>
        </w:rPr>
        <w:tab/>
      </w:r>
      <w:r w:rsidRPr="00CA019D">
        <w:rPr>
          <w:lang w:val="fr-CH"/>
        </w:rPr>
        <w:tab/>
        <w:t>Un mannequin du type Hybrid III homme du cinquantième centile (voir note 1 de l’annexe 3) équipé d’une cheville à 45° et réglé selon les spécifications propres à ce type, est installé à la place du conducteur.</w:t>
      </w:r>
    </w:p>
    <w:p w:rsidR="007360C7" w:rsidRPr="00CA019D" w:rsidRDefault="007360C7" w:rsidP="00360ADF">
      <w:pPr>
        <w:pStyle w:val="SingleTxt"/>
        <w:ind w:left="2218" w:hanging="951"/>
        <w:rPr>
          <w:lang w:val="fr-CH"/>
        </w:rPr>
      </w:pPr>
      <w:r>
        <w:rPr>
          <w:lang w:val="fr-CH"/>
        </w:rPr>
        <w:tab/>
      </w:r>
      <w:r w:rsidRPr="00CA019D">
        <w:rPr>
          <w:lang w:val="fr-CH"/>
        </w:rPr>
        <w:tab/>
        <w:t>Un mannequin du type Hybrid III femme du cinquième centile (voir note 1 de l’annexe 3) équipé d’une cheville à 45° et réglé selon les spécifications propres à ce type, est installé à la place du passager latérale.</w:t>
      </w:r>
    </w:p>
    <w:p w:rsidR="007360C7" w:rsidRPr="00CA019D" w:rsidRDefault="007360C7" w:rsidP="007360C7">
      <w:pPr>
        <w:pStyle w:val="SingleTxt"/>
        <w:ind w:left="2218" w:hanging="951"/>
        <w:rPr>
          <w:lang w:val="fr-CH"/>
        </w:rPr>
      </w:pPr>
      <w:r w:rsidRPr="00CA019D">
        <w:rPr>
          <w:lang w:val="fr-CH"/>
        </w:rPr>
        <w:t>5.2.1</w:t>
      </w:r>
      <w:r>
        <w:rPr>
          <w:lang w:val="fr-CH"/>
        </w:rPr>
        <w:tab/>
      </w:r>
      <w:r w:rsidRPr="00CA019D">
        <w:rPr>
          <w:lang w:val="fr-CH"/>
        </w:rPr>
        <w:tab/>
        <w:t>Les critères de performance décrits à l’annexe 4 et relevés, conformément à l’annexe 8, sur les mannequins installés aux places latérales avant doivent satisfaire aux conditions suivantes</w:t>
      </w:r>
      <w:r w:rsidR="008B4BCA">
        <w:rPr>
          <w:lang w:val="fr-CH"/>
        </w:rPr>
        <w:t> </w:t>
      </w:r>
      <w:r w:rsidRPr="00CA019D">
        <w:rPr>
          <w:lang w:val="fr-CH"/>
        </w:rPr>
        <w:t>:</w:t>
      </w:r>
    </w:p>
    <w:p w:rsidR="007360C7" w:rsidRPr="00CA019D" w:rsidRDefault="007360C7" w:rsidP="007360C7">
      <w:pPr>
        <w:pStyle w:val="SingleTxt"/>
        <w:ind w:left="2218" w:hanging="951"/>
        <w:rPr>
          <w:lang w:val="fr-CH"/>
        </w:rPr>
      </w:pPr>
      <w:r w:rsidRPr="00CA019D">
        <w:rPr>
          <w:lang w:val="fr-CH"/>
        </w:rPr>
        <w:t>5.2.1.1</w:t>
      </w:r>
      <w:r>
        <w:rPr>
          <w:lang w:val="fr-CH"/>
        </w:rPr>
        <w:tab/>
      </w:r>
      <w:r w:rsidRPr="00CA019D">
        <w:rPr>
          <w:lang w:val="fr-CH"/>
        </w:rPr>
        <w:t>Critères de performance relatifs au mannequin du type Hybrid III homme du cinquantième centile</w:t>
      </w:r>
      <w:r w:rsidR="008B4BCA">
        <w:rPr>
          <w:lang w:val="fr-CH"/>
        </w:rPr>
        <w:t> </w:t>
      </w:r>
      <w:r w:rsidRPr="00CA019D">
        <w:rPr>
          <w:lang w:val="fr-CH"/>
        </w:rPr>
        <w:t>:</w:t>
      </w:r>
    </w:p>
    <w:p w:rsidR="007360C7" w:rsidRPr="00CA019D" w:rsidRDefault="007360C7" w:rsidP="007360C7">
      <w:pPr>
        <w:pStyle w:val="SingleTxt"/>
        <w:ind w:left="2218" w:hanging="951"/>
        <w:rPr>
          <w:lang w:val="fr-CH"/>
        </w:rPr>
      </w:pPr>
      <w:r w:rsidRPr="00CA019D">
        <w:rPr>
          <w:lang w:val="fr-CH"/>
        </w:rPr>
        <w:t>5.2.1.1.1</w:t>
      </w:r>
      <w:r>
        <w:rPr>
          <w:lang w:val="fr-CH"/>
        </w:rPr>
        <w:tab/>
      </w:r>
      <w:r w:rsidRPr="00CA019D">
        <w:rPr>
          <w:lang w:val="fr-CH"/>
        </w:rPr>
        <w:t>Le critère de performance de la tête (HP</w:t>
      </w:r>
      <w:r w:rsidR="00360ADF">
        <w:rPr>
          <w:lang w:val="fr-CH"/>
        </w:rPr>
        <w:t>C) ne doit pas être supérieur à </w:t>
      </w:r>
      <w:r w:rsidRPr="00CA019D">
        <w:rPr>
          <w:lang w:val="fr-CH"/>
        </w:rPr>
        <w:t>1 000 et l’accélération résultante de la tête ne doit pas dépasser 80 g pendant plus de 3 ms. Cette dernière fait l’objet d’un calcul cumulatif excluant le mouvement de retour de la tête;</w:t>
      </w:r>
    </w:p>
    <w:p w:rsidR="007360C7" w:rsidRPr="00CA019D" w:rsidRDefault="007360C7" w:rsidP="007360C7">
      <w:pPr>
        <w:pStyle w:val="SingleTxt"/>
        <w:ind w:left="2218" w:hanging="951"/>
        <w:rPr>
          <w:lang w:val="fr-CH"/>
        </w:rPr>
      </w:pPr>
      <w:r w:rsidRPr="00CA019D">
        <w:rPr>
          <w:lang w:val="fr-CH"/>
        </w:rPr>
        <w:lastRenderedPageBreak/>
        <w:t>5.2.1.1.2</w:t>
      </w:r>
      <w:r w:rsidRPr="00CA019D">
        <w:rPr>
          <w:lang w:val="fr-CH"/>
        </w:rPr>
        <w:tab/>
        <w:t xml:space="preserve">Les critères de lésion </w:t>
      </w:r>
      <w:r>
        <w:rPr>
          <w:lang w:val="fr-CH"/>
        </w:rPr>
        <w:t>de la nuque</w:t>
      </w:r>
      <w:r w:rsidRPr="00CA019D">
        <w:rPr>
          <w:lang w:val="fr-CH"/>
        </w:rPr>
        <w:t xml:space="preserve"> ne doivent pas être supérieurs aux valeurs suivantes</w:t>
      </w:r>
      <w:r w:rsidR="008B4BCA">
        <w:rPr>
          <w:lang w:val="fr-CH"/>
        </w:rPr>
        <w:t> </w:t>
      </w:r>
      <w:r w:rsidRPr="00CA019D">
        <w:rPr>
          <w:lang w:val="fr-CH"/>
        </w:rPr>
        <w:t>:</w:t>
      </w:r>
    </w:p>
    <w:p w:rsidR="007360C7" w:rsidRPr="00CA019D" w:rsidRDefault="007360C7" w:rsidP="007360C7">
      <w:pPr>
        <w:pStyle w:val="SingleTxt"/>
        <w:ind w:left="2693" w:hanging="1426"/>
        <w:rPr>
          <w:lang w:val="fr-CH"/>
        </w:rPr>
      </w:pPr>
      <w:r>
        <w:rPr>
          <w:lang w:val="fr-CH"/>
        </w:rPr>
        <w:tab/>
      </w:r>
      <w:r>
        <w:rPr>
          <w:lang w:val="fr-CH"/>
        </w:rPr>
        <w:tab/>
      </w:r>
      <w:r w:rsidRPr="00CA019D">
        <w:rPr>
          <w:lang w:val="fr-CH"/>
        </w:rPr>
        <w:t>a)</w:t>
      </w:r>
      <w:r w:rsidRPr="00CA019D">
        <w:rPr>
          <w:lang w:val="fr-CH"/>
        </w:rPr>
        <w:tab/>
        <w:t xml:space="preserve">La force de traction axiale </w:t>
      </w:r>
      <w:r>
        <w:rPr>
          <w:lang w:val="fr-CH"/>
        </w:rPr>
        <w:t>de la nuque</w:t>
      </w:r>
      <w:r w:rsidRPr="00CA019D">
        <w:rPr>
          <w:lang w:val="fr-CH"/>
        </w:rPr>
        <w:t xml:space="preserve"> ne doit pas être supérieure à 3,3 kN;</w:t>
      </w:r>
    </w:p>
    <w:p w:rsidR="007360C7" w:rsidRPr="00CA019D" w:rsidRDefault="007360C7" w:rsidP="007360C7">
      <w:pPr>
        <w:pStyle w:val="SingleTxt"/>
        <w:ind w:left="2693" w:hanging="1426"/>
        <w:rPr>
          <w:lang w:val="fr-CH"/>
        </w:rPr>
      </w:pPr>
      <w:r>
        <w:rPr>
          <w:lang w:val="fr-CH"/>
        </w:rPr>
        <w:tab/>
      </w:r>
      <w:r>
        <w:rPr>
          <w:lang w:val="fr-CH"/>
        </w:rPr>
        <w:tab/>
      </w:r>
      <w:r w:rsidRPr="00CA019D">
        <w:rPr>
          <w:lang w:val="fr-CH"/>
        </w:rPr>
        <w:t>b)</w:t>
      </w:r>
      <w:r w:rsidRPr="00CA019D">
        <w:rPr>
          <w:lang w:val="fr-CH"/>
        </w:rPr>
        <w:tab/>
        <w:t>L’effort de cisaillement avant/arrière à la jonction tête/</w:t>
      </w:r>
      <w:r>
        <w:rPr>
          <w:lang w:val="fr-CH"/>
        </w:rPr>
        <w:t>nuque</w:t>
      </w:r>
      <w:r w:rsidRPr="00CA019D">
        <w:rPr>
          <w:lang w:val="fr-CH"/>
        </w:rPr>
        <w:t xml:space="preserve"> ne doit pas être supérieur à 3,1 kN;</w:t>
      </w:r>
    </w:p>
    <w:p w:rsidR="007360C7" w:rsidRPr="00CA019D" w:rsidRDefault="007360C7" w:rsidP="007360C7">
      <w:pPr>
        <w:pStyle w:val="SingleTxt"/>
        <w:ind w:left="2693" w:hanging="1426"/>
        <w:rPr>
          <w:lang w:val="fr-CH"/>
        </w:rPr>
      </w:pPr>
      <w:r>
        <w:rPr>
          <w:lang w:val="fr-CH"/>
        </w:rPr>
        <w:tab/>
      </w:r>
      <w:r>
        <w:rPr>
          <w:lang w:val="fr-CH"/>
        </w:rPr>
        <w:tab/>
      </w:r>
      <w:r w:rsidRPr="00CA019D">
        <w:rPr>
          <w:lang w:val="fr-CH"/>
        </w:rPr>
        <w:t>c)</w:t>
      </w:r>
      <w:r w:rsidRPr="00CA019D">
        <w:rPr>
          <w:lang w:val="fr-CH"/>
        </w:rPr>
        <w:tab/>
        <w:t xml:space="preserve">Le moment de flexion </w:t>
      </w:r>
      <w:r>
        <w:rPr>
          <w:lang w:val="fr-CH"/>
        </w:rPr>
        <w:t>de la nuque</w:t>
      </w:r>
      <w:r w:rsidRPr="00CA019D">
        <w:rPr>
          <w:lang w:val="fr-CH"/>
        </w:rPr>
        <w:t xml:space="preserve"> autour de l’axe y ne doit pas être supérieur à 57 Nm en extension;</w:t>
      </w:r>
    </w:p>
    <w:p w:rsidR="007360C7" w:rsidRPr="00CA019D" w:rsidRDefault="007360C7" w:rsidP="007360C7">
      <w:pPr>
        <w:pStyle w:val="SingleTxt"/>
        <w:ind w:left="2218" w:hanging="951"/>
        <w:rPr>
          <w:lang w:val="fr-CH"/>
        </w:rPr>
      </w:pPr>
      <w:r w:rsidRPr="00CA019D">
        <w:rPr>
          <w:lang w:val="fr-CH"/>
        </w:rPr>
        <w:t>5.2.1.1.3</w:t>
      </w:r>
      <w:r w:rsidRPr="00CA019D">
        <w:rPr>
          <w:lang w:val="fr-CH"/>
        </w:rPr>
        <w:tab/>
        <w:t>Le critère de compression du thorax (ThCC) ne doit pas être supérieur à 42 mm;</w:t>
      </w:r>
    </w:p>
    <w:p w:rsidR="007360C7" w:rsidRPr="00CA019D" w:rsidRDefault="007360C7" w:rsidP="007360C7">
      <w:pPr>
        <w:pStyle w:val="SingleTxt"/>
        <w:ind w:left="2218" w:hanging="951"/>
        <w:rPr>
          <w:lang w:val="fr-CH"/>
        </w:rPr>
      </w:pPr>
      <w:r w:rsidRPr="00CA019D">
        <w:rPr>
          <w:lang w:val="fr-CH"/>
        </w:rPr>
        <w:t>5.2.1.1.4</w:t>
      </w:r>
      <w:r w:rsidRPr="00CA019D">
        <w:rPr>
          <w:lang w:val="fr-CH"/>
        </w:rPr>
        <w:tab/>
        <w:t>Le critère de viscosité (V * C) pour le thorax ne doit pas être supérieur à 1,0 m/s;</w:t>
      </w:r>
    </w:p>
    <w:p w:rsidR="007360C7" w:rsidRPr="00CA019D" w:rsidRDefault="007360C7" w:rsidP="007360C7">
      <w:pPr>
        <w:pStyle w:val="SingleTxt"/>
        <w:ind w:left="2218" w:hanging="951"/>
        <w:rPr>
          <w:lang w:val="fr-CH"/>
        </w:rPr>
      </w:pPr>
      <w:r w:rsidRPr="00CA019D">
        <w:rPr>
          <w:lang w:val="fr-CH"/>
        </w:rPr>
        <w:t>5.2.1.1.5</w:t>
      </w:r>
      <w:r w:rsidRPr="00CA019D">
        <w:rPr>
          <w:lang w:val="fr-CH"/>
        </w:rPr>
        <w:tab/>
        <w:t>Le critère de force sur le fémur (FFC) ne doit pas être supérieur à 9,07 kN.</w:t>
      </w:r>
    </w:p>
    <w:p w:rsidR="007360C7" w:rsidRPr="00CA019D" w:rsidRDefault="007360C7" w:rsidP="007360C7">
      <w:pPr>
        <w:pStyle w:val="SingleTxt"/>
        <w:ind w:left="2218" w:hanging="951"/>
        <w:rPr>
          <w:lang w:val="fr-CH"/>
        </w:rPr>
      </w:pPr>
      <w:r w:rsidRPr="00CA019D">
        <w:rPr>
          <w:lang w:val="fr-CH"/>
        </w:rPr>
        <w:t>5.2.1.2</w:t>
      </w:r>
      <w:r w:rsidRPr="00CA019D">
        <w:rPr>
          <w:lang w:val="fr-CH"/>
        </w:rPr>
        <w:tab/>
        <w:t>Critères de performance relatifs au mannequin du type Hybrid III femme du cinquième centile</w:t>
      </w:r>
      <w:r w:rsidR="008B4BCA">
        <w:rPr>
          <w:lang w:val="fr-CH"/>
        </w:rPr>
        <w:t> </w:t>
      </w:r>
      <w:r w:rsidRPr="00CA019D">
        <w:rPr>
          <w:lang w:val="fr-CH"/>
        </w:rPr>
        <w:t>:</w:t>
      </w:r>
    </w:p>
    <w:p w:rsidR="007360C7" w:rsidRPr="00CA019D" w:rsidRDefault="007360C7" w:rsidP="007360C7">
      <w:pPr>
        <w:pStyle w:val="SingleTxt"/>
        <w:ind w:left="2218" w:hanging="951"/>
        <w:rPr>
          <w:lang w:val="fr-CH"/>
        </w:rPr>
      </w:pPr>
      <w:r w:rsidRPr="00CA019D">
        <w:rPr>
          <w:lang w:val="fr-CH"/>
        </w:rPr>
        <w:t>5.2.1.2.1</w:t>
      </w:r>
      <w:r w:rsidRPr="00CA019D">
        <w:rPr>
          <w:lang w:val="fr-CH"/>
        </w:rPr>
        <w:tab/>
        <w:t>Le critère de performance de la tête (HP</w:t>
      </w:r>
      <w:r w:rsidR="00360ADF">
        <w:rPr>
          <w:lang w:val="fr-CH"/>
        </w:rPr>
        <w:t>C) ne doit pas être supérieur à </w:t>
      </w:r>
      <w:r w:rsidRPr="00CA019D">
        <w:rPr>
          <w:lang w:val="fr-CH"/>
        </w:rPr>
        <w:t>1 000 et l’accélération résultante de la tête ne doit pas dépasser 80 g pendant plus de 3 ms. Cette dernière fait l’objet d’un calcul cumulatif excluant le mouvement de retour de la tête;</w:t>
      </w:r>
    </w:p>
    <w:p w:rsidR="007360C7" w:rsidRPr="00CA019D" w:rsidRDefault="007360C7" w:rsidP="007360C7">
      <w:pPr>
        <w:pStyle w:val="SingleTxt"/>
        <w:ind w:left="2218" w:hanging="951"/>
        <w:rPr>
          <w:lang w:val="fr-CH"/>
        </w:rPr>
      </w:pPr>
      <w:r w:rsidRPr="00CA019D">
        <w:rPr>
          <w:lang w:val="fr-CH"/>
        </w:rPr>
        <w:t>5.2.1.2.2</w:t>
      </w:r>
      <w:r w:rsidRPr="00CA019D">
        <w:rPr>
          <w:lang w:val="fr-CH"/>
        </w:rPr>
        <w:tab/>
        <w:t xml:space="preserve">Les critères de lésion </w:t>
      </w:r>
      <w:r>
        <w:rPr>
          <w:lang w:val="fr-CH"/>
        </w:rPr>
        <w:t>de la nuque</w:t>
      </w:r>
      <w:r w:rsidRPr="00CA019D">
        <w:rPr>
          <w:lang w:val="fr-CH"/>
        </w:rPr>
        <w:t xml:space="preserve"> ne doivent pas être supérieurs aux valeurs suivantes</w:t>
      </w:r>
      <w:r w:rsidR="008B4BCA">
        <w:rPr>
          <w:lang w:val="fr-CH"/>
        </w:rPr>
        <w:t> </w:t>
      </w:r>
      <w:r w:rsidRPr="00CA019D">
        <w:rPr>
          <w:lang w:val="fr-CH"/>
        </w:rPr>
        <w:t>:</w:t>
      </w:r>
    </w:p>
    <w:p w:rsidR="007360C7" w:rsidRPr="00CA019D" w:rsidRDefault="007360C7" w:rsidP="007360C7">
      <w:pPr>
        <w:pStyle w:val="SingleTxt"/>
        <w:ind w:left="2693" w:hanging="1426"/>
        <w:rPr>
          <w:lang w:val="fr-CH"/>
        </w:rPr>
      </w:pPr>
      <w:r>
        <w:rPr>
          <w:lang w:val="fr-CH"/>
        </w:rPr>
        <w:tab/>
      </w:r>
      <w:r>
        <w:rPr>
          <w:lang w:val="fr-CH"/>
        </w:rPr>
        <w:tab/>
      </w:r>
      <w:r w:rsidRPr="00CA019D">
        <w:rPr>
          <w:lang w:val="fr-CH"/>
        </w:rPr>
        <w:t>a)</w:t>
      </w:r>
      <w:r w:rsidRPr="00CA019D">
        <w:rPr>
          <w:lang w:val="fr-CH"/>
        </w:rPr>
        <w:tab/>
        <w:t xml:space="preserve">La force de traction axiale </w:t>
      </w:r>
      <w:r>
        <w:rPr>
          <w:lang w:val="fr-CH"/>
        </w:rPr>
        <w:t>de la nuque</w:t>
      </w:r>
      <w:r w:rsidRPr="00CA019D">
        <w:rPr>
          <w:lang w:val="fr-CH"/>
        </w:rPr>
        <w:t xml:space="preserve"> ne doit pas être supérieure à 2,9 kN;</w:t>
      </w:r>
    </w:p>
    <w:p w:rsidR="007360C7" w:rsidRPr="00CA019D" w:rsidRDefault="007360C7" w:rsidP="007360C7">
      <w:pPr>
        <w:pStyle w:val="SingleTxt"/>
        <w:ind w:left="2693" w:hanging="1426"/>
        <w:rPr>
          <w:lang w:val="fr-CH"/>
        </w:rPr>
      </w:pPr>
      <w:r>
        <w:rPr>
          <w:lang w:val="fr-CH"/>
        </w:rPr>
        <w:tab/>
      </w:r>
      <w:r>
        <w:rPr>
          <w:lang w:val="fr-CH"/>
        </w:rPr>
        <w:tab/>
      </w:r>
      <w:r w:rsidRPr="00CA019D">
        <w:rPr>
          <w:lang w:val="fr-CH"/>
        </w:rPr>
        <w:t>b)</w:t>
      </w:r>
      <w:r w:rsidRPr="00CA019D">
        <w:rPr>
          <w:lang w:val="fr-CH"/>
        </w:rPr>
        <w:tab/>
        <w:t>L’effort de cisaillement avant/arrière à la jonction tête/</w:t>
      </w:r>
      <w:r>
        <w:rPr>
          <w:lang w:val="fr-CH"/>
        </w:rPr>
        <w:t>nuque</w:t>
      </w:r>
      <w:r w:rsidRPr="00CA019D">
        <w:rPr>
          <w:lang w:val="fr-CH"/>
        </w:rPr>
        <w:t xml:space="preserve"> ne doit pas être supérieur à 2,7 kN;</w:t>
      </w:r>
    </w:p>
    <w:p w:rsidR="007360C7" w:rsidRPr="00CA019D" w:rsidRDefault="007360C7" w:rsidP="007360C7">
      <w:pPr>
        <w:pStyle w:val="SingleTxt"/>
        <w:ind w:left="2693" w:hanging="1426"/>
        <w:rPr>
          <w:lang w:val="fr-CH"/>
        </w:rPr>
      </w:pPr>
      <w:r>
        <w:rPr>
          <w:lang w:val="fr-CH"/>
        </w:rPr>
        <w:tab/>
      </w:r>
      <w:r>
        <w:rPr>
          <w:lang w:val="fr-CH"/>
        </w:rPr>
        <w:tab/>
      </w:r>
      <w:r w:rsidRPr="00CA019D">
        <w:rPr>
          <w:lang w:val="fr-CH"/>
        </w:rPr>
        <w:t>c)</w:t>
      </w:r>
      <w:r w:rsidRPr="00CA019D">
        <w:rPr>
          <w:lang w:val="fr-CH"/>
        </w:rPr>
        <w:tab/>
        <w:t xml:space="preserve">Le moment de flexion </w:t>
      </w:r>
      <w:r>
        <w:rPr>
          <w:lang w:val="fr-CH"/>
        </w:rPr>
        <w:t>de la nuque</w:t>
      </w:r>
      <w:r w:rsidRPr="00CA019D">
        <w:rPr>
          <w:lang w:val="fr-CH"/>
        </w:rPr>
        <w:t xml:space="preserve"> autour de l’axe y ne doit pas être supérieur à 57 Nm en extension;</w:t>
      </w:r>
    </w:p>
    <w:p w:rsidR="007360C7" w:rsidRPr="00CA019D" w:rsidRDefault="007360C7" w:rsidP="007360C7">
      <w:pPr>
        <w:pStyle w:val="SingleTxt"/>
        <w:ind w:left="2218" w:hanging="951"/>
        <w:rPr>
          <w:lang w:val="fr-CH"/>
        </w:rPr>
      </w:pPr>
      <w:r w:rsidRPr="00CA019D">
        <w:rPr>
          <w:lang w:val="fr-CH"/>
        </w:rPr>
        <w:t>5.2.1.2.3</w:t>
      </w:r>
      <w:r w:rsidRPr="00CA019D">
        <w:rPr>
          <w:lang w:val="fr-CH"/>
        </w:rPr>
        <w:tab/>
        <w:t>Le critère de compression du thorax (ThCC</w:t>
      </w:r>
      <w:r>
        <w:rPr>
          <w:lang w:val="fr-CH"/>
        </w:rPr>
        <w:t>) ne doit pas être supérieur à </w:t>
      </w:r>
      <w:r w:rsidRPr="00CA019D">
        <w:rPr>
          <w:lang w:val="fr-CH"/>
        </w:rPr>
        <w:t>42 mm;</w:t>
      </w:r>
    </w:p>
    <w:p w:rsidR="007360C7" w:rsidRPr="00CA019D" w:rsidRDefault="007360C7" w:rsidP="007360C7">
      <w:pPr>
        <w:pStyle w:val="SingleTxt"/>
        <w:ind w:left="2218" w:hanging="951"/>
        <w:rPr>
          <w:lang w:val="fr-CH"/>
        </w:rPr>
      </w:pPr>
      <w:r w:rsidRPr="00CA019D">
        <w:rPr>
          <w:lang w:val="fr-CH"/>
        </w:rPr>
        <w:t>5.2.1.2.4</w:t>
      </w:r>
      <w:r w:rsidRPr="00CA019D">
        <w:rPr>
          <w:lang w:val="fr-CH"/>
        </w:rPr>
        <w:tab/>
        <w:t>Le critère de viscosité (V * C) pour le thorax ne doit pas être supérieur à 1,0 m/s;</w:t>
      </w:r>
    </w:p>
    <w:p w:rsidR="007360C7" w:rsidRPr="00CA019D" w:rsidRDefault="007360C7" w:rsidP="007360C7">
      <w:pPr>
        <w:pStyle w:val="SingleTxt"/>
        <w:ind w:left="2218" w:hanging="951"/>
        <w:rPr>
          <w:lang w:val="fr-CH"/>
        </w:rPr>
      </w:pPr>
      <w:r w:rsidRPr="00CA019D">
        <w:rPr>
          <w:lang w:val="fr-CH"/>
        </w:rPr>
        <w:t>5.2.1.2.5</w:t>
      </w:r>
      <w:r w:rsidRPr="00CA019D">
        <w:rPr>
          <w:lang w:val="fr-CH"/>
        </w:rPr>
        <w:tab/>
        <w:t>Le critère de force sur le fémur (FFC) ne doit pas être supérieur à 7 kN.</w:t>
      </w:r>
    </w:p>
    <w:p w:rsidR="007360C7" w:rsidRPr="00CA019D" w:rsidRDefault="007360C7" w:rsidP="007360C7">
      <w:pPr>
        <w:pStyle w:val="SingleTxt"/>
        <w:ind w:left="2218" w:hanging="951"/>
        <w:rPr>
          <w:lang w:val="fr-CH"/>
        </w:rPr>
      </w:pPr>
      <w:r w:rsidRPr="00CA019D">
        <w:rPr>
          <w:lang w:val="fr-CH"/>
        </w:rPr>
        <w:t>5.2.2</w:t>
      </w:r>
      <w:r w:rsidRPr="00CA019D">
        <w:rPr>
          <w:lang w:val="fr-CH"/>
        </w:rPr>
        <w:tab/>
      </w:r>
      <w:r w:rsidRPr="00CA019D">
        <w:rPr>
          <w:lang w:val="fr-CH"/>
        </w:rPr>
        <w:tab/>
        <w:t>Déplacement du volant</w:t>
      </w:r>
    </w:p>
    <w:p w:rsidR="007360C7" w:rsidRPr="00CA019D" w:rsidRDefault="007360C7" w:rsidP="007360C7">
      <w:pPr>
        <w:pStyle w:val="SingleTxt"/>
        <w:ind w:left="2218" w:hanging="951"/>
        <w:rPr>
          <w:lang w:val="fr-CH"/>
        </w:rPr>
      </w:pPr>
      <w:r w:rsidRPr="00CA019D">
        <w:rPr>
          <w:lang w:val="fr-CH"/>
        </w:rPr>
        <w:t>5.2.2.1</w:t>
      </w:r>
      <w:r w:rsidRPr="00CA019D">
        <w:rPr>
          <w:lang w:val="fr-CH"/>
        </w:rPr>
        <w:tab/>
        <w:t xml:space="preserve">Après l’essai, le déplacement résiduel du volant mesuré au centre et au sommet de la colonne de direction ne doit pas être supérieur à 80 mm verticalement vers le haut ni à 100 mm horizontalement vers l’arrière. </w:t>
      </w:r>
    </w:p>
    <w:p w:rsidR="007360C7" w:rsidRPr="00CA019D" w:rsidRDefault="007360C7" w:rsidP="007360C7">
      <w:pPr>
        <w:pStyle w:val="SingleTxt"/>
        <w:ind w:left="2218" w:hanging="951"/>
        <w:rPr>
          <w:lang w:val="fr-CH"/>
        </w:rPr>
      </w:pPr>
      <w:r w:rsidRPr="00CA019D">
        <w:rPr>
          <w:lang w:val="fr-CH"/>
        </w:rPr>
        <w:t>5.2.2.2</w:t>
      </w:r>
      <w:r w:rsidRPr="00CA019D">
        <w:rPr>
          <w:lang w:val="fr-CH"/>
        </w:rPr>
        <w:tab/>
        <w:t>Les véhicules qui satisfont aux prescriptions des Règlements n</w:t>
      </w:r>
      <w:r w:rsidRPr="00CA019D">
        <w:rPr>
          <w:vertAlign w:val="superscript"/>
          <w:lang w:val="fr-CH"/>
        </w:rPr>
        <w:t>os</w:t>
      </w:r>
      <w:r w:rsidRPr="00CA019D">
        <w:rPr>
          <w:lang w:val="fr-CH"/>
        </w:rPr>
        <w:t> 12 ou 94 relatives au déplacement du volant sont réputés conformes aux dispositions du paragraphe 5.2.2.1 ci-dessus.</w:t>
      </w:r>
    </w:p>
    <w:p w:rsidR="007360C7" w:rsidRPr="00CA019D" w:rsidRDefault="007360C7" w:rsidP="007360C7">
      <w:pPr>
        <w:pStyle w:val="SingleTxt"/>
        <w:ind w:left="2218" w:hanging="951"/>
        <w:rPr>
          <w:lang w:val="fr-CH"/>
        </w:rPr>
      </w:pPr>
      <w:r w:rsidRPr="00CA019D">
        <w:rPr>
          <w:lang w:val="fr-CH"/>
        </w:rPr>
        <w:t>5.2.3</w:t>
      </w:r>
      <w:r w:rsidRPr="00CA019D">
        <w:rPr>
          <w:lang w:val="fr-CH"/>
        </w:rPr>
        <w:tab/>
      </w:r>
      <w:r>
        <w:rPr>
          <w:lang w:val="fr-CH"/>
        </w:rPr>
        <w:tab/>
      </w:r>
      <w:r w:rsidRPr="00CA019D">
        <w:rPr>
          <w:lang w:val="fr-CH"/>
        </w:rPr>
        <w:t>Aucune porte ne doit s’ouvrir au cours de l’essai.</w:t>
      </w:r>
    </w:p>
    <w:p w:rsidR="007360C7" w:rsidRPr="00CA019D" w:rsidRDefault="007360C7" w:rsidP="007360C7">
      <w:pPr>
        <w:pStyle w:val="SingleTxt"/>
        <w:ind w:left="2218" w:hanging="951"/>
        <w:rPr>
          <w:lang w:val="fr-CH"/>
        </w:rPr>
      </w:pPr>
      <w:r w:rsidRPr="00CA019D">
        <w:rPr>
          <w:lang w:val="fr-CH"/>
        </w:rPr>
        <w:t>5.2.3.1</w:t>
      </w:r>
      <w:r w:rsidRPr="00CA019D">
        <w:rPr>
          <w:lang w:val="fr-CH"/>
        </w:rPr>
        <w:tab/>
        <w:t>Lorsqu’un système de verrouillage automatique des portes a été installé en option et/ou peut être désactivé par le conducteur, il faut vérifier le respect de cette condition en appliquant l’une des deux procédures d’essai suivantes, au choix du constructeur</w:t>
      </w:r>
      <w:r w:rsidR="00C90E36">
        <w:rPr>
          <w:lang w:val="fr-CH"/>
        </w:rPr>
        <w:t> </w:t>
      </w:r>
      <w:r w:rsidRPr="00CA019D">
        <w:rPr>
          <w:lang w:val="fr-CH"/>
        </w:rPr>
        <w:t>:</w:t>
      </w:r>
    </w:p>
    <w:p w:rsidR="007360C7" w:rsidRPr="00CA019D" w:rsidRDefault="007360C7" w:rsidP="007360C7">
      <w:pPr>
        <w:pStyle w:val="SingleTxt"/>
        <w:ind w:left="2218" w:hanging="951"/>
        <w:rPr>
          <w:lang w:val="fr-CH"/>
        </w:rPr>
      </w:pPr>
      <w:r w:rsidRPr="00CA019D">
        <w:rPr>
          <w:lang w:val="fr-CH"/>
        </w:rPr>
        <w:lastRenderedPageBreak/>
        <w:t>5.2.3.1.1</w:t>
      </w:r>
      <w:r w:rsidRPr="00CA019D">
        <w:rPr>
          <w:lang w:val="fr-CH"/>
        </w:rPr>
        <w:tab/>
        <w:t>Si l’essai est effectué conformément au paragraphe 1.4.3.5.2.1 de l’annexe 3, le constructeur doit démontrer à la satisfaction du service technique (au moyen des données internes du constructeur, par exemple) que, en l’absence du système, ou lorsque ce dernier est désactivé, aucune porte ne s’ouvre en cas de collision;</w:t>
      </w:r>
    </w:p>
    <w:p w:rsidR="007360C7" w:rsidRPr="00CA019D" w:rsidRDefault="007360C7" w:rsidP="007360C7">
      <w:pPr>
        <w:pStyle w:val="SingleTxt"/>
        <w:ind w:left="2218" w:hanging="951"/>
        <w:rPr>
          <w:lang w:val="fr-CH"/>
        </w:rPr>
      </w:pPr>
      <w:r w:rsidRPr="00CA019D">
        <w:rPr>
          <w:lang w:val="fr-CH"/>
        </w:rPr>
        <w:t>5.2.3.1.2</w:t>
      </w:r>
      <w:r w:rsidRPr="00CA019D">
        <w:rPr>
          <w:lang w:val="fr-CH"/>
        </w:rPr>
        <w:tab/>
        <w:t>Dans l’autre cas, l’essai est effectué conformément au paragraphe 1.4.3.5.2.2 de l’annexe 3.</w:t>
      </w:r>
    </w:p>
    <w:p w:rsidR="007360C7" w:rsidRPr="00CA019D" w:rsidRDefault="007360C7" w:rsidP="007360C7">
      <w:pPr>
        <w:pStyle w:val="SingleTxt"/>
        <w:ind w:left="2218" w:hanging="951"/>
        <w:rPr>
          <w:lang w:val="fr-CH"/>
        </w:rPr>
      </w:pPr>
      <w:r w:rsidRPr="00CA019D">
        <w:rPr>
          <w:lang w:val="fr-CH"/>
        </w:rPr>
        <w:t>5.2.4</w:t>
      </w:r>
      <w:r w:rsidRPr="00CA019D">
        <w:rPr>
          <w:lang w:val="fr-CH"/>
        </w:rPr>
        <w:tab/>
      </w:r>
      <w:r>
        <w:rPr>
          <w:lang w:val="fr-CH"/>
        </w:rPr>
        <w:tab/>
      </w:r>
      <w:r w:rsidRPr="00CA019D">
        <w:rPr>
          <w:lang w:val="fr-CH"/>
        </w:rPr>
        <w:t>Après le choc, les portes latérales doivent être non verrouillées.</w:t>
      </w:r>
    </w:p>
    <w:p w:rsidR="007360C7" w:rsidRPr="00CA019D" w:rsidRDefault="007360C7" w:rsidP="007360C7">
      <w:pPr>
        <w:pStyle w:val="SingleTxt"/>
        <w:ind w:left="2218" w:hanging="951"/>
        <w:rPr>
          <w:lang w:val="fr-CH"/>
        </w:rPr>
      </w:pPr>
      <w:r w:rsidRPr="00CA019D">
        <w:rPr>
          <w:lang w:val="fr-CH"/>
        </w:rPr>
        <w:t>5.2.4.1</w:t>
      </w:r>
      <w:r w:rsidRPr="00CA019D">
        <w:rPr>
          <w:lang w:val="fr-CH"/>
        </w:rPr>
        <w:tab/>
        <w:t>Dans le cas d’un véhicule équipé d’un système de verrouillage automatique des portes, celles-ci doivent être verrouillées avant la collision et déverrouillées après la collision.</w:t>
      </w:r>
    </w:p>
    <w:p w:rsidR="007360C7" w:rsidRPr="00CA019D" w:rsidRDefault="007360C7" w:rsidP="007360C7">
      <w:pPr>
        <w:pStyle w:val="SingleTxt"/>
        <w:ind w:left="2218" w:hanging="951"/>
        <w:rPr>
          <w:lang w:val="fr-CH"/>
        </w:rPr>
      </w:pPr>
      <w:r w:rsidRPr="00CA019D">
        <w:rPr>
          <w:lang w:val="fr-CH"/>
        </w:rPr>
        <w:t>5.2.4.2</w:t>
      </w:r>
      <w:r w:rsidRPr="00CA019D">
        <w:rPr>
          <w:lang w:val="fr-CH"/>
        </w:rPr>
        <w:tab/>
        <w:t xml:space="preserve">Lorsqu’un système de verrouillage automatique des portes a été installé en option et/ou peut être désactivé par le conducteur, il faut vérifier </w:t>
      </w:r>
      <w:r>
        <w:rPr>
          <w:lang w:val="fr-CH"/>
        </w:rPr>
        <w:t xml:space="preserve">que </w:t>
      </w:r>
      <w:r w:rsidRPr="00CA019D">
        <w:rPr>
          <w:lang w:val="fr-CH"/>
        </w:rPr>
        <w:t xml:space="preserve">cette condition </w:t>
      </w:r>
      <w:r>
        <w:rPr>
          <w:lang w:val="fr-CH"/>
        </w:rPr>
        <w:t xml:space="preserve">est respectée </w:t>
      </w:r>
      <w:r w:rsidRPr="00CA019D">
        <w:rPr>
          <w:lang w:val="fr-CH"/>
        </w:rPr>
        <w:t>en appliquant l’une des deux procédures d’essai suivantes, au choix du constructeur</w:t>
      </w:r>
      <w:r w:rsidR="004E31C5">
        <w:rPr>
          <w:lang w:val="fr-CH"/>
        </w:rPr>
        <w:t> </w:t>
      </w:r>
      <w:r w:rsidRPr="00CA019D">
        <w:rPr>
          <w:lang w:val="fr-CH"/>
        </w:rPr>
        <w:t>:</w:t>
      </w:r>
    </w:p>
    <w:p w:rsidR="007360C7" w:rsidRPr="00CA019D" w:rsidRDefault="007360C7" w:rsidP="007360C7">
      <w:pPr>
        <w:pStyle w:val="SingleTxt"/>
        <w:ind w:left="2218" w:hanging="951"/>
        <w:rPr>
          <w:lang w:val="fr-CH"/>
        </w:rPr>
      </w:pPr>
      <w:r w:rsidRPr="00CA019D">
        <w:rPr>
          <w:lang w:val="fr-CH"/>
        </w:rPr>
        <w:t>5.2.4.2.1</w:t>
      </w:r>
      <w:r w:rsidRPr="00CA019D">
        <w:rPr>
          <w:lang w:val="fr-CH"/>
        </w:rPr>
        <w:tab/>
        <w:t>Si l’essai est effectué conformément au paragraphe 1.4.3.5.2.1 de l’annexe 3, le constructeur doit démontrer à la satisfaction du service technique (au moyen des données internes du constructeur, par exemple) que, en l’absence du système, ou lorsque ce dernier est désactivé, aucune porte latérale ne se verrouille pendant la collision.</w:t>
      </w:r>
    </w:p>
    <w:p w:rsidR="007360C7" w:rsidRPr="00CA019D" w:rsidRDefault="007360C7" w:rsidP="007360C7">
      <w:pPr>
        <w:pStyle w:val="SingleTxt"/>
        <w:ind w:left="2218" w:hanging="951"/>
        <w:rPr>
          <w:lang w:val="fr-CH"/>
        </w:rPr>
      </w:pPr>
      <w:r w:rsidRPr="00CA019D">
        <w:rPr>
          <w:lang w:val="fr-CH"/>
        </w:rPr>
        <w:t>5.2.4.2.2</w:t>
      </w:r>
      <w:r w:rsidRPr="00CA019D">
        <w:rPr>
          <w:lang w:val="fr-CH"/>
        </w:rPr>
        <w:tab/>
        <w:t>Dans l’autre cas, l’essai est effectué conformément au paragraphe 1.4.3.5.2.2 de l’annexe 3.</w:t>
      </w:r>
    </w:p>
    <w:p w:rsidR="007360C7" w:rsidRPr="00CA019D" w:rsidRDefault="007360C7" w:rsidP="007360C7">
      <w:pPr>
        <w:pStyle w:val="SingleTxt"/>
        <w:ind w:left="2218" w:hanging="951"/>
        <w:rPr>
          <w:lang w:val="fr-CH"/>
        </w:rPr>
      </w:pPr>
      <w:r w:rsidRPr="00CA019D">
        <w:rPr>
          <w:lang w:val="fr-CH"/>
        </w:rPr>
        <w:t>5.2.5</w:t>
      </w:r>
      <w:r w:rsidRPr="00CA019D">
        <w:rPr>
          <w:lang w:val="fr-CH"/>
        </w:rPr>
        <w:tab/>
      </w:r>
      <w:r>
        <w:rPr>
          <w:lang w:val="fr-CH"/>
        </w:rPr>
        <w:tab/>
      </w:r>
      <w:r w:rsidRPr="00CA019D">
        <w:rPr>
          <w:lang w:val="fr-CH"/>
        </w:rPr>
        <w:t>Après le choc, il doit être possible, sans l’aide d’outils, à l’exception des outils nécessaires au soutien de la masse du mannequin</w:t>
      </w:r>
      <w:r w:rsidR="004E31C5">
        <w:rPr>
          <w:lang w:val="fr-CH"/>
        </w:rPr>
        <w:t> </w:t>
      </w:r>
      <w:r w:rsidRPr="00CA019D">
        <w:rPr>
          <w:lang w:val="fr-CH"/>
        </w:rPr>
        <w:t>:</w:t>
      </w:r>
    </w:p>
    <w:p w:rsidR="007360C7" w:rsidRPr="00CA019D" w:rsidRDefault="007360C7" w:rsidP="007360C7">
      <w:pPr>
        <w:pStyle w:val="SingleTxt"/>
        <w:ind w:left="2218" w:hanging="951"/>
        <w:rPr>
          <w:lang w:val="fr-CH"/>
        </w:rPr>
      </w:pPr>
      <w:r w:rsidRPr="00CA019D">
        <w:rPr>
          <w:lang w:val="fr-CH"/>
        </w:rPr>
        <w:t>5.2.5.1</w:t>
      </w:r>
      <w:r w:rsidRPr="00CA019D">
        <w:rPr>
          <w:lang w:val="fr-CH"/>
        </w:rPr>
        <w:tab/>
        <w:t>D’ouvrir au moins une porte, s’il y en a une, par rangée de sièges, et, si nécessaire, lorsqu’il n’y a pas de porte, de déplacer les sièges ou rabattre leurs dossiers afin de pouvoir évacuer tous les occupants; cette mesure ne s’applique cependant qu’aux véhicules équipés d’un toit rigide;</w:t>
      </w:r>
    </w:p>
    <w:p w:rsidR="007360C7" w:rsidRPr="00CA019D" w:rsidRDefault="007360C7" w:rsidP="007360C7">
      <w:pPr>
        <w:pStyle w:val="SingleTxt"/>
        <w:ind w:left="2218" w:hanging="951"/>
        <w:rPr>
          <w:lang w:val="fr-CH"/>
        </w:rPr>
      </w:pPr>
      <w:r w:rsidRPr="00CA019D">
        <w:rPr>
          <w:lang w:val="fr-CH"/>
        </w:rPr>
        <w:t>5.2.5.2</w:t>
      </w:r>
      <w:r w:rsidRPr="00CA019D">
        <w:rPr>
          <w:lang w:val="fr-CH"/>
        </w:rPr>
        <w:tab/>
        <w:t>De dégager les mannequins du dispositif de retenue, qui, s’il est verrouillé, doit pouvoir être débloqué en exerçant une force maximale de 60 N au centre de la commande de déverrouillage;</w:t>
      </w:r>
    </w:p>
    <w:p w:rsidR="007360C7" w:rsidRPr="00CA019D" w:rsidRDefault="007360C7" w:rsidP="007360C7">
      <w:pPr>
        <w:pStyle w:val="SingleTxt"/>
        <w:ind w:left="2218" w:hanging="951"/>
        <w:rPr>
          <w:lang w:val="fr-CH"/>
        </w:rPr>
      </w:pPr>
      <w:r w:rsidRPr="00CA019D">
        <w:rPr>
          <w:lang w:val="fr-CH"/>
        </w:rPr>
        <w:t>5.2.5.3</w:t>
      </w:r>
      <w:r w:rsidRPr="00CA019D">
        <w:rPr>
          <w:lang w:val="fr-CH"/>
        </w:rPr>
        <w:tab/>
        <w:t>D’extraire les mannequins du véhicule sans procéder à aucun réglage des sièges.</w:t>
      </w:r>
    </w:p>
    <w:p w:rsidR="007360C7" w:rsidRPr="00CA019D" w:rsidRDefault="007360C7" w:rsidP="007360C7">
      <w:pPr>
        <w:pStyle w:val="SingleTxt"/>
        <w:ind w:left="2218" w:hanging="951"/>
        <w:rPr>
          <w:lang w:val="fr-CH"/>
        </w:rPr>
      </w:pPr>
      <w:r w:rsidRPr="00CA019D">
        <w:rPr>
          <w:lang w:val="fr-CH"/>
        </w:rPr>
        <w:t>5.2.6</w:t>
      </w:r>
      <w:r w:rsidRPr="00CA019D">
        <w:rPr>
          <w:lang w:val="fr-CH"/>
        </w:rPr>
        <w:tab/>
      </w:r>
      <w:r>
        <w:rPr>
          <w:lang w:val="fr-CH"/>
        </w:rPr>
        <w:tab/>
      </w:r>
      <w:r w:rsidRPr="00CA019D">
        <w:rPr>
          <w:lang w:val="fr-CH"/>
        </w:rPr>
        <w:t xml:space="preserve">Dans le cas de véhicules à combustible liquide, </w:t>
      </w:r>
      <w:r>
        <w:rPr>
          <w:lang w:val="fr-CH"/>
        </w:rPr>
        <w:t xml:space="preserve">seule </w:t>
      </w:r>
      <w:r w:rsidRPr="00CA019D">
        <w:rPr>
          <w:lang w:val="fr-CH"/>
        </w:rPr>
        <w:t xml:space="preserve">une fuite légère de liquide du système d’alimentation en carburant </w:t>
      </w:r>
      <w:r>
        <w:rPr>
          <w:lang w:val="fr-CH"/>
        </w:rPr>
        <w:t xml:space="preserve">est tolérée </w:t>
      </w:r>
      <w:r w:rsidRPr="00CA019D">
        <w:rPr>
          <w:lang w:val="fr-CH"/>
        </w:rPr>
        <w:t>au moment de la</w:t>
      </w:r>
      <w:r>
        <w:rPr>
          <w:lang w:val="fr-CH"/>
        </w:rPr>
        <w:t xml:space="preserve"> </w:t>
      </w:r>
      <w:r w:rsidRPr="00CA019D">
        <w:rPr>
          <w:lang w:val="fr-CH"/>
        </w:rPr>
        <w:t>collision.</w:t>
      </w:r>
    </w:p>
    <w:p w:rsidR="007360C7" w:rsidRPr="00CA019D" w:rsidRDefault="007360C7" w:rsidP="007360C7">
      <w:pPr>
        <w:pStyle w:val="SingleTxt"/>
        <w:ind w:left="2218" w:hanging="951"/>
        <w:rPr>
          <w:lang w:val="fr-CH"/>
        </w:rPr>
      </w:pPr>
      <w:r w:rsidRPr="00CA019D">
        <w:rPr>
          <w:lang w:val="fr-CH"/>
        </w:rPr>
        <w:t>5.2.7</w:t>
      </w:r>
      <w:r w:rsidRPr="00CA019D">
        <w:rPr>
          <w:lang w:val="fr-CH"/>
        </w:rPr>
        <w:tab/>
      </w:r>
      <w:r>
        <w:rPr>
          <w:lang w:val="fr-CH"/>
        </w:rPr>
        <w:tab/>
      </w:r>
      <w:r w:rsidRPr="00CA019D">
        <w:rPr>
          <w:lang w:val="fr-CH"/>
        </w:rPr>
        <w:t>Si la fuite de liquide du système d’alimentation en carburant se poursuit après la collision, l’écoulement ne peut excéder 30</w:t>
      </w:r>
      <w:r>
        <w:rPr>
          <w:lang w:val="fr-CH"/>
        </w:rPr>
        <w:t> </w:t>
      </w:r>
      <w:r w:rsidRPr="00CA019D">
        <w:rPr>
          <w:lang w:val="fr-CH"/>
        </w:rPr>
        <w:t>g par minute; si ce liquide se mélange avec d’autres provenant des autres systèmes et si l’on ne peut aisément séparer et identifier les différents liquides, on tient compte de l’ensemble des liquides recueillis pour évaluer cette fuite.</w:t>
      </w:r>
    </w:p>
    <w:p w:rsidR="007360C7" w:rsidRPr="00CA019D" w:rsidRDefault="007360C7" w:rsidP="007360C7">
      <w:pPr>
        <w:pStyle w:val="SingleTxt"/>
        <w:ind w:left="2218" w:hanging="951"/>
        <w:rPr>
          <w:lang w:val="fr-CH"/>
        </w:rPr>
      </w:pPr>
      <w:r w:rsidRPr="00CA019D">
        <w:rPr>
          <w:lang w:val="fr-CH"/>
        </w:rPr>
        <w:t>5.2.8</w:t>
      </w:r>
      <w:r w:rsidRPr="00CA019D">
        <w:rPr>
          <w:lang w:val="fr-CH"/>
        </w:rPr>
        <w:tab/>
      </w:r>
      <w:r>
        <w:rPr>
          <w:lang w:val="fr-CH"/>
        </w:rPr>
        <w:tab/>
      </w:r>
      <w:r w:rsidRPr="00CA019D">
        <w:rPr>
          <w:lang w:val="fr-CH"/>
        </w:rPr>
        <w:t>À l’issue de l’essai effectué selon la procédure définie à l’annexe 9 du présent Règlement, la chaîne de traction électrique à haute tension ainsi que les composants et systèmes à haute tension qui sont reliés de façon galvanique au rail haute tension de la chaîne de traction doivent s</w:t>
      </w:r>
      <w:r w:rsidR="00360ADF">
        <w:rPr>
          <w:lang w:val="fr-CH"/>
        </w:rPr>
        <w:t>atisfaire aux critères suivants </w:t>
      </w:r>
    </w:p>
    <w:p w:rsidR="007360C7" w:rsidRPr="00CA019D" w:rsidRDefault="007360C7" w:rsidP="004E31C5">
      <w:pPr>
        <w:pStyle w:val="SingleTxt"/>
        <w:keepNext/>
        <w:keepLines/>
        <w:ind w:left="2217" w:hanging="950"/>
        <w:rPr>
          <w:lang w:val="fr-CH"/>
        </w:rPr>
      </w:pPr>
      <w:r w:rsidRPr="00CA019D">
        <w:rPr>
          <w:lang w:val="fr-CH"/>
        </w:rPr>
        <w:lastRenderedPageBreak/>
        <w:t>5.2.8.1</w:t>
      </w:r>
      <w:r w:rsidRPr="00CA019D">
        <w:rPr>
          <w:lang w:val="fr-CH"/>
        </w:rPr>
        <w:tab/>
        <w:t>Protection contre les chocs électriques</w:t>
      </w:r>
    </w:p>
    <w:p w:rsidR="007360C7" w:rsidRPr="00CA019D" w:rsidRDefault="007360C7" w:rsidP="004E31C5">
      <w:pPr>
        <w:pStyle w:val="SingleTxt"/>
        <w:keepNext/>
        <w:keepLines/>
        <w:ind w:left="2217" w:hanging="950"/>
        <w:rPr>
          <w:lang w:val="fr-CH"/>
        </w:rPr>
      </w:pPr>
      <w:r>
        <w:rPr>
          <w:lang w:val="fr-CH"/>
        </w:rPr>
        <w:tab/>
      </w:r>
      <w:r w:rsidRPr="00CA019D">
        <w:rPr>
          <w:lang w:val="fr-CH"/>
        </w:rPr>
        <w:tab/>
        <w:t xml:space="preserve">Après le choc, l’un au moins des quatre critères énoncés aux paragraphes 5.2.8.1.1 </w:t>
      </w:r>
      <w:r w:rsidR="00DA6548">
        <w:rPr>
          <w:lang w:val="fr-CH"/>
        </w:rPr>
        <w:t>à 5.2.8.1.4.2 doit être rempli.</w:t>
      </w:r>
    </w:p>
    <w:p w:rsidR="007360C7" w:rsidRPr="00CA019D" w:rsidRDefault="007360C7" w:rsidP="007360C7">
      <w:pPr>
        <w:pStyle w:val="SingleTxt"/>
        <w:ind w:left="2218" w:hanging="951"/>
        <w:rPr>
          <w:lang w:val="fr-CH"/>
        </w:rPr>
      </w:pPr>
      <w:r>
        <w:rPr>
          <w:lang w:val="fr-CH"/>
        </w:rPr>
        <w:tab/>
      </w:r>
      <w:r w:rsidRPr="00CA019D">
        <w:rPr>
          <w:lang w:val="fr-CH"/>
        </w:rPr>
        <w:tab/>
        <w:t>Si le véhicule est équipé d’une fonction de déconnexion automatique, ou d’un ou de plusieurs dispositifs qui isolent de façon galvanique le circuit de la chaîne de traction électrique pendant la conduite, l’un au moins des critères ci-après doit s’appliquer au circuit déconnecté ou à chacun des circuits isolés après la déconnexion.</w:t>
      </w:r>
    </w:p>
    <w:p w:rsidR="007360C7" w:rsidRPr="00CA019D" w:rsidRDefault="007360C7" w:rsidP="007360C7">
      <w:pPr>
        <w:pStyle w:val="SingleTxt"/>
        <w:ind w:left="2218" w:hanging="951"/>
        <w:rPr>
          <w:lang w:val="fr-CH"/>
        </w:rPr>
      </w:pPr>
      <w:r>
        <w:rPr>
          <w:lang w:val="fr-CH"/>
        </w:rPr>
        <w:tab/>
      </w:r>
      <w:r w:rsidRPr="00CA019D">
        <w:rPr>
          <w:lang w:val="fr-CH"/>
        </w:rPr>
        <w:tab/>
        <w:t>Les critères définis au paragraphe 5.2.8.1.4 ci-après ne s’appliquent cependant pas si plus d’un élément d’une partie du rail haute tension ne bénéficie pas d’un degré de protection IPXXB.</w:t>
      </w:r>
    </w:p>
    <w:p w:rsidR="007360C7" w:rsidRPr="00CA019D" w:rsidRDefault="007360C7" w:rsidP="007360C7">
      <w:pPr>
        <w:pStyle w:val="SingleTxt"/>
        <w:ind w:left="2218" w:hanging="951"/>
        <w:rPr>
          <w:lang w:val="fr-CH"/>
        </w:rPr>
      </w:pPr>
      <w:r>
        <w:rPr>
          <w:lang w:val="fr-CH"/>
        </w:rPr>
        <w:tab/>
      </w:r>
      <w:r w:rsidRPr="00CA019D">
        <w:rPr>
          <w:lang w:val="fr-CH"/>
        </w:rPr>
        <w:tab/>
        <w:t>Si l’essai est effectué alors qu’une ou plusieurs parties du système haute tension ne sont pas sous tension, la protection de la ou des parties en question contre tout choc électrique doit être assurée conformément au paragraphe 5.2.8.1.3 ou au paragraphe 5.2.8.1.4 ci-après.</w:t>
      </w:r>
    </w:p>
    <w:p w:rsidR="007360C7" w:rsidRPr="005B1C85" w:rsidRDefault="007360C7" w:rsidP="007360C7">
      <w:pPr>
        <w:pStyle w:val="SingleTxt"/>
        <w:ind w:left="2218" w:hanging="951"/>
        <w:rPr>
          <w:lang w:val="fr-CH"/>
        </w:rPr>
      </w:pPr>
      <w:r>
        <w:rPr>
          <w:b/>
          <w:lang w:val="fr-CH"/>
        </w:rPr>
        <w:tab/>
      </w:r>
      <w:r w:rsidRPr="005B1C85">
        <w:rPr>
          <w:lang w:val="fr-CH"/>
        </w:rPr>
        <w:tab/>
        <w:t>Pour un système de raccordement assurant la recharge du SRSEE, qui n’est pas sous tension pendant la conduite, l’un au moins des quatre critères spécifiés aux paragraphes 5.2.8.1.1 à 5.2.8.1.4 doit être rempli.</w:t>
      </w:r>
    </w:p>
    <w:p w:rsidR="007360C7" w:rsidRPr="00CA019D" w:rsidRDefault="007360C7" w:rsidP="007360C7">
      <w:pPr>
        <w:pStyle w:val="SingleTxt"/>
        <w:rPr>
          <w:lang w:val="fr-CH"/>
        </w:rPr>
      </w:pPr>
      <w:r w:rsidRPr="00CA019D">
        <w:rPr>
          <w:lang w:val="fr-CH"/>
        </w:rPr>
        <w:t>5.2.8.1.1</w:t>
      </w:r>
      <w:r w:rsidRPr="00CA019D">
        <w:rPr>
          <w:lang w:val="fr-CH"/>
        </w:rPr>
        <w:tab/>
        <w:t>Absence de haute tension</w:t>
      </w:r>
    </w:p>
    <w:p w:rsidR="007360C7" w:rsidRPr="00CA019D" w:rsidRDefault="007360C7" w:rsidP="007360C7">
      <w:pPr>
        <w:pStyle w:val="SingleTxt"/>
        <w:ind w:left="2218" w:hanging="951"/>
        <w:rPr>
          <w:lang w:val="fr-CH"/>
        </w:rPr>
      </w:pPr>
      <w:r>
        <w:rPr>
          <w:lang w:val="fr-CH"/>
        </w:rPr>
        <w:tab/>
      </w:r>
      <w:r w:rsidRPr="00CA019D">
        <w:rPr>
          <w:lang w:val="fr-CH"/>
        </w:rPr>
        <w:tab/>
        <w:t>Les tensions Vb, V1 et V2 des rails haute tension doivent être inférieures ou égales à 30 V en courant alternatif ou à 60 V en courant continu, comme indiqué au paragraphe 2 de l’annexe 9.</w:t>
      </w:r>
    </w:p>
    <w:p w:rsidR="007360C7" w:rsidRPr="00CA019D" w:rsidRDefault="007360C7" w:rsidP="007360C7">
      <w:pPr>
        <w:pStyle w:val="SingleTxt"/>
        <w:ind w:left="2218" w:hanging="951"/>
        <w:rPr>
          <w:lang w:val="fr-CH"/>
        </w:rPr>
      </w:pPr>
      <w:r w:rsidRPr="00CA019D">
        <w:rPr>
          <w:lang w:val="fr-CH"/>
        </w:rPr>
        <w:t>5.2.8.1.2</w:t>
      </w:r>
      <w:r w:rsidRPr="00CA019D">
        <w:rPr>
          <w:lang w:val="fr-CH"/>
        </w:rPr>
        <w:tab/>
        <w:t>Faible niveau d’énergie électrique</w:t>
      </w:r>
    </w:p>
    <w:p w:rsidR="007360C7" w:rsidRPr="00CA019D" w:rsidRDefault="007360C7" w:rsidP="007360C7">
      <w:pPr>
        <w:pStyle w:val="SingleTxt"/>
        <w:ind w:left="2218" w:hanging="951"/>
        <w:rPr>
          <w:lang w:val="fr-CH"/>
        </w:rPr>
      </w:pPr>
      <w:r>
        <w:rPr>
          <w:lang w:val="fr-CH"/>
        </w:rPr>
        <w:tab/>
      </w:r>
      <w:r w:rsidRPr="00CA019D">
        <w:rPr>
          <w:lang w:val="fr-CH"/>
        </w:rPr>
        <w:tab/>
        <w:t xml:space="preserve">L’énergie totale des rails haute tension doit être inférieure à 2,0 joules lorsqu’elle est mesurée conformément à la procédure d’essai décrite au paragraphe 3 de l’annexe 9, avec la formule a). Elle peut aussi être calculée au moyen de la tension mesurée Vb du rail haute tension et de la capacitance des condensateurs X (Cx) </w:t>
      </w:r>
      <w:r>
        <w:rPr>
          <w:lang w:val="fr-CH"/>
        </w:rPr>
        <w:t>indiquée</w:t>
      </w:r>
      <w:r w:rsidRPr="00CA019D">
        <w:rPr>
          <w:lang w:val="fr-CH"/>
        </w:rPr>
        <w:t xml:space="preserve"> par le constructeur dans la formule b) du paragraphe 3 de l’annexe 9.</w:t>
      </w:r>
    </w:p>
    <w:p w:rsidR="007360C7" w:rsidRPr="00CA019D" w:rsidRDefault="007360C7" w:rsidP="007360C7">
      <w:pPr>
        <w:pStyle w:val="SingleTxt"/>
        <w:ind w:left="2218" w:hanging="951"/>
        <w:rPr>
          <w:lang w:val="fr-CH"/>
        </w:rPr>
      </w:pPr>
      <w:r>
        <w:rPr>
          <w:lang w:val="fr-CH"/>
        </w:rPr>
        <w:tab/>
      </w:r>
      <w:r w:rsidRPr="00CA019D">
        <w:rPr>
          <w:lang w:val="fr-CH"/>
        </w:rPr>
        <w:tab/>
        <w:t>L’énergie contenue dans les condensateurs Y (TEy1, TEy2) doit aussi être inférieure à 2,0 joules. Elle doit être calculée en mesurant les tensions V1 et V2 des rails haute tension et de la masse, ainsi que la capacitance des condensateurs Y spécifiée par le constructeur conformément à la formule c) du paragraphe 3 de l’annexe 9.</w:t>
      </w:r>
    </w:p>
    <w:p w:rsidR="007360C7" w:rsidRPr="00CA019D" w:rsidRDefault="007360C7" w:rsidP="007360C7">
      <w:pPr>
        <w:pStyle w:val="SingleTxt"/>
        <w:ind w:left="2218" w:hanging="951"/>
        <w:rPr>
          <w:lang w:val="fr-CH"/>
        </w:rPr>
      </w:pPr>
      <w:r w:rsidRPr="00CA019D">
        <w:rPr>
          <w:lang w:val="fr-CH"/>
        </w:rPr>
        <w:t>5.2.8.1.3</w:t>
      </w:r>
      <w:r w:rsidRPr="00CA019D">
        <w:rPr>
          <w:lang w:val="fr-CH"/>
        </w:rPr>
        <w:tab/>
        <w:t>Protection physique</w:t>
      </w:r>
    </w:p>
    <w:p w:rsidR="007360C7" w:rsidRPr="00CA019D" w:rsidRDefault="007360C7" w:rsidP="007360C7">
      <w:pPr>
        <w:pStyle w:val="SingleTxt"/>
        <w:ind w:left="2218" w:hanging="951"/>
        <w:rPr>
          <w:lang w:val="fr-CH"/>
        </w:rPr>
      </w:pPr>
      <w:r>
        <w:rPr>
          <w:lang w:val="fr-CH"/>
        </w:rPr>
        <w:tab/>
      </w:r>
      <w:r w:rsidRPr="00CA019D">
        <w:rPr>
          <w:lang w:val="fr-CH"/>
        </w:rPr>
        <w:tab/>
        <w:t>Afin d’éviter tout contact direct avec les éléments sous haute tension, le degré de protection IPXXB doit être assuré.</w:t>
      </w:r>
    </w:p>
    <w:p w:rsidR="007360C7" w:rsidRPr="00CA019D" w:rsidRDefault="007360C7" w:rsidP="007360C7">
      <w:pPr>
        <w:pStyle w:val="SingleTxt"/>
        <w:ind w:left="2218" w:hanging="951"/>
        <w:rPr>
          <w:lang w:val="fr-CH"/>
        </w:rPr>
      </w:pPr>
      <w:r>
        <w:rPr>
          <w:lang w:val="fr-CH"/>
        </w:rPr>
        <w:tab/>
      </w:r>
      <w:r w:rsidRPr="00CA019D">
        <w:rPr>
          <w:lang w:val="fr-CH"/>
        </w:rPr>
        <w:tab/>
        <w:t xml:space="preserve">De plus, pour une protection contre tout choc électrique provenant d’un contact indirect, la résistance entre toutes les parties conductrices exposées et la masse électrique, mesurée sous une intensité d’au moins 0,2 ampère, doit être inférieure à 0,1 ohm. </w:t>
      </w:r>
    </w:p>
    <w:p w:rsidR="007360C7" w:rsidRPr="00CA019D" w:rsidRDefault="007360C7" w:rsidP="007360C7">
      <w:pPr>
        <w:pStyle w:val="SingleTxt"/>
        <w:ind w:left="2218" w:hanging="951"/>
        <w:rPr>
          <w:lang w:val="fr-CH"/>
        </w:rPr>
      </w:pPr>
      <w:r>
        <w:rPr>
          <w:lang w:val="fr-CH"/>
        </w:rPr>
        <w:tab/>
      </w:r>
      <w:r w:rsidRPr="00CA019D">
        <w:rPr>
          <w:lang w:val="fr-CH"/>
        </w:rPr>
        <w:tab/>
        <w:t>Cette prescription est considérée comme remplie si la liaison galvanique a été effectuée par soudage.</w:t>
      </w:r>
    </w:p>
    <w:p w:rsidR="007360C7" w:rsidRPr="00CA019D" w:rsidRDefault="007360C7" w:rsidP="007360C7">
      <w:pPr>
        <w:pStyle w:val="SingleTxt"/>
        <w:ind w:left="2218" w:hanging="951"/>
        <w:rPr>
          <w:lang w:val="fr-CH"/>
        </w:rPr>
      </w:pPr>
      <w:r w:rsidRPr="00CA019D">
        <w:rPr>
          <w:lang w:val="fr-CH"/>
        </w:rPr>
        <w:t>5.2.8.1.4</w:t>
      </w:r>
      <w:r w:rsidRPr="00CA019D">
        <w:rPr>
          <w:lang w:val="fr-CH"/>
        </w:rPr>
        <w:tab/>
        <w:t>Résistance d’isolement</w:t>
      </w:r>
    </w:p>
    <w:p w:rsidR="007360C7" w:rsidRPr="00DA6548" w:rsidRDefault="007360C7" w:rsidP="007360C7">
      <w:pPr>
        <w:pStyle w:val="SingleTxt"/>
        <w:ind w:left="2218" w:hanging="951"/>
        <w:rPr>
          <w:lang w:val="fr-CH"/>
        </w:rPr>
      </w:pPr>
      <w:r>
        <w:rPr>
          <w:lang w:val="fr-CH"/>
        </w:rPr>
        <w:tab/>
      </w:r>
      <w:r w:rsidRPr="00CA019D">
        <w:rPr>
          <w:lang w:val="fr-CH"/>
        </w:rPr>
        <w:tab/>
      </w:r>
      <w:r w:rsidRPr="00DA6548">
        <w:rPr>
          <w:lang w:val="fr-CH"/>
        </w:rPr>
        <w:t>Les critères définis aux paragraphes 5.2.8.1.4.1 et 5.2.8.1.4.2 ci-après doivent être remplis.</w:t>
      </w:r>
    </w:p>
    <w:p w:rsidR="007360C7" w:rsidRPr="00CA019D" w:rsidRDefault="007360C7" w:rsidP="007360C7">
      <w:pPr>
        <w:pStyle w:val="SingleTxt"/>
        <w:ind w:left="2218" w:hanging="951"/>
        <w:rPr>
          <w:lang w:val="fr-CH"/>
        </w:rPr>
      </w:pPr>
      <w:r>
        <w:rPr>
          <w:lang w:val="fr-CH"/>
        </w:rPr>
        <w:lastRenderedPageBreak/>
        <w:tab/>
      </w:r>
      <w:r w:rsidRPr="00CA019D">
        <w:rPr>
          <w:lang w:val="fr-CH"/>
        </w:rPr>
        <w:tab/>
        <w:t>La mesure doit être effectuée conformément au paragraphe 5 de l’annexe 9.</w:t>
      </w:r>
    </w:p>
    <w:p w:rsidR="007360C7" w:rsidRPr="00CA019D" w:rsidRDefault="007360C7" w:rsidP="007360C7">
      <w:pPr>
        <w:pStyle w:val="SingleTxt"/>
        <w:ind w:left="2218" w:hanging="951"/>
        <w:rPr>
          <w:lang w:val="fr-CH"/>
        </w:rPr>
      </w:pPr>
      <w:r w:rsidRPr="00CA019D">
        <w:rPr>
          <w:lang w:val="fr-CH"/>
        </w:rPr>
        <w:t>5.2.8.1.4.1</w:t>
      </w:r>
      <w:r w:rsidRPr="00CA019D">
        <w:rPr>
          <w:lang w:val="fr-CH"/>
        </w:rPr>
        <w:tab/>
        <w:t>Chaîne de traction électrique comportant des rails séparés sous courant continu ou sous courant alternatif</w:t>
      </w:r>
    </w:p>
    <w:p w:rsidR="007360C7" w:rsidRPr="00CA019D" w:rsidRDefault="007360C7" w:rsidP="007360C7">
      <w:pPr>
        <w:pStyle w:val="SingleTxt"/>
        <w:ind w:left="2218" w:hanging="951"/>
        <w:rPr>
          <w:lang w:val="fr-CH"/>
        </w:rPr>
      </w:pPr>
      <w:r>
        <w:rPr>
          <w:lang w:val="fr-CH"/>
        </w:rPr>
        <w:tab/>
      </w:r>
      <w:r w:rsidRPr="00CA019D">
        <w:rPr>
          <w:lang w:val="fr-CH"/>
        </w:rPr>
        <w:tab/>
        <w:t>Si les rails haute tension sous courant alternatif et les rails haute tension sous courant continu sont isolés les uns des autres de façon galvanique, la résistance d’isolement entre le rail à haute tension et la masse électrique (Ri, telle qu’elle est définie au paragraphe 5 de l’annexe 9) doit être au minimum de 100 Ω/V de tension de fonctionnement pour les rails à courant continu, et de 500 Ω/V de tension de fonctionnement pour les rails à courant alternatif.</w:t>
      </w:r>
    </w:p>
    <w:p w:rsidR="007360C7" w:rsidRPr="00CA019D" w:rsidRDefault="007360C7" w:rsidP="007360C7">
      <w:pPr>
        <w:pStyle w:val="SingleTxt"/>
        <w:ind w:left="2218" w:hanging="951"/>
        <w:rPr>
          <w:lang w:val="fr-CH"/>
        </w:rPr>
      </w:pPr>
      <w:r w:rsidRPr="00CA019D">
        <w:rPr>
          <w:lang w:val="fr-CH"/>
        </w:rPr>
        <w:t>5.2.8.1.4.2</w:t>
      </w:r>
      <w:r w:rsidRPr="00CA019D">
        <w:rPr>
          <w:lang w:val="fr-CH"/>
        </w:rPr>
        <w:tab/>
        <w:t>Chaîne de traction électrique comportant des rails combinés sous courant conti</w:t>
      </w:r>
      <w:r w:rsidR="00D45688">
        <w:rPr>
          <w:lang w:val="fr-CH"/>
        </w:rPr>
        <w:t>nu et sous courant alternatif</w:t>
      </w:r>
    </w:p>
    <w:p w:rsidR="007360C7" w:rsidRPr="00CA019D" w:rsidRDefault="007360C7" w:rsidP="007360C7">
      <w:pPr>
        <w:pStyle w:val="SingleTxt"/>
        <w:ind w:left="2218" w:hanging="951"/>
        <w:rPr>
          <w:lang w:val="fr-CH"/>
        </w:rPr>
      </w:pPr>
      <w:r>
        <w:rPr>
          <w:lang w:val="fr-CH"/>
        </w:rPr>
        <w:tab/>
      </w:r>
      <w:r w:rsidRPr="00CA019D">
        <w:rPr>
          <w:lang w:val="fr-CH"/>
        </w:rPr>
        <w:tab/>
        <w:t>Si les rails haute tension sous courant alternatif et les rails haute tension sous courant continu sont galvaniquement reliés, la résistance d’isolement entre le rail haute tension et la masse électrique (Ri, telle qu’elle est définie au paragraphe 5 de l’annexe 9) doit être au minimum de 500 Ω/V de tension de fonctionnement.</w:t>
      </w:r>
    </w:p>
    <w:p w:rsidR="007360C7" w:rsidRPr="00DA6548" w:rsidRDefault="007360C7" w:rsidP="007360C7">
      <w:pPr>
        <w:pStyle w:val="SingleTxt"/>
        <w:ind w:left="2218" w:hanging="951"/>
        <w:rPr>
          <w:lang w:val="fr-CH"/>
        </w:rPr>
      </w:pPr>
      <w:r>
        <w:rPr>
          <w:lang w:val="fr-CH"/>
        </w:rPr>
        <w:tab/>
      </w:r>
      <w:r w:rsidRPr="00CA019D">
        <w:rPr>
          <w:lang w:val="fr-CH"/>
        </w:rPr>
        <w:tab/>
      </w:r>
      <w:r w:rsidRPr="00DA6548">
        <w:rPr>
          <w:lang w:val="fr-CH"/>
        </w:rPr>
        <w:t>Cependant, si la protection est assurée au degré IPXXB pour tous les rails haute tension à courant alternatif, ou si la tension du courant alternatif est inférieure ou égale à 30 V après la collision, la résistance d’isolement entre le rail haute tension et la masse électrique (Ri, telle qu’elle est définie au paragraphe 5 de l’annexe 9) doit être au minimum de 100 Ω/V de tension de fonctionnement.</w:t>
      </w:r>
    </w:p>
    <w:p w:rsidR="007360C7" w:rsidRPr="00CA019D" w:rsidRDefault="007360C7" w:rsidP="007360C7">
      <w:pPr>
        <w:pStyle w:val="SingleTxt"/>
        <w:ind w:left="2218" w:hanging="951"/>
        <w:rPr>
          <w:lang w:val="fr-CH"/>
        </w:rPr>
      </w:pPr>
      <w:r w:rsidRPr="00CA019D">
        <w:rPr>
          <w:lang w:val="fr-CH"/>
        </w:rPr>
        <w:t>5.2.8.2</w:t>
      </w:r>
      <w:r w:rsidRPr="00CA019D">
        <w:rPr>
          <w:lang w:val="fr-CH"/>
        </w:rPr>
        <w:tab/>
        <w:t>Fuite d’électrolyte</w:t>
      </w:r>
    </w:p>
    <w:p w:rsidR="007360C7" w:rsidRPr="00CA019D" w:rsidRDefault="007360C7" w:rsidP="007360C7">
      <w:pPr>
        <w:pStyle w:val="SingleTxt"/>
        <w:ind w:left="2218" w:hanging="951"/>
        <w:rPr>
          <w:lang w:val="fr-CH"/>
        </w:rPr>
      </w:pPr>
      <w:r>
        <w:rPr>
          <w:lang w:val="fr-CH"/>
        </w:rPr>
        <w:tab/>
      </w:r>
      <w:r w:rsidRPr="00CA019D">
        <w:rPr>
          <w:lang w:val="fr-CH"/>
        </w:rPr>
        <w:tab/>
        <w:t>Au cours des 30 minutes qui suivent la collision, l’électrolyte du SRSEE ne doit pas pénétrer dans l’habitacle, et pas plus de 7 % de cet électrolyte ne doit s’écouler du SRSE, sauf s’il s’agit d’une batterie de traction de type ouvert, vers l’extérieur de l’habitacle. Dans le cas des batteries de traction de type ouver</w:t>
      </w:r>
      <w:r>
        <w:rPr>
          <w:lang w:val="fr-CH"/>
        </w:rPr>
        <w:t>t, pas plus de 7 % (au maximum 0</w:t>
      </w:r>
      <w:r w:rsidRPr="00CA019D">
        <w:rPr>
          <w:lang w:val="fr-CH"/>
        </w:rPr>
        <w:t>,</w:t>
      </w:r>
      <w:r>
        <w:rPr>
          <w:lang w:val="fr-CH"/>
        </w:rPr>
        <w:t>5</w:t>
      </w:r>
      <w:r w:rsidRPr="00CA019D">
        <w:rPr>
          <w:lang w:val="fr-CH"/>
        </w:rPr>
        <w:t> litres) ne doit s’écoule</w:t>
      </w:r>
      <w:r w:rsidR="00DA6548">
        <w:rPr>
          <w:lang w:val="fr-CH"/>
        </w:rPr>
        <w:t>r à l’extérieur de l’habitacle.</w:t>
      </w:r>
    </w:p>
    <w:p w:rsidR="007360C7" w:rsidRPr="00CA019D" w:rsidRDefault="007360C7" w:rsidP="007360C7">
      <w:pPr>
        <w:pStyle w:val="SingleTxt"/>
        <w:ind w:left="2218" w:hanging="951"/>
        <w:rPr>
          <w:lang w:val="fr-CH"/>
        </w:rPr>
      </w:pPr>
      <w:r>
        <w:rPr>
          <w:lang w:val="fr-CH"/>
        </w:rPr>
        <w:tab/>
      </w:r>
      <w:r w:rsidRPr="00CA019D">
        <w:rPr>
          <w:lang w:val="fr-CH"/>
        </w:rPr>
        <w:tab/>
        <w:t>Le constructeur doit apporter la preuve du respect de ces prescriptions conformément au paragraphe 6 de l’annexe 9.</w:t>
      </w:r>
    </w:p>
    <w:p w:rsidR="007360C7" w:rsidRPr="00CA019D" w:rsidRDefault="007360C7" w:rsidP="007360C7">
      <w:pPr>
        <w:pStyle w:val="SingleTxt"/>
        <w:ind w:left="2218" w:hanging="951"/>
        <w:rPr>
          <w:lang w:val="fr-CH"/>
        </w:rPr>
      </w:pPr>
      <w:r w:rsidRPr="00CA019D">
        <w:rPr>
          <w:lang w:val="fr-CH"/>
        </w:rPr>
        <w:t>5.2.8.3</w:t>
      </w:r>
      <w:r w:rsidRPr="00CA019D">
        <w:rPr>
          <w:lang w:val="fr-CH"/>
        </w:rPr>
        <w:tab/>
        <w:t>Maintien en place du SRSEE</w:t>
      </w:r>
    </w:p>
    <w:p w:rsidR="007360C7" w:rsidRPr="00DA6548" w:rsidRDefault="007360C7" w:rsidP="007360C7">
      <w:pPr>
        <w:pStyle w:val="SingleTxt"/>
        <w:ind w:left="2218" w:hanging="951"/>
        <w:rPr>
          <w:spacing w:val="0"/>
          <w:lang w:val="fr-CH"/>
        </w:rPr>
      </w:pPr>
      <w:r>
        <w:rPr>
          <w:lang w:val="fr-CH"/>
        </w:rPr>
        <w:tab/>
      </w:r>
      <w:r w:rsidRPr="00CA019D">
        <w:rPr>
          <w:lang w:val="fr-CH"/>
        </w:rPr>
        <w:tab/>
      </w:r>
      <w:r w:rsidRPr="00DA6548">
        <w:rPr>
          <w:spacing w:val="0"/>
          <w:lang w:val="fr-CH"/>
        </w:rPr>
        <w:t>Tout SRSEE se trouvant à l’intérieur de l’habitacle doit demeurer à l’emplacement où il a été installé, et ses éléments ne doivent pas s’en détacher.</w:t>
      </w:r>
    </w:p>
    <w:p w:rsidR="007360C7" w:rsidRPr="00CA019D" w:rsidRDefault="007360C7" w:rsidP="007360C7">
      <w:pPr>
        <w:pStyle w:val="SingleTxt"/>
        <w:ind w:left="2218" w:hanging="951"/>
        <w:rPr>
          <w:lang w:val="fr-CH"/>
        </w:rPr>
      </w:pPr>
      <w:r>
        <w:rPr>
          <w:lang w:val="fr-CH"/>
        </w:rPr>
        <w:tab/>
      </w:r>
      <w:r w:rsidRPr="00CA019D">
        <w:rPr>
          <w:lang w:val="fr-CH"/>
        </w:rPr>
        <w:tab/>
        <w:t>Aucun élément d’un SRSEE se trouvant à l’extérieur de l’habitacle, aux fins de l’évaluation de la sûreté électrique, ne doit pénétrer dans ce dernier pendant ou après l’essai de choc.</w:t>
      </w:r>
    </w:p>
    <w:p w:rsidR="007360C7" w:rsidRDefault="007360C7" w:rsidP="007360C7">
      <w:pPr>
        <w:pStyle w:val="SingleTxt"/>
        <w:ind w:left="2218" w:hanging="951"/>
        <w:rPr>
          <w:lang w:val="fr-CH"/>
        </w:rPr>
      </w:pPr>
      <w:r>
        <w:rPr>
          <w:lang w:val="fr-CH"/>
        </w:rPr>
        <w:tab/>
      </w:r>
      <w:r w:rsidRPr="00CA019D">
        <w:rPr>
          <w:lang w:val="fr-CH"/>
        </w:rPr>
        <w:tab/>
        <w:t>Le constructeur doit apporter la preuve du respect de ces prescriptions conformément au paragraphe 7 de l’annexe 9.</w:t>
      </w:r>
    </w:p>
    <w:p w:rsidR="007360C7" w:rsidRPr="00F7273F" w:rsidRDefault="007360C7" w:rsidP="007360C7">
      <w:pPr>
        <w:pStyle w:val="SingleTxt"/>
        <w:spacing w:after="0" w:line="120" w:lineRule="exact"/>
        <w:ind w:left="2218" w:hanging="951"/>
        <w:rPr>
          <w:sz w:val="10"/>
          <w:lang w:val="fr-CH"/>
        </w:rPr>
      </w:pPr>
    </w:p>
    <w:p w:rsidR="007360C7" w:rsidRPr="00F7273F" w:rsidRDefault="007360C7" w:rsidP="007360C7">
      <w:pPr>
        <w:pStyle w:val="SingleTxt"/>
        <w:spacing w:after="0" w:line="120" w:lineRule="exact"/>
        <w:ind w:left="2218" w:hanging="951"/>
        <w:rPr>
          <w:sz w:val="10"/>
          <w:lang w:val="fr-CH"/>
        </w:rPr>
      </w:pPr>
    </w:p>
    <w:p w:rsidR="007360C7" w:rsidRDefault="007360C7" w:rsidP="007360C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2218" w:right="1260" w:hanging="2218"/>
        <w:rPr>
          <w:lang w:val="fr-CH"/>
        </w:rPr>
      </w:pPr>
      <w:bookmarkStart w:id="30" w:name="_Toc381109763"/>
      <w:bookmarkStart w:id="31" w:name="_Toc413834078"/>
      <w:r>
        <w:rPr>
          <w:lang w:val="fr-CH"/>
        </w:rPr>
        <w:tab/>
      </w:r>
      <w:r>
        <w:rPr>
          <w:lang w:val="fr-CH"/>
        </w:rPr>
        <w:tab/>
      </w:r>
      <w:r w:rsidRPr="00CA019D">
        <w:rPr>
          <w:lang w:val="fr-CH"/>
        </w:rPr>
        <w:t>6.</w:t>
      </w:r>
      <w:r w:rsidRPr="00CA019D">
        <w:rPr>
          <w:lang w:val="fr-CH"/>
        </w:rPr>
        <w:tab/>
      </w:r>
      <w:r w:rsidRPr="00CA019D">
        <w:rPr>
          <w:lang w:val="fr-CH"/>
        </w:rPr>
        <w:tab/>
      </w:r>
      <w:bookmarkEnd w:id="30"/>
      <w:bookmarkEnd w:id="31"/>
      <w:r w:rsidRPr="00CA019D">
        <w:rPr>
          <w:lang w:val="fr-CH"/>
        </w:rPr>
        <w:t xml:space="preserve">Instructions pour les utilisateurs de véhicules </w:t>
      </w:r>
      <w:r>
        <w:rPr>
          <w:lang w:val="fr-CH"/>
        </w:rPr>
        <w:br/>
      </w:r>
      <w:r w:rsidRPr="00CA019D">
        <w:rPr>
          <w:lang w:val="fr-CH"/>
        </w:rPr>
        <w:t>munis de coussins gonflables</w:t>
      </w:r>
    </w:p>
    <w:p w:rsidR="007360C7" w:rsidRPr="00F7273F" w:rsidRDefault="007360C7" w:rsidP="007360C7">
      <w:pPr>
        <w:pStyle w:val="SingleTxt"/>
        <w:spacing w:after="0" w:line="120" w:lineRule="exact"/>
        <w:rPr>
          <w:sz w:val="10"/>
          <w:lang w:val="fr-CH"/>
        </w:rPr>
      </w:pPr>
    </w:p>
    <w:p w:rsidR="007360C7" w:rsidRPr="00F7273F" w:rsidRDefault="007360C7" w:rsidP="007360C7">
      <w:pPr>
        <w:pStyle w:val="SingleTxt"/>
        <w:spacing w:after="0" w:line="120" w:lineRule="exact"/>
        <w:rPr>
          <w:sz w:val="10"/>
          <w:lang w:val="fr-CH"/>
        </w:rPr>
      </w:pPr>
    </w:p>
    <w:p w:rsidR="007360C7" w:rsidRPr="00CA019D" w:rsidRDefault="007360C7" w:rsidP="007360C7">
      <w:pPr>
        <w:pStyle w:val="SingleTxt"/>
        <w:ind w:left="2218" w:hanging="951"/>
        <w:rPr>
          <w:lang w:val="fr-CH"/>
        </w:rPr>
      </w:pPr>
      <w:r w:rsidRPr="00CA019D">
        <w:rPr>
          <w:lang w:val="fr-CH"/>
        </w:rPr>
        <w:t>6.1</w:t>
      </w:r>
      <w:r w:rsidRPr="00CA019D">
        <w:rPr>
          <w:lang w:val="fr-CH"/>
        </w:rPr>
        <w:tab/>
      </w:r>
      <w:r>
        <w:rPr>
          <w:lang w:val="fr-CH"/>
        </w:rPr>
        <w:tab/>
      </w:r>
      <w:r w:rsidRPr="00CA019D">
        <w:rPr>
          <w:lang w:val="fr-CH"/>
        </w:rPr>
        <w:t>Le véhicule doit porter l’indication selon laquelle ses sièges sont équipés de coussins gonflables.</w:t>
      </w:r>
    </w:p>
    <w:p w:rsidR="007360C7" w:rsidRDefault="007360C7" w:rsidP="007360C7">
      <w:pPr>
        <w:pStyle w:val="SingleTxt"/>
        <w:ind w:left="2218" w:hanging="951"/>
        <w:rPr>
          <w:lang w:val="fr-CH"/>
        </w:rPr>
      </w:pPr>
      <w:r w:rsidRPr="00CA019D">
        <w:rPr>
          <w:lang w:val="fr-CH"/>
        </w:rPr>
        <w:lastRenderedPageBreak/>
        <w:t>6.1.1</w:t>
      </w:r>
      <w:r>
        <w:rPr>
          <w:lang w:val="fr-CH"/>
        </w:rPr>
        <w:tab/>
      </w:r>
      <w:r w:rsidRPr="00CA019D">
        <w:rPr>
          <w:lang w:val="fr-CH"/>
        </w:rPr>
        <w:tab/>
        <w:t xml:space="preserve">Dans le cas d’un véhicule muni d’un coussin gonflable destiné à protéger le conducteur, cette indication doit se présenter sous la forme de la mention </w:t>
      </w:r>
      <w:r>
        <w:rPr>
          <w:lang w:val="fr-CH"/>
        </w:rPr>
        <w:t>« </w:t>
      </w:r>
      <w:r w:rsidRPr="00CA019D">
        <w:rPr>
          <w:lang w:val="fr-CH"/>
        </w:rPr>
        <w:t>AIRBAG</w:t>
      </w:r>
      <w:r>
        <w:rPr>
          <w:lang w:val="fr-CH"/>
        </w:rPr>
        <w:t> »</w:t>
      </w:r>
      <w:r w:rsidRPr="00CA019D">
        <w:rPr>
          <w:lang w:val="fr-CH"/>
        </w:rPr>
        <w:t xml:space="preserve"> située à l’intérieur de la circonférence du volant de direction; cette mention doit être apposée durablement et de façon très visible.</w:t>
      </w:r>
    </w:p>
    <w:p w:rsidR="007360C7" w:rsidRPr="00BE3FD8" w:rsidRDefault="007360C7" w:rsidP="007360C7">
      <w:pPr>
        <w:pStyle w:val="SingleTxt"/>
        <w:ind w:left="2218" w:hanging="951"/>
        <w:rPr>
          <w:lang w:val="fr-CH"/>
        </w:rPr>
      </w:pPr>
      <w:r w:rsidRPr="00BE3FD8">
        <w:rPr>
          <w:lang w:val="fr-CH"/>
        </w:rPr>
        <w:t>6.1.2</w:t>
      </w:r>
      <w:r>
        <w:rPr>
          <w:lang w:val="fr-CH"/>
        </w:rPr>
        <w:tab/>
      </w:r>
      <w:r w:rsidRPr="00BE3FD8">
        <w:rPr>
          <w:lang w:val="fr-CH"/>
        </w:rPr>
        <w:tab/>
        <w:t>Sur les véhicules munis d’un coussin gonflable pour la protection des passagers, cette indication doit figurer sur l’étiquette de mise en garde décrite au paragraphe 6.2 ci-après.</w:t>
      </w:r>
    </w:p>
    <w:p w:rsidR="007360C7" w:rsidRPr="00BE3FD8" w:rsidRDefault="007360C7" w:rsidP="007360C7">
      <w:pPr>
        <w:pStyle w:val="SingleTxt"/>
        <w:ind w:left="2218" w:hanging="951"/>
        <w:rPr>
          <w:lang w:val="fr-CH"/>
        </w:rPr>
      </w:pPr>
      <w:r w:rsidRPr="00BE3FD8">
        <w:rPr>
          <w:lang w:val="fr-CH"/>
        </w:rPr>
        <w:t>6.2</w:t>
      </w:r>
      <w:r w:rsidRPr="00BE3FD8">
        <w:rPr>
          <w:lang w:val="fr-CH"/>
        </w:rPr>
        <w:tab/>
      </w:r>
      <w:r w:rsidRPr="00BE3FD8">
        <w:rPr>
          <w:lang w:val="fr-CH"/>
        </w:rPr>
        <w:tab/>
        <w:t>Sur les véhicules équipés d’un ou de plusieurs coussins gonflables frontaux pour passager, des informations doivent être affichées sur le risque très grave lié à l’utilisation de dispositifs de retenue pour enfants orientés vers l’arrière sur les sièges équipés d’un coussin gonflable.</w:t>
      </w:r>
    </w:p>
    <w:p w:rsidR="007360C7" w:rsidRDefault="007360C7" w:rsidP="004C4436">
      <w:pPr>
        <w:pStyle w:val="SingleTxt"/>
        <w:ind w:left="2217" w:hanging="950"/>
        <w:rPr>
          <w:spacing w:val="2"/>
          <w:lang w:val="fr-CH"/>
        </w:rPr>
      </w:pPr>
      <w:r w:rsidRPr="00BE3FD8">
        <w:rPr>
          <w:lang w:val="fr-CH"/>
        </w:rPr>
        <w:t>6.2.1</w:t>
      </w:r>
      <w:r w:rsidRPr="00BE3FD8">
        <w:rPr>
          <w:lang w:val="fr-CH"/>
        </w:rPr>
        <w:tab/>
      </w:r>
      <w:r w:rsidRPr="00BE3FD8">
        <w:rPr>
          <w:lang w:val="fr-CH"/>
        </w:rPr>
        <w:tab/>
      </w:r>
      <w:r w:rsidRPr="004C4436">
        <w:rPr>
          <w:spacing w:val="2"/>
          <w:lang w:val="fr-CH"/>
        </w:rPr>
        <w:t>Au minimum, ces informations doivent apparaître sur une étiquette contenant des pictogrammes de mise en garde explicites, comme indiqué ci-après :</w:t>
      </w:r>
    </w:p>
    <w:p w:rsidR="004C4436" w:rsidRPr="004C4436" w:rsidRDefault="004C4436" w:rsidP="004C4436">
      <w:pPr>
        <w:pStyle w:val="SingleTxt"/>
        <w:spacing w:after="0" w:line="120" w:lineRule="exact"/>
        <w:ind w:left="2217" w:hanging="950"/>
        <w:rPr>
          <w:spacing w:val="2"/>
          <w:sz w:val="10"/>
          <w:lang w:val="fr-CH"/>
        </w:rPr>
      </w:pPr>
    </w:p>
    <w:p w:rsidR="004C4436" w:rsidRPr="004C4436" w:rsidRDefault="004C4436" w:rsidP="004C4436">
      <w:pPr>
        <w:pStyle w:val="SingleTxt"/>
        <w:spacing w:after="0" w:line="120" w:lineRule="exact"/>
        <w:ind w:left="2217" w:hanging="950"/>
        <w:rPr>
          <w:sz w:val="10"/>
          <w:lang w:val="fr-CH"/>
        </w:rPr>
      </w:pPr>
    </w:p>
    <w:p w:rsidR="007360C7" w:rsidRDefault="007360C7" w:rsidP="007360C7">
      <w:pPr>
        <w:tabs>
          <w:tab w:val="left" w:pos="1701"/>
          <w:tab w:val="left" w:pos="2268"/>
          <w:tab w:val="left" w:pos="2835"/>
          <w:tab w:val="left" w:pos="3402"/>
          <w:tab w:val="left" w:pos="3969"/>
        </w:tabs>
        <w:spacing w:line="240" w:lineRule="atLeast"/>
        <w:ind w:left="1699" w:right="1138"/>
        <w:jc w:val="both"/>
        <w:rPr>
          <w:rFonts w:eastAsia="Times New Roman"/>
          <w:szCs w:val="20"/>
        </w:rPr>
      </w:pPr>
      <w:r w:rsidRPr="006F2044">
        <w:rPr>
          <w:rFonts w:eastAsia="Times New Roman"/>
          <w:noProof/>
          <w:szCs w:val="20"/>
          <w:lang w:val="en-GB" w:eastAsia="en-GB"/>
        </w:rPr>
        <mc:AlternateContent>
          <mc:Choice Requires="wps">
            <w:drawing>
              <wp:anchor distT="0" distB="0" distL="114300" distR="114300" simplePos="0" relativeHeight="251663360" behindDoc="0" locked="0" layoutInCell="1" allowOverlap="1" wp14:anchorId="769570EA" wp14:editId="5E19BA51">
                <wp:simplePos x="0" y="0"/>
                <wp:positionH relativeFrom="column">
                  <wp:posOffset>3253740</wp:posOffset>
                </wp:positionH>
                <wp:positionV relativeFrom="paragraph">
                  <wp:posOffset>1334770</wp:posOffset>
                </wp:positionV>
                <wp:extent cx="1904365" cy="388620"/>
                <wp:effectExtent l="0" t="0" r="635" b="11430"/>
                <wp:wrapNone/>
                <wp:docPr id="22"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4365" cy="388620"/>
                        </a:xfrm>
                        <a:prstGeom prst="rect">
                          <a:avLst/>
                        </a:prstGeom>
                        <a:noFill/>
                        <a:ln w="9525" cap="flat" cmpd="sng" algn="ctr">
                          <a:noFill/>
                          <a:prstDash val="solid"/>
                          <a:round/>
                          <a:headEnd type="none" w="med" len="med"/>
                          <a:tailEnd type="none" w="med" len="med"/>
                        </a:ln>
                        <a:effectLst/>
                      </wps:spPr>
                      <wps:txbx>
                        <w:txbxContent>
                          <w:p w:rsidR="00CC7761" w:rsidRPr="00125EBD" w:rsidRDefault="00CC7761" w:rsidP="007360C7">
                            <w:pPr>
                              <w:spacing w:before="120" w:after="120" w:line="240" w:lineRule="auto"/>
                              <w:jc w:val="center"/>
                              <w:rPr>
                                <w:bCs/>
                                <w:szCs w:val="20"/>
                                <w:lang w:val="fr-CH"/>
                              </w:rPr>
                            </w:pPr>
                            <w:r w:rsidRPr="00125EBD">
                              <w:rPr>
                                <w:bCs/>
                                <w:szCs w:val="20"/>
                                <w:lang w:val="fr-CH"/>
                              </w:rPr>
                              <w:t xml:space="preserve">Symbole et </w:t>
                            </w:r>
                            <w:r w:rsidRPr="00125EBD">
                              <w:rPr>
                                <w:szCs w:val="20"/>
                                <w:lang w:val="fr-CH"/>
                              </w:rPr>
                              <w:t>lettres</w:t>
                            </w:r>
                            <w:r w:rsidRPr="00125EBD">
                              <w:rPr>
                                <w:bCs/>
                                <w:szCs w:val="20"/>
                                <w:lang w:val="fr-CH"/>
                              </w:rPr>
                              <w:t xml:space="preserve"> noires </w:t>
                            </w:r>
                            <w:r>
                              <w:rPr>
                                <w:bCs/>
                                <w:szCs w:val="20"/>
                                <w:lang w:val="fr-CH"/>
                              </w:rPr>
                              <w:br/>
                            </w:r>
                            <w:r w:rsidRPr="00125EBD">
                              <w:rPr>
                                <w:bCs/>
                                <w:szCs w:val="20"/>
                                <w:lang w:val="fr-CH"/>
                              </w:rPr>
                              <w:t>sur fond jaune ou jaune-auto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256.2pt;margin-top:105.1pt;width:149.95pt;height:3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" filled="f" stroked="f">
                <v:stroke joinstyle="round"/>
                <v:path arrowok="t"/>
                <v:textbox inset="0,0,0,0">
                  <w:txbxContent>
                    <w:p w:rsidR="00CC7761" w:rsidRPr="00125EBD" w:rsidRDefault="00CC7761" w:rsidP="007360C7">
                      <w:pPr>
                        <w:spacing w:before="120" w:after="120" w:line="240" w:lineRule="auto"/>
                        <w:jc w:val="center"/>
                        <w:rPr>
                          <w:bCs/>
                          <w:szCs w:val="20"/>
                          <w:lang w:val="fr-CH"/>
                        </w:rPr>
                      </w:pPr>
                      <w:r w:rsidRPr="00125EBD">
                        <w:rPr>
                          <w:bCs/>
                          <w:szCs w:val="20"/>
                          <w:lang w:val="fr-CH"/>
                        </w:rPr>
                        <w:t xml:space="preserve">Symbole et </w:t>
                      </w:r>
                      <w:r w:rsidRPr="00125EBD">
                        <w:rPr>
                          <w:szCs w:val="20"/>
                          <w:lang w:val="fr-CH"/>
                        </w:rPr>
                        <w:t>lettres</w:t>
                      </w:r>
                      <w:r w:rsidRPr="00125EBD">
                        <w:rPr>
                          <w:bCs/>
                          <w:szCs w:val="20"/>
                          <w:lang w:val="fr-CH"/>
                        </w:rPr>
                        <w:t xml:space="preserve"> noires </w:t>
                      </w:r>
                      <w:r>
                        <w:rPr>
                          <w:bCs/>
                          <w:szCs w:val="20"/>
                          <w:lang w:val="fr-CH"/>
                        </w:rPr>
                        <w:br/>
                      </w:r>
                      <w:r w:rsidRPr="00125EBD">
                        <w:rPr>
                          <w:bCs/>
                          <w:szCs w:val="20"/>
                          <w:lang w:val="fr-CH"/>
                        </w:rPr>
                        <w:t>sur fond jaune ou jaune-auto</w:t>
                      </w:r>
                    </w:p>
                  </w:txbxContent>
                </v:textbox>
              </v:shape>
            </w:pict>
          </mc:Fallback>
        </mc:AlternateContent>
      </w:r>
      <w:r w:rsidRPr="006F2044">
        <w:rPr>
          <w:rFonts w:eastAsia="Times New Roman"/>
          <w:noProof/>
          <w:szCs w:val="20"/>
          <w:lang w:val="en-GB" w:eastAsia="en-GB"/>
        </w:rPr>
        <mc:AlternateContent>
          <mc:Choice Requires="wps">
            <w:drawing>
              <wp:anchor distT="0" distB="0" distL="114300" distR="114300" simplePos="0" relativeHeight="251659264" behindDoc="0" locked="0" layoutInCell="1" allowOverlap="1" wp14:anchorId="1C0D9244" wp14:editId="4FB0F034">
                <wp:simplePos x="0" y="0"/>
                <wp:positionH relativeFrom="column">
                  <wp:posOffset>1080770</wp:posOffset>
                </wp:positionH>
                <wp:positionV relativeFrom="paragraph">
                  <wp:posOffset>1104471</wp:posOffset>
                </wp:positionV>
                <wp:extent cx="0" cy="1456055"/>
                <wp:effectExtent l="0" t="0" r="19050" b="10795"/>
                <wp:wrapNone/>
                <wp:docPr id="20" name="Прямая соединительная линия 3"/>
                <wp:cNvGraphicFramePr/>
                <a:graphic xmlns:a="http://schemas.openxmlformats.org/drawingml/2006/main">
                  <a:graphicData uri="http://schemas.microsoft.com/office/word/2010/wordprocessingShape">
                    <wps:wsp>
                      <wps:cNvCnPr/>
                      <wps:spPr>
                        <a:xfrm>
                          <a:off x="0" y="0"/>
                          <a:ext cx="0" cy="1456055"/>
                        </a:xfrm>
                        <a:prstGeom prst="line">
                          <a:avLst/>
                        </a:prstGeom>
                        <a:noFill/>
                        <a:ln w="1905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Прямая соединительная линия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1pt,86.95pt" to="85.1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" strokecolor="windowText" strokeweight="1.5pt"/>
            </w:pict>
          </mc:Fallback>
        </mc:AlternateContent>
      </w:r>
      <w:r w:rsidRPr="006F2044">
        <w:rPr>
          <w:rFonts w:eastAsia="Times New Roman"/>
          <w:noProof/>
          <w:szCs w:val="20"/>
          <w:lang w:val="en-GB" w:eastAsia="en-GB"/>
        </w:rPr>
        <mc:AlternateContent>
          <mc:Choice Requires="wps">
            <w:drawing>
              <wp:anchor distT="0" distB="0" distL="114300" distR="114300" simplePos="0" relativeHeight="251661312" behindDoc="0" locked="0" layoutInCell="1" allowOverlap="1" wp14:anchorId="51FBC8E4" wp14:editId="4356B00A">
                <wp:simplePos x="0" y="0"/>
                <wp:positionH relativeFrom="column">
                  <wp:posOffset>4044314</wp:posOffset>
                </wp:positionH>
                <wp:positionV relativeFrom="paragraph">
                  <wp:posOffset>817880</wp:posOffset>
                </wp:positionV>
                <wp:extent cx="1514475" cy="352425"/>
                <wp:effectExtent l="0" t="0" r="9525" b="9525"/>
                <wp:wrapNone/>
                <wp:docPr id="12"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352425"/>
                        </a:xfrm>
                        <a:prstGeom prst="rect">
                          <a:avLst/>
                        </a:prstGeom>
                        <a:noFill/>
                        <a:ln w="9525" cap="flat" cmpd="sng" algn="ctr">
                          <a:noFill/>
                          <a:prstDash val="solid"/>
                          <a:round/>
                          <a:headEnd type="none" w="med" len="med"/>
                          <a:tailEnd type="none" w="med" len="med"/>
                        </a:ln>
                        <a:effectLst/>
                      </wps:spPr>
                      <wps:txbx>
                        <w:txbxContent>
                          <w:p w:rsidR="00CC7761" w:rsidRPr="00125EBD" w:rsidRDefault="00CC7761" w:rsidP="007360C7">
                            <w:pPr>
                              <w:spacing w:before="120" w:after="120" w:line="240" w:lineRule="auto"/>
                              <w:jc w:val="center"/>
                              <w:rPr>
                                <w:szCs w:val="20"/>
                                <w:lang w:val="fr-CH"/>
                              </w:rPr>
                            </w:pPr>
                            <w:r w:rsidRPr="00125EBD">
                              <w:rPr>
                                <w:szCs w:val="20"/>
                                <w:lang w:val="fr-CH"/>
                              </w:rPr>
                              <w:t>Fond blanc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27" type="#_x0000_t202" style="position:absolute;left:0;text-align:left;margin-left:318.45pt;margin-top:64.4pt;width:119.2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" filled="f" stroked="f">
                <v:stroke joinstyle="round"/>
                <v:path arrowok="t"/>
                <v:textbox inset="0,0,0,0">
                  <w:txbxContent>
                    <w:p w:rsidR="00CC7761" w:rsidRPr="00125EBD" w:rsidRDefault="00CC7761" w:rsidP="007360C7">
                      <w:pPr>
                        <w:spacing w:before="120" w:after="120" w:line="240" w:lineRule="auto"/>
                        <w:jc w:val="center"/>
                        <w:rPr>
                          <w:szCs w:val="20"/>
                          <w:lang w:val="fr-CH"/>
                        </w:rPr>
                      </w:pPr>
                      <w:r w:rsidRPr="00125EBD">
                        <w:rPr>
                          <w:szCs w:val="20"/>
                          <w:lang w:val="fr-CH"/>
                        </w:rPr>
                        <w:t>Fond blanc</w:t>
                      </w:r>
                    </w:p>
                  </w:txbxContent>
                </v:textbox>
              </v:shape>
            </w:pict>
          </mc:Fallback>
        </mc:AlternateContent>
      </w:r>
      <w:r w:rsidRPr="006F2044">
        <w:rPr>
          <w:rFonts w:eastAsia="Times New Roman"/>
          <w:noProof/>
          <w:szCs w:val="20"/>
          <w:lang w:val="en-GB" w:eastAsia="en-GB"/>
        </w:rPr>
        <mc:AlternateContent>
          <mc:Choice Requires="wps">
            <w:drawing>
              <wp:anchor distT="0" distB="0" distL="114300" distR="114300" simplePos="0" relativeHeight="251662336" behindDoc="0" locked="0" layoutInCell="1" allowOverlap="1" wp14:anchorId="6FAC47F8" wp14:editId="3F51FB37">
                <wp:simplePos x="0" y="0"/>
                <wp:positionH relativeFrom="column">
                  <wp:posOffset>1491615</wp:posOffset>
                </wp:positionH>
                <wp:positionV relativeFrom="paragraph">
                  <wp:posOffset>931545</wp:posOffset>
                </wp:positionV>
                <wp:extent cx="1520825" cy="371475"/>
                <wp:effectExtent l="0" t="0" r="3175" b="9525"/>
                <wp:wrapNone/>
                <wp:docPr id="24"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825" cy="371475"/>
                        </a:xfrm>
                        <a:prstGeom prst="rect">
                          <a:avLst/>
                        </a:prstGeom>
                        <a:noFill/>
                        <a:ln w="9525" cap="flat" cmpd="sng" algn="ctr">
                          <a:noFill/>
                          <a:prstDash val="solid"/>
                          <a:round/>
                          <a:headEnd type="none" w="med" len="med"/>
                          <a:tailEnd type="none" w="med" len="med"/>
                        </a:ln>
                        <a:effectLst/>
                      </wps:spPr>
                      <wps:txbx>
                        <w:txbxContent>
                          <w:p w:rsidR="00CC7761" w:rsidRPr="00125EBD" w:rsidRDefault="00CC7761" w:rsidP="007360C7">
                            <w:pPr>
                              <w:spacing w:before="120" w:after="120" w:line="240" w:lineRule="auto"/>
                              <w:jc w:val="center"/>
                              <w:rPr>
                                <w:szCs w:val="20"/>
                                <w:lang w:val="fr-CH"/>
                              </w:rPr>
                            </w:pPr>
                            <w:r w:rsidRPr="00125EBD">
                              <w:rPr>
                                <w:szCs w:val="20"/>
                                <w:lang w:val="fr-CH"/>
                              </w:rPr>
                              <w:t>Fond blanc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28" type="#_x0000_t202" style="position:absolute;left:0;text-align:left;margin-left:117.45pt;margin-top:73.35pt;width:119.7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" filled="f" stroked="f">
                <v:stroke joinstyle="round"/>
                <v:path arrowok="t"/>
                <v:textbox inset="0,0,0,0">
                  <w:txbxContent>
                    <w:p w:rsidR="00CC7761" w:rsidRPr="00125EBD" w:rsidRDefault="00CC7761" w:rsidP="007360C7">
                      <w:pPr>
                        <w:spacing w:before="120" w:after="120" w:line="240" w:lineRule="auto"/>
                        <w:jc w:val="center"/>
                        <w:rPr>
                          <w:szCs w:val="20"/>
                          <w:lang w:val="fr-CH"/>
                        </w:rPr>
                      </w:pPr>
                      <w:r w:rsidRPr="00125EBD">
                        <w:rPr>
                          <w:szCs w:val="20"/>
                          <w:lang w:val="fr-CH"/>
                        </w:rPr>
                        <w:t>Fond blanc</w:t>
                      </w:r>
                    </w:p>
                  </w:txbxContent>
                </v:textbox>
              </v:shape>
            </w:pict>
          </mc:Fallback>
        </mc:AlternateContent>
      </w:r>
      <w:r w:rsidRPr="006F2044">
        <w:rPr>
          <w:rFonts w:eastAsia="Times New Roman"/>
          <w:noProof/>
          <w:szCs w:val="20"/>
          <w:lang w:val="en-GB" w:eastAsia="en-GB"/>
        </w:rPr>
        <mc:AlternateContent>
          <mc:Choice Requires="wps">
            <w:drawing>
              <wp:anchor distT="0" distB="0" distL="114300" distR="114300" simplePos="0" relativeHeight="251665408" behindDoc="0" locked="0" layoutInCell="1" allowOverlap="1" wp14:anchorId="471F4C10" wp14:editId="16B5EEE9">
                <wp:simplePos x="0" y="0"/>
                <wp:positionH relativeFrom="column">
                  <wp:posOffset>3939540</wp:posOffset>
                </wp:positionH>
                <wp:positionV relativeFrom="paragraph">
                  <wp:posOffset>4189730</wp:posOffset>
                </wp:positionV>
                <wp:extent cx="1543685" cy="1200150"/>
                <wp:effectExtent l="0" t="0" r="0" b="0"/>
                <wp:wrapNone/>
                <wp:docPr id="23"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685" cy="1200150"/>
                        </a:xfrm>
                        <a:prstGeom prst="rect">
                          <a:avLst/>
                        </a:prstGeom>
                        <a:noFill/>
                        <a:ln w="9525" cap="flat" cmpd="sng" algn="ctr">
                          <a:noFill/>
                          <a:prstDash val="solid"/>
                          <a:round/>
                          <a:headEnd type="none" w="med" len="med"/>
                          <a:tailEnd type="none" w="med" len="med"/>
                        </a:ln>
                        <a:effectLst/>
                      </wps:spPr>
                      <wps:txbx>
                        <w:txbxContent>
                          <w:p w:rsidR="00CC7761" w:rsidRPr="00125EBD" w:rsidRDefault="00CC7761" w:rsidP="007360C7">
                            <w:pPr>
                              <w:spacing w:before="120" w:after="120" w:line="240" w:lineRule="auto"/>
                              <w:jc w:val="center"/>
                              <w:rPr>
                                <w:szCs w:val="20"/>
                                <w:lang w:val="fr-CH"/>
                              </w:rPr>
                            </w:pPr>
                            <w:r w:rsidRPr="00125EBD">
                              <w:rPr>
                                <w:szCs w:val="20"/>
                                <w:lang w:val="fr-CH"/>
                              </w:rPr>
                              <w:t>Les images du pictogramme doivent être regroupées, être de la taille ci-dessus ou plus grandes, et correspondre aux couleurs prescrites : rouge, noir et blanc.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29" type="#_x0000_t202" style="position:absolute;left:0;text-align:left;margin-left:310.2pt;margin-top:329.9pt;width:121.55pt;height: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" filled="f" stroked="f">
                <v:stroke joinstyle="round"/>
                <v:path arrowok="t"/>
                <v:textbox inset="0,0,0,0">
                  <w:txbxContent>
                    <w:p w:rsidR="00CC7761" w:rsidRPr="00125EBD" w:rsidRDefault="00CC7761" w:rsidP="007360C7">
                      <w:pPr>
                        <w:spacing w:before="120" w:after="120" w:line="240" w:lineRule="auto"/>
                        <w:jc w:val="center"/>
                        <w:rPr>
                          <w:szCs w:val="20"/>
                          <w:lang w:val="fr-CH"/>
                        </w:rPr>
                      </w:pPr>
                      <w:r w:rsidRPr="00125EBD">
                        <w:rPr>
                          <w:szCs w:val="20"/>
                          <w:lang w:val="fr-CH"/>
                        </w:rPr>
                        <w:t>Les images du pictogramme doivent être regroupées, être de la taille ci-dessus ou plus grandes, et correspondre aux couleurs prescrites : rouge, noir et blanc.</w:t>
                      </w:r>
                    </w:p>
                  </w:txbxContent>
                </v:textbox>
              </v:shape>
            </w:pict>
          </mc:Fallback>
        </mc:AlternateContent>
      </w:r>
      <w:r w:rsidRPr="006F2044">
        <w:rPr>
          <w:rFonts w:eastAsia="Times New Roman"/>
          <w:noProof/>
          <w:szCs w:val="20"/>
          <w:lang w:val="en-GB" w:eastAsia="en-GB"/>
        </w:rPr>
        <mc:AlternateContent>
          <mc:Choice Requires="wps">
            <w:drawing>
              <wp:anchor distT="0" distB="0" distL="114300" distR="114300" simplePos="0" relativeHeight="251664384" behindDoc="0" locked="0" layoutInCell="1" allowOverlap="1" wp14:anchorId="5C9B261A" wp14:editId="47119BE5">
                <wp:simplePos x="0" y="0"/>
                <wp:positionH relativeFrom="column">
                  <wp:posOffset>1758315</wp:posOffset>
                </wp:positionH>
                <wp:positionV relativeFrom="paragraph">
                  <wp:posOffset>4180206</wp:posOffset>
                </wp:positionV>
                <wp:extent cx="2044065" cy="933450"/>
                <wp:effectExtent l="0" t="0" r="13335"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065" cy="933450"/>
                        </a:xfrm>
                        <a:prstGeom prst="rect">
                          <a:avLst/>
                        </a:prstGeom>
                        <a:noFill/>
                        <a:ln w="9525" cap="flat" cmpd="sng" algn="ctr">
                          <a:noFill/>
                          <a:prstDash val="solid"/>
                          <a:round/>
                          <a:headEnd type="none" w="med" len="med"/>
                          <a:tailEnd type="none" w="med" len="med"/>
                        </a:ln>
                        <a:effectLst/>
                      </wps:spPr>
                      <wps:txbx>
                        <w:txbxContent>
                          <w:p w:rsidR="00CC7761" w:rsidRPr="00125EBD" w:rsidRDefault="00CC7761" w:rsidP="007360C7">
                            <w:pPr>
                              <w:spacing w:before="120" w:after="120" w:line="240" w:lineRule="auto"/>
                              <w:jc w:val="center"/>
                              <w:rPr>
                                <w:szCs w:val="20"/>
                                <w:lang w:val="fr-CH"/>
                              </w:rPr>
                            </w:pPr>
                            <w:r w:rsidRPr="00125EBD">
                              <w:rPr>
                                <w:szCs w:val="20"/>
                                <w:lang w:val="fr-CH"/>
                              </w:rPr>
                              <w:t>Le pictogramme doit être exactement de la taille ci-dessus ou plus grand, et correspondre aux couleurs prescrites : rouge, noir et blanc (ISO 2575:2004 – Z.01).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30" type="#_x0000_t202" style="position:absolute;left:0;text-align:left;margin-left:138.45pt;margin-top:329.15pt;width:160.9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" filled="f" stroked="f">
                <v:stroke joinstyle="round"/>
                <v:path arrowok="t"/>
                <v:textbox inset="0,0,0,0">
                  <w:txbxContent>
                    <w:p w:rsidR="00CC7761" w:rsidRPr="00125EBD" w:rsidRDefault="00CC7761" w:rsidP="007360C7">
                      <w:pPr>
                        <w:spacing w:before="120" w:after="120" w:line="240" w:lineRule="auto"/>
                        <w:jc w:val="center"/>
                        <w:rPr>
                          <w:szCs w:val="20"/>
                          <w:lang w:val="fr-CH"/>
                        </w:rPr>
                      </w:pPr>
                      <w:r w:rsidRPr="00125EBD">
                        <w:rPr>
                          <w:szCs w:val="20"/>
                          <w:lang w:val="fr-CH"/>
                        </w:rPr>
                        <w:t>Le pictogramme doit être exactement de la taille ci-dessus ou plus grand, et correspondre aux couleurs prescrites : rouge, noir et blanc (ISO 2575:2004 – Z.01).</w:t>
                      </w:r>
                    </w:p>
                  </w:txbxContent>
                </v:textbox>
              </v:shape>
            </w:pict>
          </mc:Fallback>
        </mc:AlternateContent>
      </w:r>
      <w:r w:rsidRPr="006F2044">
        <w:rPr>
          <w:rFonts w:eastAsia="Times New Roman"/>
          <w:noProof/>
          <w:szCs w:val="20"/>
          <w:lang w:val="en-GB" w:eastAsia="en-GB"/>
        </w:rPr>
        <mc:AlternateContent>
          <mc:Choice Requires="wps">
            <w:drawing>
              <wp:anchor distT="0" distB="0" distL="114300" distR="114300" simplePos="0" relativeHeight="251660288" behindDoc="0" locked="0" layoutInCell="1" allowOverlap="1" wp14:anchorId="099681FA" wp14:editId="6E0508DE">
                <wp:simplePos x="0" y="0"/>
                <wp:positionH relativeFrom="column">
                  <wp:posOffset>2406015</wp:posOffset>
                </wp:positionH>
                <wp:positionV relativeFrom="paragraph">
                  <wp:posOffset>170180</wp:posOffset>
                </wp:positionV>
                <wp:extent cx="1524000" cy="333375"/>
                <wp:effectExtent l="0" t="0" r="0" b="9525"/>
                <wp:wrapNone/>
                <wp:docPr id="21"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33375"/>
                        </a:xfrm>
                        <a:prstGeom prst="rect">
                          <a:avLst/>
                        </a:prstGeom>
                        <a:noFill/>
                        <a:ln w="9525" cap="flat" cmpd="sng" algn="ctr">
                          <a:noFill/>
                          <a:prstDash val="solid"/>
                          <a:round/>
                          <a:headEnd type="none" w="med" len="med"/>
                          <a:tailEnd type="none" w="med" len="med"/>
                        </a:ln>
                        <a:effectLst/>
                      </wps:spPr>
                      <wps:txbx>
                        <w:txbxContent>
                          <w:p w:rsidR="00CC7761" w:rsidRPr="00125EBD" w:rsidRDefault="00CC7761" w:rsidP="007360C7">
                            <w:pPr>
                              <w:spacing w:before="120" w:after="120" w:line="240" w:lineRule="auto"/>
                              <w:jc w:val="center"/>
                              <w:rPr>
                                <w:szCs w:val="20"/>
                                <w:lang w:val="fr-CH"/>
                              </w:rPr>
                            </w:pPr>
                            <w:r w:rsidRPr="00125EBD">
                              <w:rPr>
                                <w:szCs w:val="20"/>
                                <w:lang w:val="fr-CH"/>
                              </w:rPr>
                              <w:t>Lignes du cadre en noir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31" type="#_x0000_t202" style="position:absolute;left:0;text-align:left;margin-left:189.45pt;margin-top:13.4pt;width:120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" filled="f" stroked="f">
                <v:stroke joinstyle="round"/>
                <v:path arrowok="t"/>
                <v:textbox inset="0,0,0,0">
                  <w:txbxContent>
                    <w:p w:rsidR="00CC7761" w:rsidRPr="00125EBD" w:rsidRDefault="00CC7761" w:rsidP="007360C7">
                      <w:pPr>
                        <w:spacing w:before="120" w:after="120" w:line="240" w:lineRule="auto"/>
                        <w:jc w:val="center"/>
                        <w:rPr>
                          <w:szCs w:val="20"/>
                          <w:lang w:val="fr-CH"/>
                        </w:rPr>
                      </w:pPr>
                      <w:r w:rsidRPr="00125EBD">
                        <w:rPr>
                          <w:szCs w:val="20"/>
                          <w:lang w:val="fr-CH"/>
                        </w:rPr>
                        <w:t>Lignes du cadre en noir</w:t>
                      </w:r>
                    </w:p>
                  </w:txbxContent>
                </v:textbox>
              </v:shape>
            </w:pict>
          </mc:Fallback>
        </mc:AlternateContent>
      </w:r>
      <w:r w:rsidRPr="006F2044">
        <w:rPr>
          <w:rFonts w:eastAsia="Times New Roman"/>
          <w:noProof/>
          <w:szCs w:val="20"/>
          <w:lang w:val="en-GB" w:eastAsia="en-GB"/>
        </w:rPr>
        <w:drawing>
          <wp:inline distT="0" distB="0" distL="0" distR="0" wp14:anchorId="2E59B281" wp14:editId="4221CD17">
            <wp:extent cx="4862811" cy="5930257"/>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2398" b="3195"/>
                    <a:stretch/>
                  </pic:blipFill>
                  <pic:spPr bwMode="auto">
                    <a:xfrm>
                      <a:off x="0" y="0"/>
                      <a:ext cx="4874440" cy="5944439"/>
                    </a:xfrm>
                    <a:prstGeom prst="rect">
                      <a:avLst/>
                    </a:prstGeom>
                    <a:noFill/>
                    <a:ln>
                      <a:noFill/>
                    </a:ln>
                    <a:extLst>
                      <a:ext uri="{53640926-AAD7-44D8-BBD7-CCE9431645EC}">
                        <a14:shadowObscured xmlns:a14="http://schemas.microsoft.com/office/drawing/2010/main"/>
                      </a:ext>
                    </a:extLst>
                  </pic:spPr>
                </pic:pic>
              </a:graphicData>
            </a:graphic>
          </wp:inline>
        </w:drawing>
      </w:r>
    </w:p>
    <w:p w:rsidR="007360C7" w:rsidRPr="00BE3FD8" w:rsidRDefault="007360C7" w:rsidP="00F0605B">
      <w:pPr>
        <w:pStyle w:val="SingleTxt"/>
        <w:ind w:left="2218" w:hanging="951"/>
        <w:rPr>
          <w:lang w:val="fr-CH"/>
        </w:rPr>
      </w:pPr>
      <w:r>
        <w:rPr>
          <w:lang w:val="fr-CH"/>
        </w:rPr>
        <w:lastRenderedPageBreak/>
        <w:tab/>
      </w:r>
      <w:r>
        <w:rPr>
          <w:lang w:val="fr-CH"/>
        </w:rPr>
        <w:tab/>
      </w:r>
      <w:r w:rsidRPr="00BE3FD8">
        <w:rPr>
          <w:lang w:val="fr-CH"/>
        </w:rPr>
        <w:t>Les dimensions hors tout doivent être au minimum de 120 x 60 mm (ou une surface équivalente).</w:t>
      </w:r>
    </w:p>
    <w:p w:rsidR="007360C7" w:rsidRPr="00BE3FD8" w:rsidRDefault="007360C7" w:rsidP="007360C7">
      <w:pPr>
        <w:pStyle w:val="SingleTxt"/>
        <w:ind w:left="2218" w:hanging="951"/>
        <w:rPr>
          <w:lang w:val="fr-CH"/>
        </w:rPr>
      </w:pPr>
      <w:r w:rsidRPr="00BE3FD8">
        <w:rPr>
          <w:lang w:val="fr-CH"/>
        </w:rPr>
        <w:tab/>
      </w:r>
      <w:r w:rsidRPr="00BE3FD8">
        <w:rPr>
          <w:lang w:val="fr-CH"/>
        </w:rPr>
        <w:tab/>
        <w:t>La présentation de l’étiquette peut différer de l’exemple ci-dessus, mais les éléments figurant sur celle-ci doivent être conformes aux prescriptions mentionnées plus haut.</w:t>
      </w:r>
    </w:p>
    <w:p w:rsidR="007360C7" w:rsidRPr="00BE3FD8" w:rsidRDefault="007360C7" w:rsidP="007360C7">
      <w:pPr>
        <w:pStyle w:val="SingleTxt"/>
        <w:ind w:left="2218" w:hanging="951"/>
        <w:rPr>
          <w:lang w:val="fr-CH"/>
        </w:rPr>
      </w:pPr>
      <w:r w:rsidRPr="00BE3FD8">
        <w:rPr>
          <w:lang w:val="fr-CH"/>
        </w:rPr>
        <w:t>6.2.2</w:t>
      </w:r>
      <w:r w:rsidRPr="00BE3FD8">
        <w:rPr>
          <w:lang w:val="fr-CH"/>
        </w:rPr>
        <w:tab/>
      </w:r>
      <w:r w:rsidRPr="00BE3FD8">
        <w:rPr>
          <w:lang w:val="fr-CH"/>
        </w:rPr>
        <w:tab/>
      </w:r>
      <w:r w:rsidRPr="00F0605B">
        <w:rPr>
          <w:spacing w:val="2"/>
          <w:lang w:val="fr-CH"/>
        </w:rPr>
        <w:t>Dans le cas d’un coussin gonflable frontal pour passager avant, l’étiquette de mise en garde doit être durablement fixée de chaque côté du pare-soleil du passager, de telle sorte qu’au moins une étiquette soit visible à tout moment, quelle que soit la position du pare-soleil. Il est aussi possible de placer une mise en garde sur la face visible du pare-soleil lorsqu’il est en position relevée et une autre mise en garde sur le ciel de toit derrière le pare-soleil, de sorte qu’au moins une des deux soit visible à tout moment. Il ne doit pas être possible de retirer facilement l’étiquette de mise en garde du pare-soleil et du ciel de toit sans endommager de façon manifeste et clairement visible le pare-soleil ou le ciel de toit dans l’habitacle du véhicule.</w:t>
      </w:r>
    </w:p>
    <w:p w:rsidR="007360C7" w:rsidRPr="00BE3FD8" w:rsidRDefault="007360C7" w:rsidP="007360C7">
      <w:pPr>
        <w:pStyle w:val="SingleTxt"/>
        <w:ind w:left="2218" w:hanging="951"/>
        <w:rPr>
          <w:lang w:val="fr-CH"/>
        </w:rPr>
      </w:pPr>
      <w:r w:rsidRPr="00BE3FD8">
        <w:rPr>
          <w:lang w:val="fr-CH"/>
        </w:rPr>
        <w:tab/>
      </w:r>
      <w:r w:rsidRPr="00BE3FD8">
        <w:rPr>
          <w:lang w:val="fr-CH"/>
        </w:rPr>
        <w:tab/>
        <w:t>Dans le cas d’un coussin gonflable frontal équipant d’autres sièges du véhicule, l’étiquette de mise en garde doit être placée directement devant le siège correspondant et pouvoir être vue clairement et à tout moment par une personne installant sur le siège en question un dispositif de retenue pour enfants orienté vers l’arrière. Les prescriptions du présent paragraphe et du paragraphe 6.2.1 ne s’appliquent pas aux places assises équipées d’un dispositif automatique de désactivation du coussin gonflable en cas d’installation d’un dispositif de retenue pour enfants orienté vers l’arrière.</w:t>
      </w:r>
    </w:p>
    <w:p w:rsidR="007360C7" w:rsidRPr="00BE3FD8" w:rsidRDefault="007360C7" w:rsidP="007360C7">
      <w:pPr>
        <w:pStyle w:val="SingleTxt"/>
        <w:ind w:left="2218" w:hanging="951"/>
        <w:rPr>
          <w:lang w:val="fr-CH"/>
        </w:rPr>
      </w:pPr>
      <w:r w:rsidRPr="00BE3FD8">
        <w:rPr>
          <w:lang w:val="fr-CH"/>
        </w:rPr>
        <w:t>6.2.3</w:t>
      </w:r>
      <w:r w:rsidRPr="00BE3FD8">
        <w:rPr>
          <w:lang w:val="fr-CH"/>
        </w:rPr>
        <w:tab/>
      </w:r>
      <w:r w:rsidRPr="00BE3FD8">
        <w:rPr>
          <w:lang w:val="fr-CH"/>
        </w:rPr>
        <w:tab/>
        <w:t>Des informations précises relatives à la mise en garde doivent être données dans le manuel d’utilisation du véhicule; au minimum le texte ci-après doit être présent dans toutes les langues officielles du ou des pays où le véhicule a une probabilité raisonnable d’être immatriculé (par exemple sur le territoire de l’Union européenne, au Japon, dans la Fédération de Russie ou en Nouvelle-Zélande) :</w:t>
      </w:r>
    </w:p>
    <w:p w:rsidR="007360C7" w:rsidRPr="00BE3FD8" w:rsidRDefault="007360C7" w:rsidP="007360C7">
      <w:pPr>
        <w:pStyle w:val="SingleTxt"/>
        <w:ind w:left="2693" w:hanging="1426"/>
        <w:rPr>
          <w:lang w:val="fr-CH"/>
        </w:rPr>
      </w:pPr>
      <w:r w:rsidRPr="00BE3FD8">
        <w:rPr>
          <w:lang w:val="fr-CH"/>
        </w:rPr>
        <w:tab/>
      </w:r>
      <w:r w:rsidRPr="00BE3FD8">
        <w:rPr>
          <w:lang w:val="fr-CH"/>
        </w:rPr>
        <w:tab/>
      </w:r>
      <w:r w:rsidRPr="00BE3FD8">
        <w:rPr>
          <w:lang w:val="fr-CH"/>
        </w:rPr>
        <w:tab/>
        <w:t xml:space="preserve">« ON NE DOIT JAMAIS installer un système de retenue pour enfants orienté vers l’arrière sur un siège équipé d’un COUSSIN GONFLABLE frontal ACTIVÉ. L’ENFANT PEUT </w:t>
      </w:r>
      <w:r w:rsidRPr="00AB462F">
        <w:rPr>
          <w:caps/>
          <w:lang w:val="fr-CH"/>
        </w:rPr>
        <w:t>ê</w:t>
      </w:r>
      <w:r w:rsidRPr="00BE3FD8">
        <w:rPr>
          <w:lang w:val="fr-CH"/>
        </w:rPr>
        <w:t>TRE TUÉ OU GRAVEMENT BLESS</w:t>
      </w:r>
      <w:r>
        <w:rPr>
          <w:lang w:val="fr-CH"/>
        </w:rPr>
        <w:t>É</w:t>
      </w:r>
      <w:r w:rsidRPr="00BE3FD8">
        <w:rPr>
          <w:lang w:val="fr-CH"/>
        </w:rPr>
        <w:t>. ».</w:t>
      </w:r>
    </w:p>
    <w:p w:rsidR="007360C7" w:rsidRPr="00BE3FD8" w:rsidRDefault="007360C7" w:rsidP="007360C7">
      <w:pPr>
        <w:pStyle w:val="SingleTxt"/>
        <w:ind w:left="2218" w:hanging="951"/>
        <w:rPr>
          <w:lang w:val="fr-CH"/>
        </w:rPr>
      </w:pPr>
      <w:r w:rsidRPr="00BE3FD8">
        <w:rPr>
          <w:lang w:val="fr-CH"/>
        </w:rPr>
        <w:tab/>
      </w:r>
      <w:r w:rsidRPr="00BE3FD8">
        <w:rPr>
          <w:lang w:val="fr-CH"/>
        </w:rPr>
        <w:tab/>
        <w:t>Le texte doit être accompagné d’une illustration de l’étiquette de mise en garde telle qu’elle se trouve dans le véhicule. Il doit être possible de trouver l’information facilement dans le manuel d’utilisation du véhicule (au moyen d’une mention claire sur la première page, d’un onglet marque-page, d’un livret séparé, etc.).</w:t>
      </w:r>
    </w:p>
    <w:p w:rsidR="007360C7" w:rsidRDefault="007360C7" w:rsidP="007360C7">
      <w:pPr>
        <w:pStyle w:val="SingleTxt"/>
        <w:ind w:left="2218" w:hanging="951"/>
        <w:rPr>
          <w:lang w:val="fr-CH"/>
        </w:rPr>
      </w:pPr>
      <w:r w:rsidRPr="00BE3FD8">
        <w:rPr>
          <w:lang w:val="fr-CH"/>
        </w:rPr>
        <w:tab/>
      </w:r>
      <w:r w:rsidRPr="00BE3FD8">
        <w:rPr>
          <w:lang w:val="fr-CH"/>
        </w:rPr>
        <w:tab/>
        <w:t>Les prescriptions du présent paragraphe ne s’appliquent pas aux véhicules dans lesquels toutes les places assises destinées aux passagers sont équipées d’un dispositif automatique de désactivation du coussin gonflable frontal en cas d’installation à cette place d’un dispositif de retenue pour enfants orienté vers l’arrière.</w:t>
      </w:r>
    </w:p>
    <w:p w:rsidR="007360C7" w:rsidRPr="00130CDB" w:rsidRDefault="007360C7" w:rsidP="007360C7">
      <w:pPr>
        <w:pStyle w:val="SingleTxt"/>
        <w:spacing w:after="0" w:line="120" w:lineRule="exact"/>
        <w:ind w:left="2218" w:hanging="951"/>
        <w:rPr>
          <w:sz w:val="10"/>
          <w:lang w:val="fr-CH"/>
        </w:rPr>
      </w:pPr>
    </w:p>
    <w:p w:rsidR="007360C7" w:rsidRPr="00130CDB" w:rsidRDefault="007360C7" w:rsidP="007360C7">
      <w:pPr>
        <w:pStyle w:val="SingleTxt"/>
        <w:spacing w:after="0" w:line="120" w:lineRule="exact"/>
        <w:ind w:left="2218" w:hanging="951"/>
        <w:rPr>
          <w:sz w:val="10"/>
          <w:lang w:val="fr-CH"/>
        </w:rPr>
      </w:pPr>
    </w:p>
    <w:p w:rsidR="007360C7" w:rsidRDefault="007360C7" w:rsidP="007360C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2218" w:right="1260" w:hanging="2218"/>
        <w:rPr>
          <w:lang w:val="fr-CH"/>
        </w:rPr>
      </w:pPr>
      <w:bookmarkStart w:id="32" w:name="_Toc381109764"/>
      <w:bookmarkStart w:id="33" w:name="_Toc413834079"/>
      <w:r>
        <w:rPr>
          <w:lang w:val="fr-CH"/>
        </w:rPr>
        <w:tab/>
      </w:r>
      <w:r>
        <w:rPr>
          <w:lang w:val="fr-CH"/>
        </w:rPr>
        <w:tab/>
      </w:r>
      <w:r w:rsidRPr="00130CDB">
        <w:rPr>
          <w:lang w:val="fr-CH"/>
        </w:rPr>
        <w:t>7.</w:t>
      </w:r>
      <w:r w:rsidRPr="00130CDB">
        <w:rPr>
          <w:lang w:val="fr-CH"/>
        </w:rPr>
        <w:tab/>
      </w:r>
      <w:r w:rsidRPr="00130CDB">
        <w:rPr>
          <w:lang w:val="fr-CH"/>
        </w:rPr>
        <w:tab/>
      </w:r>
      <w:bookmarkEnd w:id="32"/>
      <w:bookmarkEnd w:id="33"/>
      <w:r w:rsidRPr="00130CDB">
        <w:rPr>
          <w:lang w:val="fr-CH"/>
        </w:rPr>
        <w:t xml:space="preserve">Modification et extension de l’homologation </w:t>
      </w:r>
      <w:r>
        <w:rPr>
          <w:lang w:val="fr-CH"/>
        </w:rPr>
        <w:br/>
      </w:r>
      <w:r w:rsidRPr="00130CDB">
        <w:rPr>
          <w:lang w:val="fr-CH"/>
        </w:rPr>
        <w:t>du type de véhicule</w:t>
      </w:r>
    </w:p>
    <w:p w:rsidR="007360C7" w:rsidRPr="00130CDB" w:rsidRDefault="007360C7" w:rsidP="007360C7">
      <w:pPr>
        <w:pStyle w:val="SingleTxt"/>
        <w:spacing w:after="0" w:line="120" w:lineRule="exact"/>
        <w:rPr>
          <w:sz w:val="10"/>
          <w:lang w:val="fr-CH"/>
        </w:rPr>
      </w:pPr>
    </w:p>
    <w:p w:rsidR="007360C7" w:rsidRPr="00130CDB" w:rsidRDefault="007360C7" w:rsidP="007360C7">
      <w:pPr>
        <w:pStyle w:val="SingleTxt"/>
        <w:spacing w:after="0" w:line="120" w:lineRule="exact"/>
        <w:rPr>
          <w:sz w:val="10"/>
          <w:lang w:val="fr-CH"/>
        </w:rPr>
      </w:pPr>
    </w:p>
    <w:p w:rsidR="007360C7" w:rsidRPr="00130CDB" w:rsidRDefault="007360C7" w:rsidP="007360C7">
      <w:pPr>
        <w:pStyle w:val="SingleTxt"/>
        <w:ind w:left="2218" w:hanging="951"/>
        <w:rPr>
          <w:lang w:val="fr-CH"/>
        </w:rPr>
      </w:pPr>
      <w:r w:rsidRPr="00130CDB">
        <w:rPr>
          <w:lang w:val="fr-CH"/>
        </w:rPr>
        <w:t>7.1</w:t>
      </w:r>
      <w:r>
        <w:rPr>
          <w:lang w:val="fr-CH"/>
        </w:rPr>
        <w:tab/>
      </w:r>
      <w:r w:rsidRPr="00130CDB">
        <w:rPr>
          <w:lang w:val="fr-CH"/>
        </w:rPr>
        <w:tab/>
        <w:t xml:space="preserve">Toute modification touchant la </w:t>
      </w:r>
      <w:r>
        <w:rPr>
          <w:lang w:val="fr-CH"/>
        </w:rPr>
        <w:t xml:space="preserve">structure, le nombre de sièges </w:t>
      </w:r>
      <w:r w:rsidRPr="00130CDB">
        <w:rPr>
          <w:lang w:val="fr-CH"/>
        </w:rPr>
        <w:t xml:space="preserve">avant, les garnitures et aménagements intérieurs ou l’emplacement des commandes du véhicule ou de pièces mécaniques susceptibles d’influer sur la capacité </w:t>
      </w:r>
      <w:r w:rsidRPr="00130CDB">
        <w:rPr>
          <w:lang w:val="fr-CH"/>
        </w:rPr>
        <w:lastRenderedPageBreak/>
        <w:t>de dissipation d’énergie à l’avant du véhicule, doit être portée à la connaissance de l’autorité d’homologation de type qui a accordé l’homologation, qui peut alors</w:t>
      </w:r>
      <w:r>
        <w:rPr>
          <w:lang w:val="fr-CH"/>
        </w:rPr>
        <w:t> </w:t>
      </w:r>
      <w:r w:rsidRPr="00130CDB">
        <w:rPr>
          <w:lang w:val="fr-CH"/>
        </w:rPr>
        <w:t>:</w:t>
      </w:r>
    </w:p>
    <w:p w:rsidR="007360C7" w:rsidRPr="00130CDB" w:rsidRDefault="007360C7" w:rsidP="007360C7">
      <w:pPr>
        <w:pStyle w:val="SingleTxt"/>
        <w:ind w:left="2218" w:hanging="951"/>
        <w:rPr>
          <w:lang w:val="fr-CH"/>
        </w:rPr>
      </w:pPr>
      <w:r w:rsidRPr="00130CDB">
        <w:rPr>
          <w:lang w:val="fr-CH"/>
        </w:rPr>
        <w:t>7.1.1</w:t>
      </w:r>
      <w:r w:rsidRPr="00130CDB">
        <w:rPr>
          <w:lang w:val="fr-CH"/>
        </w:rPr>
        <w:tab/>
      </w:r>
      <w:r>
        <w:rPr>
          <w:lang w:val="fr-CH"/>
        </w:rPr>
        <w:tab/>
      </w:r>
      <w:r w:rsidRPr="00130CDB">
        <w:rPr>
          <w:lang w:val="fr-CH"/>
        </w:rPr>
        <w:t>Soit considérer que les modifications apportées ne risquent pas d’avoir des conséquences fâcheuses notables et qu’en tout état de cause, le véhicule satisfait encore aux prescriptions;</w:t>
      </w:r>
    </w:p>
    <w:p w:rsidR="007360C7" w:rsidRPr="00130CDB" w:rsidRDefault="007360C7" w:rsidP="007360C7">
      <w:pPr>
        <w:pStyle w:val="SingleTxt"/>
        <w:ind w:left="2218" w:hanging="951"/>
        <w:rPr>
          <w:lang w:val="fr-CH"/>
        </w:rPr>
      </w:pPr>
      <w:r w:rsidRPr="00130CDB">
        <w:rPr>
          <w:lang w:val="fr-CH"/>
        </w:rPr>
        <w:t>7.1.2</w:t>
      </w:r>
      <w:r>
        <w:rPr>
          <w:lang w:val="fr-CH"/>
        </w:rPr>
        <w:tab/>
      </w:r>
      <w:r w:rsidRPr="00130CDB">
        <w:rPr>
          <w:lang w:val="fr-CH"/>
        </w:rPr>
        <w:tab/>
        <w:t>Soit demander au service technique chargé des essais de procéder à un essai supplémentaire parmi ceux décrits ci-après, en fonction de la nature des modifications. Le présent Règlement ayant principalement pour objet d’évaluer le système de retenue du véhicule, des essais simplifiés supplémentaires peuvent être réalisés en suivant d’autres procédures d’essai telles que celles décrites à l’annexe 7.</w:t>
      </w:r>
    </w:p>
    <w:p w:rsidR="007360C7" w:rsidRPr="00130CDB" w:rsidRDefault="007360C7" w:rsidP="007360C7">
      <w:pPr>
        <w:pStyle w:val="SingleTxt"/>
        <w:ind w:left="2218" w:hanging="951"/>
        <w:rPr>
          <w:lang w:val="fr-CH"/>
        </w:rPr>
      </w:pPr>
      <w:r w:rsidRPr="00130CDB">
        <w:rPr>
          <w:lang w:val="fr-CH"/>
        </w:rPr>
        <w:t>7.1.2.1</w:t>
      </w:r>
      <w:r w:rsidRPr="00130CDB">
        <w:rPr>
          <w:lang w:val="fr-CH"/>
        </w:rPr>
        <w:tab/>
        <w:t>Pour toute modification du véhicule touchant la forme générale de sa structure et/ou tout accroissement de la masse supérieur à 8 % qui, de l’avis de l’autorité compétente, aurait une incidence marquée sur les résultats des essais, l’essai décrit à l’annexe 3 doit être refait;</w:t>
      </w:r>
    </w:p>
    <w:p w:rsidR="007360C7" w:rsidRPr="00130CDB" w:rsidRDefault="007360C7" w:rsidP="007360C7">
      <w:pPr>
        <w:pStyle w:val="SingleTxt"/>
        <w:ind w:left="2218" w:hanging="951"/>
        <w:rPr>
          <w:lang w:val="fr-CH"/>
        </w:rPr>
      </w:pPr>
      <w:r w:rsidRPr="00130CDB">
        <w:rPr>
          <w:lang w:val="fr-CH"/>
        </w:rPr>
        <w:t>7.1.2.2</w:t>
      </w:r>
      <w:r w:rsidRPr="00130CDB">
        <w:rPr>
          <w:lang w:val="fr-CH"/>
        </w:rPr>
        <w:tab/>
        <w:t>Si les modifications ne concernent que les aménagements intérieurs, s’il n’y a pas une différence de masse supérieure à 8 % et si le nombre initial de sièges avant du véhicule reste le même, on procède à</w:t>
      </w:r>
      <w:r>
        <w:rPr>
          <w:lang w:val="fr-CH"/>
        </w:rPr>
        <w:t> </w:t>
      </w:r>
      <w:r w:rsidRPr="00130CDB">
        <w:rPr>
          <w:lang w:val="fr-CH"/>
        </w:rPr>
        <w:t>:</w:t>
      </w:r>
    </w:p>
    <w:p w:rsidR="007360C7" w:rsidRPr="00130CDB" w:rsidRDefault="007360C7" w:rsidP="007360C7">
      <w:pPr>
        <w:pStyle w:val="SingleTxt"/>
        <w:ind w:left="2218" w:hanging="951"/>
        <w:rPr>
          <w:lang w:val="fr-CH"/>
        </w:rPr>
      </w:pPr>
      <w:r w:rsidRPr="00130CDB">
        <w:rPr>
          <w:lang w:val="fr-CH"/>
        </w:rPr>
        <w:t>7.1.2.2.1</w:t>
      </w:r>
      <w:r w:rsidRPr="00130CDB">
        <w:rPr>
          <w:lang w:val="fr-CH"/>
        </w:rPr>
        <w:tab/>
        <w:t>Un essai simplifié prévu à l’annexe 7 et/ou à,</w:t>
      </w:r>
    </w:p>
    <w:p w:rsidR="007360C7" w:rsidRPr="00130CDB" w:rsidRDefault="007360C7" w:rsidP="007360C7">
      <w:pPr>
        <w:pStyle w:val="SingleTxt"/>
        <w:ind w:left="2218" w:hanging="951"/>
        <w:rPr>
          <w:lang w:val="fr-CH"/>
        </w:rPr>
      </w:pPr>
      <w:r w:rsidRPr="00130CDB">
        <w:rPr>
          <w:lang w:val="fr-CH"/>
        </w:rPr>
        <w:t>7.1.2.2.2</w:t>
      </w:r>
      <w:r w:rsidRPr="00130CDB">
        <w:rPr>
          <w:lang w:val="fr-CH"/>
        </w:rPr>
        <w:tab/>
        <w:t>Un essai partiel défini par le service technique en fonction des modifications apportées.</w:t>
      </w:r>
    </w:p>
    <w:p w:rsidR="007360C7" w:rsidRPr="00130CDB" w:rsidRDefault="007360C7" w:rsidP="007360C7">
      <w:pPr>
        <w:pStyle w:val="SingleTxt"/>
        <w:ind w:left="2218" w:hanging="951"/>
        <w:rPr>
          <w:lang w:val="fr-CH"/>
        </w:rPr>
      </w:pPr>
      <w:r w:rsidRPr="00130CDB">
        <w:rPr>
          <w:lang w:val="fr-CH"/>
        </w:rPr>
        <w:t>7.2</w:t>
      </w:r>
      <w:r w:rsidRPr="00130CDB">
        <w:rPr>
          <w:lang w:val="fr-CH"/>
        </w:rPr>
        <w:tab/>
      </w:r>
      <w:r>
        <w:rPr>
          <w:lang w:val="fr-CH"/>
        </w:rPr>
        <w:tab/>
      </w:r>
      <w:r w:rsidRPr="00130CDB">
        <w:rPr>
          <w:lang w:val="fr-CH"/>
        </w:rPr>
        <w:t>La confirmation ou le refus d’homologation, accompagné des modifications apportées, est notifié aux Parties à l’Accord appliquant le présent Règlement selon la procédure indiquée au paragraphe 4.3 ci-dessus.</w:t>
      </w:r>
    </w:p>
    <w:p w:rsidR="007360C7" w:rsidRDefault="007360C7" w:rsidP="007360C7">
      <w:pPr>
        <w:pStyle w:val="SingleTxt"/>
        <w:ind w:left="2218" w:hanging="951"/>
        <w:rPr>
          <w:lang w:val="fr-CH"/>
        </w:rPr>
      </w:pPr>
      <w:r w:rsidRPr="00130CDB">
        <w:rPr>
          <w:lang w:val="fr-CH"/>
        </w:rPr>
        <w:t>7.3</w:t>
      </w:r>
      <w:r w:rsidRPr="00130CDB">
        <w:rPr>
          <w:lang w:val="fr-CH"/>
        </w:rPr>
        <w:tab/>
      </w:r>
      <w:r>
        <w:rPr>
          <w:lang w:val="fr-CH"/>
        </w:rPr>
        <w:tab/>
      </w:r>
      <w:r w:rsidRPr="00130CDB">
        <w:rPr>
          <w:lang w:val="fr-CH"/>
        </w:rPr>
        <w:t>L’autorité d’homologation de type délivrant l’extension d’homologation attribue un numéro de série à ladite extension et le communique aux autres Parties à l’Accord de 1958 appliquant le présent Règlement, au moyen d’une fiche de communication conforme au modèle de l’annexe 1 dudit présent Règlement.</w:t>
      </w:r>
    </w:p>
    <w:p w:rsidR="007360C7" w:rsidRPr="00130CDB" w:rsidRDefault="007360C7" w:rsidP="007360C7">
      <w:pPr>
        <w:pStyle w:val="SingleTxt"/>
        <w:spacing w:after="0" w:line="120" w:lineRule="exact"/>
        <w:ind w:left="2218" w:hanging="951"/>
        <w:rPr>
          <w:sz w:val="10"/>
          <w:lang w:val="fr-CH"/>
        </w:rPr>
      </w:pPr>
    </w:p>
    <w:p w:rsidR="007360C7" w:rsidRPr="00130CDB" w:rsidRDefault="007360C7" w:rsidP="007360C7">
      <w:pPr>
        <w:pStyle w:val="SingleTxt"/>
        <w:spacing w:after="0" w:line="120" w:lineRule="exact"/>
        <w:ind w:left="2218" w:hanging="951"/>
        <w:rPr>
          <w:sz w:val="10"/>
          <w:lang w:val="fr-CH"/>
        </w:rPr>
      </w:pPr>
    </w:p>
    <w:p w:rsidR="007360C7" w:rsidRDefault="007360C7" w:rsidP="007360C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34" w:name="_Toc381109765"/>
      <w:bookmarkStart w:id="35" w:name="_Toc413834080"/>
      <w:r>
        <w:rPr>
          <w:lang w:val="fr-CH"/>
        </w:rPr>
        <w:tab/>
      </w:r>
      <w:r>
        <w:rPr>
          <w:lang w:val="fr-CH"/>
        </w:rPr>
        <w:tab/>
      </w:r>
      <w:r w:rsidRPr="00130CDB">
        <w:rPr>
          <w:lang w:val="fr-CH"/>
        </w:rPr>
        <w:t>8.</w:t>
      </w:r>
      <w:r w:rsidRPr="00130CDB">
        <w:rPr>
          <w:lang w:val="fr-CH"/>
        </w:rPr>
        <w:tab/>
      </w:r>
      <w:r w:rsidRPr="00130CDB">
        <w:rPr>
          <w:lang w:val="fr-CH"/>
        </w:rPr>
        <w:tab/>
        <w:t>Conformité de la production</w:t>
      </w:r>
      <w:bookmarkEnd w:id="34"/>
      <w:bookmarkEnd w:id="35"/>
    </w:p>
    <w:p w:rsidR="007360C7" w:rsidRPr="00130CDB" w:rsidRDefault="007360C7" w:rsidP="007360C7">
      <w:pPr>
        <w:pStyle w:val="SingleTxt"/>
        <w:spacing w:after="0" w:line="120" w:lineRule="exact"/>
        <w:rPr>
          <w:sz w:val="10"/>
          <w:lang w:val="fr-CH"/>
        </w:rPr>
      </w:pPr>
    </w:p>
    <w:p w:rsidR="007360C7" w:rsidRPr="00130CDB" w:rsidRDefault="007360C7" w:rsidP="007360C7">
      <w:pPr>
        <w:pStyle w:val="SingleTxt"/>
        <w:spacing w:after="0" w:line="120" w:lineRule="exact"/>
        <w:rPr>
          <w:sz w:val="10"/>
          <w:lang w:val="fr-CH"/>
        </w:rPr>
      </w:pPr>
    </w:p>
    <w:p w:rsidR="007360C7" w:rsidRPr="00130CDB" w:rsidRDefault="007360C7" w:rsidP="007360C7">
      <w:pPr>
        <w:pStyle w:val="SingleTxt"/>
        <w:ind w:left="2218" w:hanging="951"/>
        <w:rPr>
          <w:lang w:val="fr-CH"/>
        </w:rPr>
      </w:pPr>
      <w:r>
        <w:rPr>
          <w:lang w:val="fr-CH"/>
        </w:rPr>
        <w:tab/>
      </w:r>
      <w:r w:rsidRPr="00130CDB">
        <w:rPr>
          <w:lang w:val="fr-CH"/>
        </w:rPr>
        <w:tab/>
      </w:r>
      <w:r w:rsidRPr="00130CDB">
        <w:rPr>
          <w:lang w:val="fr-CH"/>
        </w:rPr>
        <w:fldChar w:fldCharType="begin"/>
      </w:r>
      <w:r w:rsidRPr="00130CDB">
        <w:rPr>
          <w:lang w:val="fr-CH"/>
        </w:rPr>
        <w:instrText xml:space="preserve"> SEQ CHAPTER \h \r 1</w:instrText>
      </w:r>
      <w:r w:rsidRPr="00130CDB">
        <w:rPr>
          <w:lang w:val="fr-CH"/>
        </w:rPr>
        <w:fldChar w:fldCharType="end"/>
      </w:r>
      <w:r w:rsidRPr="00130CDB">
        <w:rPr>
          <w:lang w:val="fr-CH"/>
        </w:rPr>
        <w:t>Les modalités de contrôle de la conformité de la production sont celles définies à l’appendice</w:t>
      </w:r>
      <w:r>
        <w:rPr>
          <w:lang w:val="fr-CH"/>
        </w:rPr>
        <w:t xml:space="preserve"> </w:t>
      </w:r>
      <w:r w:rsidRPr="00130CDB">
        <w:rPr>
          <w:lang w:val="fr-CH"/>
        </w:rPr>
        <w:t>2 de l’Accord (E/ECE/324-E/ECE/TRANS/505/</w:t>
      </w:r>
      <w:r>
        <w:rPr>
          <w:lang w:val="fr-CH"/>
        </w:rPr>
        <w:br/>
      </w:r>
      <w:r w:rsidRPr="00130CDB">
        <w:rPr>
          <w:lang w:val="fr-CH"/>
        </w:rPr>
        <w:t>Rev.2), les prescriptions étant les suivantes</w:t>
      </w:r>
      <w:r>
        <w:rPr>
          <w:lang w:val="fr-CH"/>
        </w:rPr>
        <w:t> </w:t>
      </w:r>
      <w:r w:rsidRPr="00130CDB">
        <w:rPr>
          <w:lang w:val="fr-CH"/>
        </w:rPr>
        <w:t>:</w:t>
      </w:r>
    </w:p>
    <w:p w:rsidR="007360C7" w:rsidRPr="00130CDB" w:rsidRDefault="007360C7" w:rsidP="007360C7">
      <w:pPr>
        <w:pStyle w:val="SingleTxt"/>
        <w:ind w:left="2218" w:hanging="951"/>
        <w:rPr>
          <w:lang w:val="fr-CH"/>
        </w:rPr>
      </w:pPr>
      <w:r w:rsidRPr="00130CDB">
        <w:rPr>
          <w:lang w:val="fr-CH"/>
        </w:rPr>
        <w:t>8.1</w:t>
      </w:r>
      <w:r>
        <w:rPr>
          <w:lang w:val="fr-CH"/>
        </w:rPr>
        <w:tab/>
      </w:r>
      <w:r w:rsidRPr="00130CDB">
        <w:rPr>
          <w:lang w:val="fr-CH"/>
        </w:rPr>
        <w:tab/>
        <w:t>Tout véhicule homologué en application du présent Règlement doit être conforme au type de véhicule homologué pour ce qui est des éléments contribuant à la protection des occupants du véhicule en cas de collision frontale.</w:t>
      </w:r>
    </w:p>
    <w:p w:rsidR="007360C7" w:rsidRPr="00130CDB" w:rsidRDefault="007360C7" w:rsidP="007360C7">
      <w:pPr>
        <w:pStyle w:val="SingleTxt"/>
        <w:ind w:left="2218" w:hanging="951"/>
        <w:rPr>
          <w:lang w:val="fr-CH"/>
        </w:rPr>
      </w:pPr>
      <w:r w:rsidRPr="00130CDB">
        <w:rPr>
          <w:lang w:val="fr-CH"/>
        </w:rPr>
        <w:fldChar w:fldCharType="begin"/>
      </w:r>
      <w:r w:rsidRPr="00130CDB">
        <w:rPr>
          <w:lang w:val="fr-CH"/>
        </w:rPr>
        <w:instrText xml:space="preserve"> SEQ CHAPTER \h \r 1</w:instrText>
      </w:r>
      <w:r w:rsidRPr="00130CDB">
        <w:rPr>
          <w:lang w:val="fr-CH"/>
        </w:rPr>
        <w:fldChar w:fldCharType="end"/>
      </w:r>
      <w:r w:rsidRPr="00130CDB">
        <w:rPr>
          <w:lang w:val="fr-CH"/>
        </w:rPr>
        <w:t>8.2</w:t>
      </w:r>
      <w:r w:rsidRPr="00130CDB">
        <w:rPr>
          <w:lang w:val="fr-CH"/>
        </w:rPr>
        <w:tab/>
      </w:r>
      <w:r>
        <w:rPr>
          <w:lang w:val="fr-CH"/>
        </w:rPr>
        <w:tab/>
      </w:r>
      <w:r w:rsidRPr="00130CDB">
        <w:rPr>
          <w:lang w:val="fr-CH"/>
        </w:rPr>
        <w:t>Le titulaire de l’homologation doit faire en sorte que pour chaque type de véhicule l’on effectue au moins les essais relatifs au mesurage.</w:t>
      </w:r>
    </w:p>
    <w:p w:rsidR="007360C7" w:rsidRDefault="007360C7" w:rsidP="007360C7">
      <w:pPr>
        <w:pStyle w:val="SingleTxt"/>
        <w:ind w:left="2218" w:hanging="951"/>
        <w:rPr>
          <w:lang w:val="fr-CH"/>
        </w:rPr>
      </w:pPr>
      <w:r w:rsidRPr="00130CDB">
        <w:rPr>
          <w:lang w:val="fr-CH"/>
        </w:rPr>
        <w:fldChar w:fldCharType="begin"/>
      </w:r>
      <w:r w:rsidRPr="00130CDB">
        <w:rPr>
          <w:lang w:val="fr-CH"/>
        </w:rPr>
        <w:instrText xml:space="preserve"> SEQ CHAPTER \h \r 1</w:instrText>
      </w:r>
      <w:r w:rsidRPr="00130CDB">
        <w:rPr>
          <w:lang w:val="fr-CH"/>
        </w:rPr>
        <w:fldChar w:fldCharType="end"/>
      </w:r>
      <w:r w:rsidRPr="00130CDB">
        <w:rPr>
          <w:lang w:val="fr-CH"/>
        </w:rPr>
        <w:t>8.3</w:t>
      </w:r>
      <w:r w:rsidRPr="00130CDB">
        <w:rPr>
          <w:lang w:val="fr-CH"/>
        </w:rPr>
        <w:tab/>
      </w:r>
      <w:r>
        <w:rPr>
          <w:lang w:val="fr-CH"/>
        </w:rPr>
        <w:tab/>
      </w:r>
      <w:r w:rsidRPr="00130CDB">
        <w:rPr>
          <w:lang w:val="fr-CH"/>
        </w:rPr>
        <w:t>L’autorité d’homologation de type qui a accordé l’homologation peut à tout moment vérifier les méthodes de contrôle de la conformité utilisées dans chaque unité de production. La fréquence normale de ces vérifications doit être d’une tous les deux ans.</w:t>
      </w:r>
    </w:p>
    <w:p w:rsidR="007360C7" w:rsidRPr="00130CDB" w:rsidRDefault="007360C7" w:rsidP="007360C7">
      <w:pPr>
        <w:pStyle w:val="SingleTxt"/>
        <w:spacing w:after="0" w:line="120" w:lineRule="exact"/>
        <w:ind w:left="2218" w:hanging="951"/>
        <w:rPr>
          <w:sz w:val="10"/>
          <w:lang w:val="fr-CH"/>
        </w:rPr>
      </w:pPr>
    </w:p>
    <w:p w:rsidR="007360C7" w:rsidRPr="00130CDB" w:rsidRDefault="007360C7" w:rsidP="007360C7">
      <w:pPr>
        <w:pStyle w:val="SingleTxt"/>
        <w:spacing w:after="0" w:line="120" w:lineRule="exact"/>
        <w:ind w:left="2218" w:hanging="951"/>
        <w:rPr>
          <w:sz w:val="10"/>
          <w:lang w:val="fr-CH"/>
        </w:rPr>
      </w:pPr>
    </w:p>
    <w:p w:rsidR="007360C7" w:rsidRDefault="007360C7" w:rsidP="007360C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36" w:name="_Toc381109766"/>
      <w:bookmarkStart w:id="37" w:name="_Toc413834081"/>
      <w:r>
        <w:rPr>
          <w:lang w:val="fr-CH"/>
        </w:rPr>
        <w:lastRenderedPageBreak/>
        <w:tab/>
      </w:r>
      <w:r>
        <w:rPr>
          <w:lang w:val="fr-CH"/>
        </w:rPr>
        <w:tab/>
      </w:r>
      <w:r w:rsidRPr="00130CDB">
        <w:rPr>
          <w:lang w:val="fr-CH"/>
        </w:rPr>
        <w:t>9.</w:t>
      </w:r>
      <w:r w:rsidRPr="00130CDB">
        <w:rPr>
          <w:lang w:val="fr-CH"/>
        </w:rPr>
        <w:tab/>
      </w:r>
      <w:r w:rsidRPr="00130CDB">
        <w:rPr>
          <w:lang w:val="fr-CH"/>
        </w:rPr>
        <w:tab/>
      </w:r>
      <w:bookmarkEnd w:id="36"/>
      <w:bookmarkEnd w:id="37"/>
      <w:r w:rsidRPr="00130CDB">
        <w:rPr>
          <w:lang w:val="fr-CH"/>
        </w:rPr>
        <w:t>Sanctions pour non-conformité de la production</w:t>
      </w:r>
    </w:p>
    <w:p w:rsidR="007360C7" w:rsidRPr="00130CDB" w:rsidRDefault="007360C7" w:rsidP="007360C7">
      <w:pPr>
        <w:pStyle w:val="SingleTxt"/>
        <w:spacing w:after="0" w:line="120" w:lineRule="exact"/>
        <w:rPr>
          <w:sz w:val="10"/>
          <w:lang w:val="fr-CH"/>
        </w:rPr>
      </w:pPr>
    </w:p>
    <w:p w:rsidR="007360C7" w:rsidRPr="00130CDB" w:rsidRDefault="007360C7" w:rsidP="007360C7">
      <w:pPr>
        <w:pStyle w:val="SingleTxt"/>
        <w:spacing w:after="0" w:line="120" w:lineRule="exact"/>
        <w:rPr>
          <w:sz w:val="10"/>
          <w:lang w:val="fr-CH"/>
        </w:rPr>
      </w:pPr>
    </w:p>
    <w:p w:rsidR="007360C7" w:rsidRPr="00130CDB" w:rsidRDefault="007360C7" w:rsidP="007360C7">
      <w:pPr>
        <w:pStyle w:val="SingleTxt"/>
        <w:ind w:left="2218" w:hanging="951"/>
        <w:rPr>
          <w:lang w:val="fr-CH"/>
        </w:rPr>
      </w:pPr>
      <w:r w:rsidRPr="00130CDB">
        <w:rPr>
          <w:lang w:val="fr-CH"/>
        </w:rPr>
        <w:t>9.1</w:t>
      </w:r>
      <w:r w:rsidRPr="00130CDB">
        <w:rPr>
          <w:lang w:val="fr-CH"/>
        </w:rPr>
        <w:tab/>
      </w:r>
      <w:r>
        <w:rPr>
          <w:lang w:val="fr-CH"/>
        </w:rPr>
        <w:tab/>
      </w:r>
      <w:r w:rsidRPr="00130CDB">
        <w:rPr>
          <w:lang w:val="fr-CH"/>
        </w:rPr>
        <w:t>L’homologation délivrée pour un type de véhicule conformément au présent Règlement peut être retirée si la prescription énoncée au paragraphe 7.1 ci</w:t>
      </w:r>
      <w:r>
        <w:rPr>
          <w:lang w:val="fr-CH"/>
        </w:rPr>
        <w:t>-</w:t>
      </w:r>
      <w:r w:rsidRPr="00130CDB">
        <w:rPr>
          <w:lang w:val="fr-CH"/>
        </w:rPr>
        <w:t>dessus n’est pas satisfaite ou si le ou les véhicules choisis n’ont pas subi avec succès les contrôles prescrits au paragraphe 7.2 ci-dessus.</w:t>
      </w:r>
    </w:p>
    <w:p w:rsidR="007360C7" w:rsidRDefault="007360C7" w:rsidP="007360C7">
      <w:pPr>
        <w:pStyle w:val="SingleTxt"/>
        <w:ind w:left="2218" w:hanging="951"/>
        <w:rPr>
          <w:lang w:val="fr-CH"/>
        </w:rPr>
      </w:pPr>
      <w:r w:rsidRPr="00130CDB">
        <w:rPr>
          <w:lang w:val="fr-CH"/>
        </w:rPr>
        <w:t>9.2</w:t>
      </w:r>
      <w:r w:rsidRPr="00130CDB">
        <w:rPr>
          <w:lang w:val="fr-CH"/>
        </w:rPr>
        <w:tab/>
      </w:r>
      <w:r>
        <w:rPr>
          <w:lang w:val="fr-CH"/>
        </w:rPr>
        <w:tab/>
      </w:r>
      <w:r w:rsidRPr="00130CDB">
        <w:rPr>
          <w:lang w:val="fr-CH"/>
        </w:rPr>
        <w:t>Si une Partie contractante à l’Accord appliquant le présent Règlement retire une homologation qu’elle a précédemment accordée, elle est tenue d’en aviser immédiatement les autres Parties contractantes appliquant ledit Règlement, au moyen d’une fiche de communication conforme au modèle de l’annexe</w:t>
      </w:r>
      <w:r>
        <w:rPr>
          <w:lang w:val="fr-CH"/>
        </w:rPr>
        <w:t> </w:t>
      </w:r>
      <w:r w:rsidRPr="00130CDB">
        <w:rPr>
          <w:lang w:val="fr-CH"/>
        </w:rPr>
        <w:t>1 du présent Règlement.</w:t>
      </w:r>
    </w:p>
    <w:p w:rsidR="007360C7" w:rsidRPr="00130CDB" w:rsidRDefault="007360C7" w:rsidP="007360C7">
      <w:pPr>
        <w:pStyle w:val="SingleTxt"/>
        <w:spacing w:after="0" w:line="120" w:lineRule="exact"/>
        <w:ind w:left="2218" w:hanging="951"/>
        <w:rPr>
          <w:sz w:val="10"/>
          <w:lang w:val="fr-CH"/>
        </w:rPr>
      </w:pPr>
    </w:p>
    <w:p w:rsidR="007360C7" w:rsidRPr="00130CDB" w:rsidRDefault="007360C7" w:rsidP="007360C7">
      <w:pPr>
        <w:pStyle w:val="SingleTxt"/>
        <w:spacing w:after="0" w:line="120" w:lineRule="exact"/>
        <w:ind w:left="2218" w:hanging="951"/>
        <w:rPr>
          <w:sz w:val="10"/>
          <w:lang w:val="fr-CH"/>
        </w:rPr>
      </w:pPr>
    </w:p>
    <w:p w:rsidR="007360C7" w:rsidRDefault="007360C7" w:rsidP="007360C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38" w:name="_Toc381109767"/>
      <w:bookmarkStart w:id="39" w:name="_Toc413834082"/>
      <w:r>
        <w:rPr>
          <w:lang w:val="fr-CH"/>
        </w:rPr>
        <w:tab/>
      </w:r>
      <w:r>
        <w:rPr>
          <w:lang w:val="fr-CH"/>
        </w:rPr>
        <w:tab/>
      </w:r>
      <w:r w:rsidRPr="00130CDB">
        <w:rPr>
          <w:lang w:val="fr-CH"/>
        </w:rPr>
        <w:t>10.</w:t>
      </w:r>
      <w:r w:rsidRPr="00130CDB">
        <w:rPr>
          <w:lang w:val="fr-CH"/>
        </w:rPr>
        <w:tab/>
      </w:r>
      <w:r w:rsidRPr="00130CDB">
        <w:rPr>
          <w:lang w:val="fr-CH"/>
        </w:rPr>
        <w:tab/>
      </w:r>
      <w:bookmarkEnd w:id="38"/>
      <w:bookmarkEnd w:id="39"/>
      <w:r w:rsidRPr="00130CDB">
        <w:rPr>
          <w:lang w:val="fr-CH"/>
        </w:rPr>
        <w:t>Arrêt définitif de la production</w:t>
      </w:r>
    </w:p>
    <w:p w:rsidR="007360C7" w:rsidRPr="00130CDB" w:rsidRDefault="007360C7" w:rsidP="007360C7">
      <w:pPr>
        <w:pStyle w:val="SingleTxt"/>
        <w:spacing w:after="0" w:line="120" w:lineRule="exact"/>
        <w:rPr>
          <w:sz w:val="10"/>
          <w:lang w:val="fr-CH"/>
        </w:rPr>
      </w:pPr>
    </w:p>
    <w:p w:rsidR="007360C7" w:rsidRPr="00130CDB" w:rsidRDefault="007360C7" w:rsidP="007360C7">
      <w:pPr>
        <w:pStyle w:val="SingleTxt"/>
        <w:spacing w:after="0" w:line="120" w:lineRule="exact"/>
        <w:rPr>
          <w:sz w:val="10"/>
          <w:lang w:val="fr-CH"/>
        </w:rPr>
      </w:pPr>
    </w:p>
    <w:p w:rsidR="007360C7" w:rsidRDefault="007360C7" w:rsidP="007360C7">
      <w:pPr>
        <w:pStyle w:val="SingleTxt"/>
        <w:ind w:left="2218" w:hanging="951"/>
        <w:rPr>
          <w:lang w:val="fr-CH"/>
        </w:rPr>
      </w:pPr>
      <w:r>
        <w:rPr>
          <w:lang w:val="fr-CH"/>
        </w:rPr>
        <w:tab/>
      </w:r>
      <w:r w:rsidRPr="00130CDB">
        <w:rPr>
          <w:lang w:val="fr-CH"/>
        </w:rPr>
        <w:tab/>
        <w:t>Si le titulaire d’une homologation arrête définitivement la production du type de véhicule homologué conformément au présent Règlement, il en informe l’autorité d’homologation de type qui a délivré l’homologation, laquelle, à son tour, en avise les autres Parties à l’Accord de 1958 appliquant ledit Règlement, au moyen d’une fiche de communication conforme au modèle de l’annexe 1 du présent Règlement.</w:t>
      </w:r>
    </w:p>
    <w:p w:rsidR="007360C7" w:rsidRPr="00130CDB" w:rsidRDefault="007360C7" w:rsidP="007360C7">
      <w:pPr>
        <w:pStyle w:val="SingleTxt"/>
        <w:spacing w:after="0" w:line="120" w:lineRule="exact"/>
        <w:ind w:left="2218" w:hanging="951"/>
        <w:rPr>
          <w:sz w:val="10"/>
          <w:lang w:val="fr-CH"/>
        </w:rPr>
      </w:pPr>
    </w:p>
    <w:p w:rsidR="007360C7" w:rsidRPr="00130CDB" w:rsidRDefault="007360C7" w:rsidP="007360C7">
      <w:pPr>
        <w:pStyle w:val="SingleTxt"/>
        <w:spacing w:after="0" w:line="120" w:lineRule="exact"/>
        <w:ind w:left="2218" w:hanging="951"/>
        <w:rPr>
          <w:sz w:val="10"/>
          <w:lang w:val="fr-CH"/>
        </w:rPr>
      </w:pPr>
    </w:p>
    <w:p w:rsidR="007360C7" w:rsidRPr="001E3BE9" w:rsidRDefault="007360C7" w:rsidP="007360C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40" w:name="_Toc355617314"/>
      <w:bookmarkStart w:id="41" w:name="_Toc381109768"/>
      <w:bookmarkStart w:id="42" w:name="_Toc413834083"/>
      <w:r>
        <w:rPr>
          <w:lang w:val="fr-CH"/>
        </w:rPr>
        <w:tab/>
      </w:r>
      <w:r>
        <w:rPr>
          <w:lang w:val="fr-CH"/>
        </w:rPr>
        <w:tab/>
      </w:r>
      <w:r w:rsidRPr="001E3BE9">
        <w:rPr>
          <w:lang w:val="fr-CH"/>
        </w:rPr>
        <w:t>11.</w:t>
      </w:r>
      <w:r w:rsidRPr="001E3BE9">
        <w:rPr>
          <w:lang w:val="fr-CH"/>
        </w:rPr>
        <w:tab/>
      </w:r>
      <w:r w:rsidRPr="001E3BE9">
        <w:rPr>
          <w:lang w:val="fr-CH"/>
        </w:rPr>
        <w:tab/>
      </w:r>
      <w:bookmarkEnd w:id="40"/>
      <w:bookmarkEnd w:id="41"/>
      <w:bookmarkEnd w:id="42"/>
      <w:r w:rsidRPr="001E3BE9">
        <w:rPr>
          <w:lang w:val="fr-CH"/>
        </w:rPr>
        <w:t>Dispositions transitoires</w:t>
      </w:r>
    </w:p>
    <w:p w:rsidR="007360C7" w:rsidRPr="001E3BE9" w:rsidRDefault="007360C7" w:rsidP="007360C7">
      <w:pPr>
        <w:pStyle w:val="SingleTxt"/>
        <w:spacing w:after="0" w:line="120" w:lineRule="exact"/>
        <w:rPr>
          <w:sz w:val="10"/>
          <w:lang w:val="fr-CH"/>
        </w:rPr>
      </w:pPr>
    </w:p>
    <w:p w:rsidR="007360C7" w:rsidRPr="001E3BE9" w:rsidRDefault="007360C7" w:rsidP="007360C7">
      <w:pPr>
        <w:pStyle w:val="SingleTxt"/>
        <w:spacing w:after="0" w:line="120" w:lineRule="exact"/>
        <w:rPr>
          <w:sz w:val="10"/>
          <w:lang w:val="fr-CH"/>
        </w:rPr>
      </w:pPr>
    </w:p>
    <w:p w:rsidR="007360C7" w:rsidRDefault="007360C7" w:rsidP="007360C7">
      <w:pPr>
        <w:pStyle w:val="SingleTxt"/>
        <w:ind w:left="2218" w:hanging="951"/>
        <w:rPr>
          <w:lang w:val="fr-CH"/>
        </w:rPr>
      </w:pPr>
      <w:r>
        <w:rPr>
          <w:lang w:val="fr-CH"/>
        </w:rPr>
        <w:tab/>
      </w:r>
      <w:r>
        <w:rPr>
          <w:lang w:val="fr-CH"/>
        </w:rPr>
        <w:tab/>
        <w:t>(</w:t>
      </w:r>
      <w:r w:rsidRPr="001E3BE9">
        <w:rPr>
          <w:i/>
          <w:lang w:val="fr-CH"/>
        </w:rPr>
        <w:t>Réservé</w:t>
      </w:r>
      <w:r>
        <w:rPr>
          <w:lang w:val="fr-CH"/>
        </w:rPr>
        <w:t>)</w:t>
      </w:r>
    </w:p>
    <w:p w:rsidR="007360C7" w:rsidRPr="001E3BE9" w:rsidRDefault="007360C7" w:rsidP="007360C7">
      <w:pPr>
        <w:pStyle w:val="SingleTxt"/>
        <w:spacing w:after="0" w:line="120" w:lineRule="exact"/>
        <w:ind w:left="2218" w:hanging="951"/>
        <w:rPr>
          <w:sz w:val="10"/>
          <w:lang w:val="fr-CH"/>
        </w:rPr>
      </w:pPr>
    </w:p>
    <w:p w:rsidR="007360C7" w:rsidRPr="001E3BE9" w:rsidRDefault="007360C7" w:rsidP="007360C7">
      <w:pPr>
        <w:pStyle w:val="SingleTxt"/>
        <w:spacing w:after="0" w:line="120" w:lineRule="exact"/>
        <w:ind w:left="2218" w:hanging="951"/>
        <w:rPr>
          <w:sz w:val="10"/>
          <w:lang w:val="fr-CH"/>
        </w:rPr>
      </w:pPr>
    </w:p>
    <w:p w:rsidR="007360C7" w:rsidRDefault="007360C7" w:rsidP="00CF77C6">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ind w:left="2218" w:hanging="2218"/>
        <w:rPr>
          <w:lang w:val="fr-CH"/>
        </w:rPr>
      </w:pPr>
      <w:bookmarkStart w:id="43" w:name="_Toc381109769"/>
      <w:bookmarkStart w:id="44" w:name="_Toc413834084"/>
      <w:r>
        <w:rPr>
          <w:lang w:val="fr-CH"/>
        </w:rPr>
        <w:tab/>
      </w:r>
      <w:r>
        <w:rPr>
          <w:lang w:val="fr-CH"/>
        </w:rPr>
        <w:tab/>
      </w:r>
      <w:r w:rsidRPr="001E3BE9">
        <w:rPr>
          <w:lang w:val="fr-CH"/>
        </w:rPr>
        <w:t>12.</w:t>
      </w:r>
      <w:r w:rsidRPr="001E3BE9">
        <w:rPr>
          <w:lang w:val="fr-CH"/>
        </w:rPr>
        <w:tab/>
      </w:r>
      <w:bookmarkEnd w:id="43"/>
      <w:bookmarkEnd w:id="44"/>
      <w:r w:rsidRPr="001E3BE9">
        <w:rPr>
          <w:lang w:val="fr-CH"/>
        </w:rPr>
        <w:t xml:space="preserve">Noms et adresses des services techniques chargés </w:t>
      </w:r>
      <w:r>
        <w:rPr>
          <w:lang w:val="fr-CH"/>
        </w:rPr>
        <w:br/>
      </w:r>
      <w:r w:rsidRPr="001E3BE9">
        <w:rPr>
          <w:lang w:val="fr-CH"/>
        </w:rPr>
        <w:t xml:space="preserve">des essais d’homologation et des autorités </w:t>
      </w:r>
      <w:r>
        <w:rPr>
          <w:lang w:val="fr-CH"/>
        </w:rPr>
        <w:br/>
      </w:r>
      <w:r w:rsidRPr="001E3BE9">
        <w:rPr>
          <w:lang w:val="fr-CH"/>
        </w:rPr>
        <w:t>d’homologation de type</w:t>
      </w:r>
    </w:p>
    <w:p w:rsidR="007360C7" w:rsidRPr="001E3BE9" w:rsidRDefault="007360C7" w:rsidP="007360C7">
      <w:pPr>
        <w:pStyle w:val="SingleTxt"/>
        <w:spacing w:after="0" w:line="120" w:lineRule="exact"/>
        <w:rPr>
          <w:sz w:val="10"/>
          <w:lang w:val="fr-CH"/>
        </w:rPr>
      </w:pPr>
    </w:p>
    <w:p w:rsidR="007360C7" w:rsidRPr="001E3BE9" w:rsidRDefault="007360C7" w:rsidP="007360C7">
      <w:pPr>
        <w:pStyle w:val="SingleTxt"/>
        <w:spacing w:after="0" w:line="120" w:lineRule="exact"/>
        <w:rPr>
          <w:sz w:val="10"/>
          <w:lang w:val="fr-CH"/>
        </w:rPr>
      </w:pPr>
    </w:p>
    <w:p w:rsidR="007360C7" w:rsidRDefault="007360C7" w:rsidP="00E93842">
      <w:pPr>
        <w:pStyle w:val="SingleTxt"/>
        <w:ind w:left="2218" w:hanging="951"/>
        <w:rPr>
          <w:lang w:val="fr-CH"/>
        </w:rPr>
      </w:pPr>
      <w:r>
        <w:rPr>
          <w:lang w:val="fr-CH"/>
        </w:rPr>
        <w:tab/>
      </w:r>
      <w:r>
        <w:rPr>
          <w:lang w:val="fr-CH"/>
        </w:rPr>
        <w:tab/>
      </w:r>
      <w:r w:rsidRPr="001E3BE9">
        <w:rPr>
          <w:lang w:val="fr-CH"/>
        </w:rPr>
        <w:t>Les Parties contractantes à l’Accord appliquant le présent Règlement communiquent au Secrétariat de l’Organisation des Nations Unies les noms et adresses des services techniques chargés des essais d’homologation, des constructeurs autorisés à effectuer des essais et des autorités d’homologation de type qui délivrent l’homologation et auxquels doivent être envoyées les fiches d’homologation ou de refus ou de retrait d’homologation émises dans d’autres pays.</w:t>
      </w:r>
    </w:p>
    <w:p w:rsidR="00B66265" w:rsidRDefault="00B66265" w:rsidP="00B66265">
      <w:pPr>
        <w:pStyle w:val="SingleTxt"/>
        <w:rPr>
          <w:lang w:val="fr-CH"/>
        </w:rPr>
        <w:sectPr w:rsidR="00B66265" w:rsidSect="00B66265">
          <w:footnotePr>
            <w:numRestart w:val="eachSect"/>
          </w:footnotePr>
          <w:type w:val="continuous"/>
          <w:pgSz w:w="11909" w:h="16834"/>
          <w:pgMar w:top="1742" w:right="936" w:bottom="1898" w:left="936" w:header="576" w:footer="1030" w:gutter="0"/>
          <w:cols w:space="720"/>
          <w:noEndnote/>
          <w:docGrid w:linePitch="360"/>
        </w:sectPr>
      </w:pPr>
    </w:p>
    <w:p w:rsidR="007360C7" w:rsidRDefault="007360C7" w:rsidP="007360C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45" w:name="_Toc381109770"/>
      <w:bookmarkStart w:id="46" w:name="_Toc413834085"/>
      <w:r w:rsidRPr="001849EA">
        <w:rPr>
          <w:lang w:val="fr-CH"/>
        </w:rPr>
        <w:lastRenderedPageBreak/>
        <w:t>Annexe 1</w:t>
      </w:r>
      <w:bookmarkEnd w:id="45"/>
      <w:bookmarkEnd w:id="46"/>
    </w:p>
    <w:p w:rsidR="007360C7" w:rsidRPr="001849EA" w:rsidRDefault="007360C7" w:rsidP="007360C7">
      <w:pPr>
        <w:pStyle w:val="SingleTxt"/>
        <w:spacing w:after="0" w:line="120" w:lineRule="exact"/>
        <w:rPr>
          <w:sz w:val="10"/>
          <w:lang w:val="fr-CH"/>
        </w:rPr>
      </w:pPr>
    </w:p>
    <w:p w:rsidR="007360C7" w:rsidRDefault="007360C7" w:rsidP="007360C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1849EA">
        <w:rPr>
          <w:lang w:val="fr-CH"/>
        </w:rPr>
        <w:tab/>
      </w:r>
      <w:r w:rsidRPr="001849EA">
        <w:rPr>
          <w:lang w:val="fr-CH"/>
        </w:rPr>
        <w:tab/>
        <w:t>Communication</w:t>
      </w:r>
    </w:p>
    <w:p w:rsidR="007360C7" w:rsidRPr="001849EA" w:rsidRDefault="007360C7" w:rsidP="007360C7">
      <w:pPr>
        <w:pStyle w:val="SingleTxt"/>
        <w:spacing w:after="0" w:line="120" w:lineRule="exact"/>
        <w:rPr>
          <w:sz w:val="10"/>
          <w:lang w:val="fr-CH"/>
        </w:rPr>
      </w:pPr>
    </w:p>
    <w:p w:rsidR="007360C7" w:rsidRPr="001849EA" w:rsidRDefault="007360C7" w:rsidP="007360C7">
      <w:pPr>
        <w:pStyle w:val="SingleTxt"/>
        <w:spacing w:after="0" w:line="120" w:lineRule="exact"/>
        <w:rPr>
          <w:sz w:val="10"/>
          <w:lang w:val="fr-CH"/>
        </w:rPr>
      </w:pPr>
    </w:p>
    <w:p w:rsidR="007360C7" w:rsidRDefault="007360C7" w:rsidP="007360C7">
      <w:pPr>
        <w:pStyle w:val="SingleTxt"/>
        <w:rPr>
          <w:lang w:val="fr-CH"/>
        </w:rPr>
      </w:pPr>
      <w:r>
        <w:rPr>
          <w:lang w:val="fr-CH"/>
        </w:rPr>
        <w:t>[</w:t>
      </w:r>
      <w:r w:rsidRPr="001849EA">
        <w:rPr>
          <w:lang w:val="fr-CH"/>
        </w:rPr>
        <w:t>format maximal</w:t>
      </w:r>
      <w:r>
        <w:rPr>
          <w:lang w:val="fr-CH"/>
        </w:rPr>
        <w:t> </w:t>
      </w:r>
      <w:r w:rsidRPr="001849EA">
        <w:rPr>
          <w:lang w:val="fr-CH"/>
        </w:rPr>
        <w:t xml:space="preserve">: A4 (210 </w:t>
      </w:r>
      <w:r>
        <w:rPr>
          <w:lang w:val="fr-CH"/>
        </w:rPr>
        <w:t>x 297 mm)]</w:t>
      </w:r>
    </w:p>
    <w:p w:rsidR="007360C7" w:rsidRPr="001849EA" w:rsidRDefault="007360C7" w:rsidP="007360C7">
      <w:pPr>
        <w:pStyle w:val="SingleTxt"/>
        <w:spacing w:after="0" w:line="120" w:lineRule="exact"/>
        <w:rPr>
          <w:sz w:val="10"/>
          <w:lang w:val="fr-CH"/>
        </w:rPr>
      </w:pPr>
    </w:p>
    <w:p w:rsidR="007360C7" w:rsidRDefault="007360C7" w:rsidP="007360C7">
      <w:pPr>
        <w:pStyle w:val="SingleTxt"/>
        <w:spacing w:after="0" w:line="120" w:lineRule="exact"/>
        <w:ind w:left="2218" w:hanging="951"/>
        <w:rPr>
          <w:sz w:val="10"/>
          <w:lang w:val="fr-CH"/>
        </w:rPr>
      </w:pPr>
    </w:p>
    <w:tbl>
      <w:tblPr>
        <w:tblStyle w:val="TableGrid"/>
        <w:tblW w:w="0" w:type="auto"/>
        <w:tblInd w:w="1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060"/>
        <w:gridCol w:w="4428"/>
      </w:tblGrid>
      <w:tr w:rsidR="00B66265" w:rsidRPr="00D96394" w:rsidTr="00B66265">
        <w:tc>
          <w:tcPr>
            <w:tcW w:w="3060" w:type="dxa"/>
          </w:tcPr>
          <w:bookmarkStart w:id="47" w:name="_MON_1420453756"/>
          <w:bookmarkEnd w:id="47"/>
          <w:bookmarkStart w:id="48" w:name="_MON_1420453160"/>
          <w:bookmarkEnd w:id="48"/>
          <w:p w:rsidR="00B66265" w:rsidRPr="00B66265" w:rsidRDefault="00B66265" w:rsidP="00CC7761">
            <w:pPr>
              <w:pStyle w:val="SingleTxtG"/>
              <w:spacing w:after="0"/>
              <w:ind w:left="0"/>
              <w:rPr>
                <w:color w:val="FFFFFF" w:themeColor="background1"/>
              </w:rPr>
            </w:pPr>
            <w:r w:rsidRPr="00D96394">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2pt;height:83.75pt" o:ole="">
                  <v:imagedata r:id="rId16" o:title=""/>
                </v:shape>
                <o:OLEObject Type="Embed" ProgID="Word.Picture.8" ShapeID="_x0000_i1025" DrawAspect="Content" ObjectID="_1509284035" r:id="rId17"/>
              </w:object>
            </w:r>
            <w:r w:rsidRPr="001F0D2C">
              <w:rPr>
                <w:rStyle w:val="FootnoteReference"/>
                <w:sz w:val="2"/>
                <w:szCs w:val="2"/>
              </w:rPr>
              <w:footnoteReference w:id="4"/>
            </w:r>
          </w:p>
        </w:tc>
        <w:tc>
          <w:tcPr>
            <w:tcW w:w="4428" w:type="dxa"/>
          </w:tcPr>
          <w:p w:rsidR="00B66265" w:rsidRPr="00D96394" w:rsidRDefault="00B66265" w:rsidP="00CC7761">
            <w:pPr>
              <w:ind w:left="1701" w:hanging="1701"/>
            </w:pPr>
            <w:r w:rsidRPr="00D96394">
              <w:t>Émanant de</w:t>
            </w:r>
            <w:r w:rsidR="008B4BCA">
              <w:t> </w:t>
            </w:r>
            <w:r w:rsidRPr="00D96394">
              <w:t>:</w:t>
            </w:r>
            <w:r w:rsidRPr="00D96394">
              <w:tab/>
              <w:t>Nom de l’administration</w:t>
            </w:r>
            <w:r>
              <w:t> </w:t>
            </w:r>
            <w:r w:rsidRPr="00D96394">
              <w:t>:</w:t>
            </w:r>
          </w:p>
          <w:p w:rsidR="00B66265" w:rsidRPr="00D96394" w:rsidRDefault="00B66265" w:rsidP="00B66265">
            <w:pPr>
              <w:pStyle w:val="SingleTxtG"/>
              <w:tabs>
                <w:tab w:val="right" w:leader="dot" w:pos="3915"/>
              </w:tabs>
              <w:spacing w:after="0"/>
              <w:ind w:left="1701" w:right="0"/>
            </w:pPr>
            <w:r w:rsidRPr="00D96394">
              <w:tab/>
            </w:r>
          </w:p>
          <w:p w:rsidR="00B66265" w:rsidRPr="00D96394" w:rsidRDefault="00B66265" w:rsidP="00B66265">
            <w:pPr>
              <w:pStyle w:val="SingleTxtG"/>
              <w:tabs>
                <w:tab w:val="right" w:leader="dot" w:pos="3915"/>
              </w:tabs>
              <w:spacing w:after="0"/>
              <w:ind w:left="1701" w:right="0"/>
            </w:pPr>
            <w:r w:rsidRPr="00D96394">
              <w:tab/>
            </w:r>
          </w:p>
          <w:p w:rsidR="00B66265" w:rsidRPr="00D96394" w:rsidRDefault="00B66265" w:rsidP="00B66265">
            <w:pPr>
              <w:pStyle w:val="SingleTxtG"/>
              <w:tabs>
                <w:tab w:val="right" w:leader="dot" w:pos="3915"/>
              </w:tabs>
              <w:spacing w:after="0"/>
              <w:ind w:left="1701" w:right="0"/>
            </w:pPr>
            <w:r w:rsidRPr="00D96394">
              <w:tab/>
            </w:r>
          </w:p>
        </w:tc>
      </w:tr>
    </w:tbl>
    <w:p w:rsidR="00B66265" w:rsidRDefault="00B66265" w:rsidP="007360C7">
      <w:pPr>
        <w:pStyle w:val="SingleTxt"/>
        <w:spacing w:after="0" w:line="120" w:lineRule="exact"/>
        <w:ind w:left="2218" w:hanging="951"/>
        <w:rPr>
          <w:sz w:val="10"/>
          <w:lang w:val="fr-CH"/>
        </w:rPr>
      </w:pPr>
    </w:p>
    <w:p w:rsidR="00B66265" w:rsidRPr="001849EA" w:rsidRDefault="00B66265" w:rsidP="007360C7">
      <w:pPr>
        <w:pStyle w:val="SingleTxt"/>
        <w:spacing w:after="0" w:line="120" w:lineRule="exact"/>
        <w:ind w:left="2218" w:hanging="951"/>
        <w:rPr>
          <w:sz w:val="10"/>
          <w:lang w:val="fr-CH"/>
        </w:rPr>
      </w:pPr>
    </w:p>
    <w:p w:rsidR="007360C7" w:rsidRPr="001849EA" w:rsidRDefault="007360C7" w:rsidP="007360C7">
      <w:pPr>
        <w:pStyle w:val="SingleTxt"/>
        <w:ind w:left="2693" w:hanging="1426"/>
        <w:jc w:val="left"/>
        <w:rPr>
          <w:lang w:val="fr-CH"/>
        </w:rPr>
      </w:pPr>
      <w:r w:rsidRPr="001849EA">
        <w:rPr>
          <w:lang w:val="fr-CH"/>
        </w:rPr>
        <w:t>concernant</w:t>
      </w:r>
      <w:r w:rsidRPr="001F0D2C">
        <w:rPr>
          <w:vertAlign w:val="superscript"/>
          <w:lang w:val="fr-CH"/>
        </w:rPr>
        <w:footnoteReference w:id="5"/>
      </w:r>
      <w:r>
        <w:rPr>
          <w:lang w:val="fr-CH"/>
        </w:rPr>
        <w:t> </w:t>
      </w:r>
      <w:r w:rsidRPr="001849EA">
        <w:rPr>
          <w:lang w:val="fr-CH"/>
        </w:rPr>
        <w:t>:</w:t>
      </w:r>
      <w:r w:rsidRPr="001849EA">
        <w:rPr>
          <w:lang w:val="fr-CH"/>
        </w:rPr>
        <w:tab/>
        <w:t>Délivrance d’une homologation</w:t>
      </w:r>
      <w:r>
        <w:rPr>
          <w:lang w:val="fr-CH"/>
        </w:rPr>
        <w:t xml:space="preserve"> </w:t>
      </w:r>
      <w:r w:rsidRPr="001849EA">
        <w:rPr>
          <w:lang w:val="fr-CH"/>
        </w:rPr>
        <w:br/>
        <w:t>Extension d’homologation</w:t>
      </w:r>
      <w:r>
        <w:rPr>
          <w:lang w:val="fr-CH"/>
        </w:rPr>
        <w:t xml:space="preserve"> </w:t>
      </w:r>
      <w:r w:rsidRPr="001849EA">
        <w:rPr>
          <w:lang w:val="fr-CH"/>
        </w:rPr>
        <w:br/>
        <w:t>Refus d’homologation</w:t>
      </w:r>
      <w:r>
        <w:rPr>
          <w:lang w:val="fr-CH"/>
        </w:rPr>
        <w:t xml:space="preserve"> </w:t>
      </w:r>
      <w:r w:rsidRPr="001849EA">
        <w:rPr>
          <w:lang w:val="fr-CH"/>
        </w:rPr>
        <w:br/>
        <w:t>Retrait d’homologation</w:t>
      </w:r>
      <w:r>
        <w:rPr>
          <w:lang w:val="fr-CH"/>
        </w:rPr>
        <w:t xml:space="preserve"> </w:t>
      </w:r>
      <w:r w:rsidRPr="001849EA">
        <w:rPr>
          <w:lang w:val="fr-CH"/>
        </w:rPr>
        <w:br/>
        <w:t>Arrêt définitif de la production</w:t>
      </w:r>
    </w:p>
    <w:p w:rsidR="007360C7" w:rsidRPr="001849EA" w:rsidRDefault="0083790B" w:rsidP="0083790B">
      <w:pPr>
        <w:pStyle w:val="SingleTxt"/>
        <w:ind w:left="1742" w:hanging="475"/>
        <w:rPr>
          <w:lang w:val="fr-CH"/>
        </w:rPr>
      </w:pPr>
      <w:r>
        <w:rPr>
          <w:lang w:val="fr-CH"/>
        </w:rPr>
        <w:tab/>
      </w:r>
      <w:r w:rsidR="007360C7" w:rsidRPr="001849EA">
        <w:rPr>
          <w:lang w:val="fr-CH"/>
        </w:rPr>
        <w:t>d’un type de véhicule en ce qui concerne l’installation de dispositifs d’éclairage et de signalisation lumineuse, en application du Règlement n</w:t>
      </w:r>
      <w:r w:rsidR="007360C7" w:rsidRPr="001849EA">
        <w:rPr>
          <w:vertAlign w:val="superscript"/>
          <w:lang w:val="fr-CH"/>
        </w:rPr>
        <w:t>o</w:t>
      </w:r>
      <w:r w:rsidR="007360C7" w:rsidRPr="001849EA">
        <w:rPr>
          <w:lang w:val="fr-CH"/>
        </w:rPr>
        <w:t> [</w:t>
      </w:r>
      <w:r w:rsidR="007360C7">
        <w:rPr>
          <w:lang w:val="fr-CH"/>
        </w:rPr>
        <w:t>137</w:t>
      </w:r>
      <w:r w:rsidR="007360C7" w:rsidRPr="001849EA">
        <w:rPr>
          <w:lang w:val="fr-CH"/>
        </w:rPr>
        <w:t>]</w:t>
      </w:r>
    </w:p>
    <w:p w:rsidR="007360C7" w:rsidRPr="001849EA" w:rsidRDefault="007360C7" w:rsidP="007360C7">
      <w:pPr>
        <w:pStyle w:val="SingleTxt"/>
        <w:tabs>
          <w:tab w:val="clear" w:pos="1742"/>
          <w:tab w:val="clear" w:pos="2693"/>
          <w:tab w:val="clear" w:pos="3182"/>
          <w:tab w:val="clear" w:pos="3658"/>
          <w:tab w:val="clear" w:pos="4133"/>
          <w:tab w:val="clear" w:pos="4622"/>
          <w:tab w:val="clear" w:pos="5098"/>
          <w:tab w:val="clear" w:pos="5573"/>
          <w:tab w:val="clear" w:pos="6048"/>
          <w:tab w:val="left" w:leader="dot" w:pos="5310"/>
          <w:tab w:val="left" w:pos="5400"/>
          <w:tab w:val="right" w:leader="dot" w:pos="8793"/>
        </w:tabs>
        <w:ind w:left="2217" w:hanging="950"/>
        <w:rPr>
          <w:lang w:val="fr-CH"/>
        </w:rPr>
      </w:pPr>
      <w:r w:rsidRPr="001849EA">
        <w:rPr>
          <w:lang w:val="fr-CH"/>
        </w:rPr>
        <w:t>N</w:t>
      </w:r>
      <w:r w:rsidRPr="001849EA">
        <w:rPr>
          <w:vertAlign w:val="superscript"/>
          <w:lang w:val="fr-CH"/>
        </w:rPr>
        <w:t>o</w:t>
      </w:r>
      <w:r>
        <w:rPr>
          <w:lang w:val="fr-CH"/>
        </w:rPr>
        <w:t> </w:t>
      </w:r>
      <w:r w:rsidRPr="001849EA">
        <w:rPr>
          <w:lang w:val="fr-CH"/>
        </w:rPr>
        <w:t>d’homologation</w:t>
      </w:r>
      <w:r>
        <w:rPr>
          <w:lang w:val="fr-CH"/>
        </w:rPr>
        <w:t xml:space="preserve"> </w:t>
      </w:r>
      <w:r w:rsidRPr="001849EA">
        <w:rPr>
          <w:lang w:val="fr-CH"/>
        </w:rPr>
        <w:tab/>
      </w:r>
      <w:r>
        <w:rPr>
          <w:lang w:val="fr-CH"/>
        </w:rPr>
        <w:t xml:space="preserve"> </w:t>
      </w:r>
      <w:r w:rsidRPr="001849EA">
        <w:rPr>
          <w:lang w:val="fr-CH"/>
        </w:rPr>
        <w:t>N</w:t>
      </w:r>
      <w:r w:rsidRPr="001849EA">
        <w:rPr>
          <w:vertAlign w:val="superscript"/>
          <w:lang w:val="fr-CH"/>
        </w:rPr>
        <w:t>o</w:t>
      </w:r>
      <w:r>
        <w:rPr>
          <w:lang w:val="fr-CH"/>
        </w:rPr>
        <w:t> </w:t>
      </w:r>
      <w:r w:rsidRPr="001849EA">
        <w:rPr>
          <w:lang w:val="fr-CH"/>
        </w:rPr>
        <w:t>d’extension</w:t>
      </w:r>
      <w:r>
        <w:rPr>
          <w:lang w:val="fr-CH"/>
        </w:rPr>
        <w:t xml:space="preserve"> </w:t>
      </w:r>
      <w:r w:rsidRPr="001849EA">
        <w:rPr>
          <w:lang w:val="fr-CH"/>
        </w:rPr>
        <w:tab/>
      </w:r>
    </w:p>
    <w:p w:rsidR="007360C7" w:rsidRDefault="007360C7" w:rsidP="007360C7">
      <w:pPr>
        <w:pStyle w:val="SingleTxt"/>
        <w:tabs>
          <w:tab w:val="clear" w:pos="3182"/>
          <w:tab w:val="clear" w:pos="3658"/>
          <w:tab w:val="clear" w:pos="4133"/>
          <w:tab w:val="clear" w:pos="4622"/>
          <w:tab w:val="clear" w:pos="5098"/>
          <w:tab w:val="clear" w:pos="5573"/>
          <w:tab w:val="clear" w:pos="6048"/>
          <w:tab w:val="right" w:leader="dot" w:pos="2693"/>
          <w:tab w:val="right" w:leader="dot" w:pos="8793"/>
        </w:tabs>
        <w:ind w:left="2217" w:hanging="950"/>
        <w:rPr>
          <w:lang w:val="fr-CH"/>
        </w:rPr>
      </w:pPr>
      <w:r w:rsidRPr="001849EA">
        <w:rPr>
          <w:lang w:val="fr-CH"/>
        </w:rPr>
        <w:t>1.</w:t>
      </w:r>
      <w:r w:rsidRPr="001849EA">
        <w:rPr>
          <w:lang w:val="fr-CH"/>
        </w:rPr>
        <w:tab/>
        <w:t>Marque de fabrique ou d</w:t>
      </w:r>
      <w:r>
        <w:rPr>
          <w:lang w:val="fr-CH"/>
        </w:rPr>
        <w:t xml:space="preserve">e commerce du véhicule à moteur </w:t>
      </w:r>
      <w:r>
        <w:rPr>
          <w:lang w:val="fr-CH"/>
        </w:rPr>
        <w:tab/>
      </w:r>
    </w:p>
    <w:p w:rsidR="007360C7" w:rsidRPr="001849EA" w:rsidRDefault="007360C7" w:rsidP="007360C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leader="dot" w:pos="8802"/>
        </w:tabs>
        <w:ind w:left="1773"/>
        <w:rPr>
          <w:lang w:val="fr-CH"/>
        </w:rPr>
      </w:pPr>
      <w:r>
        <w:rPr>
          <w:lang w:val="fr-CH"/>
        </w:rPr>
        <w:tab/>
      </w:r>
    </w:p>
    <w:p w:rsidR="007360C7" w:rsidRPr="001849EA" w:rsidRDefault="007360C7" w:rsidP="007360C7">
      <w:pPr>
        <w:pStyle w:val="SingleTxt"/>
        <w:tabs>
          <w:tab w:val="clear" w:pos="2693"/>
          <w:tab w:val="clear" w:pos="3182"/>
          <w:tab w:val="clear" w:pos="3658"/>
          <w:tab w:val="clear" w:pos="4133"/>
          <w:tab w:val="clear" w:pos="4622"/>
          <w:tab w:val="clear" w:pos="5098"/>
          <w:tab w:val="clear" w:pos="5573"/>
          <w:tab w:val="clear" w:pos="6048"/>
          <w:tab w:val="right" w:leader="dot" w:pos="8793"/>
        </w:tabs>
        <w:ind w:left="2217" w:hanging="950"/>
        <w:rPr>
          <w:lang w:val="fr-CH"/>
        </w:rPr>
      </w:pPr>
      <w:r w:rsidRPr="001849EA">
        <w:rPr>
          <w:lang w:val="fr-CH"/>
        </w:rPr>
        <w:t>2.</w:t>
      </w:r>
      <w:r w:rsidRPr="001849EA">
        <w:rPr>
          <w:lang w:val="fr-CH"/>
        </w:rPr>
        <w:tab/>
        <w:t>Type du véhicule</w:t>
      </w:r>
      <w:r>
        <w:rPr>
          <w:lang w:val="fr-CH"/>
        </w:rPr>
        <w:t xml:space="preserve"> </w:t>
      </w:r>
      <w:r>
        <w:rPr>
          <w:lang w:val="fr-CH"/>
        </w:rPr>
        <w:tab/>
      </w:r>
    </w:p>
    <w:p w:rsidR="007360C7" w:rsidRDefault="007360C7" w:rsidP="007360C7">
      <w:pPr>
        <w:pStyle w:val="SingleTxt"/>
        <w:tabs>
          <w:tab w:val="clear" w:pos="2693"/>
          <w:tab w:val="clear" w:pos="3182"/>
          <w:tab w:val="clear" w:pos="3658"/>
          <w:tab w:val="clear" w:pos="4133"/>
          <w:tab w:val="clear" w:pos="4622"/>
          <w:tab w:val="clear" w:pos="5098"/>
          <w:tab w:val="clear" w:pos="5573"/>
          <w:tab w:val="clear" w:pos="6048"/>
          <w:tab w:val="right" w:leader="dot" w:pos="8793"/>
        </w:tabs>
        <w:ind w:left="2217" w:hanging="950"/>
        <w:rPr>
          <w:lang w:val="fr-CH"/>
        </w:rPr>
      </w:pPr>
      <w:r w:rsidRPr="001849EA">
        <w:rPr>
          <w:lang w:val="fr-CH"/>
        </w:rPr>
        <w:t>3.</w:t>
      </w:r>
      <w:r w:rsidRPr="001849EA">
        <w:rPr>
          <w:lang w:val="fr-CH"/>
        </w:rPr>
        <w:tab/>
        <w:t xml:space="preserve">Nom et adresse du constructeur </w:t>
      </w:r>
      <w:r>
        <w:rPr>
          <w:lang w:val="fr-CH"/>
        </w:rPr>
        <w:tab/>
      </w:r>
    </w:p>
    <w:p w:rsidR="007360C7" w:rsidRPr="001849EA" w:rsidRDefault="007360C7" w:rsidP="007360C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leader="dot" w:pos="8802"/>
        </w:tabs>
        <w:ind w:left="1773"/>
        <w:rPr>
          <w:lang w:val="fr-CH"/>
        </w:rPr>
      </w:pPr>
      <w:r>
        <w:rPr>
          <w:lang w:val="fr-CH"/>
        </w:rPr>
        <w:tab/>
      </w:r>
    </w:p>
    <w:p w:rsidR="007360C7" w:rsidRDefault="007360C7" w:rsidP="007360C7">
      <w:pPr>
        <w:pStyle w:val="SingleTxt"/>
        <w:tabs>
          <w:tab w:val="clear" w:pos="2693"/>
          <w:tab w:val="clear" w:pos="3182"/>
          <w:tab w:val="clear" w:pos="3658"/>
          <w:tab w:val="clear" w:pos="4133"/>
          <w:tab w:val="clear" w:pos="4622"/>
          <w:tab w:val="clear" w:pos="5098"/>
          <w:tab w:val="clear" w:pos="5573"/>
          <w:tab w:val="clear" w:pos="6048"/>
          <w:tab w:val="right" w:leader="dot" w:pos="8802"/>
        </w:tabs>
        <w:ind w:left="2217" w:hanging="950"/>
        <w:rPr>
          <w:lang w:val="fr-CH"/>
        </w:rPr>
      </w:pPr>
      <w:r w:rsidRPr="001849EA">
        <w:rPr>
          <w:lang w:val="fr-CH"/>
        </w:rPr>
        <w:t>4.</w:t>
      </w:r>
      <w:r w:rsidRPr="001849EA">
        <w:rPr>
          <w:lang w:val="fr-CH"/>
        </w:rPr>
        <w:tab/>
        <w:t>Le cas échéant, nom et adresse du représentant de constructeur</w:t>
      </w:r>
      <w:r>
        <w:rPr>
          <w:lang w:val="fr-CH"/>
        </w:rPr>
        <w:t xml:space="preserve"> </w:t>
      </w:r>
      <w:r>
        <w:rPr>
          <w:lang w:val="fr-CH"/>
        </w:rPr>
        <w:tab/>
      </w:r>
    </w:p>
    <w:p w:rsidR="007360C7" w:rsidRDefault="007360C7" w:rsidP="007360C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leader="dot" w:pos="8802"/>
        </w:tabs>
        <w:ind w:left="1773"/>
        <w:rPr>
          <w:lang w:val="fr-CH"/>
        </w:rPr>
      </w:pPr>
      <w:r>
        <w:rPr>
          <w:lang w:val="fr-CH"/>
        </w:rPr>
        <w:tab/>
      </w:r>
    </w:p>
    <w:p w:rsidR="007360C7" w:rsidRPr="001849EA" w:rsidRDefault="007360C7" w:rsidP="007360C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leader="dot" w:pos="8802"/>
        </w:tabs>
        <w:ind w:left="1773"/>
        <w:rPr>
          <w:lang w:val="fr-CH"/>
        </w:rPr>
      </w:pPr>
      <w:r>
        <w:rPr>
          <w:lang w:val="fr-CH"/>
        </w:rPr>
        <w:tab/>
      </w:r>
    </w:p>
    <w:p w:rsidR="007360C7" w:rsidRDefault="007360C7" w:rsidP="007360C7">
      <w:pPr>
        <w:pStyle w:val="SingleTxt"/>
        <w:tabs>
          <w:tab w:val="clear" w:pos="2693"/>
          <w:tab w:val="clear" w:pos="3182"/>
          <w:tab w:val="clear" w:pos="3658"/>
          <w:tab w:val="clear" w:pos="4133"/>
          <w:tab w:val="clear" w:pos="4622"/>
          <w:tab w:val="clear" w:pos="5098"/>
          <w:tab w:val="clear" w:pos="5573"/>
          <w:tab w:val="clear" w:pos="6048"/>
          <w:tab w:val="right" w:leader="dot" w:pos="8802"/>
        </w:tabs>
        <w:ind w:left="1742" w:hanging="475"/>
        <w:rPr>
          <w:lang w:val="fr-CH"/>
        </w:rPr>
      </w:pPr>
      <w:r w:rsidRPr="001849EA">
        <w:rPr>
          <w:lang w:val="fr-CH"/>
        </w:rPr>
        <w:t>5.</w:t>
      </w:r>
      <w:r w:rsidRPr="001849EA">
        <w:rPr>
          <w:lang w:val="fr-CH"/>
        </w:rPr>
        <w:tab/>
        <w:t xml:space="preserve">Brève description du type de véhicule (structure, dimensions, formes et matériaux constitutifs) </w:t>
      </w:r>
      <w:r>
        <w:rPr>
          <w:lang w:val="fr-CH"/>
        </w:rPr>
        <w:tab/>
      </w:r>
    </w:p>
    <w:p w:rsidR="007360C7" w:rsidRPr="001849EA" w:rsidRDefault="007360C7" w:rsidP="007360C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leader="dot" w:pos="8802"/>
        </w:tabs>
        <w:ind w:left="1773"/>
        <w:rPr>
          <w:lang w:val="fr-CH"/>
        </w:rPr>
      </w:pPr>
      <w:r>
        <w:rPr>
          <w:lang w:val="fr-CH"/>
        </w:rPr>
        <w:tab/>
      </w:r>
    </w:p>
    <w:p w:rsidR="007360C7" w:rsidRDefault="007360C7" w:rsidP="007360C7">
      <w:pPr>
        <w:pStyle w:val="SingleTxt"/>
        <w:tabs>
          <w:tab w:val="clear" w:pos="2693"/>
          <w:tab w:val="clear" w:pos="3182"/>
          <w:tab w:val="clear" w:pos="3658"/>
          <w:tab w:val="clear" w:pos="4133"/>
          <w:tab w:val="clear" w:pos="4622"/>
          <w:tab w:val="clear" w:pos="5098"/>
          <w:tab w:val="clear" w:pos="5573"/>
          <w:tab w:val="clear" w:pos="6048"/>
          <w:tab w:val="right" w:leader="dot" w:pos="8793"/>
        </w:tabs>
        <w:ind w:left="2217" w:hanging="950"/>
        <w:rPr>
          <w:lang w:val="fr-CH"/>
        </w:rPr>
      </w:pPr>
      <w:r w:rsidRPr="001849EA">
        <w:rPr>
          <w:lang w:val="fr-CH"/>
        </w:rPr>
        <w:t>5.1</w:t>
      </w:r>
      <w:r w:rsidRPr="001849EA">
        <w:rPr>
          <w:lang w:val="fr-CH"/>
        </w:rPr>
        <w:tab/>
        <w:t>Description du système de protection installé dans le véhicule</w:t>
      </w:r>
      <w:r>
        <w:rPr>
          <w:lang w:val="fr-CH"/>
        </w:rPr>
        <w:t xml:space="preserve"> </w:t>
      </w:r>
      <w:r>
        <w:rPr>
          <w:lang w:val="fr-CH"/>
        </w:rPr>
        <w:tab/>
      </w:r>
    </w:p>
    <w:p w:rsidR="007360C7" w:rsidRPr="001849EA" w:rsidRDefault="007360C7" w:rsidP="007360C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leader="dot" w:pos="8802"/>
        </w:tabs>
        <w:ind w:left="1773"/>
        <w:rPr>
          <w:lang w:val="fr-CH"/>
        </w:rPr>
      </w:pPr>
      <w:r>
        <w:rPr>
          <w:lang w:val="fr-CH"/>
        </w:rPr>
        <w:tab/>
      </w:r>
    </w:p>
    <w:p w:rsidR="007360C7" w:rsidRDefault="007360C7" w:rsidP="007360C7">
      <w:pPr>
        <w:pStyle w:val="SingleTxt"/>
        <w:tabs>
          <w:tab w:val="clear" w:pos="2218"/>
          <w:tab w:val="clear" w:pos="2693"/>
          <w:tab w:val="clear" w:pos="3182"/>
          <w:tab w:val="clear" w:pos="3658"/>
          <w:tab w:val="clear" w:pos="4133"/>
          <w:tab w:val="clear" w:pos="4622"/>
          <w:tab w:val="clear" w:pos="5098"/>
          <w:tab w:val="clear" w:pos="5573"/>
          <w:tab w:val="clear" w:pos="6048"/>
          <w:tab w:val="right" w:leader="dot" w:pos="8802"/>
        </w:tabs>
        <w:ind w:left="1742" w:hanging="475"/>
        <w:rPr>
          <w:lang w:val="fr-CH"/>
        </w:rPr>
      </w:pPr>
      <w:r w:rsidRPr="001849EA">
        <w:rPr>
          <w:lang w:val="fr-CH"/>
        </w:rPr>
        <w:tab/>
        <w:t>Description des aménagements ou garnitures intérieurs susceptibles d’influer sur les essais</w:t>
      </w:r>
      <w:r>
        <w:rPr>
          <w:lang w:val="fr-CH"/>
        </w:rPr>
        <w:t xml:space="preserve"> </w:t>
      </w:r>
      <w:r>
        <w:rPr>
          <w:lang w:val="fr-CH"/>
        </w:rPr>
        <w:tab/>
      </w:r>
    </w:p>
    <w:p w:rsidR="007360C7" w:rsidRPr="001849EA" w:rsidRDefault="007360C7" w:rsidP="007360C7">
      <w:pPr>
        <w:pStyle w:val="SingleTxt"/>
        <w:tabs>
          <w:tab w:val="clear" w:pos="2693"/>
          <w:tab w:val="clear" w:pos="3182"/>
          <w:tab w:val="clear" w:pos="3658"/>
          <w:tab w:val="clear" w:pos="4133"/>
          <w:tab w:val="clear" w:pos="4622"/>
          <w:tab w:val="clear" w:pos="5098"/>
          <w:tab w:val="clear" w:pos="5573"/>
          <w:tab w:val="clear" w:pos="6048"/>
          <w:tab w:val="right" w:leader="dot" w:pos="8802"/>
        </w:tabs>
        <w:ind w:left="2217" w:hanging="950"/>
        <w:rPr>
          <w:lang w:val="fr-CH"/>
        </w:rPr>
      </w:pPr>
      <w:r w:rsidRPr="001849EA">
        <w:rPr>
          <w:lang w:val="fr-CH"/>
        </w:rPr>
        <w:t>5.3</w:t>
      </w:r>
      <w:r w:rsidRPr="001849EA">
        <w:rPr>
          <w:lang w:val="fr-CH"/>
        </w:rPr>
        <w:tab/>
        <w:t>Emplacement de la source d’énergie électrique</w:t>
      </w:r>
      <w:r>
        <w:rPr>
          <w:lang w:val="fr-CH"/>
        </w:rPr>
        <w:t xml:space="preserve"> </w:t>
      </w:r>
      <w:r>
        <w:rPr>
          <w:lang w:val="fr-CH"/>
        </w:rPr>
        <w:tab/>
      </w:r>
    </w:p>
    <w:p w:rsidR="007360C7" w:rsidRPr="001849EA" w:rsidRDefault="007360C7" w:rsidP="007360C7">
      <w:pPr>
        <w:pStyle w:val="SingleTxt"/>
        <w:tabs>
          <w:tab w:val="clear" w:pos="2693"/>
          <w:tab w:val="clear" w:pos="3182"/>
          <w:tab w:val="clear" w:pos="3658"/>
          <w:tab w:val="clear" w:pos="4133"/>
          <w:tab w:val="clear" w:pos="4622"/>
          <w:tab w:val="clear" w:pos="5098"/>
          <w:tab w:val="clear" w:pos="5573"/>
          <w:tab w:val="clear" w:pos="6048"/>
          <w:tab w:val="right" w:leader="dot" w:pos="8802"/>
        </w:tabs>
        <w:ind w:left="2217" w:hanging="950"/>
        <w:rPr>
          <w:lang w:val="fr-CH"/>
        </w:rPr>
      </w:pPr>
      <w:r w:rsidRPr="001849EA">
        <w:rPr>
          <w:lang w:val="fr-CH"/>
        </w:rPr>
        <w:t>6.</w:t>
      </w:r>
      <w:r w:rsidRPr="001849EA">
        <w:rPr>
          <w:lang w:val="fr-CH"/>
        </w:rPr>
        <w:tab/>
        <w:t>Emplacement du moteur</w:t>
      </w:r>
      <w:r>
        <w:rPr>
          <w:lang w:val="fr-CH"/>
        </w:rPr>
        <w:t> </w:t>
      </w:r>
      <w:r w:rsidRPr="001849EA">
        <w:rPr>
          <w:lang w:val="fr-CH"/>
        </w:rPr>
        <w:t>: avant/arrière/central</w:t>
      </w:r>
      <w:r w:rsidRPr="001849EA">
        <w:rPr>
          <w:vertAlign w:val="superscript"/>
          <w:lang w:val="fr-CH"/>
        </w:rPr>
        <w:t>2</w:t>
      </w:r>
    </w:p>
    <w:p w:rsidR="007360C7" w:rsidRPr="001849EA" w:rsidRDefault="007360C7" w:rsidP="007360C7">
      <w:pPr>
        <w:pStyle w:val="SingleTxt"/>
        <w:tabs>
          <w:tab w:val="clear" w:pos="3182"/>
          <w:tab w:val="clear" w:pos="3658"/>
          <w:tab w:val="clear" w:pos="4133"/>
          <w:tab w:val="clear" w:pos="4622"/>
          <w:tab w:val="clear" w:pos="5098"/>
          <w:tab w:val="clear" w:pos="5573"/>
          <w:tab w:val="clear" w:pos="6048"/>
          <w:tab w:val="right" w:leader="dot" w:pos="8802"/>
        </w:tabs>
        <w:ind w:left="2217" w:hanging="950"/>
        <w:rPr>
          <w:lang w:val="fr-CH"/>
        </w:rPr>
      </w:pPr>
      <w:r w:rsidRPr="001849EA">
        <w:rPr>
          <w:lang w:val="fr-CH"/>
        </w:rPr>
        <w:t>7.</w:t>
      </w:r>
      <w:r w:rsidRPr="001849EA">
        <w:rPr>
          <w:lang w:val="fr-CH"/>
        </w:rPr>
        <w:tab/>
        <w:t>Conduite</w:t>
      </w:r>
      <w:r>
        <w:rPr>
          <w:lang w:val="fr-CH"/>
        </w:rPr>
        <w:t> </w:t>
      </w:r>
      <w:r w:rsidRPr="001849EA">
        <w:rPr>
          <w:lang w:val="fr-CH"/>
        </w:rPr>
        <w:t>: traction avant/propulsion arrière</w:t>
      </w:r>
      <w:r w:rsidRPr="001849EA">
        <w:rPr>
          <w:vertAlign w:val="superscript"/>
          <w:lang w:val="fr-CH"/>
        </w:rPr>
        <w:t>2</w:t>
      </w:r>
      <w:r w:rsidR="001E200F">
        <w:rPr>
          <w:lang w:val="fr-CH"/>
        </w:rPr>
        <w:t xml:space="preserve"> </w:t>
      </w:r>
    </w:p>
    <w:p w:rsidR="007360C7" w:rsidRPr="001849EA" w:rsidRDefault="007360C7" w:rsidP="007360C7">
      <w:pPr>
        <w:pStyle w:val="SingleTxt"/>
        <w:tabs>
          <w:tab w:val="clear" w:pos="3182"/>
          <w:tab w:val="clear" w:pos="3658"/>
          <w:tab w:val="clear" w:pos="4133"/>
          <w:tab w:val="clear" w:pos="4622"/>
          <w:tab w:val="clear" w:pos="5098"/>
          <w:tab w:val="clear" w:pos="5573"/>
          <w:tab w:val="clear" w:pos="6048"/>
          <w:tab w:val="right" w:leader="dot" w:pos="8802"/>
        </w:tabs>
        <w:ind w:left="2217" w:hanging="950"/>
        <w:rPr>
          <w:lang w:val="fr-CH"/>
        </w:rPr>
      </w:pPr>
      <w:r w:rsidRPr="001849EA">
        <w:rPr>
          <w:lang w:val="fr-CH"/>
        </w:rPr>
        <w:t>8.</w:t>
      </w:r>
      <w:r w:rsidRPr="001849EA">
        <w:rPr>
          <w:lang w:val="fr-CH"/>
        </w:rPr>
        <w:tab/>
        <w:t xml:space="preserve">Masse du véhicule soumis aux essais </w:t>
      </w:r>
      <w:r>
        <w:rPr>
          <w:lang w:val="fr-CH"/>
        </w:rPr>
        <w:tab/>
      </w:r>
    </w:p>
    <w:p w:rsidR="007360C7" w:rsidRPr="001849EA" w:rsidRDefault="007360C7" w:rsidP="007360C7">
      <w:pPr>
        <w:pStyle w:val="SingleTxt"/>
        <w:tabs>
          <w:tab w:val="clear" w:pos="3182"/>
          <w:tab w:val="clear" w:pos="3658"/>
          <w:tab w:val="clear" w:pos="4133"/>
          <w:tab w:val="clear" w:pos="4622"/>
          <w:tab w:val="clear" w:pos="5098"/>
          <w:tab w:val="clear" w:pos="5573"/>
          <w:tab w:val="clear" w:pos="6048"/>
          <w:tab w:val="right" w:leader="dot" w:pos="8793"/>
        </w:tabs>
        <w:ind w:left="2217" w:hanging="950"/>
        <w:rPr>
          <w:lang w:val="fr-CH"/>
        </w:rPr>
      </w:pPr>
      <w:r w:rsidRPr="001849EA">
        <w:rPr>
          <w:lang w:val="fr-CH"/>
        </w:rPr>
        <w:lastRenderedPageBreak/>
        <w:tab/>
        <w:t xml:space="preserve">Essieu avant </w:t>
      </w:r>
      <w:r w:rsidRPr="001849EA">
        <w:rPr>
          <w:lang w:val="fr-CH"/>
        </w:rPr>
        <w:tab/>
      </w:r>
    </w:p>
    <w:p w:rsidR="007360C7" w:rsidRPr="001849EA" w:rsidRDefault="007360C7" w:rsidP="007360C7">
      <w:pPr>
        <w:pStyle w:val="SingleTxt"/>
        <w:tabs>
          <w:tab w:val="clear" w:pos="2693"/>
          <w:tab w:val="clear" w:pos="3182"/>
          <w:tab w:val="clear" w:pos="3658"/>
          <w:tab w:val="clear" w:pos="4133"/>
          <w:tab w:val="clear" w:pos="4622"/>
          <w:tab w:val="clear" w:pos="5098"/>
          <w:tab w:val="clear" w:pos="5573"/>
          <w:tab w:val="clear" w:pos="6048"/>
          <w:tab w:val="right" w:leader="dot" w:pos="8802"/>
        </w:tabs>
        <w:ind w:left="2217" w:hanging="950"/>
        <w:rPr>
          <w:lang w:val="fr-CH"/>
        </w:rPr>
      </w:pPr>
      <w:r w:rsidRPr="001849EA">
        <w:rPr>
          <w:lang w:val="fr-CH"/>
        </w:rPr>
        <w:tab/>
        <w:t>Essieu arrière</w:t>
      </w:r>
      <w:r>
        <w:rPr>
          <w:lang w:val="fr-CH"/>
        </w:rPr>
        <w:t xml:space="preserve"> </w:t>
      </w:r>
      <w:r>
        <w:rPr>
          <w:lang w:val="fr-CH"/>
        </w:rPr>
        <w:tab/>
      </w:r>
    </w:p>
    <w:p w:rsidR="007360C7" w:rsidRPr="001849EA" w:rsidRDefault="007360C7" w:rsidP="007360C7">
      <w:pPr>
        <w:pStyle w:val="SingleTxt"/>
        <w:tabs>
          <w:tab w:val="clear" w:pos="2693"/>
          <w:tab w:val="clear" w:pos="3182"/>
          <w:tab w:val="clear" w:pos="3658"/>
          <w:tab w:val="clear" w:pos="4133"/>
          <w:tab w:val="clear" w:pos="4622"/>
          <w:tab w:val="clear" w:pos="5098"/>
          <w:tab w:val="clear" w:pos="5573"/>
          <w:tab w:val="clear" w:pos="6048"/>
          <w:tab w:val="right" w:leader="dot" w:pos="8802"/>
        </w:tabs>
        <w:ind w:left="2217" w:hanging="950"/>
        <w:rPr>
          <w:lang w:val="fr-CH"/>
        </w:rPr>
      </w:pPr>
      <w:r w:rsidRPr="001849EA">
        <w:rPr>
          <w:lang w:val="fr-CH"/>
        </w:rPr>
        <w:tab/>
        <w:t>Total</w:t>
      </w:r>
      <w:r>
        <w:rPr>
          <w:lang w:val="fr-CH"/>
        </w:rPr>
        <w:t xml:space="preserve"> </w:t>
      </w:r>
      <w:r>
        <w:rPr>
          <w:lang w:val="fr-CH"/>
        </w:rPr>
        <w:tab/>
      </w:r>
    </w:p>
    <w:p w:rsidR="007360C7" w:rsidRPr="001849EA" w:rsidRDefault="007360C7" w:rsidP="007360C7">
      <w:pPr>
        <w:pStyle w:val="SingleTxt"/>
        <w:tabs>
          <w:tab w:val="clear" w:pos="3182"/>
          <w:tab w:val="clear" w:pos="3658"/>
          <w:tab w:val="clear" w:pos="4133"/>
          <w:tab w:val="clear" w:pos="4622"/>
          <w:tab w:val="clear" w:pos="5098"/>
          <w:tab w:val="clear" w:pos="5573"/>
          <w:tab w:val="clear" w:pos="6048"/>
          <w:tab w:val="right" w:leader="dot" w:pos="8802"/>
        </w:tabs>
        <w:ind w:left="2217" w:hanging="950"/>
        <w:rPr>
          <w:lang w:val="fr-CH"/>
        </w:rPr>
      </w:pPr>
      <w:r w:rsidRPr="001849EA">
        <w:rPr>
          <w:lang w:val="fr-CH"/>
        </w:rPr>
        <w:t>9.</w:t>
      </w:r>
      <w:r w:rsidRPr="001849EA">
        <w:rPr>
          <w:lang w:val="fr-CH"/>
        </w:rPr>
        <w:tab/>
        <w:t>Véhicule présenté pour homologation le</w:t>
      </w:r>
      <w:r>
        <w:rPr>
          <w:lang w:val="fr-CH"/>
        </w:rPr>
        <w:t xml:space="preserve"> </w:t>
      </w:r>
      <w:r>
        <w:rPr>
          <w:lang w:val="fr-CH"/>
        </w:rPr>
        <w:tab/>
      </w:r>
    </w:p>
    <w:p w:rsidR="007360C7" w:rsidRPr="001849EA" w:rsidRDefault="007360C7" w:rsidP="007360C7">
      <w:pPr>
        <w:pStyle w:val="SingleTxt"/>
        <w:tabs>
          <w:tab w:val="clear" w:pos="3182"/>
          <w:tab w:val="clear" w:pos="3658"/>
          <w:tab w:val="clear" w:pos="4133"/>
          <w:tab w:val="clear" w:pos="4622"/>
          <w:tab w:val="clear" w:pos="5098"/>
          <w:tab w:val="clear" w:pos="5573"/>
          <w:tab w:val="clear" w:pos="6048"/>
          <w:tab w:val="right" w:leader="dot" w:pos="8802"/>
        </w:tabs>
        <w:ind w:left="2217" w:hanging="950"/>
        <w:rPr>
          <w:lang w:val="fr-CH"/>
        </w:rPr>
      </w:pPr>
      <w:r w:rsidRPr="001849EA">
        <w:rPr>
          <w:lang w:val="fr-CH"/>
        </w:rPr>
        <w:t>10.</w:t>
      </w:r>
      <w:r w:rsidRPr="001849EA">
        <w:rPr>
          <w:lang w:val="fr-CH"/>
        </w:rPr>
        <w:tab/>
        <w:t xml:space="preserve">Service technique chargé des essais d’homologation </w:t>
      </w:r>
      <w:r>
        <w:rPr>
          <w:lang w:val="fr-CH"/>
        </w:rPr>
        <w:tab/>
      </w:r>
    </w:p>
    <w:p w:rsidR="007360C7" w:rsidRPr="001849EA" w:rsidRDefault="007360C7" w:rsidP="007360C7">
      <w:pPr>
        <w:pStyle w:val="SingleTxt"/>
        <w:tabs>
          <w:tab w:val="clear" w:pos="3182"/>
          <w:tab w:val="clear" w:pos="3658"/>
          <w:tab w:val="clear" w:pos="4133"/>
          <w:tab w:val="clear" w:pos="4622"/>
          <w:tab w:val="clear" w:pos="5098"/>
          <w:tab w:val="clear" w:pos="5573"/>
          <w:tab w:val="clear" w:pos="6048"/>
          <w:tab w:val="right" w:leader="dot" w:pos="8793"/>
        </w:tabs>
        <w:ind w:left="2217" w:hanging="950"/>
        <w:rPr>
          <w:lang w:val="fr-CH"/>
        </w:rPr>
      </w:pPr>
      <w:r w:rsidRPr="001849EA">
        <w:rPr>
          <w:lang w:val="fr-CH"/>
        </w:rPr>
        <w:t>11.</w:t>
      </w:r>
      <w:r w:rsidRPr="001849EA">
        <w:rPr>
          <w:lang w:val="fr-CH"/>
        </w:rPr>
        <w:tab/>
        <w:t xml:space="preserve">Date du procès-verbal délivré par ce service </w:t>
      </w:r>
      <w:r>
        <w:rPr>
          <w:lang w:val="fr-CH"/>
        </w:rPr>
        <w:tab/>
      </w:r>
    </w:p>
    <w:p w:rsidR="007360C7" w:rsidRPr="001849EA" w:rsidRDefault="007360C7" w:rsidP="007360C7">
      <w:pPr>
        <w:pStyle w:val="SingleTxt"/>
        <w:tabs>
          <w:tab w:val="clear" w:pos="4622"/>
          <w:tab w:val="clear" w:pos="5098"/>
          <w:tab w:val="clear" w:pos="5573"/>
          <w:tab w:val="clear" w:pos="6048"/>
          <w:tab w:val="left" w:pos="4680"/>
          <w:tab w:val="right" w:leader="dot" w:pos="8802"/>
        </w:tabs>
        <w:ind w:left="2217" w:hanging="950"/>
        <w:rPr>
          <w:lang w:val="fr-CH"/>
        </w:rPr>
      </w:pPr>
      <w:r w:rsidRPr="001849EA">
        <w:rPr>
          <w:lang w:val="fr-CH"/>
        </w:rPr>
        <w:t>12.</w:t>
      </w:r>
      <w:r w:rsidRPr="001849EA">
        <w:rPr>
          <w:lang w:val="fr-CH"/>
        </w:rPr>
        <w:tab/>
        <w:t xml:space="preserve">Numéro du procès-verbal délivré par ce service </w:t>
      </w:r>
      <w:r>
        <w:rPr>
          <w:lang w:val="fr-CH"/>
        </w:rPr>
        <w:tab/>
      </w:r>
    </w:p>
    <w:p w:rsidR="007360C7" w:rsidRPr="001849EA" w:rsidRDefault="007360C7" w:rsidP="007360C7">
      <w:pPr>
        <w:pStyle w:val="SingleTxt"/>
        <w:tabs>
          <w:tab w:val="clear" w:pos="6048"/>
          <w:tab w:val="right" w:leader="dot" w:pos="8793"/>
        </w:tabs>
        <w:ind w:left="2217" w:hanging="950"/>
        <w:rPr>
          <w:lang w:val="fr-CH"/>
        </w:rPr>
      </w:pPr>
      <w:r w:rsidRPr="001849EA">
        <w:rPr>
          <w:lang w:val="fr-CH"/>
        </w:rPr>
        <w:t>13.</w:t>
      </w:r>
      <w:r w:rsidRPr="001849EA">
        <w:rPr>
          <w:lang w:val="fr-CH"/>
        </w:rPr>
        <w:tab/>
        <w:t>Homologation accordée/refusée/étendue/retirée</w:t>
      </w:r>
      <w:r w:rsidRPr="001849EA">
        <w:rPr>
          <w:vertAlign w:val="superscript"/>
          <w:lang w:val="fr-CH"/>
        </w:rPr>
        <w:t>2</w:t>
      </w:r>
      <w:r w:rsidRPr="00D01861">
        <w:rPr>
          <w:lang w:val="fr-CH"/>
        </w:rPr>
        <w:t xml:space="preserve"> </w:t>
      </w:r>
      <w:r>
        <w:rPr>
          <w:lang w:val="fr-CH"/>
        </w:rPr>
        <w:tab/>
      </w:r>
    </w:p>
    <w:p w:rsidR="007360C7" w:rsidRPr="001849EA" w:rsidRDefault="007360C7" w:rsidP="007360C7">
      <w:pPr>
        <w:pStyle w:val="SingleTxt"/>
        <w:tabs>
          <w:tab w:val="right" w:leader="dot" w:pos="8793"/>
        </w:tabs>
        <w:ind w:left="2217" w:hanging="950"/>
        <w:rPr>
          <w:lang w:val="fr-CH"/>
        </w:rPr>
      </w:pPr>
      <w:r w:rsidRPr="001849EA">
        <w:rPr>
          <w:lang w:val="fr-CH"/>
        </w:rPr>
        <w:t>14.</w:t>
      </w:r>
      <w:r w:rsidRPr="001849EA">
        <w:rPr>
          <w:lang w:val="fr-CH"/>
        </w:rPr>
        <w:tab/>
        <w:t xml:space="preserve">Emplacement de la marque d’homologation sur le véhicule </w:t>
      </w:r>
      <w:r>
        <w:rPr>
          <w:lang w:val="fr-CH"/>
        </w:rPr>
        <w:tab/>
      </w:r>
    </w:p>
    <w:p w:rsidR="007360C7" w:rsidRPr="001849EA" w:rsidRDefault="007360C7" w:rsidP="007360C7">
      <w:pPr>
        <w:pStyle w:val="SingleTxt"/>
        <w:tabs>
          <w:tab w:val="clear" w:pos="2693"/>
          <w:tab w:val="clear" w:pos="3182"/>
          <w:tab w:val="clear" w:pos="3658"/>
          <w:tab w:val="clear" w:pos="4133"/>
          <w:tab w:val="clear" w:pos="4622"/>
          <w:tab w:val="clear" w:pos="5098"/>
          <w:tab w:val="clear" w:pos="5573"/>
          <w:tab w:val="clear" w:pos="6048"/>
          <w:tab w:val="right" w:leader="dot" w:pos="8802"/>
        </w:tabs>
        <w:ind w:left="2217" w:hanging="950"/>
        <w:rPr>
          <w:lang w:val="fr-CH"/>
        </w:rPr>
      </w:pPr>
      <w:r w:rsidRPr="001849EA">
        <w:rPr>
          <w:lang w:val="fr-CH"/>
        </w:rPr>
        <w:t>15.</w:t>
      </w:r>
      <w:r w:rsidRPr="001849EA">
        <w:rPr>
          <w:lang w:val="fr-CH"/>
        </w:rPr>
        <w:tab/>
        <w:t xml:space="preserve">Fait à </w:t>
      </w:r>
      <w:r>
        <w:rPr>
          <w:lang w:val="fr-CH"/>
        </w:rPr>
        <w:tab/>
      </w:r>
    </w:p>
    <w:p w:rsidR="007360C7" w:rsidRPr="001849EA" w:rsidRDefault="007360C7" w:rsidP="007360C7">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left" w:pos="1710"/>
          <w:tab w:val="right" w:leader="dot" w:pos="8793"/>
        </w:tabs>
        <w:ind w:left="2217" w:hanging="950"/>
        <w:rPr>
          <w:lang w:val="fr-CH"/>
        </w:rPr>
      </w:pPr>
      <w:r w:rsidRPr="001849EA">
        <w:rPr>
          <w:lang w:val="fr-CH"/>
        </w:rPr>
        <w:t>16.</w:t>
      </w:r>
      <w:r w:rsidRPr="001849EA">
        <w:rPr>
          <w:lang w:val="fr-CH"/>
        </w:rPr>
        <w:tab/>
        <w:t xml:space="preserve">Date </w:t>
      </w:r>
      <w:r>
        <w:rPr>
          <w:lang w:val="fr-CH"/>
        </w:rPr>
        <w:tab/>
      </w:r>
      <w:r>
        <w:rPr>
          <w:lang w:val="fr-CH"/>
        </w:rPr>
        <w:tab/>
      </w:r>
    </w:p>
    <w:p w:rsidR="007360C7" w:rsidRPr="001849EA" w:rsidRDefault="007360C7" w:rsidP="007360C7">
      <w:pPr>
        <w:pStyle w:val="SingleTxt"/>
        <w:tabs>
          <w:tab w:val="clear" w:pos="2693"/>
          <w:tab w:val="clear" w:pos="3182"/>
          <w:tab w:val="clear" w:pos="3658"/>
          <w:tab w:val="clear" w:pos="4133"/>
          <w:tab w:val="clear" w:pos="4622"/>
          <w:tab w:val="clear" w:pos="5098"/>
          <w:tab w:val="clear" w:pos="5573"/>
          <w:tab w:val="clear" w:pos="6048"/>
          <w:tab w:val="right" w:leader="dot" w:pos="8802"/>
        </w:tabs>
        <w:ind w:left="2217" w:hanging="950"/>
        <w:rPr>
          <w:lang w:val="fr-CH"/>
        </w:rPr>
      </w:pPr>
      <w:r w:rsidRPr="001849EA">
        <w:rPr>
          <w:lang w:val="fr-CH"/>
        </w:rPr>
        <w:t>17.</w:t>
      </w:r>
      <w:r w:rsidRPr="001849EA">
        <w:rPr>
          <w:lang w:val="fr-CH"/>
        </w:rPr>
        <w:tab/>
        <w:t xml:space="preserve">Signature </w:t>
      </w:r>
      <w:r>
        <w:rPr>
          <w:lang w:val="fr-CH"/>
        </w:rPr>
        <w:tab/>
      </w:r>
    </w:p>
    <w:p w:rsidR="007360C7" w:rsidRDefault="007360C7" w:rsidP="007360C7">
      <w:pPr>
        <w:pStyle w:val="SingleTxt"/>
        <w:tabs>
          <w:tab w:val="clear" w:pos="2693"/>
          <w:tab w:val="clear" w:pos="3182"/>
          <w:tab w:val="clear" w:pos="3658"/>
          <w:tab w:val="clear" w:pos="4133"/>
          <w:tab w:val="clear" w:pos="4622"/>
          <w:tab w:val="clear" w:pos="5098"/>
          <w:tab w:val="clear" w:pos="5573"/>
          <w:tab w:val="clear" w:pos="6048"/>
          <w:tab w:val="right" w:leader="dot" w:pos="8793"/>
        </w:tabs>
        <w:ind w:left="1742" w:hanging="475"/>
        <w:rPr>
          <w:lang w:val="fr-CH"/>
        </w:rPr>
      </w:pPr>
      <w:r w:rsidRPr="001849EA">
        <w:rPr>
          <w:lang w:val="fr-CH"/>
        </w:rPr>
        <w:t>18.</w:t>
      </w:r>
      <w:r w:rsidRPr="001849EA">
        <w:rPr>
          <w:lang w:val="fr-CH"/>
        </w:rPr>
        <w:tab/>
        <w:t xml:space="preserve">Les documents suivants, sur lesquels a été porté le numéro d’homologation indiqué ci-dessus, sont annexés à la présente communication </w:t>
      </w:r>
      <w:r>
        <w:rPr>
          <w:lang w:val="fr-CH"/>
        </w:rPr>
        <w:tab/>
      </w:r>
    </w:p>
    <w:p w:rsidR="007360C7" w:rsidRPr="001849EA" w:rsidRDefault="007360C7" w:rsidP="007360C7">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leader="dot" w:pos="8802"/>
        </w:tabs>
        <w:ind w:left="1773"/>
        <w:rPr>
          <w:lang w:val="fr-CH"/>
        </w:rPr>
      </w:pPr>
      <w:r>
        <w:rPr>
          <w:lang w:val="fr-CH"/>
        </w:rPr>
        <w:tab/>
      </w:r>
    </w:p>
    <w:p w:rsidR="007360C7" w:rsidRDefault="007360C7" w:rsidP="00B66265">
      <w:pPr>
        <w:pStyle w:val="SingleTxt"/>
        <w:ind w:left="1742" w:hanging="475"/>
        <w:rPr>
          <w:lang w:val="fr-CH"/>
        </w:rPr>
      </w:pPr>
      <w:r w:rsidRPr="001849EA">
        <w:rPr>
          <w:lang w:val="fr-CH"/>
        </w:rPr>
        <w:tab/>
        <w:t>(Photographies et/ou diagrammes et dessins permettant l’identification générale du/des type(s) de véhicule et des variantes possibles qui font l’objet de l’homologation)</w:t>
      </w:r>
      <w:r>
        <w:rPr>
          <w:lang w:val="fr-CH"/>
        </w:rPr>
        <w:t xml:space="preserve"> </w:t>
      </w:r>
    </w:p>
    <w:p w:rsidR="007360C7" w:rsidRDefault="007360C7" w:rsidP="007360C7">
      <w:pPr>
        <w:pStyle w:val="SingleTxt"/>
        <w:rPr>
          <w:lang w:val="fr-CH"/>
        </w:rPr>
        <w:sectPr w:rsidR="007360C7" w:rsidSect="00FD427E">
          <w:headerReference w:type="even" r:id="rId18"/>
          <w:headerReference w:type="default" r:id="rId19"/>
          <w:footerReference w:type="even" r:id="rId20"/>
          <w:footerReference w:type="default" r:id="rId21"/>
          <w:footnotePr>
            <w:numRestart w:val="eachSect"/>
          </w:footnotePr>
          <w:endnotePr>
            <w:numFmt w:val="decimal"/>
          </w:endnotePr>
          <w:pgSz w:w="11909" w:h="16834"/>
          <w:pgMar w:top="1742" w:right="936" w:bottom="1898" w:left="936" w:header="576" w:footer="1030" w:gutter="0"/>
          <w:cols w:space="720"/>
          <w:noEndnote/>
          <w:docGrid w:linePitch="360"/>
        </w:sectPr>
      </w:pPr>
    </w:p>
    <w:p w:rsidR="00F774A9" w:rsidRDefault="00F774A9" w:rsidP="00F774A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49" w:name="_Toc381109772"/>
      <w:bookmarkStart w:id="50" w:name="_Toc413834087"/>
      <w:r w:rsidRPr="005A39D0">
        <w:rPr>
          <w:lang w:val="fr-CH"/>
        </w:rPr>
        <w:lastRenderedPageBreak/>
        <w:t>Annexe 2</w:t>
      </w:r>
      <w:bookmarkEnd w:id="49"/>
      <w:bookmarkEnd w:id="50"/>
    </w:p>
    <w:p w:rsidR="00F774A9" w:rsidRPr="005A39D0" w:rsidRDefault="00F774A9" w:rsidP="00F774A9">
      <w:pPr>
        <w:pStyle w:val="SingleTxt"/>
        <w:spacing w:after="0" w:line="120" w:lineRule="exact"/>
        <w:rPr>
          <w:sz w:val="10"/>
          <w:lang w:val="fr-CH"/>
        </w:rPr>
      </w:pPr>
    </w:p>
    <w:p w:rsidR="00F774A9" w:rsidRDefault="00F774A9" w:rsidP="00F774A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A39D0">
        <w:rPr>
          <w:lang w:val="fr-CH"/>
        </w:rPr>
        <w:tab/>
      </w:r>
      <w:r w:rsidRPr="005A39D0">
        <w:rPr>
          <w:lang w:val="fr-CH"/>
        </w:rPr>
        <w:tab/>
        <w:t>Exemples de marques d’homologation</w:t>
      </w:r>
    </w:p>
    <w:p w:rsidR="00F774A9" w:rsidRPr="005A39D0" w:rsidRDefault="00F774A9" w:rsidP="00F774A9">
      <w:pPr>
        <w:pStyle w:val="SingleTxt"/>
        <w:spacing w:after="0" w:line="120" w:lineRule="exact"/>
        <w:rPr>
          <w:sz w:val="10"/>
          <w:lang w:val="fr-CH"/>
        </w:rPr>
      </w:pPr>
    </w:p>
    <w:p w:rsidR="00F774A9" w:rsidRPr="005A39D0" w:rsidRDefault="00F774A9" w:rsidP="00F774A9">
      <w:pPr>
        <w:pStyle w:val="SingleTxt"/>
        <w:spacing w:after="0" w:line="120" w:lineRule="exact"/>
        <w:rPr>
          <w:sz w:val="10"/>
          <w:lang w:val="fr-CH"/>
        </w:rPr>
      </w:pPr>
    </w:p>
    <w:p w:rsidR="00F774A9" w:rsidRDefault="00F774A9" w:rsidP="00CF77C6">
      <w:pPr>
        <w:pStyle w:val="H56"/>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5A39D0">
        <w:rPr>
          <w:lang w:val="fr-CH"/>
        </w:rPr>
        <w:t>Modèle A</w:t>
      </w:r>
    </w:p>
    <w:p w:rsidR="00F774A9" w:rsidRPr="00731F5E" w:rsidRDefault="00F774A9" w:rsidP="00F774A9">
      <w:pPr>
        <w:pStyle w:val="SingleTxt"/>
        <w:spacing w:after="0" w:line="120" w:lineRule="exact"/>
        <w:rPr>
          <w:sz w:val="10"/>
          <w:lang w:val="fr-CH"/>
        </w:rPr>
      </w:pPr>
    </w:p>
    <w:p w:rsidR="00F774A9" w:rsidRDefault="00F774A9" w:rsidP="00F774A9">
      <w:pPr>
        <w:pStyle w:val="SingleTxt"/>
        <w:tabs>
          <w:tab w:val="clear" w:pos="2218"/>
          <w:tab w:val="clear" w:pos="2693"/>
          <w:tab w:val="clear" w:pos="3182"/>
          <w:tab w:val="clear" w:pos="3658"/>
          <w:tab w:val="clear" w:pos="4133"/>
          <w:tab w:val="clear" w:pos="4622"/>
          <w:tab w:val="clear" w:pos="5098"/>
          <w:tab w:val="clear" w:pos="5573"/>
          <w:tab w:val="clear" w:pos="6048"/>
          <w:tab w:val="right" w:leader="dot" w:pos="8793"/>
        </w:tabs>
        <w:ind w:left="1742" w:hanging="475"/>
        <w:rPr>
          <w:lang w:val="fr-CH"/>
        </w:rPr>
      </w:pPr>
      <w:r w:rsidRPr="005A39D0">
        <w:rPr>
          <w:lang w:val="fr-CH"/>
        </w:rPr>
        <w:t>(Voir par. 4.4 du présent Règlement)</w:t>
      </w:r>
    </w:p>
    <w:p w:rsidR="00F774A9" w:rsidRPr="005A39D0" w:rsidRDefault="00F774A9" w:rsidP="00F774A9">
      <w:pPr>
        <w:pStyle w:val="SingleTxt"/>
        <w:tabs>
          <w:tab w:val="clear" w:pos="2218"/>
          <w:tab w:val="clear" w:pos="2693"/>
          <w:tab w:val="clear" w:pos="3182"/>
          <w:tab w:val="clear" w:pos="3658"/>
          <w:tab w:val="clear" w:pos="4133"/>
          <w:tab w:val="clear" w:pos="4622"/>
          <w:tab w:val="clear" w:pos="5098"/>
          <w:tab w:val="clear" w:pos="5573"/>
          <w:tab w:val="clear" w:pos="6048"/>
          <w:tab w:val="right" w:leader="dot" w:pos="8793"/>
        </w:tabs>
        <w:spacing w:after="0" w:line="120" w:lineRule="exact"/>
        <w:ind w:left="1742" w:hanging="475"/>
        <w:rPr>
          <w:sz w:val="10"/>
          <w:lang w:val="fr-CH"/>
        </w:rPr>
      </w:pPr>
    </w:p>
    <w:p w:rsidR="00F774A9" w:rsidRPr="005A39D0" w:rsidRDefault="00F774A9" w:rsidP="00F774A9">
      <w:pPr>
        <w:pStyle w:val="SingleTxt"/>
        <w:tabs>
          <w:tab w:val="clear" w:pos="2218"/>
          <w:tab w:val="clear" w:pos="2693"/>
          <w:tab w:val="clear" w:pos="3182"/>
          <w:tab w:val="clear" w:pos="3658"/>
          <w:tab w:val="clear" w:pos="4133"/>
          <w:tab w:val="clear" w:pos="4622"/>
          <w:tab w:val="clear" w:pos="5098"/>
          <w:tab w:val="clear" w:pos="5573"/>
          <w:tab w:val="clear" w:pos="6048"/>
          <w:tab w:val="right" w:leader="dot" w:pos="8793"/>
        </w:tabs>
        <w:spacing w:after="0" w:line="120" w:lineRule="exact"/>
        <w:ind w:left="1742" w:hanging="475"/>
        <w:rPr>
          <w:sz w:val="10"/>
          <w:lang w:val="fr-CH"/>
        </w:rPr>
      </w:pPr>
    </w:p>
    <w:p w:rsidR="00F774A9" w:rsidRDefault="00E34A2D" w:rsidP="00F774A9">
      <w:pPr>
        <w:pStyle w:val="SingleTxtG"/>
      </w:pPr>
      <w:r>
        <w:rPr>
          <w:noProof/>
          <w:lang w:val="en-GB" w:eastAsia="en-GB"/>
        </w:rPr>
        <mc:AlternateContent>
          <mc:Choice Requires="wps">
            <w:drawing>
              <wp:anchor distT="0" distB="0" distL="114300" distR="114300" simplePos="0" relativeHeight="251672576" behindDoc="0" locked="0" layoutInCell="1" allowOverlap="1" wp14:anchorId="48DABAAC" wp14:editId="0A382524">
                <wp:simplePos x="0" y="0"/>
                <wp:positionH relativeFrom="column">
                  <wp:posOffset>3404235</wp:posOffset>
                </wp:positionH>
                <wp:positionV relativeFrom="paragraph">
                  <wp:posOffset>199694</wp:posOffset>
                </wp:positionV>
                <wp:extent cx="182880" cy="349858"/>
                <wp:effectExtent l="0" t="0" r="762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349858"/>
                        </a:xfrm>
                        <a:prstGeom prst="rect">
                          <a:avLst/>
                        </a:prstGeom>
                        <a:solidFill>
                          <a:srgbClr val="FFFFFF"/>
                        </a:solidFill>
                        <a:ln w="9525">
                          <a:noFill/>
                          <a:miter lim="800000"/>
                          <a:headEnd/>
                          <a:tailEnd/>
                        </a:ln>
                      </wps:spPr>
                      <wps:txbx>
                        <w:txbxContent>
                          <w:p w:rsidR="00E34A2D" w:rsidRPr="00E34A2D" w:rsidRDefault="00E34A2D" w:rsidP="00E34A2D">
                            <w:pPr>
                              <w:spacing w:before="120" w:line="360" w:lineRule="exact"/>
                              <w:rPr>
                                <w:rFonts w:ascii="Arial" w:hAnsi="Arial" w:cs="Arial"/>
                                <w:sz w:val="36"/>
                                <w:szCs w:val="36"/>
                              </w:rPr>
                            </w:pPr>
                            <w:r w:rsidRPr="00E34A2D">
                              <w:rPr>
                                <w:rFonts w:ascii="Arial" w:hAnsi="Arial" w:cs="Arial"/>
                                <w:sz w:val="36"/>
                                <w:szCs w:val="36"/>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left:0;text-align:left;margin-left:268.05pt;margin-top:15.7pt;width:14.4pt;height:2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" stroked="f">
                <v:textbox inset="0,0,0,0">
                  <w:txbxContent>
                    <w:p w:rsidR="00E34A2D" w:rsidRPr="00E34A2D" w:rsidRDefault="00E34A2D" w:rsidP="00E34A2D">
                      <w:pPr>
                        <w:spacing w:before="120" w:line="360" w:lineRule="exact"/>
                        <w:rPr>
                          <w:rFonts w:ascii="Arial" w:hAnsi="Arial" w:cs="Arial"/>
                          <w:sz w:val="36"/>
                          <w:szCs w:val="36"/>
                        </w:rPr>
                      </w:pPr>
                      <w:r w:rsidRPr="00E34A2D">
                        <w:rPr>
                          <w:rFonts w:ascii="Arial" w:hAnsi="Arial" w:cs="Arial"/>
                          <w:sz w:val="36"/>
                          <w:szCs w:val="36"/>
                        </w:rPr>
                        <w:t>7</w:t>
                      </w:r>
                    </w:p>
                  </w:txbxContent>
                </v:textbox>
              </v:shape>
            </w:pict>
          </mc:Fallback>
        </mc:AlternateContent>
      </w:r>
      <w:r w:rsidR="00F774A9">
        <w:rPr>
          <w:noProof/>
          <w:lang w:val="en-GB" w:eastAsia="en-GB"/>
        </w:rPr>
        <mc:AlternateContent>
          <mc:Choice Requires="wps">
            <w:drawing>
              <wp:anchor distT="0" distB="0" distL="114300" distR="114300" simplePos="0" relativeHeight="251669504" behindDoc="0" locked="0" layoutInCell="1" allowOverlap="1" wp14:anchorId="261310B7" wp14:editId="4474FE7E">
                <wp:simplePos x="0" y="0"/>
                <wp:positionH relativeFrom="column">
                  <wp:posOffset>5132070</wp:posOffset>
                </wp:positionH>
                <wp:positionV relativeFrom="paragraph">
                  <wp:posOffset>222885</wp:posOffset>
                </wp:positionV>
                <wp:extent cx="237490" cy="1403985"/>
                <wp:effectExtent l="0" t="0" r="0" b="0"/>
                <wp:wrapNone/>
                <wp:docPr id="3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403985"/>
                        </a:xfrm>
                        <a:prstGeom prst="rect">
                          <a:avLst/>
                        </a:prstGeom>
                        <a:solidFill>
                          <a:srgbClr val="FFFFFF"/>
                        </a:solidFill>
                        <a:ln w="9525">
                          <a:noFill/>
                          <a:miter lim="800000"/>
                          <a:headEnd/>
                          <a:tailEnd/>
                        </a:ln>
                      </wps:spPr>
                      <wps:txbx>
                        <w:txbxContent>
                          <w:p w:rsidR="00CC7761" w:rsidRPr="003F1617" w:rsidRDefault="00CC7761" w:rsidP="00F774A9">
                            <w:pPr>
                              <w:rPr>
                                <w:rFonts w:ascii="Arial" w:hAnsi="Arial" w:cs="Arial"/>
                                <w:sz w:val="18"/>
                                <w:szCs w:val="18"/>
                                <w:u w:val="single"/>
                              </w:rPr>
                            </w:pPr>
                            <w:r w:rsidRPr="003F1617">
                              <w:rPr>
                                <w:rFonts w:ascii="Arial" w:hAnsi="Arial" w:cs="Arial"/>
                                <w:sz w:val="18"/>
                                <w:szCs w:val="18"/>
                                <w:u w:val="single"/>
                              </w:rPr>
                              <w:t>a</w:t>
                            </w:r>
                          </w:p>
                          <w:p w:rsidR="00CC7761" w:rsidRPr="003F1617" w:rsidRDefault="00CC7761" w:rsidP="00F774A9">
                            <w:pPr>
                              <w:spacing w:line="140" w:lineRule="atLeast"/>
                              <w:rPr>
                                <w:rFonts w:ascii="Arial" w:hAnsi="Arial" w:cs="Arial"/>
                                <w:sz w:val="18"/>
                                <w:szCs w:val="18"/>
                              </w:rPr>
                            </w:pPr>
                            <w:r>
                              <w:rPr>
                                <w:rFonts w:ascii="Arial" w:hAnsi="Arial" w:cs="Arial"/>
                                <w:sz w:val="18"/>
                                <w:szCs w:val="18"/>
                              </w:rPr>
                              <w:t>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04.1pt;margin-top:17.55pt;width:18.7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" stroked="f">
                <v:textbox style="mso-fit-shape-to-text:t" inset="0,0,0,0">
                  <w:txbxContent>
                    <w:p w:rsidR="00CC7761" w:rsidRPr="003F1617" w:rsidRDefault="00CC7761" w:rsidP="00F774A9">
                      <w:pPr>
                        <w:rPr>
                          <w:rFonts w:ascii="Arial" w:hAnsi="Arial" w:cs="Arial"/>
                          <w:sz w:val="18"/>
                          <w:szCs w:val="18"/>
                          <w:u w:val="single"/>
                        </w:rPr>
                      </w:pPr>
                      <w:r w:rsidRPr="003F1617">
                        <w:rPr>
                          <w:rFonts w:ascii="Arial" w:hAnsi="Arial" w:cs="Arial"/>
                          <w:sz w:val="18"/>
                          <w:szCs w:val="18"/>
                          <w:u w:val="single"/>
                        </w:rPr>
                        <w:t>a</w:t>
                      </w:r>
                    </w:p>
                    <w:p w:rsidR="00CC7761" w:rsidRPr="003F1617" w:rsidRDefault="00CC7761" w:rsidP="00F774A9">
                      <w:pPr>
                        <w:spacing w:line="140" w:lineRule="atLeast"/>
                        <w:rPr>
                          <w:rFonts w:ascii="Arial" w:hAnsi="Arial" w:cs="Arial"/>
                          <w:sz w:val="18"/>
                          <w:szCs w:val="18"/>
                        </w:rPr>
                      </w:pPr>
                      <w:r>
                        <w:rPr>
                          <w:rFonts w:ascii="Arial" w:hAnsi="Arial" w:cs="Arial"/>
                          <w:sz w:val="18"/>
                          <w:szCs w:val="18"/>
                        </w:rPr>
                        <w:t>3</w:t>
                      </w:r>
                    </w:p>
                  </w:txbxContent>
                </v:textbox>
              </v:shape>
            </w:pict>
          </mc:Fallback>
        </mc:AlternateContent>
      </w:r>
      <w:r w:rsidR="00F774A9">
        <w:rPr>
          <w:noProof/>
          <w:lang w:val="en-GB" w:eastAsia="en-GB"/>
        </w:rPr>
        <mc:AlternateContent>
          <mc:Choice Requires="wps">
            <w:drawing>
              <wp:anchor distT="0" distB="0" distL="114300" distR="114300" simplePos="0" relativeHeight="251667456" behindDoc="0" locked="0" layoutInCell="1" allowOverlap="1" wp14:anchorId="57540296" wp14:editId="4CF41406">
                <wp:simplePos x="0" y="0"/>
                <wp:positionH relativeFrom="column">
                  <wp:posOffset>1118870</wp:posOffset>
                </wp:positionH>
                <wp:positionV relativeFrom="paragraph">
                  <wp:posOffset>191135</wp:posOffset>
                </wp:positionV>
                <wp:extent cx="237490" cy="1403985"/>
                <wp:effectExtent l="0" t="0" r="0" b="0"/>
                <wp:wrapNone/>
                <wp:docPr id="3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403985"/>
                        </a:xfrm>
                        <a:prstGeom prst="rect">
                          <a:avLst/>
                        </a:prstGeom>
                        <a:solidFill>
                          <a:srgbClr val="FFFFFF"/>
                        </a:solidFill>
                        <a:ln w="9525">
                          <a:noFill/>
                          <a:miter lim="800000"/>
                          <a:headEnd/>
                          <a:tailEnd/>
                        </a:ln>
                      </wps:spPr>
                      <wps:txbx>
                        <w:txbxContent>
                          <w:p w:rsidR="00CC7761" w:rsidRPr="003F1617" w:rsidRDefault="00CC7761" w:rsidP="00F774A9">
                            <w:pPr>
                              <w:rPr>
                                <w:rFonts w:ascii="Arial" w:hAnsi="Arial" w:cs="Arial"/>
                                <w:sz w:val="18"/>
                                <w:szCs w:val="18"/>
                                <w:u w:val="single"/>
                              </w:rPr>
                            </w:pPr>
                            <w:r w:rsidRPr="003F1617">
                              <w:rPr>
                                <w:rFonts w:ascii="Arial" w:hAnsi="Arial" w:cs="Arial"/>
                                <w:sz w:val="18"/>
                                <w:szCs w:val="18"/>
                                <w:u w:val="single"/>
                              </w:rPr>
                              <w:t>a</w:t>
                            </w:r>
                          </w:p>
                          <w:p w:rsidR="00CC7761" w:rsidRPr="003F1617" w:rsidRDefault="00CC7761" w:rsidP="00F774A9">
                            <w:pPr>
                              <w:spacing w:line="140" w:lineRule="atLeast"/>
                              <w:rPr>
                                <w:rFonts w:ascii="Arial" w:hAnsi="Arial" w:cs="Arial"/>
                                <w:sz w:val="18"/>
                                <w:szCs w:val="18"/>
                              </w:rPr>
                            </w:pPr>
                            <w:r w:rsidRPr="003F1617">
                              <w:rPr>
                                <w:rFonts w:ascii="Arial" w:hAnsi="Arial" w:cs="Arial"/>
                                <w:sz w:val="18"/>
                                <w:szCs w:val="18"/>
                              </w:rPr>
                              <w:t>2</w:t>
                            </w:r>
                          </w:p>
                        </w:txbxContent>
                      </wps:txbx>
                      <wps:bodyPr rot="0" vert="horz" wrap="square" lIns="9144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88.1pt;margin-top:15.05pt;width:18.7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" stroked="f">
                <v:textbox style="mso-fit-shape-to-text:t" inset=",0,0,0">
                  <w:txbxContent>
                    <w:p w:rsidR="00CC7761" w:rsidRPr="003F1617" w:rsidRDefault="00CC7761" w:rsidP="00F774A9">
                      <w:pPr>
                        <w:rPr>
                          <w:rFonts w:ascii="Arial" w:hAnsi="Arial" w:cs="Arial"/>
                          <w:sz w:val="18"/>
                          <w:szCs w:val="18"/>
                          <w:u w:val="single"/>
                        </w:rPr>
                      </w:pPr>
                      <w:r w:rsidRPr="003F1617">
                        <w:rPr>
                          <w:rFonts w:ascii="Arial" w:hAnsi="Arial" w:cs="Arial"/>
                          <w:sz w:val="18"/>
                          <w:szCs w:val="18"/>
                          <w:u w:val="single"/>
                        </w:rPr>
                        <w:t>a</w:t>
                      </w:r>
                    </w:p>
                    <w:p w:rsidR="00CC7761" w:rsidRPr="003F1617" w:rsidRDefault="00CC7761" w:rsidP="00F774A9">
                      <w:pPr>
                        <w:spacing w:line="140" w:lineRule="atLeast"/>
                        <w:rPr>
                          <w:rFonts w:ascii="Arial" w:hAnsi="Arial" w:cs="Arial"/>
                          <w:sz w:val="18"/>
                          <w:szCs w:val="18"/>
                        </w:rPr>
                      </w:pPr>
                      <w:r w:rsidRPr="003F1617">
                        <w:rPr>
                          <w:rFonts w:ascii="Arial" w:hAnsi="Arial" w:cs="Arial"/>
                          <w:sz w:val="18"/>
                          <w:szCs w:val="18"/>
                        </w:rPr>
                        <w:t>2</w:t>
                      </w:r>
                    </w:p>
                  </w:txbxContent>
                </v:textbox>
              </v:shape>
            </w:pict>
          </mc:Fallback>
        </mc:AlternateContent>
      </w:r>
      <w:r w:rsidR="00F774A9">
        <w:rPr>
          <w:noProof/>
          <w:lang w:val="en-GB" w:eastAsia="en-GB"/>
        </w:rPr>
        <mc:AlternateContent>
          <mc:Choice Requires="wps">
            <w:drawing>
              <wp:anchor distT="0" distB="0" distL="114300" distR="114300" simplePos="0" relativeHeight="251668480" behindDoc="0" locked="0" layoutInCell="1" allowOverlap="1" wp14:anchorId="4AB11AB9" wp14:editId="075AFE4E">
                <wp:simplePos x="0" y="0"/>
                <wp:positionH relativeFrom="column">
                  <wp:posOffset>2788920</wp:posOffset>
                </wp:positionH>
                <wp:positionV relativeFrom="paragraph">
                  <wp:posOffset>222885</wp:posOffset>
                </wp:positionV>
                <wp:extent cx="237490" cy="1403985"/>
                <wp:effectExtent l="0" t="0" r="0" b="0"/>
                <wp:wrapNone/>
                <wp:docPr id="3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403985"/>
                        </a:xfrm>
                        <a:prstGeom prst="rect">
                          <a:avLst/>
                        </a:prstGeom>
                        <a:solidFill>
                          <a:srgbClr val="FFFFFF"/>
                        </a:solidFill>
                        <a:ln w="9525">
                          <a:noFill/>
                          <a:miter lim="800000"/>
                          <a:headEnd/>
                          <a:tailEnd/>
                        </a:ln>
                      </wps:spPr>
                      <wps:txbx>
                        <w:txbxContent>
                          <w:p w:rsidR="00CC7761" w:rsidRPr="003F1617" w:rsidRDefault="00CC7761" w:rsidP="00F774A9">
                            <w:pPr>
                              <w:rPr>
                                <w:rFonts w:ascii="Arial" w:hAnsi="Arial" w:cs="Arial"/>
                                <w:sz w:val="18"/>
                                <w:szCs w:val="18"/>
                                <w:u w:val="single"/>
                              </w:rPr>
                            </w:pPr>
                            <w:r w:rsidRPr="003F1617">
                              <w:rPr>
                                <w:rFonts w:ascii="Arial" w:hAnsi="Arial" w:cs="Arial"/>
                                <w:sz w:val="18"/>
                                <w:szCs w:val="18"/>
                                <w:u w:val="single"/>
                              </w:rPr>
                              <w:t>a</w:t>
                            </w:r>
                          </w:p>
                          <w:p w:rsidR="00CC7761" w:rsidRPr="003F1617" w:rsidRDefault="00CC7761" w:rsidP="00F774A9">
                            <w:pPr>
                              <w:spacing w:line="140" w:lineRule="atLeast"/>
                              <w:rPr>
                                <w:rFonts w:ascii="Arial" w:hAnsi="Arial" w:cs="Arial"/>
                                <w:sz w:val="18"/>
                                <w:szCs w:val="18"/>
                              </w:rPr>
                            </w:pPr>
                            <w:r>
                              <w:rPr>
                                <w:rFonts w:ascii="Arial" w:hAnsi="Arial" w:cs="Arial"/>
                                <w:sz w:val="18"/>
                                <w:szCs w:val="18"/>
                              </w:rPr>
                              <w:t>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19.6pt;margin-top:17.55pt;width:18.7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" stroked="f">
                <v:textbox style="mso-fit-shape-to-text:t" inset="0,0,0,0">
                  <w:txbxContent>
                    <w:p w:rsidR="00CC7761" w:rsidRPr="003F1617" w:rsidRDefault="00CC7761" w:rsidP="00F774A9">
                      <w:pPr>
                        <w:rPr>
                          <w:rFonts w:ascii="Arial" w:hAnsi="Arial" w:cs="Arial"/>
                          <w:sz w:val="18"/>
                          <w:szCs w:val="18"/>
                          <w:u w:val="single"/>
                        </w:rPr>
                      </w:pPr>
                      <w:r w:rsidRPr="003F1617">
                        <w:rPr>
                          <w:rFonts w:ascii="Arial" w:hAnsi="Arial" w:cs="Arial"/>
                          <w:sz w:val="18"/>
                          <w:szCs w:val="18"/>
                          <w:u w:val="single"/>
                        </w:rPr>
                        <w:t>a</w:t>
                      </w:r>
                    </w:p>
                    <w:p w:rsidR="00CC7761" w:rsidRPr="003F1617" w:rsidRDefault="00CC7761" w:rsidP="00F774A9">
                      <w:pPr>
                        <w:spacing w:line="140" w:lineRule="atLeast"/>
                        <w:rPr>
                          <w:rFonts w:ascii="Arial" w:hAnsi="Arial" w:cs="Arial"/>
                          <w:sz w:val="18"/>
                          <w:szCs w:val="18"/>
                        </w:rPr>
                      </w:pPr>
                      <w:r>
                        <w:rPr>
                          <w:rFonts w:ascii="Arial" w:hAnsi="Arial" w:cs="Arial"/>
                          <w:sz w:val="18"/>
                          <w:szCs w:val="18"/>
                        </w:rPr>
                        <w:t>3</w:t>
                      </w:r>
                    </w:p>
                  </w:txbxContent>
                </v:textbox>
              </v:shape>
            </w:pict>
          </mc:Fallback>
        </mc:AlternateContent>
      </w:r>
      <w:r w:rsidR="00F774A9">
        <w:rPr>
          <w:noProof/>
          <w:lang w:val="en-GB" w:eastAsia="en-GB"/>
        </w:rPr>
        <w:drawing>
          <wp:inline distT="0" distB="0" distL="0" distR="0" wp14:anchorId="3C8032ED" wp14:editId="1D2E817F">
            <wp:extent cx="4640400" cy="705600"/>
            <wp:effectExtent l="0" t="0" r="8255" b="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0400" cy="705600"/>
                    </a:xfrm>
                    <a:prstGeom prst="rect">
                      <a:avLst/>
                    </a:prstGeom>
                    <a:noFill/>
                  </pic:spPr>
                </pic:pic>
              </a:graphicData>
            </a:graphic>
          </wp:inline>
        </w:drawing>
      </w:r>
    </w:p>
    <w:p w:rsidR="00F774A9" w:rsidRPr="00CC7761" w:rsidRDefault="00F774A9" w:rsidP="00F774A9">
      <w:pPr>
        <w:pStyle w:val="SingleTxt"/>
        <w:tabs>
          <w:tab w:val="right" w:leader="dot" w:pos="8793"/>
        </w:tabs>
        <w:spacing w:after="0" w:line="240" w:lineRule="auto"/>
        <w:ind w:left="1742" w:hanging="475"/>
        <w:jc w:val="right"/>
        <w:rPr>
          <w:lang w:val="fr-CH"/>
        </w:rPr>
      </w:pPr>
      <w:r w:rsidRPr="00CC7761">
        <w:rPr>
          <w:lang w:val="fr-CH"/>
        </w:rPr>
        <w:t>a = 8 mm min</w:t>
      </w:r>
    </w:p>
    <w:p w:rsidR="00F774A9" w:rsidRPr="00CC7761" w:rsidRDefault="00F774A9" w:rsidP="00F774A9">
      <w:pPr>
        <w:pStyle w:val="SingleTxt"/>
        <w:tabs>
          <w:tab w:val="right" w:leader="dot" w:pos="8793"/>
        </w:tabs>
        <w:spacing w:after="0" w:line="120" w:lineRule="exact"/>
        <w:ind w:left="1742" w:hanging="475"/>
        <w:jc w:val="right"/>
        <w:rPr>
          <w:sz w:val="10"/>
          <w:lang w:val="fr-CH"/>
        </w:rPr>
      </w:pPr>
    </w:p>
    <w:p w:rsidR="00F774A9" w:rsidRPr="00267A3F" w:rsidRDefault="00F774A9" w:rsidP="00F774A9">
      <w:pPr>
        <w:pStyle w:val="SingleTxt"/>
        <w:tabs>
          <w:tab w:val="right" w:leader="dot" w:pos="8793"/>
        </w:tabs>
        <w:spacing w:after="0" w:line="120" w:lineRule="exact"/>
        <w:ind w:left="1742" w:hanging="475"/>
        <w:jc w:val="right"/>
        <w:rPr>
          <w:sz w:val="10"/>
          <w:lang w:val="fr-CH"/>
        </w:rPr>
      </w:pPr>
    </w:p>
    <w:p w:rsidR="00F774A9" w:rsidRDefault="00F774A9" w:rsidP="00F774A9">
      <w:pPr>
        <w:pStyle w:val="SingleTxt"/>
        <w:rPr>
          <w:lang w:val="fr-CH"/>
        </w:rPr>
      </w:pPr>
      <w:r w:rsidRPr="005A39D0">
        <w:rPr>
          <w:lang w:val="fr-CH"/>
        </w:rPr>
        <w:tab/>
      </w:r>
      <w:r w:rsidRPr="00267A3F">
        <w:rPr>
          <w:lang w:val="fr-CH"/>
        </w:rPr>
        <w:t xml:space="preserve">La marque d’homologation ci-dessus, apposée sur un véhicule, indique que le type de ce véhicule a été homologué en France (E2) en ce qui concerne la protection des occupants en cas de </w:t>
      </w:r>
      <w:r>
        <w:rPr>
          <w:lang w:val="fr-CH"/>
        </w:rPr>
        <w:t>choc avant</w:t>
      </w:r>
      <w:r w:rsidRPr="00267A3F">
        <w:rPr>
          <w:lang w:val="fr-CH"/>
        </w:rPr>
        <w:t>, en application du Règlement n</w:t>
      </w:r>
      <w:r w:rsidRPr="00267A3F">
        <w:rPr>
          <w:vertAlign w:val="superscript"/>
          <w:lang w:val="fr-CH"/>
        </w:rPr>
        <w:t>o</w:t>
      </w:r>
      <w:r w:rsidRPr="00267A3F">
        <w:rPr>
          <w:lang w:val="fr-CH"/>
        </w:rPr>
        <w:t> [13</w:t>
      </w:r>
      <w:r>
        <w:rPr>
          <w:lang w:val="fr-CH"/>
        </w:rPr>
        <w:t>7</w:t>
      </w:r>
      <w:r w:rsidRPr="00267A3F">
        <w:rPr>
          <w:lang w:val="fr-CH"/>
        </w:rPr>
        <w:t>] sous le numéro d’homologation 001424. Le numéro d’homologation indique que l’homologation a été délivrée conformément aux prescriptions du Règlement n</w:t>
      </w:r>
      <w:r w:rsidRPr="00267A3F">
        <w:rPr>
          <w:vertAlign w:val="superscript"/>
          <w:lang w:val="fr-CH"/>
        </w:rPr>
        <w:t>o</w:t>
      </w:r>
      <w:r w:rsidRPr="00267A3F">
        <w:rPr>
          <w:lang w:val="fr-CH"/>
        </w:rPr>
        <w:t> [13</w:t>
      </w:r>
      <w:r>
        <w:rPr>
          <w:lang w:val="fr-CH"/>
        </w:rPr>
        <w:t>7</w:t>
      </w:r>
      <w:r w:rsidRPr="00267A3F">
        <w:rPr>
          <w:lang w:val="fr-CH"/>
        </w:rPr>
        <w:t>] série 00 d’amendements.</w:t>
      </w:r>
    </w:p>
    <w:p w:rsidR="00F774A9" w:rsidRPr="00731F5E" w:rsidRDefault="00F774A9" w:rsidP="00F774A9">
      <w:pPr>
        <w:pStyle w:val="SingleTxt"/>
        <w:spacing w:after="0" w:line="120" w:lineRule="exact"/>
        <w:rPr>
          <w:sz w:val="10"/>
          <w:lang w:val="fr-CH"/>
        </w:rPr>
      </w:pPr>
    </w:p>
    <w:p w:rsidR="00F774A9" w:rsidRDefault="00F774A9" w:rsidP="00F774A9">
      <w:pPr>
        <w:pStyle w:val="H56"/>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5A39D0">
        <w:rPr>
          <w:lang w:val="fr-CH"/>
        </w:rPr>
        <w:t>Modèle B</w:t>
      </w:r>
    </w:p>
    <w:p w:rsidR="00F774A9" w:rsidRPr="00731F5E" w:rsidRDefault="00F774A9" w:rsidP="00F774A9">
      <w:pPr>
        <w:pStyle w:val="SingleTxt"/>
        <w:spacing w:after="0" w:line="120" w:lineRule="exact"/>
        <w:rPr>
          <w:sz w:val="10"/>
          <w:lang w:val="fr-CH"/>
        </w:rPr>
      </w:pPr>
    </w:p>
    <w:p w:rsidR="00F774A9" w:rsidRDefault="00F774A9" w:rsidP="00F774A9">
      <w:pPr>
        <w:pStyle w:val="SingleTxt"/>
        <w:tabs>
          <w:tab w:val="clear" w:pos="2218"/>
          <w:tab w:val="clear" w:pos="2693"/>
          <w:tab w:val="clear" w:pos="3182"/>
          <w:tab w:val="clear" w:pos="3658"/>
          <w:tab w:val="clear" w:pos="4133"/>
          <w:tab w:val="clear" w:pos="4622"/>
          <w:tab w:val="clear" w:pos="5098"/>
          <w:tab w:val="clear" w:pos="5573"/>
          <w:tab w:val="clear" w:pos="6048"/>
          <w:tab w:val="right" w:leader="dot" w:pos="8793"/>
        </w:tabs>
        <w:spacing w:after="0" w:line="240" w:lineRule="auto"/>
        <w:ind w:left="1742" w:hanging="475"/>
        <w:rPr>
          <w:lang w:val="fr-CH"/>
        </w:rPr>
      </w:pPr>
      <w:r>
        <w:rPr>
          <w:lang w:val="fr-CH"/>
        </w:rPr>
        <w:t>(Voir par. </w:t>
      </w:r>
      <w:r w:rsidRPr="005A39D0">
        <w:rPr>
          <w:lang w:val="fr-CH"/>
        </w:rPr>
        <w:t>4.5 du présent Règlement)</w:t>
      </w:r>
    </w:p>
    <w:p w:rsidR="00F774A9" w:rsidRPr="005A39D0" w:rsidRDefault="00F774A9" w:rsidP="00F774A9">
      <w:pPr>
        <w:pStyle w:val="SingleTxt"/>
        <w:tabs>
          <w:tab w:val="clear" w:pos="2218"/>
          <w:tab w:val="clear" w:pos="2693"/>
          <w:tab w:val="clear" w:pos="3182"/>
          <w:tab w:val="clear" w:pos="3658"/>
          <w:tab w:val="clear" w:pos="4133"/>
          <w:tab w:val="clear" w:pos="4622"/>
          <w:tab w:val="clear" w:pos="5098"/>
          <w:tab w:val="clear" w:pos="5573"/>
          <w:tab w:val="clear" w:pos="6048"/>
          <w:tab w:val="right" w:leader="dot" w:pos="8793"/>
        </w:tabs>
        <w:spacing w:after="0" w:line="120" w:lineRule="exact"/>
        <w:ind w:left="1742" w:hanging="475"/>
        <w:rPr>
          <w:sz w:val="10"/>
          <w:lang w:val="fr-CH"/>
        </w:rPr>
      </w:pPr>
    </w:p>
    <w:p w:rsidR="00F774A9" w:rsidRDefault="00F774A9" w:rsidP="00F774A9">
      <w:pPr>
        <w:pStyle w:val="SingleTxt"/>
        <w:tabs>
          <w:tab w:val="clear" w:pos="2218"/>
          <w:tab w:val="clear" w:pos="2693"/>
          <w:tab w:val="clear" w:pos="3182"/>
          <w:tab w:val="clear" w:pos="3658"/>
          <w:tab w:val="clear" w:pos="4133"/>
          <w:tab w:val="clear" w:pos="4622"/>
          <w:tab w:val="clear" w:pos="5098"/>
          <w:tab w:val="clear" w:pos="5573"/>
          <w:tab w:val="clear" w:pos="6048"/>
          <w:tab w:val="right" w:leader="dot" w:pos="8793"/>
        </w:tabs>
        <w:spacing w:after="0" w:line="120" w:lineRule="exact"/>
        <w:ind w:left="1742" w:hanging="475"/>
        <w:rPr>
          <w:sz w:val="10"/>
          <w:lang w:val="fr-CH"/>
        </w:rPr>
      </w:pPr>
    </w:p>
    <w:p w:rsidR="00F774A9" w:rsidRDefault="00E34A2D" w:rsidP="00F774A9">
      <w:pPr>
        <w:pStyle w:val="SingleTxtG"/>
      </w:pPr>
      <w:r>
        <w:rPr>
          <w:noProof/>
          <w:lang w:val="en-GB" w:eastAsia="en-GB"/>
        </w:rPr>
        <mc:AlternateContent>
          <mc:Choice Requires="wps">
            <w:drawing>
              <wp:anchor distT="0" distB="0" distL="114300" distR="114300" simplePos="0" relativeHeight="251676672" behindDoc="0" locked="0" layoutInCell="1" allowOverlap="1" wp14:anchorId="7C762CED" wp14:editId="5CA68C49">
                <wp:simplePos x="0" y="0"/>
                <wp:positionH relativeFrom="column">
                  <wp:posOffset>3937883</wp:posOffset>
                </wp:positionH>
                <wp:positionV relativeFrom="paragraph">
                  <wp:posOffset>891236</wp:posOffset>
                </wp:positionV>
                <wp:extent cx="906449" cy="174929"/>
                <wp:effectExtent l="0" t="0" r="8255"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9" cy="174929"/>
                        </a:xfrm>
                        <a:prstGeom prst="rect">
                          <a:avLst/>
                        </a:prstGeom>
                        <a:solidFill>
                          <a:srgbClr val="FFFFFF"/>
                        </a:solidFill>
                        <a:ln w="9525">
                          <a:noFill/>
                          <a:miter lim="800000"/>
                          <a:headEnd/>
                          <a:tailEnd/>
                        </a:ln>
                      </wps:spPr>
                      <wps:txbx>
                        <w:txbxContent>
                          <w:p w:rsidR="00E34A2D" w:rsidRPr="00E34A2D" w:rsidRDefault="00E34A2D" w:rsidP="00E34A2D">
                            <w:pPr>
                              <w:spacing w:line="360" w:lineRule="exact"/>
                              <w:rPr>
                                <w:rFonts w:ascii="Arial" w:hAnsi="Arial" w:cs="Arial"/>
                                <w:b/>
                                <w:bCs/>
                                <w:sz w:val="32"/>
                                <w:szCs w:val="3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10.05pt;margin-top:70.2pt;width:71.35pt;height:1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" stroked="f">
                <v:textbox inset="0,0,0,0">
                  <w:txbxContent>
                    <w:p w:rsidR="00E34A2D" w:rsidRPr="00E34A2D" w:rsidRDefault="00E34A2D" w:rsidP="00E34A2D">
                      <w:pPr>
                        <w:spacing w:line="360" w:lineRule="exact"/>
                        <w:rPr>
                          <w:rFonts w:ascii="Arial" w:hAnsi="Arial" w:cs="Arial"/>
                          <w:b/>
                          <w:bCs/>
                          <w:sz w:val="32"/>
                          <w:szCs w:val="32"/>
                        </w:rPr>
                      </w:pPr>
                    </w:p>
                  </w:txbxContent>
                </v:textbox>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67DC9F1A" wp14:editId="15D08B21">
                <wp:simplePos x="0" y="0"/>
                <wp:positionH relativeFrom="column">
                  <wp:posOffset>2896235</wp:posOffset>
                </wp:positionH>
                <wp:positionV relativeFrom="paragraph">
                  <wp:posOffset>254331</wp:posOffset>
                </wp:positionV>
                <wp:extent cx="135173" cy="246297"/>
                <wp:effectExtent l="0" t="0" r="0" b="1905"/>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73" cy="246297"/>
                        </a:xfrm>
                        <a:prstGeom prst="rect">
                          <a:avLst/>
                        </a:prstGeom>
                        <a:solidFill>
                          <a:srgbClr val="FFFFFF"/>
                        </a:solidFill>
                        <a:ln w="9525">
                          <a:noFill/>
                          <a:miter lim="800000"/>
                          <a:headEnd/>
                          <a:tailEnd/>
                        </a:ln>
                      </wps:spPr>
                      <wps:txbx>
                        <w:txbxContent>
                          <w:p w:rsidR="00E34A2D" w:rsidRPr="00E34A2D" w:rsidRDefault="00E34A2D" w:rsidP="00E34A2D">
                            <w:pPr>
                              <w:spacing w:line="360" w:lineRule="exact"/>
                              <w:rPr>
                                <w:rFonts w:ascii="Arial" w:hAnsi="Arial" w:cs="Arial"/>
                                <w:b/>
                                <w:bCs/>
                                <w:color w:val="FF0000"/>
                                <w:sz w:val="32"/>
                                <w:szCs w:val="32"/>
                              </w:rPr>
                            </w:pPr>
                            <w:r w:rsidRPr="00E34A2D">
                              <w:rPr>
                                <w:rFonts w:ascii="Arial" w:hAnsi="Arial" w:cs="Arial"/>
                                <w:b/>
                                <w:bCs/>
                                <w:color w:val="FF0000"/>
                                <w:sz w:val="32"/>
                                <w:szCs w:val="32"/>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28.05pt;margin-top:20.05pt;width:10.65pt;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" stroked="f">
                <v:textbox inset="0,0,0,0">
                  <w:txbxContent>
                    <w:p w:rsidR="00E34A2D" w:rsidRPr="00E34A2D" w:rsidRDefault="00E34A2D" w:rsidP="00E34A2D">
                      <w:pPr>
                        <w:spacing w:line="360" w:lineRule="exact"/>
                        <w:rPr>
                          <w:rFonts w:ascii="Arial" w:hAnsi="Arial" w:cs="Arial"/>
                          <w:b/>
                          <w:bCs/>
                          <w:color w:val="FF0000"/>
                          <w:sz w:val="32"/>
                          <w:szCs w:val="32"/>
                        </w:rPr>
                      </w:pPr>
                      <w:r w:rsidRPr="00E34A2D">
                        <w:rPr>
                          <w:rFonts w:ascii="Arial" w:hAnsi="Arial" w:cs="Arial"/>
                          <w:b/>
                          <w:bCs/>
                          <w:color w:val="FF0000"/>
                          <w:sz w:val="32"/>
                          <w:szCs w:val="32"/>
                        </w:rPr>
                        <w:t>7</w:t>
                      </w:r>
                    </w:p>
                  </w:txbxContent>
                </v:textbox>
              </v:shape>
            </w:pict>
          </mc:Fallback>
        </mc:AlternateContent>
      </w:r>
      <w:r w:rsidR="00F774A9">
        <w:rPr>
          <w:noProof/>
          <w:lang w:val="en-GB" w:eastAsia="en-GB"/>
        </w:rPr>
        <w:drawing>
          <wp:inline distT="0" distB="0" distL="0" distR="0" wp14:anchorId="3A09569C" wp14:editId="134C75E4">
            <wp:extent cx="4640400" cy="1180800"/>
            <wp:effectExtent l="0" t="0" r="8255" b="635"/>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0400" cy="1180800"/>
                    </a:xfrm>
                    <a:prstGeom prst="rect">
                      <a:avLst/>
                    </a:prstGeom>
                    <a:noFill/>
                  </pic:spPr>
                </pic:pic>
              </a:graphicData>
            </a:graphic>
          </wp:inline>
        </w:drawing>
      </w:r>
    </w:p>
    <w:p w:rsidR="00F774A9" w:rsidRPr="00CC7761" w:rsidRDefault="00F774A9" w:rsidP="00F774A9">
      <w:pPr>
        <w:pStyle w:val="SingleTxt"/>
        <w:spacing w:after="0" w:line="240" w:lineRule="auto"/>
        <w:jc w:val="right"/>
        <w:rPr>
          <w:lang w:val="fr-CH"/>
        </w:rPr>
      </w:pPr>
      <w:r w:rsidRPr="00CC7761">
        <w:rPr>
          <w:lang w:val="fr-CH"/>
        </w:rPr>
        <w:t>a = 8 mm min</w:t>
      </w:r>
    </w:p>
    <w:p w:rsidR="00F774A9" w:rsidRPr="00CC7761" w:rsidRDefault="00F774A9" w:rsidP="00F774A9">
      <w:pPr>
        <w:pStyle w:val="SingleTxt"/>
        <w:spacing w:after="0" w:line="120" w:lineRule="exact"/>
        <w:jc w:val="right"/>
        <w:rPr>
          <w:sz w:val="10"/>
          <w:lang w:val="fr-CH"/>
        </w:rPr>
      </w:pPr>
    </w:p>
    <w:p w:rsidR="00F774A9" w:rsidRPr="00731F5E" w:rsidRDefault="00F774A9" w:rsidP="00F774A9">
      <w:pPr>
        <w:pStyle w:val="SingleTxt"/>
        <w:spacing w:after="0" w:line="120" w:lineRule="exact"/>
        <w:jc w:val="right"/>
        <w:rPr>
          <w:sz w:val="10"/>
          <w:lang w:val="fr-CH"/>
        </w:rPr>
      </w:pPr>
    </w:p>
    <w:p w:rsidR="007360C7" w:rsidRDefault="00F774A9" w:rsidP="00F774A9">
      <w:pPr>
        <w:pStyle w:val="SingleTxt"/>
        <w:rPr>
          <w:lang w:val="fr-CH"/>
        </w:rPr>
      </w:pPr>
      <w:r w:rsidRPr="00267A3F">
        <w:rPr>
          <w:lang w:val="fr-CH"/>
        </w:rPr>
        <w:tab/>
        <w:t xml:space="preserve">La marque d’homologation ci-dessus, apposée sur un véhicule, indique que le type de ce véhicule </w:t>
      </w:r>
      <w:r w:rsidR="00E34A2D">
        <w:rPr>
          <w:lang w:val="fr-CH"/>
        </w:rPr>
        <w:t>a été homologué aux Pays-Bas (E</w:t>
      </w:r>
      <w:r w:rsidRPr="00267A3F">
        <w:rPr>
          <w:lang w:val="fr-CH"/>
        </w:rPr>
        <w:t>4), en application des Règlements n</w:t>
      </w:r>
      <w:r w:rsidRPr="00267A3F">
        <w:rPr>
          <w:vertAlign w:val="superscript"/>
          <w:lang w:val="fr-CH"/>
        </w:rPr>
        <w:t>o</w:t>
      </w:r>
      <w:r w:rsidRPr="00267A3F">
        <w:rPr>
          <w:lang w:val="fr-CH"/>
        </w:rPr>
        <w:t> [13</w:t>
      </w:r>
      <w:r>
        <w:rPr>
          <w:lang w:val="fr-CH"/>
        </w:rPr>
        <w:t>7</w:t>
      </w:r>
      <w:r w:rsidRPr="00267A3F">
        <w:rPr>
          <w:lang w:val="fr-CH"/>
        </w:rPr>
        <w:t>] et 11</w:t>
      </w:r>
      <w:r w:rsidRPr="001F0D2C">
        <w:rPr>
          <w:vertAlign w:val="superscript"/>
          <w:lang w:val="fr-CH"/>
        </w:rPr>
        <w:footnoteReference w:id="6"/>
      </w:r>
      <w:r w:rsidRPr="00267A3F">
        <w:rPr>
          <w:lang w:val="fr-CH"/>
        </w:rPr>
        <w:t>. Les deux premiers chiffres des numéros d’homologation signifient qu’aux dates où les homologations respectives ont été délivrées, le Règlement n</w:t>
      </w:r>
      <w:r w:rsidRPr="00267A3F">
        <w:rPr>
          <w:vertAlign w:val="superscript"/>
          <w:lang w:val="fr-CH"/>
        </w:rPr>
        <w:t>o</w:t>
      </w:r>
      <w:r w:rsidRPr="00267A3F">
        <w:rPr>
          <w:lang w:val="fr-CH"/>
        </w:rPr>
        <w:t> [13</w:t>
      </w:r>
      <w:r>
        <w:rPr>
          <w:lang w:val="fr-CH"/>
        </w:rPr>
        <w:t>7</w:t>
      </w:r>
      <w:r w:rsidRPr="00267A3F">
        <w:rPr>
          <w:lang w:val="fr-CH"/>
        </w:rPr>
        <w:t>] comprenait la série 00 d’amendements et le Règlement n</w:t>
      </w:r>
      <w:r w:rsidRPr="00267A3F">
        <w:rPr>
          <w:vertAlign w:val="superscript"/>
          <w:lang w:val="fr-CH"/>
        </w:rPr>
        <w:t>o</w:t>
      </w:r>
      <w:r w:rsidRPr="00267A3F">
        <w:rPr>
          <w:lang w:val="fr-CH"/>
        </w:rPr>
        <w:t> 11 comprenait la série 02 d’amendements.</w:t>
      </w:r>
    </w:p>
    <w:p w:rsidR="00F774A9" w:rsidRDefault="00F774A9" w:rsidP="00F774A9">
      <w:pPr>
        <w:pStyle w:val="SingleTxt"/>
        <w:rPr>
          <w:lang w:val="fr-CH"/>
        </w:rPr>
      </w:pPr>
    </w:p>
    <w:p w:rsidR="00F774A9" w:rsidRDefault="00F774A9" w:rsidP="00F774A9">
      <w:pPr>
        <w:pStyle w:val="SingleTxt"/>
        <w:rPr>
          <w:lang w:val="fr-CH"/>
        </w:rPr>
        <w:sectPr w:rsidR="00F774A9" w:rsidSect="007360C7">
          <w:headerReference w:type="default" r:id="rId24"/>
          <w:footerReference w:type="default" r:id="rId25"/>
          <w:footnotePr>
            <w:numRestart w:val="eachSect"/>
          </w:footnotePr>
          <w:pgSz w:w="11909" w:h="16834"/>
          <w:pgMar w:top="1742" w:right="936" w:bottom="1898" w:left="936" w:header="576" w:footer="1030" w:gutter="0"/>
          <w:cols w:space="720"/>
          <w:noEndnote/>
          <w:docGrid w:linePitch="360"/>
        </w:sectPr>
      </w:pPr>
    </w:p>
    <w:p w:rsidR="00F84AD9" w:rsidRDefault="00F84AD9" w:rsidP="00F84AD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F592D">
        <w:rPr>
          <w:lang w:val="fr-CH"/>
        </w:rPr>
        <w:lastRenderedPageBreak/>
        <w:t>Annexe 3</w:t>
      </w:r>
    </w:p>
    <w:p w:rsidR="00F84AD9" w:rsidRPr="00AF592D" w:rsidRDefault="00F84AD9" w:rsidP="00F84AD9">
      <w:pPr>
        <w:pStyle w:val="SingleTxt"/>
        <w:spacing w:after="0" w:line="120" w:lineRule="exact"/>
        <w:rPr>
          <w:sz w:val="10"/>
          <w:lang w:val="fr-CH"/>
        </w:rPr>
      </w:pPr>
    </w:p>
    <w:p w:rsidR="00F84AD9" w:rsidRPr="00AF592D" w:rsidRDefault="00F84AD9" w:rsidP="00F84AD9">
      <w:pPr>
        <w:pStyle w:val="SingleTxt"/>
        <w:spacing w:after="0" w:line="120" w:lineRule="exact"/>
        <w:rPr>
          <w:sz w:val="10"/>
          <w:lang w:val="fr-CH"/>
        </w:rPr>
      </w:pPr>
    </w:p>
    <w:p w:rsidR="00F84AD9" w:rsidRDefault="00F84AD9" w:rsidP="00F84AD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F592D">
        <w:rPr>
          <w:lang w:val="fr-CH"/>
        </w:rPr>
        <w:tab/>
      </w:r>
      <w:r w:rsidRPr="00AF592D">
        <w:rPr>
          <w:lang w:val="fr-CH"/>
        </w:rPr>
        <w:tab/>
        <w:t>Procédure d’essai</w:t>
      </w:r>
    </w:p>
    <w:p w:rsidR="00F84AD9" w:rsidRPr="00AF592D" w:rsidRDefault="00F84AD9" w:rsidP="00F84AD9">
      <w:pPr>
        <w:pStyle w:val="SingleTxt"/>
        <w:spacing w:after="0" w:line="120" w:lineRule="exact"/>
        <w:rPr>
          <w:sz w:val="10"/>
          <w:lang w:val="fr-CH"/>
        </w:rPr>
      </w:pPr>
    </w:p>
    <w:p w:rsidR="00F84AD9" w:rsidRPr="00AF592D" w:rsidRDefault="00F84AD9" w:rsidP="00F84AD9">
      <w:pPr>
        <w:pStyle w:val="SingleTxt"/>
        <w:spacing w:after="0" w:line="120" w:lineRule="exact"/>
        <w:rPr>
          <w:sz w:val="10"/>
          <w:lang w:val="fr-CH"/>
        </w:rPr>
      </w:pPr>
    </w:p>
    <w:p w:rsidR="00F84AD9" w:rsidRPr="00AF592D" w:rsidRDefault="00F84AD9" w:rsidP="006014AC">
      <w:pPr>
        <w:pStyle w:val="SingleTxt"/>
        <w:ind w:left="2218" w:hanging="951"/>
        <w:rPr>
          <w:lang w:val="fr-CH"/>
        </w:rPr>
      </w:pPr>
      <w:r>
        <w:rPr>
          <w:lang w:val="fr-CH"/>
        </w:rPr>
        <w:tab/>
      </w:r>
      <w:r>
        <w:rPr>
          <w:lang w:val="fr-CH"/>
        </w:rPr>
        <w:tab/>
      </w:r>
      <w:r w:rsidRPr="00AF592D">
        <w:rPr>
          <w:lang w:val="fr-CH"/>
        </w:rPr>
        <w:t>Cet essai a pour objet de vérifier que le véhicule satisfait aux conditions énoncées au paragraphe 5.2.</w:t>
      </w:r>
    </w:p>
    <w:p w:rsidR="00F84AD9" w:rsidRPr="00AF592D" w:rsidRDefault="00F84AD9" w:rsidP="00F84AD9">
      <w:pPr>
        <w:pStyle w:val="SingleTxt"/>
        <w:rPr>
          <w:lang w:val="fr-CH"/>
        </w:rPr>
      </w:pPr>
      <w:r w:rsidRPr="00AF592D">
        <w:rPr>
          <w:lang w:val="fr-CH"/>
        </w:rPr>
        <w:t>1.</w:t>
      </w:r>
      <w:r w:rsidRPr="00AF592D">
        <w:rPr>
          <w:lang w:val="fr-CH"/>
        </w:rPr>
        <w:tab/>
      </w:r>
      <w:r>
        <w:rPr>
          <w:lang w:val="fr-CH"/>
        </w:rPr>
        <w:tab/>
      </w:r>
      <w:r w:rsidRPr="00AF592D">
        <w:rPr>
          <w:lang w:val="fr-CH"/>
        </w:rPr>
        <w:t>Installation et préparation du véhicule</w:t>
      </w:r>
    </w:p>
    <w:p w:rsidR="00F84AD9" w:rsidRPr="00AF592D" w:rsidRDefault="00F84AD9" w:rsidP="00F84AD9">
      <w:pPr>
        <w:pStyle w:val="SingleTxt"/>
        <w:rPr>
          <w:lang w:val="fr-CH"/>
        </w:rPr>
      </w:pPr>
      <w:r w:rsidRPr="00AF592D">
        <w:rPr>
          <w:lang w:val="fr-CH"/>
        </w:rPr>
        <w:t>1.1</w:t>
      </w:r>
      <w:r w:rsidRPr="00AF592D">
        <w:rPr>
          <w:lang w:val="fr-CH"/>
        </w:rPr>
        <w:tab/>
      </w:r>
      <w:r>
        <w:rPr>
          <w:lang w:val="fr-CH"/>
        </w:rPr>
        <w:tab/>
      </w:r>
      <w:r w:rsidRPr="00AF592D">
        <w:rPr>
          <w:lang w:val="fr-CH"/>
        </w:rPr>
        <w:t>Aire d’essai</w:t>
      </w:r>
    </w:p>
    <w:p w:rsidR="00F84AD9" w:rsidRPr="00AF592D" w:rsidRDefault="00F84AD9" w:rsidP="00F84AD9">
      <w:pPr>
        <w:pStyle w:val="SingleTxt"/>
        <w:ind w:left="2218" w:hanging="951"/>
        <w:rPr>
          <w:lang w:val="fr-CH"/>
        </w:rPr>
      </w:pPr>
      <w:r w:rsidRPr="00AF592D">
        <w:rPr>
          <w:lang w:val="fr-CH"/>
        </w:rPr>
        <w:tab/>
      </w:r>
      <w:r>
        <w:rPr>
          <w:lang w:val="fr-CH"/>
        </w:rPr>
        <w:tab/>
      </w:r>
      <w:r w:rsidRPr="00AF592D">
        <w:rPr>
          <w:lang w:val="fr-CH"/>
        </w:rPr>
        <w:t>L’aire d’essai doit être suffisamment vaste pour que l’on puisse y aménager la piste de lancement, la barrière et les installations techniques nécessaires à l’essai. La partie finale de la piste, au minimum 5 m avant le butoir, doit être horizontale, plane et lisse.</w:t>
      </w:r>
    </w:p>
    <w:p w:rsidR="00F84AD9" w:rsidRPr="00AF592D" w:rsidRDefault="00F84AD9" w:rsidP="00F84AD9">
      <w:pPr>
        <w:pStyle w:val="SingleTxt"/>
        <w:rPr>
          <w:lang w:val="fr-CH"/>
        </w:rPr>
      </w:pPr>
      <w:r w:rsidRPr="00AF592D">
        <w:rPr>
          <w:lang w:val="fr-CH"/>
        </w:rPr>
        <w:t>1.2</w:t>
      </w:r>
      <w:r w:rsidRPr="00AF592D">
        <w:rPr>
          <w:lang w:val="fr-CH"/>
        </w:rPr>
        <w:tab/>
      </w:r>
      <w:r>
        <w:rPr>
          <w:lang w:val="fr-CH"/>
        </w:rPr>
        <w:tab/>
      </w:r>
      <w:r w:rsidRPr="00AF592D">
        <w:rPr>
          <w:lang w:val="fr-CH"/>
        </w:rPr>
        <w:t>Barrière</w:t>
      </w:r>
    </w:p>
    <w:p w:rsidR="00F84AD9" w:rsidRPr="00AF592D" w:rsidRDefault="00F84AD9" w:rsidP="00F84AD9">
      <w:pPr>
        <w:pStyle w:val="SingleTxt"/>
        <w:ind w:left="2218" w:hanging="951"/>
        <w:rPr>
          <w:lang w:val="fr-CH"/>
        </w:rPr>
      </w:pPr>
      <w:r>
        <w:rPr>
          <w:lang w:val="fr-CH"/>
        </w:rPr>
        <w:tab/>
      </w:r>
      <w:r w:rsidRPr="00AF592D">
        <w:rPr>
          <w:lang w:val="fr-CH"/>
        </w:rPr>
        <w:tab/>
        <w:t>La barrière est constituée par un bloc de béton armé, ayant une</w:t>
      </w:r>
      <w:r>
        <w:rPr>
          <w:lang w:val="fr-CH"/>
        </w:rPr>
        <w:t xml:space="preserve"> largeur frontale minimale de 3 </w:t>
      </w:r>
      <w:r w:rsidRPr="00AF592D">
        <w:rPr>
          <w:lang w:val="fr-CH"/>
        </w:rPr>
        <w:t>m et une hauteur minimale de 1,5 m. L’épaisseur de la barrière est déterminée de telle sorte que le poids de celle-ci soit d’au moins 70 t. La face frontale doit être plate, verticale et perpendiculaire à l’axe de la piste de lancement. Elle doit être recouverte de c</w:t>
      </w:r>
      <w:r w:rsidR="001E6EC8">
        <w:rPr>
          <w:lang w:val="fr-CH"/>
        </w:rPr>
        <w:t>ontreplaqué en bon état de 20 ± </w:t>
      </w:r>
      <w:r w:rsidRPr="00AF592D">
        <w:rPr>
          <w:lang w:val="fr-CH"/>
        </w:rPr>
        <w:t>2 mm d’épaisseur. Une structure ou une plaque métallique d’au moins 25 mm d’épaisseur peut être mise entre le contreplaqué et la barrière. Une barrière ayant des caractéristiques différentes peut également être utilisée à condition que la superficie d’impact de la barrière reste supérieure à l’aire d’éc</w:t>
      </w:r>
      <w:r>
        <w:rPr>
          <w:lang w:val="fr-CH"/>
        </w:rPr>
        <w:t>rasement frontal du véhicule soumis à l’</w:t>
      </w:r>
      <w:r w:rsidRPr="00AF592D">
        <w:rPr>
          <w:lang w:val="fr-CH"/>
        </w:rPr>
        <w:t>essai et que les résultats restent équivalents.</w:t>
      </w:r>
    </w:p>
    <w:p w:rsidR="00F84AD9" w:rsidRPr="00AF592D" w:rsidRDefault="00F84AD9" w:rsidP="00F84AD9">
      <w:pPr>
        <w:pStyle w:val="SingleTxt"/>
        <w:rPr>
          <w:lang w:val="fr-CH"/>
        </w:rPr>
      </w:pPr>
      <w:r w:rsidRPr="00AF592D">
        <w:rPr>
          <w:lang w:val="fr-CH"/>
        </w:rPr>
        <w:t>1.3</w:t>
      </w:r>
      <w:r w:rsidRPr="00AF592D">
        <w:rPr>
          <w:lang w:val="fr-CH"/>
        </w:rPr>
        <w:tab/>
      </w:r>
      <w:r>
        <w:rPr>
          <w:lang w:val="fr-CH"/>
        </w:rPr>
        <w:tab/>
      </w:r>
      <w:r w:rsidRPr="00AF592D">
        <w:rPr>
          <w:lang w:val="fr-CH"/>
        </w:rPr>
        <w:t>Orientation de la barrière</w:t>
      </w:r>
    </w:p>
    <w:p w:rsidR="00F84AD9" w:rsidRPr="00AF592D" w:rsidRDefault="00F84AD9" w:rsidP="00F84AD9">
      <w:pPr>
        <w:pStyle w:val="SingleTxt"/>
        <w:rPr>
          <w:lang w:val="fr-CH"/>
        </w:rPr>
      </w:pPr>
      <w:r w:rsidRPr="00AF592D">
        <w:rPr>
          <w:lang w:val="fr-CH"/>
        </w:rPr>
        <w:t>1.3.1</w:t>
      </w:r>
      <w:r w:rsidRPr="00AF592D">
        <w:rPr>
          <w:lang w:val="fr-CH"/>
        </w:rPr>
        <w:tab/>
      </w:r>
      <w:r>
        <w:rPr>
          <w:lang w:val="fr-CH"/>
        </w:rPr>
        <w:tab/>
      </w:r>
      <w:r w:rsidRPr="00AF592D">
        <w:rPr>
          <w:lang w:val="fr-CH"/>
        </w:rPr>
        <w:t>Alignement du véhicule par rapport à la barrière</w:t>
      </w:r>
    </w:p>
    <w:p w:rsidR="00F84AD9" w:rsidRPr="00AF592D" w:rsidRDefault="00F84AD9" w:rsidP="00F84AD9">
      <w:pPr>
        <w:pStyle w:val="SingleTxt"/>
        <w:ind w:left="2218" w:hanging="951"/>
        <w:rPr>
          <w:lang w:val="fr-CH"/>
        </w:rPr>
      </w:pPr>
      <w:r w:rsidRPr="00AF592D">
        <w:rPr>
          <w:lang w:val="fr-CH"/>
        </w:rPr>
        <w:tab/>
      </w:r>
      <w:r>
        <w:rPr>
          <w:lang w:val="fr-CH"/>
        </w:rPr>
        <w:tab/>
      </w:r>
      <w:r w:rsidRPr="00AF592D">
        <w:rPr>
          <w:lang w:val="fr-CH"/>
        </w:rPr>
        <w:t>Il doit atteindre l’obstacle selon une trajectoire perpendiculaire à la paroi à heurter; le désalignement latéral maximal admis entre la ligne médiane verticale de la paroi avant du véhicule et la ligne médiane verticale de la paroi à heurter est de ±30 cm.</w:t>
      </w:r>
    </w:p>
    <w:p w:rsidR="00F84AD9" w:rsidRPr="00AF592D" w:rsidRDefault="00F84AD9" w:rsidP="00F84AD9">
      <w:pPr>
        <w:pStyle w:val="SingleTxt"/>
        <w:rPr>
          <w:lang w:val="fr-CH"/>
        </w:rPr>
      </w:pPr>
      <w:r w:rsidRPr="00AF592D">
        <w:rPr>
          <w:lang w:val="fr-CH"/>
        </w:rPr>
        <w:t>1.4</w:t>
      </w:r>
      <w:r w:rsidRPr="00AF592D">
        <w:rPr>
          <w:lang w:val="fr-CH"/>
        </w:rPr>
        <w:tab/>
      </w:r>
      <w:r>
        <w:rPr>
          <w:lang w:val="fr-CH"/>
        </w:rPr>
        <w:tab/>
      </w:r>
      <w:r w:rsidR="006014AC">
        <w:rPr>
          <w:lang w:val="fr-CH"/>
        </w:rPr>
        <w:t>État du véhicule</w:t>
      </w:r>
    </w:p>
    <w:p w:rsidR="00F84AD9" w:rsidRPr="00AF592D" w:rsidRDefault="00F84AD9" w:rsidP="00F84AD9">
      <w:pPr>
        <w:pStyle w:val="SingleTxt"/>
        <w:rPr>
          <w:lang w:val="fr-CH"/>
        </w:rPr>
      </w:pPr>
      <w:r w:rsidRPr="00AF592D">
        <w:rPr>
          <w:lang w:val="fr-CH"/>
        </w:rPr>
        <w:t>1.4.1</w:t>
      </w:r>
      <w:r w:rsidRPr="00AF592D">
        <w:rPr>
          <w:lang w:val="fr-CH"/>
        </w:rPr>
        <w:tab/>
      </w:r>
      <w:r>
        <w:rPr>
          <w:lang w:val="fr-CH"/>
        </w:rPr>
        <w:tab/>
      </w:r>
      <w:r w:rsidRPr="00AF592D">
        <w:rPr>
          <w:lang w:val="fr-CH"/>
        </w:rPr>
        <w:t>Spécifications générales</w:t>
      </w:r>
    </w:p>
    <w:p w:rsidR="00F84AD9" w:rsidRPr="00AF592D" w:rsidRDefault="00F84AD9" w:rsidP="00F84AD9">
      <w:pPr>
        <w:pStyle w:val="SingleTxt"/>
        <w:ind w:left="2218" w:hanging="951"/>
        <w:rPr>
          <w:lang w:val="fr-CH"/>
        </w:rPr>
      </w:pPr>
      <w:r w:rsidRPr="00AF592D">
        <w:rPr>
          <w:lang w:val="fr-CH"/>
        </w:rPr>
        <w:tab/>
      </w:r>
      <w:r>
        <w:rPr>
          <w:lang w:val="fr-CH"/>
        </w:rPr>
        <w:tab/>
      </w:r>
      <w:r w:rsidRPr="00AF592D">
        <w:rPr>
          <w:lang w:val="fr-CH"/>
        </w:rPr>
        <w:t xml:space="preserve">Le véhicule </w:t>
      </w:r>
      <w:r>
        <w:rPr>
          <w:lang w:val="fr-CH"/>
        </w:rPr>
        <w:t>soumis à l’</w:t>
      </w:r>
      <w:r w:rsidRPr="00AF592D">
        <w:rPr>
          <w:lang w:val="fr-CH"/>
        </w:rPr>
        <w:t>essai doit être représentatif de la production en série du véhicule, avec tout l’équipement installé normalement et être en état de marche normal. On peut remplacer certains composants par des masses équivalentes lorsqu’une telle substitution n’a manifestement aucun effet sensible sur les résultats mesurés conformément au paragraphe 6.</w:t>
      </w:r>
    </w:p>
    <w:p w:rsidR="00F84AD9" w:rsidRPr="00AF592D" w:rsidRDefault="00F84AD9" w:rsidP="00F84AD9">
      <w:pPr>
        <w:pStyle w:val="SingleTxt"/>
        <w:ind w:left="2218" w:hanging="951"/>
        <w:rPr>
          <w:lang w:val="fr-CH"/>
        </w:rPr>
      </w:pPr>
      <w:r w:rsidRPr="00AF592D">
        <w:rPr>
          <w:lang w:val="fr-CH"/>
        </w:rPr>
        <w:tab/>
      </w:r>
      <w:r>
        <w:rPr>
          <w:lang w:val="fr-CH"/>
        </w:rPr>
        <w:tab/>
      </w:r>
      <w:r w:rsidRPr="00AF592D">
        <w:rPr>
          <w:lang w:val="fr-CH"/>
        </w:rPr>
        <w:t>Il doit être possible, après concertation entre le constructeur et le service technique, de modifier le système d’alimentation en carburant de telle façon qu’une quantité suffisante de carburant puisse être utilisée pour faire fonctionner le moteur ou le système de conversion de l’énergie électrique.</w:t>
      </w:r>
    </w:p>
    <w:p w:rsidR="00F84AD9" w:rsidRPr="00AF592D" w:rsidRDefault="00F84AD9" w:rsidP="00F84AD9">
      <w:pPr>
        <w:pStyle w:val="SingleTxt"/>
        <w:rPr>
          <w:lang w:val="fr-CH"/>
        </w:rPr>
      </w:pPr>
      <w:r w:rsidRPr="00AF592D">
        <w:rPr>
          <w:lang w:val="fr-CH"/>
        </w:rPr>
        <w:t>1.4.2</w:t>
      </w:r>
      <w:r>
        <w:rPr>
          <w:lang w:val="fr-CH"/>
        </w:rPr>
        <w:tab/>
      </w:r>
      <w:r w:rsidRPr="00AF592D">
        <w:rPr>
          <w:lang w:val="fr-CH"/>
        </w:rPr>
        <w:tab/>
        <w:t>Masse du véhicule</w:t>
      </w:r>
    </w:p>
    <w:p w:rsidR="00F84AD9" w:rsidRPr="00AF592D" w:rsidRDefault="00F84AD9" w:rsidP="00F84AD9">
      <w:pPr>
        <w:pStyle w:val="SingleTxt"/>
        <w:ind w:left="2218" w:hanging="951"/>
        <w:rPr>
          <w:lang w:val="fr-CH"/>
        </w:rPr>
      </w:pPr>
      <w:r w:rsidRPr="00AF592D">
        <w:rPr>
          <w:lang w:val="fr-CH"/>
        </w:rPr>
        <w:t>1.4.2.1</w:t>
      </w:r>
      <w:r>
        <w:rPr>
          <w:lang w:val="fr-CH"/>
        </w:rPr>
        <w:tab/>
      </w:r>
      <w:r w:rsidRPr="00AF592D">
        <w:rPr>
          <w:lang w:val="fr-CH"/>
        </w:rPr>
        <w:t>Pour l’essai, la masse du véhicule présenté doit être la masse à vide en ordre de marche;</w:t>
      </w:r>
    </w:p>
    <w:p w:rsidR="00F84AD9" w:rsidRPr="00AF592D" w:rsidRDefault="00F84AD9" w:rsidP="00F84AD9">
      <w:pPr>
        <w:pStyle w:val="SingleTxt"/>
        <w:ind w:left="2218" w:hanging="951"/>
        <w:rPr>
          <w:lang w:val="fr-CH"/>
        </w:rPr>
      </w:pPr>
      <w:r w:rsidRPr="00AF592D">
        <w:rPr>
          <w:lang w:val="fr-CH"/>
        </w:rPr>
        <w:t>1.4.2.2</w:t>
      </w:r>
      <w:r w:rsidRPr="00AF592D">
        <w:rPr>
          <w:lang w:val="fr-CH"/>
        </w:rPr>
        <w:tab/>
        <w:t>Le réservoir de carburant doit être rempli d’une quantité d’eau d’une masse équivalant à 90 % de celle d’un plein de carburant selon les spécifications du constructeur avec une tolérance de ±1 %;</w:t>
      </w:r>
    </w:p>
    <w:p w:rsidR="00F84AD9" w:rsidRPr="00AF592D" w:rsidRDefault="00F84AD9" w:rsidP="00F84AD9">
      <w:pPr>
        <w:pStyle w:val="SingleTxt"/>
        <w:rPr>
          <w:lang w:val="fr-CH"/>
        </w:rPr>
      </w:pPr>
      <w:r w:rsidRPr="00AF592D">
        <w:rPr>
          <w:lang w:val="fr-CH"/>
        </w:rPr>
        <w:lastRenderedPageBreak/>
        <w:tab/>
      </w:r>
      <w:r>
        <w:rPr>
          <w:lang w:val="fr-CH"/>
        </w:rPr>
        <w:tab/>
      </w:r>
      <w:r w:rsidRPr="00AF592D">
        <w:rPr>
          <w:lang w:val="fr-CH"/>
        </w:rPr>
        <w:t>Cette prescription ne s’applique pas aux réservoirs d’hydrogène.</w:t>
      </w:r>
    </w:p>
    <w:p w:rsidR="00F84AD9" w:rsidRPr="00AF592D" w:rsidRDefault="00F84AD9" w:rsidP="00F84AD9">
      <w:pPr>
        <w:pStyle w:val="SingleTxt"/>
        <w:ind w:left="2218" w:hanging="951"/>
        <w:rPr>
          <w:lang w:val="fr-CH"/>
        </w:rPr>
      </w:pPr>
      <w:r w:rsidRPr="00AF592D">
        <w:rPr>
          <w:lang w:val="fr-CH"/>
        </w:rPr>
        <w:t>1.4.2.3</w:t>
      </w:r>
      <w:r>
        <w:rPr>
          <w:lang w:val="fr-CH"/>
        </w:rPr>
        <w:tab/>
      </w:r>
      <w:r w:rsidRPr="00AF592D">
        <w:rPr>
          <w:lang w:val="fr-CH"/>
        </w:rPr>
        <w:t>Tous les autres cir</w:t>
      </w:r>
      <w:r w:rsidR="006014AC">
        <w:rPr>
          <w:lang w:val="fr-CH"/>
        </w:rPr>
        <w:t xml:space="preserve">cuits (freins, refroidissement, </w:t>
      </w:r>
      <w:r w:rsidRPr="00AF592D">
        <w:rPr>
          <w:lang w:val="fr-CH"/>
        </w:rPr>
        <w:t>…) peuvent être vides, mais la masse des liquides doit être compensée;</w:t>
      </w:r>
    </w:p>
    <w:p w:rsidR="00F84AD9" w:rsidRPr="00AF592D" w:rsidRDefault="00F84AD9" w:rsidP="00F84AD9">
      <w:pPr>
        <w:pStyle w:val="SingleTxt"/>
        <w:ind w:left="2218" w:hanging="951"/>
        <w:rPr>
          <w:lang w:val="fr-CH"/>
        </w:rPr>
      </w:pPr>
      <w:r w:rsidRPr="00AF592D">
        <w:rPr>
          <w:lang w:val="fr-CH"/>
        </w:rPr>
        <w:t>1.4.2.4</w:t>
      </w:r>
      <w:r>
        <w:rPr>
          <w:lang w:val="fr-CH"/>
        </w:rPr>
        <w:tab/>
      </w:r>
      <w:r w:rsidRPr="00AF592D">
        <w:rPr>
          <w:lang w:val="fr-CH"/>
        </w:rPr>
        <w:t>Si la masse de l’appareillage de mesure à bord du véhicule dépasse les 25 kg autorisés, elle peut être compensée par des réductions n’ayant aucun effet sensible sur les résultats mesurés conformément au paragraphe 6 ci-après;</w:t>
      </w:r>
    </w:p>
    <w:p w:rsidR="00F84AD9" w:rsidRPr="00AF592D" w:rsidRDefault="00F84AD9" w:rsidP="00F84AD9">
      <w:pPr>
        <w:pStyle w:val="SingleTxt"/>
        <w:ind w:left="2218" w:hanging="951"/>
        <w:rPr>
          <w:lang w:val="fr-CH"/>
        </w:rPr>
      </w:pPr>
      <w:r w:rsidRPr="00AF592D">
        <w:rPr>
          <w:lang w:val="fr-CH"/>
        </w:rPr>
        <w:t>1.4.2.5</w:t>
      </w:r>
      <w:r w:rsidRPr="00AF592D">
        <w:rPr>
          <w:lang w:val="fr-CH"/>
        </w:rPr>
        <w:tab/>
        <w:t>La masse de l’appareillage de mesure ne doit pas modifier la charge de référence sur chaque essieu de plus de 5 %, la valeur absolue de chaque écart ne dépassant pas 20</w:t>
      </w:r>
      <w:r>
        <w:rPr>
          <w:lang w:val="fr-CH"/>
        </w:rPr>
        <w:t> </w:t>
      </w:r>
      <w:r w:rsidRPr="00AF592D">
        <w:rPr>
          <w:lang w:val="fr-CH"/>
        </w:rPr>
        <w:t>kg.</w:t>
      </w:r>
    </w:p>
    <w:p w:rsidR="00F84AD9" w:rsidRPr="00AF592D" w:rsidRDefault="00F84AD9" w:rsidP="00F84AD9">
      <w:pPr>
        <w:pStyle w:val="SingleTxt"/>
        <w:ind w:left="2218" w:hanging="951"/>
        <w:rPr>
          <w:lang w:val="fr-CH"/>
        </w:rPr>
      </w:pPr>
      <w:r w:rsidRPr="00AF592D">
        <w:rPr>
          <w:lang w:val="fr-CH"/>
        </w:rPr>
        <w:t>1.4.2.6</w:t>
      </w:r>
      <w:r w:rsidRPr="00AF592D">
        <w:rPr>
          <w:lang w:val="fr-CH"/>
        </w:rPr>
        <w:tab/>
        <w:t>La masse du véhicule établie selon les dispositions du paragraphe 1.4.2.1 ci</w:t>
      </w:r>
      <w:r>
        <w:rPr>
          <w:lang w:val="fr-CH"/>
        </w:rPr>
        <w:t>-</w:t>
      </w:r>
      <w:r w:rsidRPr="00AF592D">
        <w:rPr>
          <w:lang w:val="fr-CH"/>
        </w:rPr>
        <w:t>dessus doit être indiquée dans le procès-verbal.</w:t>
      </w:r>
    </w:p>
    <w:p w:rsidR="00F84AD9" w:rsidRPr="00AF592D" w:rsidRDefault="00F84AD9" w:rsidP="00F84AD9">
      <w:pPr>
        <w:pStyle w:val="SingleTxt"/>
        <w:rPr>
          <w:lang w:val="fr-CH"/>
        </w:rPr>
      </w:pPr>
      <w:r w:rsidRPr="00AF592D">
        <w:rPr>
          <w:lang w:val="fr-CH"/>
        </w:rPr>
        <w:t>1.4.3</w:t>
      </w:r>
      <w:r w:rsidRPr="00AF592D">
        <w:rPr>
          <w:lang w:val="fr-CH"/>
        </w:rPr>
        <w:tab/>
      </w:r>
      <w:r>
        <w:rPr>
          <w:lang w:val="fr-CH"/>
        </w:rPr>
        <w:tab/>
      </w:r>
      <w:r w:rsidRPr="00AF592D">
        <w:rPr>
          <w:lang w:val="fr-CH"/>
        </w:rPr>
        <w:t>Aménagements de l’habitacle</w:t>
      </w:r>
    </w:p>
    <w:p w:rsidR="00F84AD9" w:rsidRPr="00AF592D" w:rsidRDefault="00F84AD9" w:rsidP="00F84AD9">
      <w:pPr>
        <w:pStyle w:val="SingleTxt"/>
        <w:rPr>
          <w:lang w:val="fr-CH"/>
        </w:rPr>
      </w:pPr>
      <w:r w:rsidRPr="00AF592D">
        <w:rPr>
          <w:lang w:val="fr-CH"/>
        </w:rPr>
        <w:t>1.4.3.1</w:t>
      </w:r>
      <w:r w:rsidRPr="00AF592D">
        <w:rPr>
          <w:lang w:val="fr-CH"/>
        </w:rPr>
        <w:tab/>
        <w:t>Position du volant</w:t>
      </w:r>
    </w:p>
    <w:p w:rsidR="00F84AD9" w:rsidRPr="00AF592D" w:rsidRDefault="00F84AD9" w:rsidP="00F84AD9">
      <w:pPr>
        <w:pStyle w:val="SingleTxt"/>
        <w:ind w:left="2218" w:hanging="951"/>
        <w:rPr>
          <w:lang w:val="fr-CH"/>
        </w:rPr>
      </w:pPr>
      <w:r w:rsidRPr="00AF592D">
        <w:rPr>
          <w:lang w:val="fr-CH"/>
        </w:rPr>
        <w:tab/>
      </w:r>
      <w:r>
        <w:rPr>
          <w:lang w:val="fr-CH"/>
        </w:rPr>
        <w:tab/>
      </w:r>
      <w:r w:rsidRPr="00AF592D">
        <w:rPr>
          <w:lang w:val="fr-CH"/>
        </w:rPr>
        <w:t>Le volant, s’il est réglable, doit être placé dans la position normale prévue par le constructeur ou, en l’absence de recommandation particulière du constructeur, dans la position médiane de la plage de réglage. À la fin du déplacement propulsé, le volant doit rester libre, ses rayons étant dans la position prévue par le constructeur pour la marche avant en ligne droite du véhicule.</w:t>
      </w:r>
    </w:p>
    <w:p w:rsidR="00F84AD9" w:rsidRPr="00AF592D" w:rsidRDefault="00F84AD9" w:rsidP="00F84AD9">
      <w:pPr>
        <w:pStyle w:val="SingleTxt"/>
        <w:rPr>
          <w:lang w:val="fr-CH"/>
        </w:rPr>
      </w:pPr>
      <w:r w:rsidRPr="00AF592D">
        <w:rPr>
          <w:lang w:val="fr-CH"/>
        </w:rPr>
        <w:t>1.4.3.2</w:t>
      </w:r>
      <w:r w:rsidRPr="00AF592D">
        <w:rPr>
          <w:lang w:val="fr-CH"/>
        </w:rPr>
        <w:tab/>
        <w:t>Vitres</w:t>
      </w:r>
    </w:p>
    <w:p w:rsidR="00F84AD9" w:rsidRPr="00AF592D" w:rsidRDefault="00F84AD9" w:rsidP="00F84AD9">
      <w:pPr>
        <w:pStyle w:val="SingleTxt"/>
        <w:ind w:left="2218" w:hanging="951"/>
        <w:rPr>
          <w:lang w:val="fr-CH"/>
        </w:rPr>
      </w:pPr>
      <w:r w:rsidRPr="00AF592D">
        <w:rPr>
          <w:lang w:val="fr-CH"/>
        </w:rPr>
        <w:tab/>
      </w:r>
      <w:r>
        <w:rPr>
          <w:lang w:val="fr-CH"/>
        </w:rPr>
        <w:tab/>
      </w:r>
      <w:r w:rsidRPr="00AF592D">
        <w:rPr>
          <w:lang w:val="fr-CH"/>
        </w:rPr>
        <w:t>Les vitres mobiles du véhicule sont en position fermée. Pour les mesures en cours d’essai et en accord avec le constructeur, elles peuvent être baissées à condition que la position de la manivelle de commande corresponde à la position fermée.</w:t>
      </w:r>
    </w:p>
    <w:p w:rsidR="00F84AD9" w:rsidRPr="00AF592D" w:rsidRDefault="00F84AD9" w:rsidP="00F84AD9">
      <w:pPr>
        <w:pStyle w:val="SingleTxt"/>
        <w:rPr>
          <w:lang w:val="fr-CH"/>
        </w:rPr>
      </w:pPr>
      <w:r w:rsidRPr="00AF592D">
        <w:rPr>
          <w:lang w:val="fr-CH"/>
        </w:rPr>
        <w:t>1.4.3.3</w:t>
      </w:r>
      <w:r w:rsidRPr="00AF592D">
        <w:rPr>
          <w:lang w:val="fr-CH"/>
        </w:rPr>
        <w:tab/>
        <w:t>Levier de changement de vitesse</w:t>
      </w:r>
    </w:p>
    <w:p w:rsidR="00F84AD9" w:rsidRPr="00AF592D" w:rsidRDefault="00F84AD9" w:rsidP="00F84AD9">
      <w:pPr>
        <w:pStyle w:val="SingleTxt"/>
        <w:ind w:left="2218" w:hanging="951"/>
        <w:rPr>
          <w:lang w:val="fr-CH"/>
        </w:rPr>
      </w:pPr>
      <w:r>
        <w:rPr>
          <w:lang w:val="fr-CH"/>
        </w:rPr>
        <w:tab/>
      </w:r>
      <w:r w:rsidRPr="00AF592D">
        <w:rPr>
          <w:lang w:val="fr-CH"/>
        </w:rPr>
        <w:tab/>
        <w:t>Le levier de changement de vitesse doit être au point mort. Si le véhicule est mû par son propre moteur, la position du levier de changement de vitesse doit être définie par le constructeur.</w:t>
      </w:r>
    </w:p>
    <w:p w:rsidR="00F84AD9" w:rsidRPr="00AF592D" w:rsidRDefault="00F84AD9" w:rsidP="00F84AD9">
      <w:pPr>
        <w:pStyle w:val="SingleTxt"/>
        <w:rPr>
          <w:lang w:val="fr-CH"/>
        </w:rPr>
      </w:pPr>
      <w:r w:rsidRPr="00AF592D">
        <w:rPr>
          <w:lang w:val="fr-CH"/>
        </w:rPr>
        <w:t>1.4.3.4</w:t>
      </w:r>
      <w:r w:rsidRPr="00AF592D">
        <w:rPr>
          <w:lang w:val="fr-CH"/>
        </w:rPr>
        <w:tab/>
        <w:t>Pédales</w:t>
      </w:r>
    </w:p>
    <w:p w:rsidR="00F84AD9" w:rsidRPr="00AF592D" w:rsidRDefault="00F84AD9" w:rsidP="00F84AD9">
      <w:pPr>
        <w:pStyle w:val="SingleTxt"/>
        <w:ind w:left="2218" w:hanging="951"/>
        <w:rPr>
          <w:lang w:val="fr-CH"/>
        </w:rPr>
      </w:pPr>
      <w:r w:rsidRPr="00AF592D">
        <w:rPr>
          <w:lang w:val="fr-CH"/>
        </w:rPr>
        <w:tab/>
      </w:r>
      <w:r>
        <w:rPr>
          <w:lang w:val="fr-CH"/>
        </w:rPr>
        <w:tab/>
      </w:r>
      <w:r w:rsidRPr="00AF592D">
        <w:rPr>
          <w:lang w:val="fr-CH"/>
        </w:rPr>
        <w:t xml:space="preserve">Les pédales doivent être dans leur position normale de repos. Si elles sont </w:t>
      </w:r>
      <w:r>
        <w:rPr>
          <w:lang w:val="fr-CH"/>
        </w:rPr>
        <w:t>réglables</w:t>
      </w:r>
      <w:r w:rsidRPr="00AF592D">
        <w:rPr>
          <w:lang w:val="fr-CH"/>
        </w:rPr>
        <w:t>, elles doivent être placées dans la position médiane à moins qu’une autre position ne soit indiquée par le constructeur.</w:t>
      </w:r>
    </w:p>
    <w:p w:rsidR="00F84AD9" w:rsidRPr="00AF592D" w:rsidRDefault="00F84AD9" w:rsidP="00F84AD9">
      <w:pPr>
        <w:pStyle w:val="SingleTxt"/>
        <w:rPr>
          <w:lang w:val="fr-CH"/>
        </w:rPr>
      </w:pPr>
      <w:r w:rsidRPr="00AF592D">
        <w:rPr>
          <w:lang w:val="fr-CH"/>
        </w:rPr>
        <w:t>1.4.3.5</w:t>
      </w:r>
      <w:r w:rsidRPr="00AF592D">
        <w:rPr>
          <w:lang w:val="fr-CH"/>
        </w:rPr>
        <w:tab/>
        <w:t>Portes</w:t>
      </w:r>
    </w:p>
    <w:p w:rsidR="00F84AD9" w:rsidRPr="00AF592D" w:rsidRDefault="00F84AD9" w:rsidP="00F84AD9">
      <w:pPr>
        <w:pStyle w:val="SingleTxt"/>
        <w:rPr>
          <w:lang w:val="fr-CH"/>
        </w:rPr>
      </w:pPr>
      <w:r w:rsidRPr="00AF592D">
        <w:rPr>
          <w:lang w:val="fr-CH"/>
        </w:rPr>
        <w:tab/>
      </w:r>
      <w:r>
        <w:rPr>
          <w:lang w:val="fr-CH"/>
        </w:rPr>
        <w:tab/>
      </w:r>
      <w:r w:rsidRPr="00AF592D">
        <w:rPr>
          <w:lang w:val="fr-CH"/>
        </w:rPr>
        <w:t>Les portes doivent être fermées mais non verrouillées.</w:t>
      </w:r>
    </w:p>
    <w:p w:rsidR="00F84AD9" w:rsidRPr="00AF592D" w:rsidRDefault="00F84AD9" w:rsidP="00F84AD9">
      <w:pPr>
        <w:pStyle w:val="SingleTxt"/>
        <w:ind w:left="2218" w:hanging="951"/>
        <w:rPr>
          <w:lang w:val="fr-CH"/>
        </w:rPr>
      </w:pPr>
      <w:r w:rsidRPr="00AF592D">
        <w:rPr>
          <w:lang w:val="fr-CH"/>
        </w:rPr>
        <w:t>1.4.3.5.1</w:t>
      </w:r>
      <w:r w:rsidRPr="00AF592D">
        <w:rPr>
          <w:lang w:val="fr-CH"/>
        </w:rPr>
        <w:tab/>
        <w:t>Dans le cas d’un véhicule équipé d’un système de verrouillage automatique des portes, le système doit être activé au début de la propulsion du véhicule afin de verrouiller les portes automatiquement avant la collision. Au choix du constructeur, les portes doivent pouvoir être verrouillées manuellement avant le début de la propulsion du véhicule.</w:t>
      </w:r>
    </w:p>
    <w:p w:rsidR="00F84AD9" w:rsidRPr="00AF592D" w:rsidRDefault="00F84AD9" w:rsidP="00F84AD9">
      <w:pPr>
        <w:pStyle w:val="SingleTxt"/>
        <w:ind w:left="2218" w:hanging="951"/>
        <w:rPr>
          <w:lang w:val="fr-CH"/>
        </w:rPr>
      </w:pPr>
      <w:r w:rsidRPr="00AF592D">
        <w:rPr>
          <w:lang w:val="fr-CH"/>
        </w:rPr>
        <w:t>1.4.3.5.2</w:t>
      </w:r>
      <w:r w:rsidRPr="00AF592D">
        <w:rPr>
          <w:lang w:val="fr-CH"/>
        </w:rPr>
        <w:tab/>
        <w:t>Lorsqu’un système de verrouillage automatique des portes a été installé en option et/ou peut être désactivé par le conducteur, l’une des deux procédures ci-après doit être appliquée au choix du constructeur</w:t>
      </w:r>
      <w:r>
        <w:rPr>
          <w:lang w:val="fr-CH"/>
        </w:rPr>
        <w:t> </w:t>
      </w:r>
      <w:r w:rsidRPr="00AF592D">
        <w:rPr>
          <w:lang w:val="fr-CH"/>
        </w:rPr>
        <w:t>:</w:t>
      </w:r>
    </w:p>
    <w:p w:rsidR="00F84AD9" w:rsidRPr="00AF592D" w:rsidRDefault="00F84AD9" w:rsidP="00F84AD9">
      <w:pPr>
        <w:pStyle w:val="SingleTxt"/>
        <w:ind w:left="2218" w:hanging="951"/>
        <w:rPr>
          <w:lang w:val="fr-CH"/>
        </w:rPr>
      </w:pPr>
      <w:r w:rsidRPr="00AF592D">
        <w:rPr>
          <w:lang w:val="fr-CH"/>
        </w:rPr>
        <w:t>1.4.3.5.2.1</w:t>
      </w:r>
      <w:r w:rsidRPr="00AF592D">
        <w:rPr>
          <w:lang w:val="fr-CH"/>
        </w:rPr>
        <w:tab/>
        <w:t xml:space="preserve">Le système doit être activé au début de la propulsion du véhicule afin de verrouiller les portes automatiquement avant la collision. Au choix du </w:t>
      </w:r>
      <w:r w:rsidRPr="00AF592D">
        <w:rPr>
          <w:lang w:val="fr-CH"/>
        </w:rPr>
        <w:lastRenderedPageBreak/>
        <w:t>constructeur, les portes doivent pouvoir être verrouillées manuellement avant le début de la propulsion du véhicule;</w:t>
      </w:r>
    </w:p>
    <w:p w:rsidR="00F84AD9" w:rsidRPr="00AF592D" w:rsidRDefault="00F84AD9" w:rsidP="00F84AD9">
      <w:pPr>
        <w:pStyle w:val="SingleTxt"/>
        <w:ind w:left="2218" w:hanging="951"/>
        <w:rPr>
          <w:lang w:val="fr-CH"/>
        </w:rPr>
      </w:pPr>
      <w:r w:rsidRPr="00AF592D">
        <w:rPr>
          <w:lang w:val="fr-CH"/>
        </w:rPr>
        <w:t>1.4.3.5.2.2</w:t>
      </w:r>
      <w:r w:rsidRPr="00AF592D">
        <w:rPr>
          <w:lang w:val="fr-CH"/>
        </w:rPr>
        <w:tab/>
        <w:t>Les portes latérales du côté conducteur doivent être déverrouillées et le système désactivé pour ces portes; pour les portes latérales du côté passager, le système peut être activé au début de la propulsion du véhicule afin de verrouiller ces portes automatiquement avant la collision. Au choix du constructeur, les portes doivent pouvoir être verrouillées manuellement avant le début de la propulsion du véhicule. Cette condition est considérée comme remplie si les portes verrouillées et non verrouillées sont inversées.</w:t>
      </w:r>
    </w:p>
    <w:p w:rsidR="00F84AD9" w:rsidRPr="00AF592D" w:rsidRDefault="00F84AD9" w:rsidP="00F84AD9">
      <w:pPr>
        <w:pStyle w:val="SingleTxt"/>
        <w:rPr>
          <w:lang w:val="fr-CH"/>
        </w:rPr>
      </w:pPr>
      <w:r w:rsidRPr="00AF592D">
        <w:rPr>
          <w:lang w:val="fr-CH"/>
        </w:rPr>
        <w:t>1.4.3.6</w:t>
      </w:r>
      <w:r w:rsidRPr="00AF592D">
        <w:rPr>
          <w:lang w:val="fr-CH"/>
        </w:rPr>
        <w:tab/>
        <w:t>Toit ouvrant</w:t>
      </w:r>
    </w:p>
    <w:p w:rsidR="00F84AD9" w:rsidRPr="00AF592D" w:rsidRDefault="00F84AD9" w:rsidP="00F84AD9">
      <w:pPr>
        <w:pStyle w:val="SingleTxt"/>
        <w:ind w:left="2218" w:hanging="951"/>
        <w:rPr>
          <w:lang w:val="fr-CH"/>
        </w:rPr>
      </w:pPr>
      <w:r w:rsidRPr="00AF592D">
        <w:rPr>
          <w:lang w:val="fr-CH"/>
        </w:rPr>
        <w:tab/>
      </w:r>
      <w:r>
        <w:rPr>
          <w:lang w:val="fr-CH"/>
        </w:rPr>
        <w:tab/>
      </w:r>
      <w:r w:rsidRPr="00AF592D">
        <w:rPr>
          <w:lang w:val="fr-CH"/>
        </w:rPr>
        <w:t>Si le véhicule est équipé d’un toit ouvrant ou amovible, celui-ci doit être installé et en position fermée. Pour les mesures en cours d’essai et en accord avec le constructeur, il peut être ouvert.</w:t>
      </w:r>
    </w:p>
    <w:p w:rsidR="00F84AD9" w:rsidRPr="00AF592D" w:rsidRDefault="00F84AD9" w:rsidP="00F84AD9">
      <w:pPr>
        <w:pStyle w:val="SingleTxt"/>
        <w:rPr>
          <w:lang w:val="fr-CH"/>
        </w:rPr>
      </w:pPr>
      <w:r w:rsidRPr="00AF592D">
        <w:rPr>
          <w:lang w:val="fr-CH"/>
        </w:rPr>
        <w:t>1.4.3.7</w:t>
      </w:r>
      <w:r w:rsidRPr="00AF592D">
        <w:rPr>
          <w:lang w:val="fr-CH"/>
        </w:rPr>
        <w:tab/>
        <w:t>Pare-soleil</w:t>
      </w:r>
    </w:p>
    <w:p w:rsidR="00F84AD9" w:rsidRPr="00AF592D" w:rsidRDefault="00F84AD9" w:rsidP="00F84AD9">
      <w:pPr>
        <w:pStyle w:val="SingleTxt"/>
        <w:rPr>
          <w:lang w:val="fr-CH"/>
        </w:rPr>
      </w:pPr>
      <w:r w:rsidRPr="00AF592D">
        <w:rPr>
          <w:lang w:val="fr-CH"/>
        </w:rPr>
        <w:tab/>
      </w:r>
      <w:r>
        <w:rPr>
          <w:lang w:val="fr-CH"/>
        </w:rPr>
        <w:tab/>
      </w:r>
      <w:r w:rsidRPr="00AF592D">
        <w:rPr>
          <w:lang w:val="fr-CH"/>
        </w:rPr>
        <w:t>Les pare-soleil doivent être rabattus.</w:t>
      </w:r>
    </w:p>
    <w:p w:rsidR="00F84AD9" w:rsidRPr="00AF592D" w:rsidRDefault="00F84AD9" w:rsidP="00F84AD9">
      <w:pPr>
        <w:pStyle w:val="SingleTxt"/>
        <w:rPr>
          <w:lang w:val="fr-CH"/>
        </w:rPr>
      </w:pPr>
      <w:r w:rsidRPr="00AF592D">
        <w:rPr>
          <w:lang w:val="fr-CH"/>
        </w:rPr>
        <w:t>1.4.3.8</w:t>
      </w:r>
      <w:r w:rsidRPr="00AF592D">
        <w:rPr>
          <w:lang w:val="fr-CH"/>
        </w:rPr>
        <w:tab/>
        <w:t>Rétroviseur</w:t>
      </w:r>
    </w:p>
    <w:p w:rsidR="00F84AD9" w:rsidRPr="00AF592D" w:rsidRDefault="00F84AD9" w:rsidP="00F84AD9">
      <w:pPr>
        <w:pStyle w:val="SingleTxt"/>
        <w:rPr>
          <w:lang w:val="fr-CH"/>
        </w:rPr>
      </w:pPr>
      <w:r w:rsidRPr="00AF592D">
        <w:rPr>
          <w:lang w:val="fr-CH"/>
        </w:rPr>
        <w:tab/>
      </w:r>
      <w:r>
        <w:rPr>
          <w:lang w:val="fr-CH"/>
        </w:rPr>
        <w:tab/>
      </w:r>
      <w:r w:rsidRPr="00AF592D">
        <w:rPr>
          <w:lang w:val="fr-CH"/>
        </w:rPr>
        <w:t>Le rétroviseur intérieur doit être en position normale d’utilisation.</w:t>
      </w:r>
    </w:p>
    <w:p w:rsidR="00F84AD9" w:rsidRPr="00AF592D" w:rsidRDefault="00F84AD9" w:rsidP="00F84AD9">
      <w:pPr>
        <w:pStyle w:val="SingleTxt"/>
        <w:rPr>
          <w:lang w:val="fr-CH"/>
        </w:rPr>
      </w:pPr>
      <w:r w:rsidRPr="00AF592D">
        <w:rPr>
          <w:lang w:val="fr-CH"/>
        </w:rPr>
        <w:t>1.4.3.9</w:t>
      </w:r>
      <w:r w:rsidRPr="00AF592D">
        <w:rPr>
          <w:lang w:val="fr-CH"/>
        </w:rPr>
        <w:tab/>
        <w:t>Accoudoirs</w:t>
      </w:r>
    </w:p>
    <w:p w:rsidR="00F84AD9" w:rsidRPr="00AF592D" w:rsidRDefault="00F84AD9" w:rsidP="00F84AD9">
      <w:pPr>
        <w:pStyle w:val="SingleTxt"/>
        <w:ind w:left="2218" w:hanging="951"/>
        <w:rPr>
          <w:lang w:val="fr-CH"/>
        </w:rPr>
      </w:pPr>
      <w:r w:rsidRPr="00AF592D">
        <w:rPr>
          <w:lang w:val="fr-CH"/>
        </w:rPr>
        <w:tab/>
      </w:r>
      <w:r>
        <w:rPr>
          <w:lang w:val="fr-CH"/>
        </w:rPr>
        <w:tab/>
      </w:r>
      <w:r w:rsidRPr="00AF592D">
        <w:rPr>
          <w:lang w:val="fr-CH"/>
        </w:rPr>
        <w:t>S’ils sont mobiles, les accoudoirs à l’avant et à l’arrière du véhicule doivent être abaissés sauf si cela n’est pas possible en raison de la position des mannequins dans le véhicule.</w:t>
      </w:r>
    </w:p>
    <w:p w:rsidR="00F84AD9" w:rsidRPr="00AF592D" w:rsidRDefault="00F84AD9" w:rsidP="00F84AD9">
      <w:pPr>
        <w:pStyle w:val="SingleTxt"/>
        <w:rPr>
          <w:lang w:val="fr-CH"/>
        </w:rPr>
      </w:pPr>
      <w:r w:rsidRPr="00AF592D">
        <w:rPr>
          <w:lang w:val="fr-CH"/>
        </w:rPr>
        <w:t>1.4.3.10</w:t>
      </w:r>
      <w:r w:rsidRPr="00AF592D">
        <w:rPr>
          <w:lang w:val="fr-CH"/>
        </w:rPr>
        <w:tab/>
        <w:t>Appuie-tête</w:t>
      </w:r>
    </w:p>
    <w:p w:rsidR="00F84AD9" w:rsidRPr="002127AA" w:rsidRDefault="00F84AD9" w:rsidP="00F84AD9">
      <w:pPr>
        <w:pStyle w:val="SingleTxt"/>
        <w:ind w:left="2218" w:hanging="951"/>
        <w:rPr>
          <w:lang w:val="fr-CH"/>
        </w:rPr>
      </w:pPr>
      <w:r>
        <w:rPr>
          <w:lang w:val="fr-CH"/>
        </w:rPr>
        <w:tab/>
      </w:r>
      <w:r w:rsidRPr="00AF592D">
        <w:rPr>
          <w:lang w:val="fr-CH"/>
        </w:rPr>
        <w:tab/>
        <w:t xml:space="preserve">Les appuie-tête réglables en hauteur doivent être dans la position </w:t>
      </w:r>
      <w:r w:rsidRPr="002127AA">
        <w:rPr>
          <w:lang w:val="fr-CH"/>
        </w:rPr>
        <w:t>appropriée définie par le constructeur. En l’absence de recommandation particulière du constructeur, les appuie-tête doivent être dans la position la plus élevée pour le mannequin homme du cinquantième centile et dans la position la plus basse pour le mannequin femme du cinquième centile.</w:t>
      </w:r>
    </w:p>
    <w:p w:rsidR="00F84AD9" w:rsidRPr="00AF592D" w:rsidRDefault="00F84AD9" w:rsidP="00F84AD9">
      <w:pPr>
        <w:pStyle w:val="SingleTxt"/>
        <w:rPr>
          <w:lang w:val="fr-CH"/>
        </w:rPr>
      </w:pPr>
      <w:r w:rsidRPr="00AF592D">
        <w:rPr>
          <w:lang w:val="fr-CH"/>
        </w:rPr>
        <w:t>1.4.3.11</w:t>
      </w:r>
      <w:r w:rsidRPr="00AF592D">
        <w:rPr>
          <w:lang w:val="fr-CH"/>
        </w:rPr>
        <w:tab/>
        <w:t>Sièges</w:t>
      </w:r>
    </w:p>
    <w:p w:rsidR="00F84AD9" w:rsidRPr="00AF592D" w:rsidRDefault="00F84AD9" w:rsidP="00F84AD9">
      <w:pPr>
        <w:pStyle w:val="SingleTxt"/>
        <w:rPr>
          <w:lang w:val="fr-CH"/>
        </w:rPr>
      </w:pPr>
      <w:r w:rsidRPr="00AF592D">
        <w:rPr>
          <w:lang w:val="fr-CH"/>
        </w:rPr>
        <w:t>1.4.3.11.1</w:t>
      </w:r>
      <w:r w:rsidRPr="00AF592D">
        <w:rPr>
          <w:lang w:val="fr-CH"/>
        </w:rPr>
        <w:tab/>
        <w:t xml:space="preserve">Position du siège du </w:t>
      </w:r>
      <w:r w:rsidRPr="002127AA">
        <w:rPr>
          <w:lang w:val="fr-CH"/>
        </w:rPr>
        <w:t>conducteur</w:t>
      </w:r>
    </w:p>
    <w:p w:rsidR="00F84AD9" w:rsidRPr="00AF592D" w:rsidRDefault="00F84AD9" w:rsidP="00F84AD9">
      <w:pPr>
        <w:pStyle w:val="SingleTxt"/>
        <w:ind w:left="2218" w:hanging="951"/>
        <w:rPr>
          <w:lang w:val="fr-CH"/>
        </w:rPr>
      </w:pPr>
      <w:r>
        <w:rPr>
          <w:lang w:val="fr-CH"/>
        </w:rPr>
        <w:tab/>
      </w:r>
      <w:r w:rsidRPr="00AF592D">
        <w:rPr>
          <w:lang w:val="fr-CH"/>
        </w:rPr>
        <w:tab/>
        <w:t>Les sièges réglables dans le sens de la longueur doivent être placés de telle sorte que leur point H, déterminé par la méthode indiquée à l’annexe 6, soit en position médiane ou dans la position de verrouillage la plus proche de celle-ci et à la hauteur définie par le constructeur (s’ils sont réglables indépendamment en hauteur). Dans le cas d’une banquette, on prend pour référence le point H de la place du conducteur.</w:t>
      </w:r>
    </w:p>
    <w:p w:rsidR="00F84AD9" w:rsidRPr="00AF592D" w:rsidRDefault="00F84AD9" w:rsidP="00F84AD9">
      <w:pPr>
        <w:pStyle w:val="SingleTxt"/>
        <w:rPr>
          <w:lang w:val="fr-CH"/>
        </w:rPr>
      </w:pPr>
      <w:r w:rsidRPr="00AF592D">
        <w:rPr>
          <w:lang w:val="fr-CH"/>
        </w:rPr>
        <w:t>1.4.3.11.2</w:t>
      </w:r>
      <w:r w:rsidRPr="00AF592D">
        <w:rPr>
          <w:lang w:val="fr-CH"/>
        </w:rPr>
        <w:tab/>
        <w:t>Position du siège du passager avant</w:t>
      </w:r>
    </w:p>
    <w:p w:rsidR="00F84AD9" w:rsidRPr="00AF592D" w:rsidRDefault="00F84AD9" w:rsidP="001E6EC8">
      <w:pPr>
        <w:pStyle w:val="SingleTxt"/>
        <w:ind w:left="2218" w:hanging="951"/>
        <w:rPr>
          <w:lang w:val="fr-CH"/>
        </w:rPr>
      </w:pPr>
      <w:r w:rsidRPr="00AF592D">
        <w:rPr>
          <w:lang w:val="fr-CH"/>
        </w:rPr>
        <w:tab/>
      </w:r>
      <w:r>
        <w:rPr>
          <w:lang w:val="fr-CH"/>
        </w:rPr>
        <w:tab/>
      </w:r>
      <w:r w:rsidRPr="00AF592D">
        <w:rPr>
          <w:lang w:val="fr-CH"/>
        </w:rPr>
        <w:t>Les sièges réglables dans le sens de la longueur doivent être placés de telle sorte que leur point H, déterminé par la méthode indiquée à l’annexe 6, soit</w:t>
      </w:r>
      <w:r w:rsidRPr="002F7134">
        <w:rPr>
          <w:lang w:val="fr-CH"/>
        </w:rPr>
        <w:t>:</w:t>
      </w:r>
      <w:r w:rsidRPr="00AF592D">
        <w:rPr>
          <w:lang w:val="fr-CH"/>
        </w:rPr>
        <w:t> </w:t>
      </w:r>
    </w:p>
    <w:p w:rsidR="00F84AD9" w:rsidRPr="00ED12E1" w:rsidRDefault="00F84AD9" w:rsidP="001E6EC8">
      <w:pPr>
        <w:pStyle w:val="SingleTxt"/>
        <w:ind w:left="2693" w:hanging="1426"/>
        <w:rPr>
          <w:lang w:val="fr-CH"/>
        </w:rPr>
      </w:pPr>
      <w:r w:rsidRPr="00ED12E1">
        <w:rPr>
          <w:lang w:val="fr-CH"/>
        </w:rPr>
        <w:tab/>
      </w:r>
      <w:r w:rsidRPr="00ED12E1">
        <w:rPr>
          <w:lang w:val="fr-CH"/>
        </w:rPr>
        <w:tab/>
        <w:t>a)</w:t>
      </w:r>
      <w:r w:rsidRPr="00ED12E1">
        <w:rPr>
          <w:lang w:val="fr-CH"/>
        </w:rPr>
        <w:tab/>
        <w:t>dans la position indiquée par le constructeur, qui doit être située à l’avant de la position de réglage médiane, ou</w:t>
      </w:r>
    </w:p>
    <w:p w:rsidR="00F84AD9" w:rsidRPr="00ED12E1" w:rsidRDefault="00F84AD9" w:rsidP="00F84AD9">
      <w:pPr>
        <w:pStyle w:val="SingleTxt"/>
        <w:ind w:left="2693" w:hanging="1426"/>
        <w:rPr>
          <w:lang w:val="fr-CH"/>
        </w:rPr>
      </w:pPr>
      <w:r w:rsidRPr="00ED12E1">
        <w:rPr>
          <w:lang w:val="fr-CH"/>
        </w:rPr>
        <w:tab/>
      </w:r>
      <w:r w:rsidRPr="00ED12E1">
        <w:rPr>
          <w:lang w:val="fr-CH"/>
        </w:rPr>
        <w:tab/>
        <w:t>b)</w:t>
      </w:r>
      <w:r w:rsidRPr="00ED12E1">
        <w:rPr>
          <w:lang w:val="fr-CH"/>
        </w:rPr>
        <w:tab/>
        <w:t>en l’absence de recommandation particulière du constructeur, aussi proche que possible d’une position médiane entre la position la plus en avant du siège et la position centrale de réglage de ce dernier.</w:t>
      </w:r>
    </w:p>
    <w:p w:rsidR="00F84AD9" w:rsidRPr="001239A0" w:rsidRDefault="00F84AD9" w:rsidP="00F84AD9">
      <w:pPr>
        <w:pStyle w:val="SingleTxt"/>
        <w:ind w:left="2218" w:hanging="951"/>
        <w:rPr>
          <w:lang w:val="fr-CH"/>
        </w:rPr>
      </w:pPr>
      <w:r>
        <w:rPr>
          <w:b/>
          <w:lang w:val="fr-CH"/>
        </w:rPr>
        <w:lastRenderedPageBreak/>
        <w:tab/>
      </w:r>
      <w:r>
        <w:rPr>
          <w:b/>
          <w:lang w:val="fr-CH"/>
        </w:rPr>
        <w:tab/>
      </w:r>
      <w:r w:rsidRPr="001239A0">
        <w:rPr>
          <w:lang w:val="fr-CH"/>
        </w:rPr>
        <w:t>Les éventuelles parties réglables du siège doivent se trouver dans la position indiquée par le constructeur. En l’absence de recommandation particulière du constructeur, les parties réglables (par exemple, longueur et inclinaison de l’assise du siège) doivent être dans la position la plus en arrière ou la plus basse possible.</w:t>
      </w:r>
    </w:p>
    <w:p w:rsidR="00F84AD9" w:rsidRPr="00AF592D" w:rsidRDefault="00F84AD9" w:rsidP="00F84AD9">
      <w:pPr>
        <w:pStyle w:val="SingleTxt"/>
        <w:rPr>
          <w:lang w:val="fr-CH"/>
        </w:rPr>
      </w:pPr>
      <w:r w:rsidRPr="00AF592D">
        <w:rPr>
          <w:lang w:val="fr-CH"/>
        </w:rPr>
        <w:t>1.4.3.11.3</w:t>
      </w:r>
      <w:r w:rsidRPr="00AF592D">
        <w:rPr>
          <w:lang w:val="fr-CH"/>
        </w:rPr>
        <w:tab/>
        <w:t>Position du dossier des sièges avant</w:t>
      </w:r>
    </w:p>
    <w:p w:rsidR="00F84AD9" w:rsidRPr="00B35FD6" w:rsidRDefault="00F84AD9" w:rsidP="00F84AD9">
      <w:pPr>
        <w:pStyle w:val="SingleTxt"/>
        <w:ind w:left="2218" w:hanging="951"/>
        <w:rPr>
          <w:lang w:val="fr-CH"/>
        </w:rPr>
      </w:pPr>
      <w:r>
        <w:rPr>
          <w:lang w:val="fr-CH"/>
        </w:rPr>
        <w:tab/>
      </w:r>
      <w:r w:rsidRPr="00AF592D">
        <w:rPr>
          <w:lang w:val="fr-CH"/>
        </w:rPr>
        <w:tab/>
        <w:t xml:space="preserve">S’ils sont réglables, les dossiers doivent être réglés de telle sorte que l’inclinaison du torse du mannequin soit aussi proche que possible de celle recommandée par le constructeur pour un usage normal ou, en l’absence de recommandation particulière du constructeur, incliné de 25° vers l’arrière par rapport à la verticale. </w:t>
      </w:r>
      <w:r w:rsidRPr="00B35FD6">
        <w:rPr>
          <w:lang w:val="fr-CH"/>
        </w:rPr>
        <w:t>Pour le mannequin femme du cinquième centile, le dossier peut avoir une inclinaison différente si cela est nécessaire pour respecter les prescriptions du paragraphe 3.1 de l’annexe 5.</w:t>
      </w:r>
    </w:p>
    <w:p w:rsidR="00F84AD9" w:rsidRPr="00AF592D" w:rsidRDefault="00F84AD9" w:rsidP="00F84AD9">
      <w:pPr>
        <w:pStyle w:val="SingleTxt"/>
        <w:rPr>
          <w:lang w:val="fr-CH"/>
        </w:rPr>
      </w:pPr>
      <w:r w:rsidRPr="00AF592D">
        <w:rPr>
          <w:lang w:val="fr-CH"/>
        </w:rPr>
        <w:t>1.4.3.11.</w:t>
      </w:r>
      <w:r w:rsidRPr="008E1248">
        <w:rPr>
          <w:lang w:val="fr-CH"/>
        </w:rPr>
        <w:t>4</w:t>
      </w:r>
      <w:r w:rsidRPr="00AF592D">
        <w:rPr>
          <w:lang w:val="fr-CH"/>
        </w:rPr>
        <w:tab/>
        <w:t>Sièges arrière</w:t>
      </w:r>
    </w:p>
    <w:p w:rsidR="00F84AD9" w:rsidRPr="00AF592D" w:rsidRDefault="00F84AD9" w:rsidP="00F84AD9">
      <w:pPr>
        <w:pStyle w:val="SingleTxt"/>
        <w:ind w:left="2218" w:hanging="951"/>
        <w:rPr>
          <w:lang w:val="fr-CH"/>
        </w:rPr>
      </w:pPr>
      <w:r>
        <w:rPr>
          <w:lang w:val="fr-CH"/>
        </w:rPr>
        <w:tab/>
      </w:r>
      <w:r w:rsidRPr="00AF592D">
        <w:rPr>
          <w:lang w:val="fr-CH"/>
        </w:rPr>
        <w:tab/>
        <w:t>S’ils sont réglables, les sièges ou la banquette arrière doivent être dans la position la plus reculée possible.</w:t>
      </w:r>
    </w:p>
    <w:p w:rsidR="00F84AD9" w:rsidRPr="00AF592D" w:rsidRDefault="00F84AD9" w:rsidP="00F84AD9">
      <w:pPr>
        <w:pStyle w:val="SingleTxt"/>
        <w:rPr>
          <w:lang w:val="fr-CH"/>
        </w:rPr>
      </w:pPr>
      <w:r w:rsidRPr="00AF592D">
        <w:rPr>
          <w:lang w:val="fr-CH"/>
        </w:rPr>
        <w:t>1.4.4</w:t>
      </w:r>
      <w:r w:rsidRPr="00AF592D">
        <w:rPr>
          <w:lang w:val="fr-CH"/>
        </w:rPr>
        <w:tab/>
      </w:r>
      <w:r>
        <w:rPr>
          <w:lang w:val="fr-CH"/>
        </w:rPr>
        <w:tab/>
      </w:r>
      <w:r w:rsidRPr="00AF592D">
        <w:rPr>
          <w:lang w:val="fr-CH"/>
        </w:rPr>
        <w:t>Réglage de la chaîne de traction électrique</w:t>
      </w:r>
    </w:p>
    <w:p w:rsidR="00F84AD9" w:rsidRPr="00AF592D" w:rsidRDefault="00F84AD9" w:rsidP="00F84AD9">
      <w:pPr>
        <w:pStyle w:val="SingleTxt"/>
        <w:ind w:left="2218" w:hanging="951"/>
        <w:rPr>
          <w:lang w:val="fr-CH"/>
        </w:rPr>
      </w:pPr>
      <w:r w:rsidRPr="00AF592D">
        <w:rPr>
          <w:lang w:val="fr-CH"/>
        </w:rPr>
        <w:t>1.4.4.1</w:t>
      </w:r>
      <w:r w:rsidRPr="00AF592D">
        <w:rPr>
          <w:lang w:val="fr-CH"/>
        </w:rPr>
        <w:tab/>
        <w:t>Le SRSEE doit être dans un état de charge permettant le fonctionnement normal de la chaîne de traction tel qu’il est recommandé par le constructeur.</w:t>
      </w:r>
    </w:p>
    <w:p w:rsidR="00F84AD9" w:rsidRPr="00AF592D" w:rsidRDefault="00F84AD9" w:rsidP="00F84AD9">
      <w:pPr>
        <w:pStyle w:val="SingleTxt"/>
        <w:ind w:left="2218" w:hanging="951"/>
        <w:rPr>
          <w:lang w:val="fr-CH"/>
        </w:rPr>
      </w:pPr>
      <w:r w:rsidRPr="00AF592D">
        <w:rPr>
          <w:lang w:val="fr-CH"/>
        </w:rPr>
        <w:t>1.4.4.2</w:t>
      </w:r>
      <w:r w:rsidRPr="00AF592D">
        <w:rPr>
          <w:lang w:val="fr-CH"/>
        </w:rPr>
        <w:tab/>
        <w:t>La chaîne de traction électrique doit pouvoir être mise sous tension avec ou sans l’aide des sources d’énergie électrique initiales (alternateur, SRSEE ou système de conversion de l’énergie électrique, par exemple), mais</w:t>
      </w:r>
      <w:r w:rsidR="008B4BCA">
        <w:rPr>
          <w:lang w:val="fr-CH"/>
        </w:rPr>
        <w:t> </w:t>
      </w:r>
      <w:r w:rsidRPr="00AF592D">
        <w:rPr>
          <w:lang w:val="fr-CH"/>
        </w:rPr>
        <w:t xml:space="preserve">: </w:t>
      </w:r>
    </w:p>
    <w:p w:rsidR="00F84AD9" w:rsidRPr="00AF592D" w:rsidRDefault="00F84AD9" w:rsidP="00F84AD9">
      <w:pPr>
        <w:pStyle w:val="SingleTxt"/>
        <w:ind w:left="2218" w:hanging="951"/>
        <w:rPr>
          <w:lang w:val="fr-CH"/>
        </w:rPr>
      </w:pPr>
      <w:r w:rsidRPr="00AF592D">
        <w:rPr>
          <w:lang w:val="fr-CH"/>
        </w:rPr>
        <w:t>1.4.4.2.1</w:t>
      </w:r>
      <w:r w:rsidRPr="00AF592D">
        <w:rPr>
          <w:lang w:val="fr-CH"/>
        </w:rPr>
        <w:tab/>
        <w:t>Sous réserve de l’accord du service technique et du constructeur, il doit être possible de procéder à l’essai alors que tout ou partie de la chaîne de traction électrique n’est pas sous tension, pour autant que cela ne fausse pas le résultat de l’essai. Dans le cas où la chaîne de traction électrique n’est que partiellement sous tension, la protection contre tout choc électrique doit être obtenue soit par des moyens physiques soit par résistance d’isolement et des moyens supplémentaires appropriés.</w:t>
      </w:r>
    </w:p>
    <w:p w:rsidR="00F84AD9" w:rsidRPr="00AF592D" w:rsidRDefault="00F84AD9" w:rsidP="00F84AD9">
      <w:pPr>
        <w:pStyle w:val="SingleTxt"/>
        <w:ind w:left="2218" w:hanging="951"/>
        <w:rPr>
          <w:lang w:val="fr-CH"/>
        </w:rPr>
      </w:pPr>
      <w:r w:rsidRPr="00AF592D">
        <w:rPr>
          <w:lang w:val="fr-CH"/>
        </w:rPr>
        <w:t>1.4.4.2.2</w:t>
      </w:r>
      <w:r w:rsidRPr="00AF592D">
        <w:rPr>
          <w:lang w:val="fr-CH"/>
        </w:rPr>
        <w:tab/>
        <w:t>Si la chaîne de traction est équipée d’une fonction de déconnexion automatique, il doit être possible, à la demande du constructeur, de l’activer pour l’essai. Dans ce cas, il doit être démontré que la déconnexion automatique se serait produite pendant l’essai de choc. Cela suppose le déclenchement automatique du signal ainsi que la coupure galvanique, compte tenu des conditions constatées pendant le choc.</w:t>
      </w:r>
    </w:p>
    <w:p w:rsidR="00F84AD9" w:rsidRPr="00AF592D" w:rsidRDefault="00F84AD9" w:rsidP="00F84AD9">
      <w:pPr>
        <w:pStyle w:val="SingleTxt"/>
        <w:rPr>
          <w:lang w:val="fr-CH"/>
        </w:rPr>
      </w:pPr>
      <w:r w:rsidRPr="00AF592D">
        <w:rPr>
          <w:lang w:val="fr-CH"/>
        </w:rPr>
        <w:t>2.</w:t>
      </w:r>
      <w:r w:rsidRPr="00AF592D">
        <w:rPr>
          <w:lang w:val="fr-CH"/>
        </w:rPr>
        <w:tab/>
      </w:r>
      <w:r>
        <w:rPr>
          <w:lang w:val="fr-CH"/>
        </w:rPr>
        <w:tab/>
      </w:r>
      <w:r w:rsidRPr="00AF592D">
        <w:rPr>
          <w:lang w:val="fr-CH"/>
        </w:rPr>
        <w:t>Mannequins</w:t>
      </w:r>
    </w:p>
    <w:p w:rsidR="00F84AD9" w:rsidRPr="00AF592D" w:rsidRDefault="00F84AD9" w:rsidP="00F84AD9">
      <w:pPr>
        <w:pStyle w:val="SingleTxt"/>
        <w:rPr>
          <w:lang w:val="fr-CH"/>
        </w:rPr>
      </w:pPr>
      <w:r w:rsidRPr="00AF592D">
        <w:rPr>
          <w:lang w:val="fr-CH"/>
        </w:rPr>
        <w:t>2.1</w:t>
      </w:r>
      <w:r w:rsidRPr="00AF592D">
        <w:rPr>
          <w:lang w:val="fr-CH"/>
        </w:rPr>
        <w:tab/>
      </w:r>
      <w:r>
        <w:rPr>
          <w:lang w:val="fr-CH"/>
        </w:rPr>
        <w:tab/>
      </w:r>
      <w:r w:rsidRPr="00AF592D">
        <w:rPr>
          <w:lang w:val="fr-CH"/>
        </w:rPr>
        <w:t>Sièges avant</w:t>
      </w:r>
    </w:p>
    <w:p w:rsidR="00F84AD9" w:rsidRPr="00AF592D" w:rsidRDefault="00F84AD9" w:rsidP="00F84AD9">
      <w:pPr>
        <w:pStyle w:val="SingleTxt"/>
        <w:ind w:left="2218" w:hanging="951"/>
        <w:rPr>
          <w:lang w:val="fr-CH"/>
        </w:rPr>
      </w:pPr>
      <w:r w:rsidRPr="00AF592D">
        <w:rPr>
          <w:lang w:val="fr-CH"/>
        </w:rPr>
        <w:t>2.1.1</w:t>
      </w:r>
      <w:r w:rsidRPr="00AF592D">
        <w:rPr>
          <w:lang w:val="fr-CH"/>
        </w:rPr>
        <w:tab/>
      </w:r>
      <w:r>
        <w:rPr>
          <w:lang w:val="fr-CH"/>
        </w:rPr>
        <w:tab/>
      </w:r>
      <w:r w:rsidRPr="00AF592D">
        <w:rPr>
          <w:lang w:val="fr-CH"/>
        </w:rPr>
        <w:t xml:space="preserve">Un mannequin du type Hybrid III </w:t>
      </w:r>
      <w:r w:rsidRPr="00621EA4">
        <w:rPr>
          <w:lang w:val="fr-CH"/>
        </w:rPr>
        <w:t>homme du cinquantième centile</w:t>
      </w:r>
      <w:r w:rsidRPr="001F0D2C">
        <w:rPr>
          <w:vertAlign w:val="superscript"/>
          <w:lang w:val="fr-CH"/>
        </w:rPr>
        <w:footnoteReference w:id="7"/>
      </w:r>
      <w:r w:rsidRPr="00AF592D">
        <w:rPr>
          <w:lang w:val="fr-CH"/>
        </w:rPr>
        <w:t xml:space="preserve"> réglé selon les spécifications propres à ce type est installé dans le siège du conducteur dans les conditions énoncées à l’annexe 5.</w:t>
      </w:r>
    </w:p>
    <w:p w:rsidR="00F84AD9" w:rsidRPr="00AF592D" w:rsidRDefault="00F84AD9" w:rsidP="00F84AD9">
      <w:pPr>
        <w:pStyle w:val="SingleTxt"/>
        <w:ind w:left="2218" w:hanging="951"/>
        <w:rPr>
          <w:lang w:val="fr-CH"/>
        </w:rPr>
      </w:pPr>
      <w:r>
        <w:rPr>
          <w:lang w:val="fr-CH"/>
        </w:rPr>
        <w:lastRenderedPageBreak/>
        <w:tab/>
      </w:r>
      <w:r w:rsidRPr="00AF592D">
        <w:rPr>
          <w:lang w:val="fr-CH"/>
        </w:rPr>
        <w:tab/>
        <w:t xml:space="preserve">Un mannequin du type Hybrid III </w:t>
      </w:r>
      <w:r w:rsidRPr="00621EA4">
        <w:rPr>
          <w:lang w:val="fr-CH"/>
        </w:rPr>
        <w:t>femme du cinquième centile</w:t>
      </w:r>
      <w:r w:rsidRPr="00621EA4">
        <w:rPr>
          <w:vertAlign w:val="superscript"/>
          <w:lang w:val="fr-CH"/>
        </w:rPr>
        <w:t>1</w:t>
      </w:r>
      <w:r w:rsidRPr="00621EA4">
        <w:rPr>
          <w:lang w:val="fr-CH"/>
        </w:rPr>
        <w:t xml:space="preserve"> réglé</w:t>
      </w:r>
      <w:r w:rsidRPr="00AF592D">
        <w:rPr>
          <w:lang w:val="fr-CH"/>
        </w:rPr>
        <w:t xml:space="preserve"> selon les spécifications propres à ce type est installé dans le siège du passager dans les conditions énoncées à l’annexe 5.</w:t>
      </w:r>
    </w:p>
    <w:p w:rsidR="00F84AD9" w:rsidRPr="00AF592D" w:rsidRDefault="00F84AD9" w:rsidP="00F84AD9">
      <w:pPr>
        <w:pStyle w:val="SingleTxt"/>
        <w:ind w:left="2218" w:hanging="951"/>
        <w:rPr>
          <w:lang w:val="fr-CH"/>
        </w:rPr>
      </w:pPr>
      <w:r w:rsidRPr="00AF592D">
        <w:rPr>
          <w:lang w:val="fr-CH"/>
        </w:rPr>
        <w:t>2.1.2</w:t>
      </w:r>
      <w:r w:rsidRPr="00AF592D">
        <w:rPr>
          <w:lang w:val="fr-CH"/>
        </w:rPr>
        <w:tab/>
      </w:r>
      <w:r>
        <w:rPr>
          <w:lang w:val="fr-CH"/>
        </w:rPr>
        <w:tab/>
      </w:r>
      <w:r w:rsidRPr="00AF592D">
        <w:rPr>
          <w:lang w:val="fr-CH"/>
        </w:rPr>
        <w:t>Pour l’essai, la voiture est équipée des systèmes de retenue prévus par le constructeur.</w:t>
      </w:r>
    </w:p>
    <w:p w:rsidR="00F84AD9" w:rsidRPr="00AF592D" w:rsidRDefault="00F84AD9" w:rsidP="00F84AD9">
      <w:pPr>
        <w:pStyle w:val="SingleTxt"/>
        <w:rPr>
          <w:lang w:val="fr-CH"/>
        </w:rPr>
      </w:pPr>
      <w:r w:rsidRPr="00AF592D">
        <w:rPr>
          <w:lang w:val="fr-CH"/>
        </w:rPr>
        <w:t>3.</w:t>
      </w:r>
      <w:r w:rsidRPr="00AF592D">
        <w:rPr>
          <w:lang w:val="fr-CH"/>
        </w:rPr>
        <w:tab/>
      </w:r>
      <w:r>
        <w:rPr>
          <w:lang w:val="fr-CH"/>
        </w:rPr>
        <w:tab/>
      </w:r>
      <w:r w:rsidRPr="00AF592D">
        <w:rPr>
          <w:lang w:val="fr-CH"/>
        </w:rPr>
        <w:t>Propulsion et trajectoire du véhicule</w:t>
      </w:r>
    </w:p>
    <w:p w:rsidR="00F84AD9" w:rsidRPr="00AF592D" w:rsidRDefault="00F84AD9" w:rsidP="00F84AD9">
      <w:pPr>
        <w:pStyle w:val="SingleTxt"/>
        <w:ind w:left="2218" w:hanging="951"/>
        <w:rPr>
          <w:lang w:val="fr-CH"/>
        </w:rPr>
      </w:pPr>
      <w:r w:rsidRPr="00AF592D">
        <w:rPr>
          <w:lang w:val="fr-CH"/>
        </w:rPr>
        <w:t>3.1</w:t>
      </w:r>
      <w:r w:rsidRPr="00AF592D">
        <w:rPr>
          <w:lang w:val="fr-CH"/>
        </w:rPr>
        <w:tab/>
      </w:r>
      <w:r>
        <w:rPr>
          <w:lang w:val="fr-CH"/>
        </w:rPr>
        <w:tab/>
      </w:r>
      <w:r w:rsidRPr="00AF592D">
        <w:rPr>
          <w:lang w:val="fr-CH"/>
        </w:rPr>
        <w:t>Le véhicule est mû soit par son propre moteur soit par tout autre dispositif de propulsion.</w:t>
      </w:r>
    </w:p>
    <w:p w:rsidR="00F84AD9" w:rsidRPr="00AF592D" w:rsidRDefault="00F84AD9" w:rsidP="00F84AD9">
      <w:pPr>
        <w:pStyle w:val="SingleTxt"/>
        <w:ind w:left="2218" w:hanging="951"/>
        <w:rPr>
          <w:lang w:val="fr-CH"/>
        </w:rPr>
      </w:pPr>
      <w:r w:rsidRPr="00AF592D">
        <w:rPr>
          <w:lang w:val="fr-CH"/>
        </w:rPr>
        <w:t>3.2</w:t>
      </w:r>
      <w:r w:rsidRPr="00AF592D">
        <w:rPr>
          <w:lang w:val="fr-CH"/>
        </w:rPr>
        <w:tab/>
      </w:r>
      <w:r>
        <w:rPr>
          <w:lang w:val="fr-CH"/>
        </w:rPr>
        <w:tab/>
      </w:r>
      <w:r w:rsidRPr="00AF592D">
        <w:rPr>
          <w:lang w:val="fr-CH"/>
        </w:rPr>
        <w:t>Au moment de l’impact, le véhicule ne doit plus être soumis à l’action d’aucun dispositif additionnel de guidage ou de propulsion auxiliaire.</w:t>
      </w:r>
    </w:p>
    <w:p w:rsidR="00F84AD9" w:rsidRPr="00AF592D" w:rsidRDefault="00F84AD9" w:rsidP="00F84AD9">
      <w:pPr>
        <w:pStyle w:val="SingleTxt"/>
        <w:ind w:left="2218" w:hanging="951"/>
        <w:rPr>
          <w:lang w:val="fr-CH"/>
        </w:rPr>
      </w:pPr>
      <w:r w:rsidRPr="00AF592D">
        <w:rPr>
          <w:lang w:val="fr-CH"/>
        </w:rPr>
        <w:t>3.3</w:t>
      </w:r>
      <w:r w:rsidRPr="00AF592D">
        <w:rPr>
          <w:lang w:val="fr-CH"/>
        </w:rPr>
        <w:tab/>
      </w:r>
      <w:r>
        <w:rPr>
          <w:lang w:val="fr-CH"/>
        </w:rPr>
        <w:tab/>
      </w:r>
      <w:r w:rsidRPr="00AF592D">
        <w:rPr>
          <w:lang w:val="fr-CH"/>
        </w:rPr>
        <w:t>La trajectoire du véhicule doit être telle qu’elle satisfasse aux exigences des paragraphes 1.2 et 1.3.1 ci-dessus.</w:t>
      </w:r>
    </w:p>
    <w:p w:rsidR="00F84AD9" w:rsidRPr="00AF592D" w:rsidRDefault="00F84AD9" w:rsidP="00F84AD9">
      <w:pPr>
        <w:pStyle w:val="SingleTxt"/>
        <w:rPr>
          <w:lang w:val="fr-CH"/>
        </w:rPr>
      </w:pPr>
      <w:r w:rsidRPr="00AF592D">
        <w:rPr>
          <w:lang w:val="fr-CH"/>
        </w:rPr>
        <w:t>4.</w:t>
      </w:r>
      <w:r w:rsidRPr="00AF592D">
        <w:rPr>
          <w:lang w:val="fr-CH"/>
        </w:rPr>
        <w:tab/>
      </w:r>
      <w:r>
        <w:rPr>
          <w:lang w:val="fr-CH"/>
        </w:rPr>
        <w:tab/>
      </w:r>
      <w:r w:rsidRPr="00AF592D">
        <w:rPr>
          <w:lang w:val="fr-CH"/>
        </w:rPr>
        <w:t>Vitesse d’essai</w:t>
      </w:r>
    </w:p>
    <w:p w:rsidR="00F84AD9" w:rsidRPr="00AF592D" w:rsidRDefault="00F84AD9" w:rsidP="00F84AD9">
      <w:pPr>
        <w:pStyle w:val="SingleTxt"/>
        <w:ind w:left="2218" w:hanging="951"/>
        <w:rPr>
          <w:lang w:val="fr-CH"/>
        </w:rPr>
      </w:pPr>
      <w:r>
        <w:rPr>
          <w:lang w:val="fr-CH"/>
        </w:rPr>
        <w:tab/>
      </w:r>
      <w:r w:rsidRPr="00AF592D">
        <w:rPr>
          <w:lang w:val="fr-CH"/>
        </w:rPr>
        <w:tab/>
        <w:t>Au moment de l’impact, le véhicu</w:t>
      </w:r>
      <w:r w:rsidR="00A02950">
        <w:rPr>
          <w:lang w:val="fr-CH"/>
        </w:rPr>
        <w:t>le doit avoir une vitesse de 50  </w:t>
      </w:r>
      <w:r w:rsidRPr="00AF592D">
        <w:rPr>
          <w:lang w:val="fr-CH"/>
        </w:rPr>
        <w:t>0/+1 km/h. Toutefois, si l’essai a été effectué à une vitesse d’impact supérieure et que le véhicule répondait aux prescriptions, l’essai est considéré comme satisfaisant.</w:t>
      </w:r>
    </w:p>
    <w:p w:rsidR="00F84AD9" w:rsidRPr="00AF592D" w:rsidRDefault="00F84AD9" w:rsidP="00F84AD9">
      <w:pPr>
        <w:pStyle w:val="SingleTxt"/>
        <w:rPr>
          <w:lang w:val="fr-CH"/>
        </w:rPr>
      </w:pPr>
      <w:r w:rsidRPr="00AF592D">
        <w:rPr>
          <w:lang w:val="fr-CH"/>
        </w:rPr>
        <w:t>5.</w:t>
      </w:r>
      <w:r w:rsidRPr="00AF592D">
        <w:rPr>
          <w:lang w:val="fr-CH"/>
        </w:rPr>
        <w:tab/>
      </w:r>
      <w:r>
        <w:rPr>
          <w:lang w:val="fr-CH"/>
        </w:rPr>
        <w:tab/>
      </w:r>
      <w:r w:rsidRPr="00AF592D">
        <w:rPr>
          <w:lang w:val="fr-CH"/>
        </w:rPr>
        <w:t>Mesures à effectuer sur les mannequins des sièges avant</w:t>
      </w:r>
    </w:p>
    <w:p w:rsidR="00F84AD9" w:rsidRPr="00AF592D" w:rsidRDefault="00F84AD9" w:rsidP="00F84AD9">
      <w:pPr>
        <w:pStyle w:val="SingleTxt"/>
        <w:ind w:left="2218" w:hanging="951"/>
        <w:rPr>
          <w:lang w:val="fr-CH"/>
        </w:rPr>
      </w:pPr>
      <w:r w:rsidRPr="00AF592D">
        <w:rPr>
          <w:lang w:val="fr-CH"/>
        </w:rPr>
        <w:t>5.1</w:t>
      </w:r>
      <w:r w:rsidRPr="00AF592D">
        <w:rPr>
          <w:lang w:val="fr-CH"/>
        </w:rPr>
        <w:tab/>
      </w:r>
      <w:r>
        <w:rPr>
          <w:lang w:val="fr-CH"/>
        </w:rPr>
        <w:tab/>
      </w:r>
      <w:r w:rsidRPr="00AF592D">
        <w:rPr>
          <w:lang w:val="fr-CH"/>
        </w:rPr>
        <w:t>Toutes les mesures nécessaires pour vérifier les critères de performance doivent s’effectuer à l’aide de chaînes de mesure correspondant aux spécifications de l’annexe 8.</w:t>
      </w:r>
    </w:p>
    <w:p w:rsidR="00F84AD9" w:rsidRPr="00AF592D" w:rsidRDefault="00F84AD9" w:rsidP="00F84AD9">
      <w:pPr>
        <w:pStyle w:val="SingleTxt"/>
        <w:ind w:left="2218" w:hanging="951"/>
        <w:rPr>
          <w:lang w:val="fr-CH"/>
        </w:rPr>
      </w:pPr>
      <w:r w:rsidRPr="00AF592D">
        <w:rPr>
          <w:lang w:val="fr-CH"/>
        </w:rPr>
        <w:t>5.2</w:t>
      </w:r>
      <w:r w:rsidRPr="00AF592D">
        <w:rPr>
          <w:lang w:val="fr-CH"/>
        </w:rPr>
        <w:tab/>
      </w:r>
      <w:r>
        <w:rPr>
          <w:lang w:val="fr-CH"/>
        </w:rPr>
        <w:tab/>
      </w:r>
      <w:r w:rsidRPr="00AF592D">
        <w:rPr>
          <w:lang w:val="fr-CH"/>
        </w:rPr>
        <w:t>Les différents paramètres doivent être relevés selon les chaînes de mesurage indépendantes de la CFC (classe de fréquence de la chaîne de mesurage) suivante</w:t>
      </w:r>
      <w:r w:rsidR="008B4BCA">
        <w:rPr>
          <w:lang w:val="fr-CH"/>
        </w:rPr>
        <w:t> </w:t>
      </w:r>
      <w:r w:rsidRPr="00AF592D">
        <w:rPr>
          <w:lang w:val="fr-CH"/>
        </w:rPr>
        <w:t>:</w:t>
      </w:r>
    </w:p>
    <w:p w:rsidR="00F84AD9" w:rsidRPr="00AF592D" w:rsidRDefault="00F84AD9" w:rsidP="00F84AD9">
      <w:pPr>
        <w:pStyle w:val="SingleTxt"/>
        <w:rPr>
          <w:lang w:val="fr-CH"/>
        </w:rPr>
      </w:pPr>
      <w:r w:rsidRPr="00AF592D">
        <w:rPr>
          <w:lang w:val="fr-CH"/>
        </w:rPr>
        <w:t>5.2.1</w:t>
      </w:r>
      <w:r>
        <w:rPr>
          <w:lang w:val="fr-CH"/>
        </w:rPr>
        <w:tab/>
      </w:r>
      <w:r w:rsidRPr="00AF592D">
        <w:rPr>
          <w:lang w:val="fr-CH"/>
        </w:rPr>
        <w:tab/>
        <w:t>Mesures dans la tête du mannequin</w:t>
      </w:r>
    </w:p>
    <w:p w:rsidR="00F84AD9" w:rsidRPr="00AF592D" w:rsidRDefault="00F84AD9" w:rsidP="00F84AD9">
      <w:pPr>
        <w:pStyle w:val="SingleTxt"/>
        <w:ind w:left="2218" w:hanging="951"/>
        <w:rPr>
          <w:lang w:val="fr-CH"/>
        </w:rPr>
      </w:pPr>
      <w:r w:rsidRPr="00AF592D">
        <w:rPr>
          <w:lang w:val="fr-CH"/>
        </w:rPr>
        <w:tab/>
      </w:r>
      <w:r>
        <w:rPr>
          <w:lang w:val="fr-CH"/>
        </w:rPr>
        <w:tab/>
      </w:r>
      <w:r w:rsidRPr="00AF592D">
        <w:rPr>
          <w:lang w:val="fr-CH"/>
        </w:rPr>
        <w:t>L’accélération (a) rapportée au centre de gravité est calculée à partir des composantes triaxiales de l’accélération mesurées avec une CFC de 1 000.</w:t>
      </w:r>
    </w:p>
    <w:p w:rsidR="00F84AD9" w:rsidRPr="00AF592D" w:rsidRDefault="00F84AD9" w:rsidP="00F84AD9">
      <w:pPr>
        <w:pStyle w:val="SingleTxt"/>
        <w:rPr>
          <w:lang w:val="fr-CH"/>
        </w:rPr>
      </w:pPr>
      <w:r w:rsidRPr="00AF592D">
        <w:rPr>
          <w:lang w:val="fr-CH"/>
        </w:rPr>
        <w:t>5.2.2</w:t>
      </w:r>
      <w:r w:rsidRPr="00AF592D">
        <w:rPr>
          <w:lang w:val="fr-CH"/>
        </w:rPr>
        <w:tab/>
      </w:r>
      <w:r>
        <w:rPr>
          <w:lang w:val="fr-CH"/>
        </w:rPr>
        <w:tab/>
      </w:r>
      <w:r w:rsidRPr="00AF592D">
        <w:rPr>
          <w:lang w:val="fr-CH"/>
        </w:rPr>
        <w:t xml:space="preserve">Mesures </w:t>
      </w:r>
      <w:r>
        <w:rPr>
          <w:lang w:val="fr-CH"/>
        </w:rPr>
        <w:t>dans la nuque</w:t>
      </w:r>
      <w:r w:rsidRPr="00AF592D">
        <w:rPr>
          <w:lang w:val="fr-CH"/>
        </w:rPr>
        <w:t xml:space="preserve"> du mannequin</w:t>
      </w:r>
    </w:p>
    <w:p w:rsidR="00F84AD9" w:rsidRPr="00AF592D" w:rsidRDefault="00F84AD9" w:rsidP="00F84AD9">
      <w:pPr>
        <w:pStyle w:val="SingleTxt"/>
        <w:ind w:left="2218" w:hanging="951"/>
        <w:rPr>
          <w:lang w:val="fr-CH"/>
        </w:rPr>
      </w:pPr>
      <w:r w:rsidRPr="00AF592D">
        <w:rPr>
          <w:lang w:val="fr-CH"/>
        </w:rPr>
        <w:t>5.2.2.1</w:t>
      </w:r>
      <w:r w:rsidRPr="00AF592D">
        <w:rPr>
          <w:lang w:val="fr-CH"/>
        </w:rPr>
        <w:tab/>
        <w:t xml:space="preserve">La force de traction axiale et l’effort de cisaillement avant/arrière à la jonction </w:t>
      </w:r>
      <w:r>
        <w:rPr>
          <w:lang w:val="fr-CH"/>
        </w:rPr>
        <w:t>nuque</w:t>
      </w:r>
      <w:r w:rsidRPr="00AF592D">
        <w:rPr>
          <w:lang w:val="fr-CH"/>
        </w:rPr>
        <w:t>/tête sont mesurés avec une CFC de 1 000.</w:t>
      </w:r>
    </w:p>
    <w:p w:rsidR="00F84AD9" w:rsidRPr="00AF592D" w:rsidRDefault="00F84AD9" w:rsidP="00F84AD9">
      <w:pPr>
        <w:pStyle w:val="SingleTxt"/>
        <w:ind w:left="2218" w:hanging="951"/>
        <w:rPr>
          <w:lang w:val="fr-CH"/>
        </w:rPr>
      </w:pPr>
      <w:r w:rsidRPr="00AF592D">
        <w:rPr>
          <w:lang w:val="fr-CH"/>
        </w:rPr>
        <w:t>5.2.2.2</w:t>
      </w:r>
      <w:r w:rsidRPr="00AF592D">
        <w:rPr>
          <w:lang w:val="fr-CH"/>
        </w:rPr>
        <w:tab/>
        <w:t xml:space="preserve">Le moment fléchissant autour d’un axe latéral à la jonction </w:t>
      </w:r>
      <w:r>
        <w:rPr>
          <w:lang w:val="fr-CH"/>
        </w:rPr>
        <w:t>nuque</w:t>
      </w:r>
      <w:r w:rsidRPr="00AF592D">
        <w:rPr>
          <w:lang w:val="fr-CH"/>
        </w:rPr>
        <w:t>/tête est mesuré avec une CFC de 600.</w:t>
      </w:r>
    </w:p>
    <w:p w:rsidR="00F84AD9" w:rsidRPr="00AF592D" w:rsidRDefault="00F84AD9" w:rsidP="00F84AD9">
      <w:pPr>
        <w:pStyle w:val="SingleTxt"/>
        <w:rPr>
          <w:lang w:val="fr-CH"/>
        </w:rPr>
      </w:pPr>
      <w:r w:rsidRPr="00AF592D">
        <w:rPr>
          <w:lang w:val="fr-CH"/>
        </w:rPr>
        <w:t>5.2.3</w:t>
      </w:r>
      <w:r w:rsidRPr="00AF592D">
        <w:rPr>
          <w:lang w:val="fr-CH"/>
        </w:rPr>
        <w:tab/>
      </w:r>
      <w:r>
        <w:rPr>
          <w:lang w:val="fr-CH"/>
        </w:rPr>
        <w:tab/>
      </w:r>
      <w:r w:rsidRPr="00AF592D">
        <w:rPr>
          <w:lang w:val="fr-CH"/>
        </w:rPr>
        <w:t>Mesures dans le thorax du mannequin</w:t>
      </w:r>
    </w:p>
    <w:p w:rsidR="00F84AD9" w:rsidRPr="00AF592D" w:rsidRDefault="00F84AD9" w:rsidP="00F84AD9">
      <w:pPr>
        <w:pStyle w:val="SingleTxt"/>
        <w:ind w:left="2218" w:hanging="951"/>
        <w:rPr>
          <w:lang w:val="fr-CH"/>
        </w:rPr>
      </w:pPr>
      <w:r>
        <w:rPr>
          <w:lang w:val="fr-CH"/>
        </w:rPr>
        <w:tab/>
      </w:r>
      <w:r w:rsidRPr="00AF592D">
        <w:rPr>
          <w:lang w:val="fr-CH"/>
        </w:rPr>
        <w:tab/>
        <w:t>L’enfoncement du thorax entre le sternum et la colonne vertébrale est mesuré avec une CFC de 180.</w:t>
      </w:r>
    </w:p>
    <w:p w:rsidR="00F84AD9" w:rsidRPr="00AF592D" w:rsidRDefault="00F84AD9" w:rsidP="00F84AD9">
      <w:pPr>
        <w:pStyle w:val="SingleTxt"/>
        <w:rPr>
          <w:lang w:val="fr-CH"/>
        </w:rPr>
      </w:pPr>
      <w:r w:rsidRPr="00AF592D">
        <w:rPr>
          <w:lang w:val="fr-CH"/>
        </w:rPr>
        <w:t>5.2.4</w:t>
      </w:r>
      <w:r w:rsidRPr="00AF592D">
        <w:rPr>
          <w:lang w:val="fr-CH"/>
        </w:rPr>
        <w:tab/>
      </w:r>
      <w:r>
        <w:rPr>
          <w:lang w:val="fr-CH"/>
        </w:rPr>
        <w:tab/>
      </w:r>
      <w:r w:rsidRPr="00AF592D">
        <w:rPr>
          <w:lang w:val="fr-CH"/>
        </w:rPr>
        <w:t>Mesures dans le fémur</w:t>
      </w:r>
    </w:p>
    <w:p w:rsidR="00F84AD9" w:rsidRPr="00AF592D" w:rsidRDefault="00F84AD9" w:rsidP="00F84AD9">
      <w:pPr>
        <w:pStyle w:val="SingleTxt"/>
        <w:ind w:left="2218" w:hanging="951"/>
        <w:rPr>
          <w:lang w:val="fr-CH"/>
        </w:rPr>
      </w:pPr>
      <w:r w:rsidRPr="00AF592D">
        <w:rPr>
          <w:lang w:val="fr-CH"/>
        </w:rPr>
        <w:t>5.2.4.1</w:t>
      </w:r>
      <w:r w:rsidRPr="00AF592D">
        <w:rPr>
          <w:lang w:val="fr-CH"/>
        </w:rPr>
        <w:tab/>
        <w:t>La force de compression axiale et les moments fléchissants sont mesurés avec une CFC de 600.</w:t>
      </w:r>
    </w:p>
    <w:p w:rsidR="00F84AD9" w:rsidRPr="00AF592D" w:rsidRDefault="00F84AD9" w:rsidP="00F84AD9">
      <w:pPr>
        <w:pStyle w:val="SingleTxt"/>
        <w:rPr>
          <w:lang w:val="fr-CH"/>
        </w:rPr>
      </w:pPr>
      <w:r w:rsidRPr="00AF592D">
        <w:rPr>
          <w:lang w:val="fr-CH"/>
        </w:rPr>
        <w:t>6.</w:t>
      </w:r>
      <w:r w:rsidRPr="00AF592D">
        <w:rPr>
          <w:lang w:val="fr-CH"/>
        </w:rPr>
        <w:tab/>
      </w:r>
      <w:r>
        <w:rPr>
          <w:lang w:val="fr-CH"/>
        </w:rPr>
        <w:tab/>
      </w:r>
      <w:r w:rsidRPr="00AF592D">
        <w:rPr>
          <w:lang w:val="fr-CH"/>
        </w:rPr>
        <w:t>Mesures à effectuer sur le véhicule</w:t>
      </w:r>
    </w:p>
    <w:p w:rsidR="00F84AD9" w:rsidRPr="00AF592D" w:rsidRDefault="00F84AD9" w:rsidP="00F84AD9">
      <w:pPr>
        <w:pStyle w:val="SingleTxt"/>
        <w:ind w:left="2218" w:hanging="951"/>
        <w:rPr>
          <w:lang w:val="fr-CH"/>
        </w:rPr>
      </w:pPr>
      <w:r w:rsidRPr="00AF592D">
        <w:rPr>
          <w:lang w:val="fr-CH"/>
        </w:rPr>
        <w:t>6.1</w:t>
      </w:r>
      <w:r w:rsidRPr="00AF592D">
        <w:rPr>
          <w:lang w:val="fr-CH"/>
        </w:rPr>
        <w:tab/>
      </w:r>
      <w:r>
        <w:rPr>
          <w:lang w:val="fr-CH"/>
        </w:rPr>
        <w:tab/>
      </w:r>
      <w:r w:rsidRPr="00AF592D">
        <w:rPr>
          <w:lang w:val="fr-CH"/>
        </w:rPr>
        <w:t>Pour permettre d’effectuer l’essai simplifié décrit à l’annexe 7, la courbe de décélération de la structure doit être déterminée d’après les valeurs données par les accéléromètres longitudinaux placés à la base du montant milieu du véhicule avec une CFC de 180 à l’aide de chaînes de mesurage correspondant aux prescriptions de l’annexe 8;</w:t>
      </w:r>
    </w:p>
    <w:p w:rsidR="00F84AD9" w:rsidRPr="00AF592D" w:rsidRDefault="00F84AD9" w:rsidP="00F84AD9">
      <w:pPr>
        <w:pStyle w:val="SingleTxt"/>
        <w:ind w:left="2218" w:hanging="951"/>
        <w:rPr>
          <w:lang w:val="fr-CH"/>
        </w:rPr>
      </w:pPr>
      <w:r w:rsidRPr="00AF592D">
        <w:rPr>
          <w:lang w:val="fr-CH"/>
        </w:rPr>
        <w:lastRenderedPageBreak/>
        <w:t>6.2</w:t>
      </w:r>
      <w:r w:rsidRPr="00AF592D">
        <w:rPr>
          <w:lang w:val="fr-CH"/>
        </w:rPr>
        <w:tab/>
      </w:r>
      <w:r>
        <w:rPr>
          <w:lang w:val="fr-CH"/>
        </w:rPr>
        <w:tab/>
      </w:r>
      <w:r w:rsidRPr="00AF592D">
        <w:rPr>
          <w:lang w:val="fr-CH"/>
        </w:rPr>
        <w:t>La courbe de vitesse à utiliser durant la procédure d’essai décrite à l’annexe 7 doit être obtenue grâce à l’accéléromètre longitudinal placé au montant milieu.</w:t>
      </w:r>
    </w:p>
    <w:p w:rsidR="00F84AD9" w:rsidRPr="00AF592D" w:rsidRDefault="00F84AD9" w:rsidP="00F84AD9">
      <w:pPr>
        <w:pStyle w:val="SingleTxt"/>
        <w:rPr>
          <w:lang w:val="fr-CH"/>
        </w:rPr>
      </w:pPr>
      <w:r w:rsidRPr="00AF592D">
        <w:rPr>
          <w:lang w:val="fr-CH"/>
        </w:rPr>
        <w:t>7.</w:t>
      </w:r>
      <w:r w:rsidRPr="00AF592D">
        <w:rPr>
          <w:lang w:val="fr-CH"/>
        </w:rPr>
        <w:tab/>
      </w:r>
      <w:r>
        <w:rPr>
          <w:lang w:val="fr-CH"/>
        </w:rPr>
        <w:tab/>
      </w:r>
      <w:r w:rsidRPr="00AF592D">
        <w:rPr>
          <w:lang w:val="fr-CH"/>
        </w:rPr>
        <w:t>Procédures équivalentes</w:t>
      </w:r>
    </w:p>
    <w:p w:rsidR="00F84AD9" w:rsidRPr="00AF592D" w:rsidRDefault="00F84AD9" w:rsidP="00A016BF">
      <w:pPr>
        <w:pStyle w:val="SingleTxt"/>
        <w:ind w:left="2218" w:hanging="951"/>
        <w:rPr>
          <w:lang w:val="fr-CH"/>
        </w:rPr>
      </w:pPr>
      <w:r w:rsidRPr="00AF592D">
        <w:rPr>
          <w:lang w:val="fr-CH"/>
        </w:rPr>
        <w:t>7.1</w:t>
      </w:r>
      <w:r w:rsidRPr="00AF592D">
        <w:rPr>
          <w:lang w:val="fr-CH"/>
        </w:rPr>
        <w:tab/>
      </w:r>
      <w:r>
        <w:rPr>
          <w:lang w:val="fr-CH"/>
        </w:rPr>
        <w:tab/>
      </w:r>
      <w:r w:rsidRPr="00AF592D">
        <w:rPr>
          <w:lang w:val="fr-CH"/>
        </w:rPr>
        <w:t>D’autres procédures peuvent être autorisées à la discrétion de l’autorité d’homologation de type, à condition que leur équivalence puisse être prouvée. Un rapport décrivant la méthode utilisée et les résultats obtenus ou la raison pour laquelle l’essai n’a pas été effectué doit être joint aux documents d’homologation.</w:t>
      </w:r>
    </w:p>
    <w:p w:rsidR="00F774A9" w:rsidRDefault="00F84AD9" w:rsidP="00263C1F">
      <w:pPr>
        <w:pStyle w:val="SingleTxt"/>
        <w:ind w:left="2218" w:hanging="951"/>
        <w:rPr>
          <w:lang w:val="fr-CH"/>
        </w:rPr>
      </w:pPr>
      <w:r w:rsidRPr="00AF592D">
        <w:rPr>
          <w:lang w:val="fr-CH"/>
        </w:rPr>
        <w:t>7.2</w:t>
      </w:r>
      <w:r w:rsidRPr="00AF592D">
        <w:rPr>
          <w:lang w:val="fr-CH"/>
        </w:rPr>
        <w:tab/>
      </w:r>
      <w:r>
        <w:rPr>
          <w:lang w:val="fr-CH"/>
        </w:rPr>
        <w:tab/>
      </w:r>
      <w:r w:rsidRPr="00AF592D">
        <w:rPr>
          <w:lang w:val="fr-CH"/>
        </w:rPr>
        <w:t>Il appartient au fabricant ou à son représentant qui souhaite voir utiliser une autre méthode de démontrer qu’elle est équivalente.</w:t>
      </w:r>
    </w:p>
    <w:p w:rsidR="00F84AD9" w:rsidRDefault="00F84AD9" w:rsidP="00F84AD9">
      <w:pPr>
        <w:pStyle w:val="SingleTxt"/>
        <w:rPr>
          <w:lang w:val="fr-CH"/>
        </w:rPr>
      </w:pPr>
    </w:p>
    <w:p w:rsidR="00F84AD9" w:rsidRDefault="00F84AD9" w:rsidP="00F84AD9">
      <w:pPr>
        <w:pStyle w:val="SingleTxt"/>
        <w:rPr>
          <w:lang w:val="fr-CH"/>
        </w:rPr>
        <w:sectPr w:rsidR="00F84AD9" w:rsidSect="007360C7">
          <w:headerReference w:type="even" r:id="rId26"/>
          <w:headerReference w:type="default" r:id="rId27"/>
          <w:footerReference w:type="even" r:id="rId28"/>
          <w:footerReference w:type="default" r:id="rId29"/>
          <w:footnotePr>
            <w:numRestart w:val="eachSect"/>
          </w:footnotePr>
          <w:pgSz w:w="11909" w:h="16834"/>
          <w:pgMar w:top="1742" w:right="936" w:bottom="1898" w:left="936" w:header="576" w:footer="1030" w:gutter="0"/>
          <w:cols w:space="720"/>
          <w:noEndnote/>
          <w:docGrid w:linePitch="360"/>
        </w:sectPr>
      </w:pPr>
    </w:p>
    <w:p w:rsidR="00467EB7" w:rsidRDefault="00467EB7" w:rsidP="00467E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Annexe 4</w:t>
      </w:r>
    </w:p>
    <w:p w:rsidR="00467EB7" w:rsidRPr="004374D4" w:rsidRDefault="00467EB7" w:rsidP="00467EB7">
      <w:pPr>
        <w:pStyle w:val="SingleTxt"/>
        <w:spacing w:after="0" w:line="120" w:lineRule="exact"/>
        <w:rPr>
          <w:sz w:val="10"/>
          <w:lang w:val="fr-CH"/>
        </w:rPr>
      </w:pPr>
    </w:p>
    <w:p w:rsidR="00467EB7" w:rsidRDefault="00467EB7" w:rsidP="00467E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t>Critères de performance</w:t>
      </w:r>
    </w:p>
    <w:p w:rsidR="00467EB7" w:rsidRPr="004374D4" w:rsidRDefault="00467EB7" w:rsidP="00467EB7">
      <w:pPr>
        <w:pStyle w:val="SingleTxt"/>
        <w:spacing w:after="0" w:line="120" w:lineRule="exact"/>
        <w:rPr>
          <w:sz w:val="10"/>
          <w:lang w:val="fr-CH"/>
        </w:rPr>
      </w:pPr>
    </w:p>
    <w:p w:rsidR="00467EB7" w:rsidRPr="004374D4" w:rsidRDefault="00467EB7" w:rsidP="00467EB7">
      <w:pPr>
        <w:pStyle w:val="SingleTxt"/>
        <w:spacing w:after="0" w:line="120" w:lineRule="exact"/>
        <w:rPr>
          <w:sz w:val="10"/>
          <w:lang w:val="fr-CH"/>
        </w:rPr>
      </w:pPr>
    </w:p>
    <w:p w:rsidR="00467EB7" w:rsidRPr="006A2B44" w:rsidRDefault="00467EB7" w:rsidP="00467EB7">
      <w:pPr>
        <w:pStyle w:val="SingleTxt"/>
        <w:rPr>
          <w:lang w:val="fr-CH"/>
        </w:rPr>
      </w:pPr>
      <w:r w:rsidRPr="006A2B44">
        <w:rPr>
          <w:lang w:val="fr-CH"/>
        </w:rPr>
        <w:t>1.</w:t>
      </w:r>
      <w:r w:rsidRPr="006A2B44">
        <w:rPr>
          <w:lang w:val="fr-CH"/>
        </w:rPr>
        <w:tab/>
      </w:r>
      <w:r>
        <w:rPr>
          <w:lang w:val="fr-CH"/>
        </w:rPr>
        <w:tab/>
      </w:r>
      <w:r w:rsidRPr="006A2B44">
        <w:rPr>
          <w:lang w:val="fr-CH"/>
        </w:rPr>
        <w:t xml:space="preserve">Critère de performance de la </w:t>
      </w:r>
      <w:r w:rsidRPr="00C74673">
        <w:rPr>
          <w:lang w:val="fr-CH"/>
        </w:rPr>
        <w:t>tête (HPC</w:t>
      </w:r>
      <w:r w:rsidRPr="00C74673">
        <w:rPr>
          <w:vertAlign w:val="subscript"/>
          <w:lang w:val="fr-CH"/>
        </w:rPr>
        <w:t>36</w:t>
      </w:r>
      <w:r w:rsidRPr="00C74673">
        <w:rPr>
          <w:lang w:val="fr-CH"/>
        </w:rPr>
        <w:t>)</w:t>
      </w:r>
    </w:p>
    <w:p w:rsidR="00467EB7" w:rsidRPr="006A2B44" w:rsidRDefault="00467EB7" w:rsidP="00467EB7">
      <w:pPr>
        <w:pStyle w:val="SingleTxt"/>
        <w:ind w:left="2218" w:hanging="951"/>
        <w:rPr>
          <w:lang w:val="fr-CH"/>
        </w:rPr>
      </w:pPr>
      <w:r w:rsidRPr="006A2B44">
        <w:rPr>
          <w:lang w:val="fr-CH"/>
        </w:rPr>
        <w:t>1.1</w:t>
      </w:r>
      <w:r w:rsidRPr="006A2B44">
        <w:rPr>
          <w:lang w:val="fr-CH"/>
        </w:rPr>
        <w:tab/>
      </w:r>
      <w:r>
        <w:rPr>
          <w:lang w:val="fr-CH"/>
        </w:rPr>
        <w:tab/>
      </w:r>
      <w:r w:rsidRPr="00B46E2D">
        <w:rPr>
          <w:lang w:val="fr-CH"/>
        </w:rPr>
        <w:t>On considère qu’il est satisfait au critère de performance de la tête (HPC</w:t>
      </w:r>
      <w:r w:rsidRPr="00B46E2D">
        <w:rPr>
          <w:vertAlign w:val="subscript"/>
          <w:lang w:val="fr-CH"/>
        </w:rPr>
        <w:t>36</w:t>
      </w:r>
      <w:r w:rsidRPr="00B46E2D">
        <w:rPr>
          <w:lang w:val="fr-CH"/>
        </w:rPr>
        <w:t>) lorsque, durant l’essai, la tête n’entre en contact avec aucun composant du véhicule.</w:t>
      </w:r>
    </w:p>
    <w:p w:rsidR="00467EB7" w:rsidRDefault="00467EB7" w:rsidP="00467EB7">
      <w:pPr>
        <w:pStyle w:val="SingleTxt"/>
        <w:ind w:left="2218" w:hanging="951"/>
        <w:rPr>
          <w:lang w:val="fr-CH"/>
        </w:rPr>
      </w:pPr>
      <w:r w:rsidRPr="006A2B44">
        <w:rPr>
          <w:lang w:val="fr-CH"/>
        </w:rPr>
        <w:t>1.2</w:t>
      </w:r>
      <w:r w:rsidRPr="006A2B44">
        <w:rPr>
          <w:lang w:val="fr-CH"/>
        </w:rPr>
        <w:tab/>
      </w:r>
      <w:r>
        <w:rPr>
          <w:lang w:val="fr-CH"/>
        </w:rPr>
        <w:tab/>
      </w:r>
      <w:r w:rsidRPr="006A2B44">
        <w:rPr>
          <w:lang w:val="fr-CH"/>
        </w:rPr>
        <w:t>Si, durant l’essai, la tête entre en contact avec un quelconque composant du véhicule, on procède au calcul du HPC, sur la base de l’</w:t>
      </w:r>
      <w:r>
        <w:rPr>
          <w:lang w:val="fr-CH"/>
        </w:rPr>
        <w:t>accélération </w:t>
      </w:r>
      <w:r w:rsidRPr="006A2B44">
        <w:rPr>
          <w:lang w:val="fr-CH"/>
        </w:rPr>
        <w:t>(a) mesurée conformément au paragraphe</w:t>
      </w:r>
      <w:r>
        <w:rPr>
          <w:lang w:val="fr-CH"/>
        </w:rPr>
        <w:t xml:space="preserve"> </w:t>
      </w:r>
      <w:r w:rsidRPr="006A2B44">
        <w:rPr>
          <w:lang w:val="fr-CH"/>
        </w:rPr>
        <w:t>5.2.1 de l’annexe</w:t>
      </w:r>
      <w:r>
        <w:rPr>
          <w:lang w:val="fr-CH"/>
        </w:rPr>
        <w:t xml:space="preserve"> </w:t>
      </w:r>
      <w:r w:rsidRPr="006A2B44">
        <w:rPr>
          <w:lang w:val="fr-CH"/>
        </w:rPr>
        <w:t>3, au moyen de la formule suivante</w:t>
      </w:r>
      <w:r>
        <w:rPr>
          <w:lang w:val="fr-CH"/>
        </w:rPr>
        <w:t> </w:t>
      </w:r>
      <w:r w:rsidRPr="006A2B44">
        <w:rPr>
          <w:lang w:val="fr-CH"/>
        </w:rPr>
        <w:t>:</w:t>
      </w:r>
    </w:p>
    <w:p w:rsidR="00467EB7" w:rsidRPr="008A57FA" w:rsidRDefault="00467EB7" w:rsidP="00467EB7">
      <w:pPr>
        <w:suppressAutoHyphens/>
        <w:kinsoku w:val="0"/>
        <w:overflowPunct w:val="0"/>
        <w:autoSpaceDE w:val="0"/>
        <w:autoSpaceDN w:val="0"/>
        <w:adjustRightInd w:val="0"/>
        <w:snapToGrid w:val="0"/>
        <w:spacing w:line="240" w:lineRule="atLeast"/>
        <w:ind w:left="2275"/>
        <w:rPr>
          <w:rFonts w:eastAsia="Times New Roman"/>
          <w:spacing w:val="0"/>
          <w:w w:val="100"/>
          <w:kern w:val="0"/>
          <w:szCs w:val="20"/>
          <w:lang w:val="fr-CH"/>
        </w:rPr>
      </w:pPr>
      <w:r w:rsidRPr="008A57FA">
        <w:rPr>
          <w:rFonts w:eastAsia="Times New Roman"/>
          <w:noProof/>
          <w:spacing w:val="0"/>
          <w:w w:val="100"/>
          <w:kern w:val="0"/>
          <w:szCs w:val="20"/>
          <w:lang w:val="en-GB" w:eastAsia="en-GB"/>
        </w:rPr>
        <w:drawing>
          <wp:inline distT="0" distB="0" distL="0" distR="0" wp14:anchorId="47DABA98" wp14:editId="2D3534A2">
            <wp:extent cx="2095500" cy="609600"/>
            <wp:effectExtent l="0" t="0" r="0" b="0"/>
            <wp:docPr id="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5500" cy="609600"/>
                    </a:xfrm>
                    <a:prstGeom prst="rect">
                      <a:avLst/>
                    </a:prstGeom>
                    <a:noFill/>
                    <a:ln>
                      <a:noFill/>
                    </a:ln>
                  </pic:spPr>
                </pic:pic>
              </a:graphicData>
            </a:graphic>
          </wp:inline>
        </w:drawing>
      </w:r>
    </w:p>
    <w:p w:rsidR="00467EB7" w:rsidRPr="00C45C21" w:rsidRDefault="00467EB7" w:rsidP="00467EB7">
      <w:pPr>
        <w:pStyle w:val="SingleTxt"/>
        <w:rPr>
          <w:lang w:val="fr-CH"/>
        </w:rPr>
      </w:pPr>
      <w:r>
        <w:rPr>
          <w:lang w:val="fr-CH"/>
        </w:rPr>
        <w:tab/>
      </w:r>
      <w:r>
        <w:rPr>
          <w:lang w:val="fr-CH"/>
        </w:rPr>
        <w:tab/>
      </w:r>
      <w:r w:rsidRPr="00C45C21">
        <w:rPr>
          <w:lang w:val="fr-CH"/>
        </w:rPr>
        <w:t>dans laquelle</w:t>
      </w:r>
      <w:r>
        <w:rPr>
          <w:lang w:val="fr-CH"/>
        </w:rPr>
        <w:t> </w:t>
      </w:r>
      <w:r w:rsidRPr="00C45C21">
        <w:rPr>
          <w:lang w:val="fr-CH"/>
        </w:rPr>
        <w:t>:</w:t>
      </w:r>
    </w:p>
    <w:p w:rsidR="00467EB7" w:rsidRPr="00C45C21" w:rsidRDefault="00467EB7" w:rsidP="00467EB7">
      <w:pPr>
        <w:pStyle w:val="SingleTxt"/>
        <w:ind w:left="2218" w:hanging="951"/>
        <w:rPr>
          <w:lang w:val="fr-CH"/>
        </w:rPr>
      </w:pPr>
      <w:r w:rsidRPr="00C45C21">
        <w:rPr>
          <w:lang w:val="fr-CH"/>
        </w:rPr>
        <w:t>1.2.1</w:t>
      </w:r>
      <w:r w:rsidRPr="00C45C21">
        <w:rPr>
          <w:lang w:val="fr-CH"/>
        </w:rPr>
        <w:tab/>
      </w:r>
      <w:r>
        <w:rPr>
          <w:lang w:val="fr-CH"/>
        </w:rPr>
        <w:tab/>
      </w:r>
      <w:r w:rsidRPr="00A016BF">
        <w:rPr>
          <w:lang w:val="fr-CH"/>
        </w:rPr>
        <w:t>« a » correspond à l’accélération résultante mesurée conformément au paragraphe</w:t>
      </w:r>
      <w:r w:rsidR="00A016BF">
        <w:rPr>
          <w:lang w:val="fr-CH"/>
        </w:rPr>
        <w:t> </w:t>
      </w:r>
      <w:r w:rsidRPr="00A016BF">
        <w:rPr>
          <w:lang w:val="fr-CH"/>
        </w:rPr>
        <w:t>5.2.1 de l’annexe</w:t>
      </w:r>
      <w:r w:rsidR="00A016BF">
        <w:rPr>
          <w:lang w:val="fr-CH"/>
        </w:rPr>
        <w:t xml:space="preserve"> </w:t>
      </w:r>
      <w:r w:rsidRPr="00A016BF">
        <w:rPr>
          <w:lang w:val="fr-CH"/>
        </w:rPr>
        <w:t>3; il s’exprime en unités de gravité, g</w:t>
      </w:r>
      <w:r w:rsidR="00A016BF">
        <w:rPr>
          <w:lang w:val="fr-CH"/>
        </w:rPr>
        <w:t> </w:t>
      </w:r>
      <w:r w:rsidRPr="00A016BF">
        <w:rPr>
          <w:lang w:val="fr-CH"/>
        </w:rPr>
        <w:t>(1</w:t>
      </w:r>
      <w:r w:rsidR="00A016BF">
        <w:rPr>
          <w:lang w:val="fr-CH"/>
        </w:rPr>
        <w:t> </w:t>
      </w:r>
      <w:r w:rsidRPr="00A016BF">
        <w:rPr>
          <w:lang w:val="fr-CH"/>
        </w:rPr>
        <w:t>g</w:t>
      </w:r>
      <w:r w:rsidR="00A016BF">
        <w:rPr>
          <w:lang w:val="fr-CH"/>
        </w:rPr>
        <w:t> </w:t>
      </w:r>
      <w:r w:rsidRPr="00A016BF">
        <w:rPr>
          <w:lang w:val="fr-CH"/>
        </w:rPr>
        <w:t>=</w:t>
      </w:r>
      <w:r w:rsidR="00A016BF">
        <w:rPr>
          <w:lang w:val="fr-CH"/>
        </w:rPr>
        <w:t> </w:t>
      </w:r>
      <w:r w:rsidRPr="00A016BF">
        <w:rPr>
          <w:lang w:val="fr-CH"/>
        </w:rPr>
        <w:t>9,81</w:t>
      </w:r>
      <w:r w:rsidR="00A016BF">
        <w:rPr>
          <w:lang w:val="fr-CH"/>
        </w:rPr>
        <w:t> </w:t>
      </w:r>
      <w:r w:rsidRPr="00A016BF">
        <w:rPr>
          <w:lang w:val="fr-CH"/>
        </w:rPr>
        <w:t>m/s</w:t>
      </w:r>
      <w:r w:rsidRPr="00A016BF">
        <w:rPr>
          <w:vertAlign w:val="superscript"/>
          <w:lang w:val="fr-CH"/>
        </w:rPr>
        <w:t>2</w:t>
      </w:r>
      <w:r w:rsidRPr="00A016BF">
        <w:rPr>
          <w:lang w:val="fr-CH"/>
        </w:rPr>
        <w:t>);</w:t>
      </w:r>
    </w:p>
    <w:p w:rsidR="00467EB7" w:rsidRPr="00C45C21" w:rsidRDefault="00467EB7" w:rsidP="00467EB7">
      <w:pPr>
        <w:pStyle w:val="SingleTxt"/>
        <w:ind w:left="2218" w:hanging="951"/>
        <w:rPr>
          <w:lang w:val="fr-CH"/>
        </w:rPr>
      </w:pPr>
      <w:r w:rsidRPr="00C45C21">
        <w:rPr>
          <w:lang w:val="fr-CH"/>
        </w:rPr>
        <w:t>1.2.2</w:t>
      </w:r>
      <w:r>
        <w:rPr>
          <w:lang w:val="fr-CH"/>
        </w:rPr>
        <w:tab/>
      </w:r>
      <w:r w:rsidRPr="00C45C21">
        <w:rPr>
          <w:lang w:val="fr-CH"/>
        </w:rPr>
        <w:tab/>
        <w:t>Si le début du contact de la tête peut être déterminé de manière satisfaisante, t</w:t>
      </w:r>
      <w:r w:rsidRPr="00C45C21">
        <w:rPr>
          <w:vertAlign w:val="subscript"/>
          <w:lang w:val="fr-CH"/>
        </w:rPr>
        <w:t>1</w:t>
      </w:r>
      <w:r w:rsidRPr="00C45C21">
        <w:rPr>
          <w:lang w:val="fr-CH"/>
        </w:rPr>
        <w:t xml:space="preserve"> et t</w:t>
      </w:r>
      <w:r w:rsidRPr="00C45C21">
        <w:rPr>
          <w:vertAlign w:val="subscript"/>
          <w:lang w:val="fr-CH"/>
        </w:rPr>
        <w:t>2</w:t>
      </w:r>
      <w:r w:rsidRPr="00C45C21">
        <w:rPr>
          <w:lang w:val="fr-CH"/>
        </w:rPr>
        <w:t xml:space="preserve"> sont les deux instants, exprimés en secondes, définissant l’intervalle de temps écoulé entre le début du contact de la tête et la fin de l’enregistrement pour lequel la valeur du HPC est maximale;</w:t>
      </w:r>
    </w:p>
    <w:p w:rsidR="00467EB7" w:rsidRPr="00C45C21" w:rsidRDefault="00467EB7" w:rsidP="00467EB7">
      <w:pPr>
        <w:pStyle w:val="SingleTxt"/>
        <w:ind w:left="2218" w:hanging="951"/>
        <w:rPr>
          <w:lang w:val="fr-CH"/>
        </w:rPr>
      </w:pPr>
      <w:r w:rsidRPr="00C45C21">
        <w:rPr>
          <w:lang w:val="fr-CH"/>
        </w:rPr>
        <w:t>1.2.3</w:t>
      </w:r>
      <w:r w:rsidRPr="00C45C21">
        <w:rPr>
          <w:lang w:val="fr-CH"/>
        </w:rPr>
        <w:tab/>
      </w:r>
      <w:r>
        <w:rPr>
          <w:lang w:val="fr-CH"/>
        </w:rPr>
        <w:tab/>
      </w:r>
      <w:r w:rsidRPr="00C45C21">
        <w:rPr>
          <w:lang w:val="fr-CH"/>
        </w:rPr>
        <w:t>Si le début du contact de la tête ne peut être déterminé, t</w:t>
      </w:r>
      <w:r w:rsidRPr="00C45C21">
        <w:rPr>
          <w:vertAlign w:val="subscript"/>
          <w:lang w:val="fr-CH"/>
        </w:rPr>
        <w:t>1</w:t>
      </w:r>
      <w:r w:rsidRPr="00C45C21">
        <w:rPr>
          <w:lang w:val="fr-CH"/>
        </w:rPr>
        <w:t xml:space="preserve"> et t</w:t>
      </w:r>
      <w:r w:rsidRPr="00C45C21">
        <w:rPr>
          <w:vertAlign w:val="subscript"/>
          <w:lang w:val="fr-CH"/>
        </w:rPr>
        <w:t xml:space="preserve">2 </w:t>
      </w:r>
      <w:r w:rsidRPr="00C45C21">
        <w:rPr>
          <w:lang w:val="fr-CH"/>
        </w:rPr>
        <w:t>sont les deux instants, exprimés en secondes, définissant l’intervalle de temps écoulé entre le début et la fin de l’enregistrement, pour lequel la valeur du HPC est maximale;</w:t>
      </w:r>
    </w:p>
    <w:p w:rsidR="00467EB7" w:rsidRPr="00C45C21" w:rsidRDefault="00467EB7" w:rsidP="00467EB7">
      <w:pPr>
        <w:pStyle w:val="SingleTxt"/>
        <w:ind w:left="2218" w:hanging="951"/>
        <w:rPr>
          <w:lang w:val="fr-CH"/>
        </w:rPr>
      </w:pPr>
      <w:r w:rsidRPr="00C45C21">
        <w:rPr>
          <w:lang w:val="fr-CH"/>
        </w:rPr>
        <w:t>1.2.4</w:t>
      </w:r>
      <w:r>
        <w:rPr>
          <w:lang w:val="fr-CH"/>
        </w:rPr>
        <w:tab/>
      </w:r>
      <w:r w:rsidRPr="00C45C21">
        <w:rPr>
          <w:lang w:val="fr-CH"/>
        </w:rPr>
        <w:tab/>
        <w:t>Les valeurs du HPC pour lequel l’intervalle de temps (t</w:t>
      </w:r>
      <w:r w:rsidRPr="00C45C21">
        <w:rPr>
          <w:vertAlign w:val="subscript"/>
          <w:lang w:val="fr-CH"/>
        </w:rPr>
        <w:t>1</w:t>
      </w:r>
      <w:r w:rsidRPr="00C45C21">
        <w:rPr>
          <w:lang w:val="fr-CH"/>
        </w:rPr>
        <w:t>-t</w:t>
      </w:r>
      <w:r w:rsidRPr="00C45C21">
        <w:rPr>
          <w:vertAlign w:val="subscript"/>
          <w:lang w:val="fr-CH"/>
        </w:rPr>
        <w:t>2</w:t>
      </w:r>
      <w:r w:rsidRPr="00C45C21">
        <w:rPr>
          <w:lang w:val="fr-CH"/>
        </w:rPr>
        <w:t>) est supérieur à 36 ms ne sont pas prises en compte dans le calcul de la valeur maximale.</w:t>
      </w:r>
    </w:p>
    <w:p w:rsidR="00467EB7" w:rsidRPr="00C45C21" w:rsidRDefault="00467EB7" w:rsidP="00467EB7">
      <w:pPr>
        <w:pStyle w:val="SingleTxt"/>
        <w:ind w:left="2218" w:hanging="951"/>
        <w:rPr>
          <w:lang w:val="fr-CH"/>
        </w:rPr>
      </w:pPr>
      <w:r w:rsidRPr="00C45C21">
        <w:rPr>
          <w:lang w:val="fr-CH"/>
        </w:rPr>
        <w:t>1.3</w:t>
      </w:r>
      <w:r w:rsidRPr="00C45C21">
        <w:rPr>
          <w:lang w:val="fr-CH"/>
        </w:rPr>
        <w:tab/>
      </w:r>
      <w:r>
        <w:rPr>
          <w:lang w:val="fr-CH"/>
        </w:rPr>
        <w:tab/>
      </w:r>
      <w:r w:rsidRPr="00C45C21">
        <w:rPr>
          <w:lang w:val="fr-CH"/>
        </w:rPr>
        <w:t>La valeur de l’accélération résultante de la tête pendant l’impact vers l’avant qui est dépassée de manière cumulative pendant 3 ms est calculée sur la base de l’accélération résultante de la tête mesurée conformément au paragraphe 5.2.1 de l’annexe 3.</w:t>
      </w:r>
    </w:p>
    <w:p w:rsidR="00467EB7" w:rsidRPr="00C45C21" w:rsidRDefault="00467EB7" w:rsidP="00467EB7">
      <w:pPr>
        <w:pStyle w:val="SingleTxt"/>
        <w:rPr>
          <w:lang w:val="fr-CH"/>
        </w:rPr>
      </w:pPr>
      <w:r w:rsidRPr="00C45C21">
        <w:rPr>
          <w:lang w:val="fr-CH"/>
        </w:rPr>
        <w:t>2.</w:t>
      </w:r>
      <w:r w:rsidRPr="00C45C21">
        <w:rPr>
          <w:lang w:val="fr-CH"/>
        </w:rPr>
        <w:tab/>
      </w:r>
      <w:r w:rsidRPr="00C45C21">
        <w:rPr>
          <w:lang w:val="fr-CH"/>
        </w:rPr>
        <w:tab/>
        <w:t xml:space="preserve">Critères de lésion </w:t>
      </w:r>
      <w:r>
        <w:rPr>
          <w:lang w:val="fr-CH"/>
        </w:rPr>
        <w:t>de la nuque</w:t>
      </w:r>
    </w:p>
    <w:p w:rsidR="00467EB7" w:rsidRPr="00C45C21" w:rsidRDefault="00467EB7" w:rsidP="00467EB7">
      <w:pPr>
        <w:pStyle w:val="SingleTxt"/>
        <w:ind w:left="2218" w:hanging="951"/>
        <w:rPr>
          <w:lang w:val="fr-CH"/>
        </w:rPr>
      </w:pPr>
      <w:r w:rsidRPr="00C45C21">
        <w:rPr>
          <w:lang w:val="fr-CH"/>
        </w:rPr>
        <w:t>2.1</w:t>
      </w:r>
      <w:r w:rsidRPr="00C45C21">
        <w:rPr>
          <w:lang w:val="fr-CH"/>
        </w:rPr>
        <w:tab/>
      </w:r>
      <w:r>
        <w:rPr>
          <w:lang w:val="fr-CH"/>
        </w:rPr>
        <w:tab/>
      </w:r>
      <w:r w:rsidRPr="00C45C21">
        <w:rPr>
          <w:lang w:val="fr-CH"/>
        </w:rPr>
        <w:t>Ces critères sont déterminés par la force de traction axiale et l’effort de cisaillement avant/arrière à la jonction tête/</w:t>
      </w:r>
      <w:r>
        <w:rPr>
          <w:lang w:val="fr-CH"/>
        </w:rPr>
        <w:t>nuque</w:t>
      </w:r>
      <w:r w:rsidRPr="00C45C21">
        <w:rPr>
          <w:lang w:val="fr-CH"/>
        </w:rPr>
        <w:t>, exprimés en kN et mesurés conformément aux dispositions du paragraphe 5.2.2 de l’annexe 3.</w:t>
      </w:r>
    </w:p>
    <w:p w:rsidR="00467EB7" w:rsidRPr="00C45C21" w:rsidRDefault="00467EB7" w:rsidP="00467EB7">
      <w:pPr>
        <w:pStyle w:val="SingleTxt"/>
        <w:ind w:left="2218" w:hanging="951"/>
        <w:rPr>
          <w:lang w:val="fr-CH"/>
        </w:rPr>
      </w:pPr>
      <w:r w:rsidRPr="00C45C21">
        <w:rPr>
          <w:lang w:val="fr-CH"/>
        </w:rPr>
        <w:t>2.2</w:t>
      </w:r>
      <w:r w:rsidRPr="00C45C21">
        <w:rPr>
          <w:lang w:val="fr-CH"/>
        </w:rPr>
        <w:tab/>
      </w:r>
      <w:r>
        <w:rPr>
          <w:lang w:val="fr-CH"/>
        </w:rPr>
        <w:tab/>
      </w:r>
      <w:r w:rsidRPr="00A016BF">
        <w:rPr>
          <w:spacing w:val="2"/>
          <w:lang w:val="fr-CH"/>
        </w:rPr>
        <w:t>Le critère de moment fléchissant de la nuque est déterminé par le moment fléchissant, exprimé en Nm, autour d’un axe latéral à la jonction tête/nuque et mesuré conformément aux dispositions du paragraphe 5.2.2 de l’annexe</w:t>
      </w:r>
      <w:r w:rsidR="00A016BF">
        <w:rPr>
          <w:spacing w:val="2"/>
          <w:lang w:val="fr-CH"/>
        </w:rPr>
        <w:t> </w:t>
      </w:r>
      <w:r w:rsidRPr="00A016BF">
        <w:rPr>
          <w:spacing w:val="2"/>
          <w:lang w:val="fr-CH"/>
        </w:rPr>
        <w:t>3.</w:t>
      </w:r>
    </w:p>
    <w:p w:rsidR="00467EB7" w:rsidRPr="00C45C21" w:rsidRDefault="00467EB7" w:rsidP="00467EB7">
      <w:pPr>
        <w:pStyle w:val="SingleTxt"/>
        <w:rPr>
          <w:lang w:val="fr-CH"/>
        </w:rPr>
      </w:pPr>
      <w:r w:rsidRPr="00C45C21">
        <w:rPr>
          <w:lang w:val="fr-CH"/>
        </w:rPr>
        <w:t>3.</w:t>
      </w:r>
      <w:r w:rsidRPr="00C45C21">
        <w:rPr>
          <w:lang w:val="fr-CH"/>
        </w:rPr>
        <w:tab/>
      </w:r>
      <w:r>
        <w:rPr>
          <w:lang w:val="fr-CH"/>
        </w:rPr>
        <w:tab/>
      </w:r>
      <w:r w:rsidRPr="00C45C21">
        <w:rPr>
          <w:lang w:val="fr-CH"/>
        </w:rPr>
        <w:t>Critère de compression du thorax (ThCC) et critère de viscosité (V * C)</w:t>
      </w:r>
    </w:p>
    <w:p w:rsidR="00467EB7" w:rsidRPr="00C45C21" w:rsidRDefault="00467EB7" w:rsidP="00467EB7">
      <w:pPr>
        <w:pStyle w:val="SingleTxt"/>
        <w:ind w:left="2218" w:hanging="951"/>
        <w:rPr>
          <w:lang w:val="fr-CH"/>
        </w:rPr>
      </w:pPr>
      <w:r w:rsidRPr="00C45C21">
        <w:rPr>
          <w:lang w:val="fr-CH"/>
        </w:rPr>
        <w:t>3.1</w:t>
      </w:r>
      <w:r w:rsidRPr="00C45C21">
        <w:rPr>
          <w:lang w:val="fr-CH"/>
        </w:rPr>
        <w:tab/>
      </w:r>
      <w:r>
        <w:rPr>
          <w:lang w:val="fr-CH"/>
        </w:rPr>
        <w:tab/>
      </w:r>
      <w:r w:rsidRPr="00C45C21">
        <w:rPr>
          <w:lang w:val="fr-CH"/>
        </w:rPr>
        <w:t>Le critère de compression du thorax est déterminé par la valeur absolue de la déformation du thorax, exprimée en mm et mesurée conformément au paragraphe 5.2.3 de l’annexe 3.</w:t>
      </w:r>
    </w:p>
    <w:p w:rsidR="00467EB7" w:rsidRPr="00C45C21" w:rsidRDefault="00467EB7" w:rsidP="00467EB7">
      <w:pPr>
        <w:pStyle w:val="SingleTxt"/>
        <w:ind w:left="2218" w:hanging="951"/>
        <w:rPr>
          <w:lang w:val="fr-CH"/>
        </w:rPr>
      </w:pPr>
      <w:r w:rsidRPr="00C45C21">
        <w:rPr>
          <w:lang w:val="fr-CH"/>
        </w:rPr>
        <w:t>3.2</w:t>
      </w:r>
      <w:r w:rsidRPr="00C45C21">
        <w:rPr>
          <w:lang w:val="fr-CH"/>
        </w:rPr>
        <w:tab/>
      </w:r>
      <w:r>
        <w:rPr>
          <w:lang w:val="fr-CH"/>
        </w:rPr>
        <w:tab/>
      </w:r>
      <w:r w:rsidRPr="00C45C21">
        <w:rPr>
          <w:lang w:val="fr-CH"/>
        </w:rPr>
        <w:t xml:space="preserve">Le critère de viscosité (V * C) est calculé comme le produit instantané de la compression et du taux d’écrasement du sternum, mesuré conformément </w:t>
      </w:r>
      <w:r w:rsidRPr="00C45C21">
        <w:rPr>
          <w:lang w:val="fr-CH"/>
        </w:rPr>
        <w:lastRenderedPageBreak/>
        <w:t>aux dispositions des paragraphes 6 de la présente annexe et 5.2.3 de l’annexe 3.</w:t>
      </w:r>
    </w:p>
    <w:p w:rsidR="00467EB7" w:rsidRPr="00C45C21" w:rsidRDefault="00467EB7" w:rsidP="00467EB7">
      <w:pPr>
        <w:pStyle w:val="SingleTxt"/>
        <w:rPr>
          <w:lang w:val="fr-CH"/>
        </w:rPr>
      </w:pPr>
      <w:r w:rsidRPr="00C45C21">
        <w:rPr>
          <w:lang w:val="fr-CH"/>
        </w:rPr>
        <w:t>4.</w:t>
      </w:r>
      <w:r w:rsidRPr="00C45C21">
        <w:rPr>
          <w:lang w:val="fr-CH"/>
        </w:rPr>
        <w:tab/>
      </w:r>
      <w:r>
        <w:rPr>
          <w:lang w:val="fr-CH"/>
        </w:rPr>
        <w:tab/>
      </w:r>
      <w:r w:rsidRPr="00C45C21">
        <w:rPr>
          <w:lang w:val="fr-CH"/>
        </w:rPr>
        <w:t>Critère de force du fémur (FFC)</w:t>
      </w:r>
    </w:p>
    <w:p w:rsidR="00467EB7" w:rsidRPr="00C45C21" w:rsidRDefault="00467EB7" w:rsidP="00467EB7">
      <w:pPr>
        <w:pStyle w:val="SingleTxt"/>
        <w:ind w:left="2218" w:hanging="951"/>
        <w:rPr>
          <w:lang w:val="fr-CH"/>
        </w:rPr>
      </w:pPr>
      <w:r w:rsidRPr="00C45C21">
        <w:rPr>
          <w:lang w:val="fr-CH"/>
        </w:rPr>
        <w:t>4.1</w:t>
      </w:r>
      <w:r w:rsidRPr="00C45C21">
        <w:rPr>
          <w:lang w:val="fr-CH"/>
        </w:rPr>
        <w:tab/>
      </w:r>
      <w:r>
        <w:rPr>
          <w:lang w:val="fr-CH"/>
        </w:rPr>
        <w:tab/>
      </w:r>
      <w:r w:rsidRPr="00C45C21">
        <w:rPr>
          <w:lang w:val="fr-CH"/>
        </w:rPr>
        <w:t>Ce critère est déterminé par la force de compression, exprimée en kN, exercée axialement sur chacun des fémurs du mannequin et mesurée conformément au paragraphe 5.2.4 de l’annexe 3.</w:t>
      </w:r>
    </w:p>
    <w:p w:rsidR="00467EB7" w:rsidRPr="00C45C21" w:rsidRDefault="00467EB7" w:rsidP="00467EB7">
      <w:pPr>
        <w:pStyle w:val="SingleTxt"/>
        <w:ind w:left="2218" w:hanging="951"/>
        <w:rPr>
          <w:lang w:val="fr-CH"/>
        </w:rPr>
      </w:pPr>
      <w:r w:rsidRPr="00C45C21">
        <w:rPr>
          <w:lang w:val="fr-CH"/>
        </w:rPr>
        <w:t>5.</w:t>
      </w:r>
      <w:r w:rsidRPr="00C45C21">
        <w:rPr>
          <w:lang w:val="fr-CH"/>
        </w:rPr>
        <w:tab/>
      </w:r>
      <w:r>
        <w:rPr>
          <w:lang w:val="fr-CH"/>
        </w:rPr>
        <w:tab/>
      </w:r>
      <w:r w:rsidRPr="00C45C21">
        <w:rPr>
          <w:lang w:val="fr-CH"/>
        </w:rPr>
        <w:t xml:space="preserve">Méthode de calcul du critère de viscosité (V * C) pour le mannequin du type Hybrid III </w:t>
      </w:r>
    </w:p>
    <w:p w:rsidR="00467EB7" w:rsidRPr="00C45C21" w:rsidRDefault="00467EB7" w:rsidP="00467EB7">
      <w:pPr>
        <w:pStyle w:val="SingleTxt"/>
        <w:ind w:left="2218" w:hanging="951"/>
        <w:rPr>
          <w:lang w:val="fr-CH"/>
        </w:rPr>
      </w:pPr>
      <w:r w:rsidRPr="00C45C21">
        <w:rPr>
          <w:lang w:val="fr-CH"/>
        </w:rPr>
        <w:t>5.1</w:t>
      </w:r>
      <w:r w:rsidRPr="00C45C21">
        <w:rPr>
          <w:lang w:val="fr-CH"/>
        </w:rPr>
        <w:tab/>
      </w:r>
      <w:r>
        <w:rPr>
          <w:lang w:val="fr-CH"/>
        </w:rPr>
        <w:tab/>
      </w:r>
      <w:r w:rsidRPr="00C45C21">
        <w:rPr>
          <w:lang w:val="fr-CH"/>
        </w:rPr>
        <w:t>Le critère de viscosité est calculé comme le produit instantané de la compression et du taux d’écrasement du sternum. Tous deux sont tirés de la mesure de l’écrasement du sternum.</w:t>
      </w:r>
    </w:p>
    <w:p w:rsidR="00467EB7" w:rsidRPr="00C45C21" w:rsidRDefault="00467EB7" w:rsidP="00467EB7">
      <w:pPr>
        <w:pStyle w:val="SingleTxt"/>
        <w:ind w:left="2218" w:hanging="951"/>
        <w:rPr>
          <w:lang w:val="fr-CH"/>
        </w:rPr>
      </w:pPr>
      <w:r w:rsidRPr="00C45C21">
        <w:rPr>
          <w:lang w:val="fr-CH"/>
        </w:rPr>
        <w:t>5.2</w:t>
      </w:r>
      <w:r w:rsidRPr="00C45C21">
        <w:rPr>
          <w:lang w:val="fr-CH"/>
        </w:rPr>
        <w:tab/>
      </w:r>
      <w:r>
        <w:rPr>
          <w:lang w:val="fr-CH"/>
        </w:rPr>
        <w:tab/>
      </w:r>
      <w:r w:rsidRPr="00C45C21">
        <w:rPr>
          <w:lang w:val="fr-CH"/>
        </w:rPr>
        <w:t>La réponse à l’écrasement du sternum est filtrée une fois selon la CFC 180. La compression au moment t est calculée à partir de ce signal filtré, selon la formule suivante</w:t>
      </w:r>
      <w:r w:rsidR="008B4BCA">
        <w:rPr>
          <w:lang w:val="fr-CH"/>
        </w:rPr>
        <w:t> </w:t>
      </w:r>
      <w:r w:rsidRPr="00C45C21">
        <w:rPr>
          <w:lang w:val="fr-CH"/>
        </w:rPr>
        <w:t>:</w:t>
      </w:r>
    </w:p>
    <w:p w:rsidR="00467EB7" w:rsidRPr="00C45C21" w:rsidRDefault="00467EB7" w:rsidP="00467EB7">
      <w:pPr>
        <w:pStyle w:val="SingleTxt"/>
        <w:rPr>
          <w:lang w:val="fr-CH"/>
        </w:rPr>
      </w:pPr>
      <w:r>
        <w:rPr>
          <w:lang w:val="fr-CH"/>
        </w:rPr>
        <w:tab/>
      </w:r>
      <w:r>
        <w:rPr>
          <w:lang w:val="fr-CH"/>
        </w:rPr>
        <w:tab/>
      </w:r>
      <w:r>
        <w:rPr>
          <w:lang w:val="fr-CH"/>
        </w:rPr>
        <w:tab/>
      </w:r>
      <w:r w:rsidRPr="00C45C21">
        <w:rPr>
          <w:lang w:val="fr-CH"/>
        </w:rPr>
        <w:t>C(t) = D(t) / constante,</w:t>
      </w:r>
    </w:p>
    <w:p w:rsidR="00467EB7" w:rsidRPr="00C45C21" w:rsidRDefault="00467EB7" w:rsidP="00467EB7">
      <w:pPr>
        <w:pStyle w:val="SingleTxt"/>
        <w:rPr>
          <w:lang w:val="fr-CH"/>
        </w:rPr>
      </w:pPr>
      <w:r>
        <w:rPr>
          <w:lang w:val="fr-CH"/>
        </w:rPr>
        <w:tab/>
      </w:r>
      <w:r>
        <w:rPr>
          <w:lang w:val="fr-CH"/>
        </w:rPr>
        <w:tab/>
      </w:r>
      <w:r>
        <w:rPr>
          <w:lang w:val="fr-CH"/>
        </w:rPr>
        <w:tab/>
      </w:r>
      <w:r w:rsidRPr="00C45C21">
        <w:rPr>
          <w:lang w:val="fr-CH"/>
        </w:rPr>
        <w:t>où constante = 0,229 pour le mannequin HIII 50</w:t>
      </w:r>
      <w:r w:rsidRPr="00C45C21">
        <w:rPr>
          <w:vertAlign w:val="superscript"/>
          <w:lang w:val="fr-CH"/>
        </w:rPr>
        <w:t>e</w:t>
      </w:r>
      <w:r w:rsidRPr="00C45C21">
        <w:rPr>
          <w:lang w:val="fr-CH"/>
        </w:rPr>
        <w:t>,</w:t>
      </w:r>
    </w:p>
    <w:p w:rsidR="00467EB7" w:rsidRPr="00C45C21" w:rsidRDefault="00467EB7" w:rsidP="00467EB7">
      <w:pPr>
        <w:pStyle w:val="SingleTxt"/>
        <w:rPr>
          <w:lang w:val="fr-CH"/>
        </w:rPr>
      </w:pPr>
      <w:r>
        <w:rPr>
          <w:lang w:val="fr-CH"/>
        </w:rPr>
        <w:tab/>
      </w:r>
      <w:r>
        <w:rPr>
          <w:lang w:val="fr-CH"/>
        </w:rPr>
        <w:tab/>
      </w:r>
      <w:r>
        <w:rPr>
          <w:lang w:val="fr-CH"/>
        </w:rPr>
        <w:tab/>
      </w:r>
      <w:r w:rsidRPr="00C45C21">
        <w:rPr>
          <w:lang w:val="fr-CH"/>
        </w:rPr>
        <w:t>et constante = 0,187 pour le mannequin HIII 5</w:t>
      </w:r>
      <w:r w:rsidRPr="00C45C21">
        <w:rPr>
          <w:vertAlign w:val="superscript"/>
          <w:lang w:val="fr-CH"/>
        </w:rPr>
        <w:t>e</w:t>
      </w:r>
      <w:r w:rsidRPr="00C45C21">
        <w:rPr>
          <w:lang w:val="fr-CH"/>
        </w:rPr>
        <w:t>.</w:t>
      </w:r>
    </w:p>
    <w:p w:rsidR="00467EB7" w:rsidRDefault="00467EB7" w:rsidP="00467EB7">
      <w:pPr>
        <w:pStyle w:val="SingleTxt"/>
        <w:ind w:left="2218" w:hanging="951"/>
        <w:rPr>
          <w:lang w:val="fr-CH"/>
        </w:rPr>
      </w:pPr>
      <w:r w:rsidRPr="00C45C21">
        <w:rPr>
          <w:lang w:val="fr-CH"/>
        </w:rPr>
        <w:tab/>
      </w:r>
      <w:r>
        <w:rPr>
          <w:lang w:val="fr-CH"/>
        </w:rPr>
        <w:tab/>
      </w:r>
      <w:r w:rsidRPr="00C45C21">
        <w:rPr>
          <w:lang w:val="fr-CH"/>
        </w:rPr>
        <w:t xml:space="preserve">La vitesse d’écrasement du sternum </w:t>
      </w:r>
      <w:r>
        <w:rPr>
          <w:lang w:val="fr-CH"/>
        </w:rPr>
        <w:t>à l’instant </w:t>
      </w:r>
      <w:r w:rsidRPr="00C45C21">
        <w:rPr>
          <w:lang w:val="fr-CH"/>
        </w:rPr>
        <w:t>t est calculée à partir de l’écrasement filtré selon la formule suivante</w:t>
      </w:r>
      <w:r>
        <w:rPr>
          <w:lang w:val="fr-CH"/>
        </w:rPr>
        <w:t> </w:t>
      </w:r>
      <w:r w:rsidRPr="00C45C21">
        <w:rPr>
          <w:lang w:val="fr-CH"/>
        </w:rPr>
        <w:t>:</w:t>
      </w:r>
    </w:p>
    <w:p w:rsidR="00467EB7" w:rsidRPr="00453AEA" w:rsidRDefault="00467EB7" w:rsidP="00467EB7">
      <w:pPr>
        <w:pStyle w:val="SingleTxt"/>
        <w:spacing w:after="0" w:line="120" w:lineRule="exact"/>
        <w:ind w:left="2218" w:hanging="951"/>
        <w:rPr>
          <w:sz w:val="10"/>
          <w:lang w:val="fr-CH"/>
        </w:rPr>
      </w:pPr>
    </w:p>
    <w:p w:rsidR="00467EB7" w:rsidRDefault="00467EB7" w:rsidP="00467EB7">
      <w:pPr>
        <w:suppressAutoHyphens/>
        <w:kinsoku w:val="0"/>
        <w:overflowPunct w:val="0"/>
        <w:autoSpaceDE w:val="0"/>
        <w:autoSpaceDN w:val="0"/>
        <w:adjustRightInd w:val="0"/>
        <w:snapToGrid w:val="0"/>
        <w:spacing w:line="240" w:lineRule="atLeast"/>
        <w:ind w:left="2835"/>
        <w:rPr>
          <w:rFonts w:eastAsia="Times New Roman"/>
          <w:spacing w:val="0"/>
          <w:w w:val="100"/>
          <w:kern w:val="0"/>
          <w:szCs w:val="20"/>
          <w:lang w:val="fr-CH"/>
        </w:rPr>
      </w:pPr>
      <w:r w:rsidRPr="00453AEA">
        <w:rPr>
          <w:rFonts w:eastAsia="Times New Roman"/>
          <w:noProof/>
          <w:spacing w:val="0"/>
          <w:w w:val="100"/>
          <w:kern w:val="0"/>
          <w:szCs w:val="20"/>
          <w:lang w:val="en-GB" w:eastAsia="en-GB"/>
        </w:rPr>
        <w:drawing>
          <wp:inline distT="0" distB="0" distL="0" distR="0" wp14:anchorId="6D30F567" wp14:editId="0A43665C">
            <wp:extent cx="2575560" cy="419100"/>
            <wp:effectExtent l="0" t="0" r="0" b="0"/>
            <wp:docPr id="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5560" cy="419100"/>
                    </a:xfrm>
                    <a:prstGeom prst="rect">
                      <a:avLst/>
                    </a:prstGeom>
                    <a:noFill/>
                    <a:ln>
                      <a:noFill/>
                    </a:ln>
                  </pic:spPr>
                </pic:pic>
              </a:graphicData>
            </a:graphic>
          </wp:inline>
        </w:drawing>
      </w:r>
    </w:p>
    <w:p w:rsidR="00467EB7" w:rsidRPr="00453AEA" w:rsidRDefault="00467EB7" w:rsidP="00467EB7">
      <w:pPr>
        <w:suppressAutoHyphens/>
        <w:kinsoku w:val="0"/>
        <w:overflowPunct w:val="0"/>
        <w:autoSpaceDE w:val="0"/>
        <w:autoSpaceDN w:val="0"/>
        <w:adjustRightInd w:val="0"/>
        <w:snapToGrid w:val="0"/>
        <w:spacing w:line="120" w:lineRule="exact"/>
        <w:ind w:left="2835"/>
        <w:rPr>
          <w:rFonts w:eastAsia="Times New Roman"/>
          <w:spacing w:val="0"/>
          <w:w w:val="100"/>
          <w:kern w:val="0"/>
          <w:sz w:val="10"/>
          <w:szCs w:val="20"/>
          <w:lang w:val="fr-CH"/>
        </w:rPr>
      </w:pPr>
    </w:p>
    <w:p w:rsidR="00467EB7" w:rsidRDefault="00467EB7" w:rsidP="00467EB7">
      <w:pPr>
        <w:pStyle w:val="SingleTxt"/>
        <w:ind w:left="2218" w:hanging="951"/>
        <w:rPr>
          <w:lang w:val="fr-CH"/>
        </w:rPr>
      </w:pPr>
      <w:r>
        <w:rPr>
          <w:lang w:val="fr-CH"/>
        </w:rPr>
        <w:tab/>
      </w:r>
      <w:r>
        <w:rPr>
          <w:lang w:val="fr-CH"/>
        </w:rPr>
        <w:tab/>
      </w:r>
      <w:r w:rsidRPr="00453AEA">
        <w:rPr>
          <w:lang w:val="fr-CH"/>
        </w:rPr>
        <w:t>Où D(</w:t>
      </w:r>
      <w:r w:rsidRPr="00453AEA">
        <w:rPr>
          <w:vertAlign w:val="subscript"/>
          <w:lang w:val="fr-CH"/>
        </w:rPr>
        <w:t>t</w:t>
      </w:r>
      <w:r w:rsidRPr="00453AEA">
        <w:rPr>
          <w:lang w:val="fr-CH"/>
        </w:rPr>
        <w:t xml:space="preserve">) correspond à l’écrasement </w:t>
      </w:r>
      <w:r>
        <w:rPr>
          <w:lang w:val="fr-CH"/>
        </w:rPr>
        <w:t>à l’instant </w:t>
      </w:r>
      <w:r w:rsidRPr="00453AEA">
        <w:rPr>
          <w:lang w:val="fr-CH"/>
        </w:rPr>
        <w:t>t en mètres et ∂t au laps de temps exprimé en secondes qui s’est écoulé entre les mesures d’écrasement. La valeur maximale de ∂t s’élève à 1,25 x 10</w:t>
      </w:r>
      <w:r w:rsidRPr="00453AEA">
        <w:rPr>
          <w:vertAlign w:val="superscript"/>
          <w:lang w:val="fr-CH"/>
        </w:rPr>
        <w:t>-4</w:t>
      </w:r>
      <w:r w:rsidRPr="00453AEA">
        <w:rPr>
          <w:lang w:val="fr-CH"/>
        </w:rPr>
        <w:t xml:space="preserve"> secondes. Le diagramme ci</w:t>
      </w:r>
      <w:r>
        <w:rPr>
          <w:lang w:val="fr-CH"/>
        </w:rPr>
        <w:t>-</w:t>
      </w:r>
      <w:r w:rsidRPr="00453AEA">
        <w:rPr>
          <w:lang w:val="fr-CH"/>
        </w:rPr>
        <w:t>dessous indique la méthode de calcul</w:t>
      </w:r>
      <w:r>
        <w:rPr>
          <w:lang w:val="fr-CH"/>
        </w:rPr>
        <w:t> </w:t>
      </w:r>
      <w:r w:rsidRPr="00453AEA">
        <w:rPr>
          <w:lang w:val="fr-CH"/>
        </w:rPr>
        <w:t>:</w:t>
      </w:r>
    </w:p>
    <w:p w:rsidR="00467EB7" w:rsidRDefault="00467EB7" w:rsidP="00467EB7">
      <w:pPr>
        <w:pStyle w:val="SingleTxt"/>
        <w:spacing w:after="0" w:line="240" w:lineRule="auto"/>
        <w:ind w:left="2217" w:hanging="950"/>
        <w:rPr>
          <w:lang w:val="fr-CH"/>
        </w:rPr>
      </w:pPr>
      <w:r w:rsidRPr="007D3159">
        <w:rPr>
          <w:noProof/>
          <w:lang w:val="en-GB" w:eastAsia="en-GB"/>
        </w:rPr>
        <w:drawing>
          <wp:inline distT="0" distB="0" distL="0" distR="0" wp14:anchorId="27653DA0" wp14:editId="71F9E2A9">
            <wp:extent cx="4770782" cy="3069204"/>
            <wp:effectExtent l="0" t="0" r="0"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3263" cy="3070800"/>
                    </a:xfrm>
                    <a:prstGeom prst="rect">
                      <a:avLst/>
                    </a:prstGeom>
                    <a:noFill/>
                    <a:ln>
                      <a:noFill/>
                    </a:ln>
                  </pic:spPr>
                </pic:pic>
              </a:graphicData>
            </a:graphic>
          </wp:inline>
        </w:drawing>
      </w:r>
    </w:p>
    <w:p w:rsidR="00467EB7" w:rsidRDefault="00467EB7" w:rsidP="00467EB7">
      <w:pPr>
        <w:pStyle w:val="SingleTxt"/>
        <w:spacing w:after="0" w:line="240" w:lineRule="auto"/>
        <w:ind w:left="2217" w:hanging="950"/>
        <w:rPr>
          <w:lang w:val="fr-CH"/>
        </w:rPr>
      </w:pPr>
    </w:p>
    <w:p w:rsidR="00467EB7" w:rsidRDefault="00467EB7" w:rsidP="00467EB7">
      <w:pPr>
        <w:pStyle w:val="SingleTxt"/>
        <w:rPr>
          <w:lang w:val="fr-CH"/>
        </w:rPr>
        <w:sectPr w:rsidR="00467EB7" w:rsidSect="007360C7">
          <w:headerReference w:type="even" r:id="rId33"/>
          <w:headerReference w:type="default" r:id="rId34"/>
          <w:footerReference w:type="even" r:id="rId35"/>
          <w:footerReference w:type="default" r:id="rId36"/>
          <w:pgSz w:w="11909" w:h="16834"/>
          <w:pgMar w:top="1742" w:right="936" w:bottom="1898" w:left="936" w:header="576" w:footer="1030" w:gutter="0"/>
          <w:cols w:space="720"/>
          <w:noEndnote/>
          <w:docGrid w:linePitch="360"/>
        </w:sectPr>
      </w:pPr>
    </w:p>
    <w:p w:rsidR="00467EB7" w:rsidRDefault="00467EB7" w:rsidP="00467E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51" w:name="_Toc381109778"/>
      <w:bookmarkStart w:id="52" w:name="_Toc413834093"/>
      <w:r w:rsidRPr="003F7122">
        <w:rPr>
          <w:lang w:val="fr-CH"/>
        </w:rPr>
        <w:lastRenderedPageBreak/>
        <w:t>Annexe 5</w:t>
      </w:r>
      <w:bookmarkEnd w:id="51"/>
      <w:bookmarkEnd w:id="52"/>
    </w:p>
    <w:p w:rsidR="00467EB7" w:rsidRPr="003F7122" w:rsidRDefault="00467EB7" w:rsidP="00467EB7">
      <w:pPr>
        <w:pStyle w:val="SingleTxt"/>
        <w:spacing w:after="0" w:line="120" w:lineRule="exact"/>
        <w:rPr>
          <w:sz w:val="10"/>
          <w:lang w:val="fr-CH"/>
        </w:rPr>
      </w:pPr>
    </w:p>
    <w:p w:rsidR="00467EB7" w:rsidRDefault="00467EB7" w:rsidP="00467E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3F7122">
        <w:rPr>
          <w:lang w:val="fr-CH"/>
        </w:rPr>
        <w:tab/>
      </w:r>
      <w:r w:rsidRPr="003F7122">
        <w:rPr>
          <w:lang w:val="fr-CH"/>
        </w:rPr>
        <w:tab/>
        <w:t xml:space="preserve">Emplacement et installation des mannequins </w:t>
      </w:r>
      <w:r>
        <w:rPr>
          <w:lang w:val="fr-CH"/>
        </w:rPr>
        <w:br/>
      </w:r>
      <w:r w:rsidRPr="003F7122">
        <w:rPr>
          <w:lang w:val="fr-CH"/>
        </w:rPr>
        <w:t>et réglage des systèmes de retenue</w:t>
      </w:r>
    </w:p>
    <w:p w:rsidR="00467EB7" w:rsidRPr="003F7122" w:rsidRDefault="00467EB7" w:rsidP="00467EB7">
      <w:pPr>
        <w:pStyle w:val="SingleTxt"/>
        <w:spacing w:after="0" w:line="120" w:lineRule="exact"/>
        <w:rPr>
          <w:sz w:val="10"/>
          <w:lang w:val="fr-CH"/>
        </w:rPr>
      </w:pPr>
    </w:p>
    <w:p w:rsidR="00467EB7" w:rsidRPr="003F7122" w:rsidRDefault="00467EB7" w:rsidP="00467EB7">
      <w:pPr>
        <w:pStyle w:val="SingleTxt"/>
        <w:spacing w:after="0" w:line="120" w:lineRule="exact"/>
        <w:rPr>
          <w:sz w:val="10"/>
          <w:lang w:val="fr-CH"/>
        </w:rPr>
      </w:pPr>
    </w:p>
    <w:p w:rsidR="00467EB7" w:rsidRPr="003F7122" w:rsidRDefault="00467EB7" w:rsidP="00467EB7">
      <w:pPr>
        <w:pStyle w:val="SingleTxt"/>
        <w:rPr>
          <w:lang w:val="fr-CH"/>
        </w:rPr>
      </w:pPr>
      <w:r w:rsidRPr="003F7122">
        <w:rPr>
          <w:lang w:val="fr-CH"/>
        </w:rPr>
        <w:t>1.</w:t>
      </w:r>
      <w:r w:rsidRPr="003F7122">
        <w:rPr>
          <w:lang w:val="fr-CH"/>
        </w:rPr>
        <w:tab/>
      </w:r>
      <w:r>
        <w:rPr>
          <w:lang w:val="fr-CH"/>
        </w:rPr>
        <w:tab/>
      </w:r>
      <w:r w:rsidRPr="003F7122">
        <w:rPr>
          <w:lang w:val="fr-CH"/>
        </w:rPr>
        <w:t>Emplacement des mannequins</w:t>
      </w:r>
    </w:p>
    <w:p w:rsidR="00467EB7" w:rsidRPr="003F7122" w:rsidRDefault="00467EB7" w:rsidP="00467EB7">
      <w:pPr>
        <w:pStyle w:val="SingleTxt"/>
        <w:rPr>
          <w:lang w:val="fr-CH"/>
        </w:rPr>
      </w:pPr>
      <w:r w:rsidRPr="003F7122">
        <w:rPr>
          <w:lang w:val="fr-CH"/>
        </w:rPr>
        <w:t>1.1</w:t>
      </w:r>
      <w:r w:rsidRPr="003F7122">
        <w:rPr>
          <w:lang w:val="fr-CH"/>
        </w:rPr>
        <w:tab/>
      </w:r>
      <w:r>
        <w:rPr>
          <w:lang w:val="fr-CH"/>
        </w:rPr>
        <w:tab/>
      </w:r>
      <w:r w:rsidRPr="003F7122">
        <w:rPr>
          <w:lang w:val="fr-CH"/>
        </w:rPr>
        <w:t>Sièges séparés</w:t>
      </w:r>
    </w:p>
    <w:p w:rsidR="00467EB7" w:rsidRPr="003F7122" w:rsidRDefault="00467EB7" w:rsidP="00467EB7">
      <w:pPr>
        <w:pStyle w:val="SingleTxt"/>
        <w:ind w:left="2218" w:hanging="951"/>
        <w:rPr>
          <w:lang w:val="fr-CH"/>
        </w:rPr>
      </w:pPr>
      <w:r w:rsidRPr="003F7122">
        <w:rPr>
          <w:lang w:val="fr-CH"/>
        </w:rPr>
        <w:tab/>
      </w:r>
      <w:r>
        <w:rPr>
          <w:lang w:val="fr-CH"/>
        </w:rPr>
        <w:tab/>
      </w:r>
      <w:r w:rsidRPr="003F7122">
        <w:rPr>
          <w:lang w:val="fr-CH"/>
        </w:rPr>
        <w:t>Le plan de symétrie du mannequin doit coïncider avec le plan médian vertical du siège.</w:t>
      </w:r>
    </w:p>
    <w:p w:rsidR="00467EB7" w:rsidRPr="003F7122" w:rsidRDefault="00467EB7" w:rsidP="00467EB7">
      <w:pPr>
        <w:pStyle w:val="SingleTxt"/>
        <w:rPr>
          <w:lang w:val="fr-CH"/>
        </w:rPr>
      </w:pPr>
      <w:r w:rsidRPr="003F7122">
        <w:rPr>
          <w:lang w:val="fr-CH"/>
        </w:rPr>
        <w:t>1.2</w:t>
      </w:r>
      <w:r w:rsidRPr="003F7122">
        <w:rPr>
          <w:lang w:val="fr-CH"/>
        </w:rPr>
        <w:tab/>
      </w:r>
      <w:r>
        <w:rPr>
          <w:lang w:val="fr-CH"/>
        </w:rPr>
        <w:tab/>
      </w:r>
      <w:r w:rsidRPr="003F7122">
        <w:rPr>
          <w:lang w:val="fr-CH"/>
        </w:rPr>
        <w:t>Banquette avant</w:t>
      </w:r>
    </w:p>
    <w:p w:rsidR="00467EB7" w:rsidRPr="003F7122" w:rsidRDefault="00467EB7" w:rsidP="00467EB7">
      <w:pPr>
        <w:pStyle w:val="SingleTxt"/>
        <w:rPr>
          <w:lang w:val="fr-CH"/>
        </w:rPr>
      </w:pPr>
      <w:r w:rsidRPr="003F7122">
        <w:rPr>
          <w:lang w:val="fr-CH"/>
        </w:rPr>
        <w:t>1.2.1</w:t>
      </w:r>
      <w:r w:rsidRPr="003F7122">
        <w:rPr>
          <w:lang w:val="fr-CH"/>
        </w:rPr>
        <w:tab/>
      </w:r>
      <w:r>
        <w:rPr>
          <w:lang w:val="fr-CH"/>
        </w:rPr>
        <w:tab/>
      </w:r>
      <w:r w:rsidRPr="003F7122">
        <w:rPr>
          <w:lang w:val="fr-CH"/>
        </w:rPr>
        <w:t>Conducteur</w:t>
      </w:r>
    </w:p>
    <w:p w:rsidR="00467EB7" w:rsidRPr="003F7122" w:rsidRDefault="00467EB7" w:rsidP="00467EB7">
      <w:pPr>
        <w:pStyle w:val="SingleTxt"/>
        <w:ind w:left="2218" w:hanging="951"/>
        <w:rPr>
          <w:lang w:val="fr-CH"/>
        </w:rPr>
      </w:pPr>
      <w:r>
        <w:rPr>
          <w:lang w:val="fr-CH"/>
        </w:rPr>
        <w:tab/>
      </w:r>
      <w:r w:rsidRPr="003F7122">
        <w:rPr>
          <w:lang w:val="fr-CH"/>
        </w:rPr>
        <w:tab/>
        <w:t>Le plan de symétrie du mannequin doit se trouver dans le plan vertical passant par le centre du volant et être parallèle au plan médian longitudinal du véhicule. Si la place assise est déterminée par la forme de la banquette, cette place doit être considérée comme un siège séparé.</w:t>
      </w:r>
    </w:p>
    <w:p w:rsidR="00467EB7" w:rsidRPr="003F7122" w:rsidRDefault="00467EB7" w:rsidP="00467EB7">
      <w:pPr>
        <w:pStyle w:val="SingleTxt"/>
        <w:rPr>
          <w:lang w:val="fr-CH"/>
        </w:rPr>
      </w:pPr>
      <w:r w:rsidRPr="003F7122">
        <w:rPr>
          <w:lang w:val="fr-CH"/>
        </w:rPr>
        <w:t>1.2.2</w:t>
      </w:r>
      <w:r w:rsidRPr="003F7122">
        <w:rPr>
          <w:lang w:val="fr-CH"/>
        </w:rPr>
        <w:tab/>
      </w:r>
      <w:r>
        <w:rPr>
          <w:lang w:val="fr-CH"/>
        </w:rPr>
        <w:tab/>
      </w:r>
      <w:r w:rsidRPr="003F7122">
        <w:rPr>
          <w:lang w:val="fr-CH"/>
        </w:rPr>
        <w:t>Passager latéral</w:t>
      </w:r>
    </w:p>
    <w:p w:rsidR="00467EB7" w:rsidRPr="003F7122" w:rsidRDefault="00467EB7" w:rsidP="00467EB7">
      <w:pPr>
        <w:pStyle w:val="SingleTxt"/>
        <w:ind w:left="2218" w:hanging="951"/>
        <w:rPr>
          <w:lang w:val="fr-CH"/>
        </w:rPr>
      </w:pPr>
      <w:r w:rsidRPr="003F7122">
        <w:rPr>
          <w:lang w:val="fr-CH"/>
        </w:rPr>
        <w:tab/>
      </w:r>
      <w:r>
        <w:rPr>
          <w:lang w:val="fr-CH"/>
        </w:rPr>
        <w:tab/>
      </w:r>
      <w:r w:rsidRPr="003F7122">
        <w:rPr>
          <w:lang w:val="fr-CH"/>
        </w:rPr>
        <w:t>Le plan de symétrie du mannequin doit être symétrique à celui du mannequin assis à la place du conducteur par rapport au plan médian longitudinal du véhicule. Si la place assise est déterminée par la forme de la banquette, cette place doit être considérée comme un siège séparé.</w:t>
      </w:r>
    </w:p>
    <w:p w:rsidR="00467EB7" w:rsidRPr="003F7122" w:rsidRDefault="00467EB7" w:rsidP="00467EB7">
      <w:pPr>
        <w:pStyle w:val="SingleTxt"/>
        <w:rPr>
          <w:lang w:val="fr-CH"/>
        </w:rPr>
      </w:pPr>
      <w:r w:rsidRPr="003F7122">
        <w:rPr>
          <w:lang w:val="fr-CH"/>
        </w:rPr>
        <w:t>1.3</w:t>
      </w:r>
      <w:r w:rsidRPr="003F7122">
        <w:rPr>
          <w:lang w:val="fr-CH"/>
        </w:rPr>
        <w:tab/>
      </w:r>
      <w:r>
        <w:rPr>
          <w:lang w:val="fr-CH"/>
        </w:rPr>
        <w:tab/>
      </w:r>
      <w:r w:rsidRPr="003F7122">
        <w:rPr>
          <w:lang w:val="fr-CH"/>
        </w:rPr>
        <w:t>Banquette avant destinée aux passagers (conducteur non compris)</w:t>
      </w:r>
    </w:p>
    <w:p w:rsidR="00467EB7" w:rsidRPr="003F7122" w:rsidRDefault="00467EB7" w:rsidP="00467EB7">
      <w:pPr>
        <w:pStyle w:val="SingleTxt"/>
        <w:ind w:left="2218" w:hanging="951"/>
        <w:rPr>
          <w:lang w:val="fr-CH"/>
        </w:rPr>
      </w:pPr>
      <w:r w:rsidRPr="003F7122">
        <w:rPr>
          <w:lang w:val="fr-CH"/>
        </w:rPr>
        <w:tab/>
      </w:r>
      <w:r>
        <w:rPr>
          <w:lang w:val="fr-CH"/>
        </w:rPr>
        <w:tab/>
      </w:r>
      <w:r w:rsidRPr="003F7122">
        <w:rPr>
          <w:lang w:val="fr-CH"/>
        </w:rPr>
        <w:t>Les plans de symétrie du mannequin doivent coïncider avec les plans médians des places assises définies par le constructeur.</w:t>
      </w:r>
    </w:p>
    <w:p w:rsidR="00467EB7" w:rsidRPr="003F7122" w:rsidRDefault="00467EB7" w:rsidP="00467EB7">
      <w:pPr>
        <w:pStyle w:val="SingleTxt"/>
        <w:ind w:left="2218" w:hanging="951"/>
        <w:rPr>
          <w:lang w:val="fr-CH"/>
        </w:rPr>
      </w:pPr>
      <w:r w:rsidRPr="003F7122">
        <w:rPr>
          <w:lang w:val="fr-CH"/>
        </w:rPr>
        <w:t>2.</w:t>
      </w:r>
      <w:r w:rsidRPr="003F7122">
        <w:rPr>
          <w:lang w:val="fr-CH"/>
        </w:rPr>
        <w:tab/>
      </w:r>
      <w:r>
        <w:rPr>
          <w:lang w:val="fr-CH"/>
        </w:rPr>
        <w:tab/>
      </w:r>
      <w:r w:rsidRPr="003F7122">
        <w:rPr>
          <w:lang w:val="fr-CH"/>
        </w:rPr>
        <w:t>Installation du mannequin du type Hybrid III homme du cinquantième centile sur le siège du conducteur</w:t>
      </w:r>
    </w:p>
    <w:p w:rsidR="00467EB7" w:rsidRPr="003F7122" w:rsidRDefault="00467EB7" w:rsidP="00467EB7">
      <w:pPr>
        <w:pStyle w:val="SingleTxt"/>
        <w:rPr>
          <w:lang w:val="fr-CH"/>
        </w:rPr>
      </w:pPr>
      <w:r w:rsidRPr="003F7122">
        <w:rPr>
          <w:lang w:val="fr-CH"/>
        </w:rPr>
        <w:t>2.1</w:t>
      </w:r>
      <w:r w:rsidRPr="003F7122">
        <w:rPr>
          <w:lang w:val="fr-CH"/>
        </w:rPr>
        <w:tab/>
      </w:r>
      <w:r>
        <w:rPr>
          <w:lang w:val="fr-CH"/>
        </w:rPr>
        <w:tab/>
      </w:r>
      <w:r w:rsidRPr="003F7122">
        <w:rPr>
          <w:lang w:val="fr-CH"/>
        </w:rPr>
        <w:t>Tête</w:t>
      </w:r>
    </w:p>
    <w:p w:rsidR="00467EB7" w:rsidRPr="003F7122" w:rsidRDefault="00467EB7" w:rsidP="00467EB7">
      <w:pPr>
        <w:pStyle w:val="SingleTxt"/>
        <w:ind w:left="2218" w:hanging="951"/>
        <w:rPr>
          <w:lang w:val="fr-CH"/>
        </w:rPr>
      </w:pPr>
      <w:r w:rsidRPr="003F7122">
        <w:rPr>
          <w:lang w:val="fr-CH"/>
        </w:rPr>
        <w:tab/>
      </w:r>
      <w:r>
        <w:rPr>
          <w:lang w:val="fr-CH"/>
        </w:rPr>
        <w:tab/>
      </w:r>
      <w:r w:rsidRPr="003F7122">
        <w:rPr>
          <w:lang w:val="fr-CH"/>
        </w:rPr>
        <w:t>Le panneau transverse des appareils de mesure installé dans la tête doit être en position horizontale à 2,5° près. Pour mettre à niveau la tête du mannequin d’essai dans les véhicules munis de sièges droits avec dossier non réglable, on doit procéder aux diverses opérations suivantes. En premier lieu, régler la position du point H dans les limites indiquées au paragraphe 2.4.3.1 ci</w:t>
      </w:r>
      <w:r>
        <w:rPr>
          <w:lang w:val="fr-CH"/>
        </w:rPr>
        <w:t>-</w:t>
      </w:r>
      <w:r w:rsidRPr="003F7122">
        <w:rPr>
          <w:lang w:val="fr-CH"/>
        </w:rPr>
        <w:t>après afin de mettre à niveau ledit panneau. Si celui-ci n’est pas encore à niveau, régler l’angle pelvien du mannequin dans les limites établies au paragraphe</w:t>
      </w:r>
      <w:r>
        <w:rPr>
          <w:lang w:val="fr-CH"/>
        </w:rPr>
        <w:t xml:space="preserve"> </w:t>
      </w:r>
      <w:r w:rsidRPr="003F7122">
        <w:rPr>
          <w:lang w:val="fr-CH"/>
        </w:rPr>
        <w:t xml:space="preserve">2.4.3.2 ci-après. Si le panneau n’est toujours pas à niveau, régler le support </w:t>
      </w:r>
      <w:r>
        <w:rPr>
          <w:lang w:val="fr-CH"/>
        </w:rPr>
        <w:t>de la nuque</w:t>
      </w:r>
      <w:r w:rsidRPr="003F7122">
        <w:rPr>
          <w:lang w:val="fr-CH"/>
        </w:rPr>
        <w:t xml:space="preserve"> du mannequin du minimum nécessaire pour qu’il soit en position horizontale à 2,5° près.</w:t>
      </w:r>
    </w:p>
    <w:p w:rsidR="00467EB7" w:rsidRPr="003F7122" w:rsidRDefault="00467EB7" w:rsidP="00467EB7">
      <w:pPr>
        <w:pStyle w:val="SingleTxt"/>
        <w:rPr>
          <w:lang w:val="fr-CH"/>
        </w:rPr>
      </w:pPr>
      <w:r w:rsidRPr="003F7122">
        <w:rPr>
          <w:lang w:val="fr-CH"/>
        </w:rPr>
        <w:t>2.2</w:t>
      </w:r>
      <w:r w:rsidRPr="003F7122">
        <w:rPr>
          <w:lang w:val="fr-CH"/>
        </w:rPr>
        <w:tab/>
      </w:r>
      <w:r>
        <w:rPr>
          <w:lang w:val="fr-CH"/>
        </w:rPr>
        <w:tab/>
      </w:r>
      <w:r w:rsidRPr="003F7122">
        <w:rPr>
          <w:lang w:val="fr-CH"/>
        </w:rPr>
        <w:t>Bras</w:t>
      </w:r>
    </w:p>
    <w:p w:rsidR="00467EB7" w:rsidRPr="003F7122" w:rsidRDefault="00467EB7" w:rsidP="00467EB7">
      <w:pPr>
        <w:pStyle w:val="SingleTxt"/>
        <w:ind w:left="2218" w:hanging="951"/>
        <w:rPr>
          <w:lang w:val="fr-CH"/>
        </w:rPr>
      </w:pPr>
      <w:r w:rsidRPr="003F7122">
        <w:rPr>
          <w:lang w:val="fr-CH"/>
        </w:rPr>
        <w:t>2.2.1</w:t>
      </w:r>
      <w:r w:rsidRPr="003F7122">
        <w:rPr>
          <w:lang w:val="fr-CH"/>
        </w:rPr>
        <w:tab/>
      </w:r>
      <w:r>
        <w:rPr>
          <w:lang w:val="fr-CH"/>
        </w:rPr>
        <w:tab/>
      </w:r>
      <w:r w:rsidRPr="003F7122">
        <w:rPr>
          <w:lang w:val="fr-CH"/>
        </w:rPr>
        <w:t>Le conducteur doit avoir les bras adjacents au torse, les axes médians étant aussi proches que possible de la verticale.</w:t>
      </w:r>
    </w:p>
    <w:p w:rsidR="00467EB7" w:rsidRPr="003F7122" w:rsidRDefault="00467EB7" w:rsidP="00467EB7">
      <w:pPr>
        <w:pStyle w:val="SingleTxt"/>
        <w:rPr>
          <w:lang w:val="fr-CH"/>
        </w:rPr>
      </w:pPr>
      <w:r w:rsidRPr="003F7122">
        <w:rPr>
          <w:lang w:val="fr-CH"/>
        </w:rPr>
        <w:t>2.3</w:t>
      </w:r>
      <w:r w:rsidRPr="003F7122">
        <w:rPr>
          <w:lang w:val="fr-CH"/>
        </w:rPr>
        <w:tab/>
      </w:r>
      <w:r>
        <w:rPr>
          <w:lang w:val="fr-CH"/>
        </w:rPr>
        <w:tab/>
      </w:r>
      <w:r w:rsidRPr="003F7122">
        <w:rPr>
          <w:lang w:val="fr-CH"/>
        </w:rPr>
        <w:t>Mains</w:t>
      </w:r>
    </w:p>
    <w:p w:rsidR="00467EB7" w:rsidRPr="003F7122" w:rsidRDefault="00467EB7" w:rsidP="00467EB7">
      <w:pPr>
        <w:pStyle w:val="SingleTxt"/>
        <w:ind w:left="2218" w:hanging="951"/>
        <w:rPr>
          <w:lang w:val="fr-CH"/>
        </w:rPr>
      </w:pPr>
      <w:r w:rsidRPr="003F7122">
        <w:rPr>
          <w:lang w:val="fr-CH"/>
        </w:rPr>
        <w:t>2.3.1</w:t>
      </w:r>
      <w:r w:rsidRPr="003F7122">
        <w:rPr>
          <w:lang w:val="fr-CH"/>
        </w:rPr>
        <w:tab/>
      </w:r>
      <w:r>
        <w:rPr>
          <w:lang w:val="fr-CH"/>
        </w:rPr>
        <w:tab/>
      </w:r>
      <w:r w:rsidRPr="003F7122">
        <w:rPr>
          <w:lang w:val="fr-CH"/>
        </w:rPr>
        <w:t>Les paumes du mannequin occupant la place du conducteur doivent être en contact avec le bord extérieur du volant au niveau de l’axe médian horizontal du bord du volant. Les pouces doivent être posés sur le bord du volant et y</w:t>
      </w:r>
      <w:r>
        <w:rPr>
          <w:lang w:val="fr-CH"/>
        </w:rPr>
        <w:t xml:space="preserve"> </w:t>
      </w:r>
      <w:r w:rsidRPr="003F7122">
        <w:rPr>
          <w:lang w:val="fr-CH"/>
        </w:rPr>
        <w:t xml:space="preserve">être légèrement fixés à l’aide d’un ruban adhésif, de sorte que si la main du mannequin subit une force ascendante </w:t>
      </w:r>
      <w:r>
        <w:rPr>
          <w:lang w:val="fr-CH"/>
        </w:rPr>
        <w:t xml:space="preserve">comprise entre </w:t>
      </w:r>
      <w:r w:rsidRPr="003F7122">
        <w:rPr>
          <w:lang w:val="fr-CH"/>
        </w:rPr>
        <w:t>9</w:t>
      </w:r>
      <w:r>
        <w:rPr>
          <w:lang w:val="fr-CH"/>
        </w:rPr>
        <w:t xml:space="preserve"> </w:t>
      </w:r>
      <w:r w:rsidRPr="003F7122">
        <w:rPr>
          <w:lang w:val="fr-CH"/>
        </w:rPr>
        <w:t>et 22 N, le ruban laisse la main se dégager du volant.</w:t>
      </w:r>
    </w:p>
    <w:p w:rsidR="00467EB7" w:rsidRPr="003F7122" w:rsidRDefault="00467EB7" w:rsidP="00467EB7">
      <w:pPr>
        <w:pStyle w:val="SingleTxt"/>
        <w:rPr>
          <w:lang w:val="fr-CH"/>
        </w:rPr>
      </w:pPr>
      <w:r w:rsidRPr="003F7122">
        <w:rPr>
          <w:lang w:val="fr-CH"/>
        </w:rPr>
        <w:lastRenderedPageBreak/>
        <w:t>2.4</w:t>
      </w:r>
      <w:r w:rsidRPr="003F7122">
        <w:rPr>
          <w:lang w:val="fr-CH"/>
        </w:rPr>
        <w:tab/>
      </w:r>
      <w:r>
        <w:rPr>
          <w:lang w:val="fr-CH"/>
        </w:rPr>
        <w:tab/>
      </w:r>
      <w:r w:rsidRPr="003F7122">
        <w:rPr>
          <w:lang w:val="fr-CH"/>
        </w:rPr>
        <w:t>Torse</w:t>
      </w:r>
    </w:p>
    <w:p w:rsidR="00467EB7" w:rsidRPr="003F7122" w:rsidRDefault="00467EB7" w:rsidP="00467EB7">
      <w:pPr>
        <w:pStyle w:val="SingleTxt"/>
        <w:ind w:left="2218" w:hanging="951"/>
        <w:rPr>
          <w:lang w:val="fr-CH"/>
        </w:rPr>
      </w:pPr>
      <w:r w:rsidRPr="003F7122">
        <w:rPr>
          <w:lang w:val="fr-CH"/>
        </w:rPr>
        <w:t>2.4.1</w:t>
      </w:r>
      <w:r w:rsidRPr="003F7122">
        <w:rPr>
          <w:lang w:val="fr-CH"/>
        </w:rPr>
        <w:tab/>
      </w:r>
      <w:r>
        <w:rPr>
          <w:lang w:val="fr-CH"/>
        </w:rPr>
        <w:tab/>
      </w:r>
      <w:r w:rsidRPr="003F7122">
        <w:rPr>
          <w:lang w:val="fr-CH"/>
        </w:rPr>
        <w:t xml:space="preserve">Dans les véhicules équipés de banquettes, la partie supérieure du torse du mannequin occupant la place du conducteur doit </w:t>
      </w:r>
      <w:r>
        <w:rPr>
          <w:lang w:val="fr-CH"/>
        </w:rPr>
        <w:t>être appuyée</w:t>
      </w:r>
      <w:r w:rsidRPr="003F7122">
        <w:rPr>
          <w:lang w:val="fr-CH"/>
        </w:rPr>
        <w:t xml:space="preserve"> contre le dossier. Le plan sagittal médian de ce mannequin doit être vertical et parallèle à l’axe médian longitudinal du véhicule et passer par le centre du bord du volant.</w:t>
      </w:r>
    </w:p>
    <w:p w:rsidR="00467EB7" w:rsidRPr="003F7122" w:rsidRDefault="00467EB7" w:rsidP="00467EB7">
      <w:pPr>
        <w:pStyle w:val="SingleTxt"/>
        <w:ind w:left="2218" w:hanging="951"/>
        <w:rPr>
          <w:lang w:val="fr-CH"/>
        </w:rPr>
      </w:pPr>
      <w:r w:rsidRPr="003F7122">
        <w:rPr>
          <w:lang w:val="fr-CH"/>
        </w:rPr>
        <w:t>2.4.2</w:t>
      </w:r>
      <w:r w:rsidRPr="003F7122">
        <w:rPr>
          <w:lang w:val="fr-CH"/>
        </w:rPr>
        <w:tab/>
      </w:r>
      <w:r>
        <w:rPr>
          <w:lang w:val="fr-CH"/>
        </w:rPr>
        <w:tab/>
      </w:r>
      <w:r w:rsidRPr="003F7122">
        <w:rPr>
          <w:lang w:val="fr-CH"/>
        </w:rPr>
        <w:t xml:space="preserve">Dans les véhicules équipés de sièges individuels, la partie supérieure du torse du mannequin occupant la place du conducteur doit </w:t>
      </w:r>
      <w:r>
        <w:rPr>
          <w:lang w:val="fr-CH"/>
        </w:rPr>
        <w:t xml:space="preserve">être appuyée </w:t>
      </w:r>
      <w:r w:rsidRPr="003F7122">
        <w:rPr>
          <w:lang w:val="fr-CH"/>
        </w:rPr>
        <w:t>contre le dossier du siège. Le plan sagittal médian de ce mannequin doit être vertical et coïncider avec l’axe médian longitudinal du siège individuel.</w:t>
      </w:r>
    </w:p>
    <w:p w:rsidR="00467EB7" w:rsidRPr="003F7122" w:rsidRDefault="00467EB7" w:rsidP="00467EB7">
      <w:pPr>
        <w:pStyle w:val="SingleTxt"/>
        <w:rPr>
          <w:lang w:val="fr-CH"/>
        </w:rPr>
      </w:pPr>
      <w:r w:rsidRPr="003F7122">
        <w:rPr>
          <w:lang w:val="fr-CH"/>
        </w:rPr>
        <w:t>2.4.3</w:t>
      </w:r>
      <w:r w:rsidRPr="003F7122">
        <w:rPr>
          <w:lang w:val="fr-CH"/>
        </w:rPr>
        <w:tab/>
      </w:r>
      <w:r>
        <w:rPr>
          <w:lang w:val="fr-CH"/>
        </w:rPr>
        <w:tab/>
      </w:r>
      <w:r w:rsidRPr="003F7122">
        <w:rPr>
          <w:lang w:val="fr-CH"/>
        </w:rPr>
        <w:t>Partie inférieure du torse</w:t>
      </w:r>
    </w:p>
    <w:p w:rsidR="00467EB7" w:rsidRPr="003F7122" w:rsidRDefault="00467EB7" w:rsidP="00467EB7">
      <w:pPr>
        <w:pStyle w:val="SingleTxt"/>
        <w:rPr>
          <w:lang w:val="fr-CH"/>
        </w:rPr>
      </w:pPr>
      <w:r w:rsidRPr="003F7122">
        <w:rPr>
          <w:lang w:val="fr-CH"/>
        </w:rPr>
        <w:t>2.4.3.1</w:t>
      </w:r>
      <w:r w:rsidRPr="003F7122">
        <w:rPr>
          <w:lang w:val="fr-CH"/>
        </w:rPr>
        <w:tab/>
        <w:t>Point H</w:t>
      </w:r>
    </w:p>
    <w:p w:rsidR="00467EB7" w:rsidRPr="003F7122" w:rsidRDefault="00467EB7" w:rsidP="00467EB7">
      <w:pPr>
        <w:pStyle w:val="SingleTxt"/>
        <w:ind w:left="2218" w:hanging="951"/>
        <w:rPr>
          <w:lang w:val="fr-CH"/>
        </w:rPr>
      </w:pPr>
      <w:r w:rsidRPr="003F7122">
        <w:rPr>
          <w:lang w:val="fr-CH"/>
        </w:rPr>
        <w:tab/>
      </w:r>
      <w:r>
        <w:rPr>
          <w:lang w:val="fr-CH"/>
        </w:rPr>
        <w:tab/>
      </w:r>
      <w:r w:rsidRPr="003F7122">
        <w:rPr>
          <w:lang w:val="fr-CH"/>
        </w:rPr>
        <w:t xml:space="preserve">Le point H du mannequin occupant la place du conducteur doit coïncider, avec une tolérance de 13 mm dans les sens vertical et horizontal, avec un point situé à 6 mm au-dessous de la position du point H déterminée selon la procédure </w:t>
      </w:r>
      <w:r>
        <w:rPr>
          <w:lang w:val="fr-CH"/>
        </w:rPr>
        <w:t>indiquée</w:t>
      </w:r>
      <w:r w:rsidRPr="003F7122">
        <w:rPr>
          <w:lang w:val="fr-CH"/>
        </w:rPr>
        <w:t xml:space="preserve"> à l’annexe 6, si ce n’est que la longueur des segments de la partie inférieure de la jambe et de la cuisse de la machine servant à calculer le point H doit être réglée sur 414 et 401 mm respectivement, au lieu de 417 et 432 mm.</w:t>
      </w:r>
    </w:p>
    <w:p w:rsidR="00467EB7" w:rsidRPr="003F7122" w:rsidRDefault="00467EB7" w:rsidP="00467EB7">
      <w:pPr>
        <w:pStyle w:val="SingleTxt"/>
        <w:rPr>
          <w:lang w:val="fr-CH"/>
        </w:rPr>
      </w:pPr>
      <w:r w:rsidRPr="003F7122">
        <w:rPr>
          <w:lang w:val="fr-CH"/>
        </w:rPr>
        <w:t>2.4.3.2</w:t>
      </w:r>
      <w:r w:rsidRPr="003F7122">
        <w:rPr>
          <w:lang w:val="fr-CH"/>
        </w:rPr>
        <w:tab/>
        <w:t>Angle pelvien</w:t>
      </w:r>
    </w:p>
    <w:p w:rsidR="00467EB7" w:rsidRPr="003F7122" w:rsidRDefault="00467EB7" w:rsidP="00A02950">
      <w:pPr>
        <w:pStyle w:val="SingleTxt"/>
        <w:ind w:left="2218" w:hanging="951"/>
        <w:rPr>
          <w:lang w:val="fr-CH"/>
        </w:rPr>
      </w:pPr>
      <w:r w:rsidRPr="003F7122">
        <w:rPr>
          <w:lang w:val="fr-CH"/>
        </w:rPr>
        <w:tab/>
      </w:r>
      <w:r>
        <w:rPr>
          <w:lang w:val="fr-CH"/>
        </w:rPr>
        <w:tab/>
      </w:r>
      <w:r w:rsidRPr="003F7122">
        <w:rPr>
          <w:lang w:val="fr-CH"/>
        </w:rPr>
        <w:t xml:space="preserve">Déterminé à l’aide du dessin 78051-532 de la cale étalon d’angle pelvien introduit à titre de référence dans la pièce 572, qui est insérée dans le trou de positionnement du point H du mannequin, cet angle mesuré sur la surface plate de 76,2 mm (3 pouces) de la cale étalon par rapport à l’horizontale doit être de 22,5 </w:t>
      </w:r>
      <w:r w:rsidR="00A02950" w:rsidRPr="003F7122">
        <w:rPr>
          <w:lang w:val="fr-CH"/>
        </w:rPr>
        <w:sym w:font="Symbol" w:char="F0B1"/>
      </w:r>
      <w:r w:rsidRPr="003F7122">
        <w:rPr>
          <w:lang w:val="fr-CH"/>
        </w:rPr>
        <w:t xml:space="preserve"> 2,5 degrés.</w:t>
      </w:r>
    </w:p>
    <w:p w:rsidR="00467EB7" w:rsidRPr="003F7122" w:rsidRDefault="00467EB7" w:rsidP="00467EB7">
      <w:pPr>
        <w:pStyle w:val="SingleTxt"/>
        <w:rPr>
          <w:lang w:val="fr-CH"/>
        </w:rPr>
      </w:pPr>
      <w:r w:rsidRPr="003F7122">
        <w:rPr>
          <w:lang w:val="fr-CH"/>
        </w:rPr>
        <w:t>2.5</w:t>
      </w:r>
      <w:r>
        <w:rPr>
          <w:lang w:val="fr-CH"/>
        </w:rPr>
        <w:tab/>
      </w:r>
      <w:r w:rsidRPr="003F7122">
        <w:rPr>
          <w:lang w:val="fr-CH"/>
        </w:rPr>
        <w:tab/>
        <w:t>Jambes</w:t>
      </w:r>
    </w:p>
    <w:p w:rsidR="00467EB7" w:rsidRPr="003F7122" w:rsidRDefault="00467EB7" w:rsidP="00467EB7">
      <w:pPr>
        <w:pStyle w:val="SingleTxt"/>
        <w:ind w:left="2218" w:hanging="951"/>
        <w:rPr>
          <w:lang w:val="fr-CH"/>
        </w:rPr>
      </w:pPr>
      <w:r w:rsidRPr="003F7122">
        <w:rPr>
          <w:lang w:val="fr-CH"/>
        </w:rPr>
        <w:tab/>
      </w:r>
      <w:r>
        <w:rPr>
          <w:lang w:val="fr-CH"/>
        </w:rPr>
        <w:tab/>
      </w:r>
      <w:r w:rsidRPr="003F7122">
        <w:rPr>
          <w:lang w:val="fr-CH"/>
        </w:rPr>
        <w:t>La partie supérieure des jambes du mannequin occupant la place du conducteur doit reposer sur le coussin des sièges dans la mesure où le positionnement des pieds le permet. La distance initiale entre les surfaces extérieures des points d’attache des genoux doit être de 270 </w:t>
      </w:r>
      <w:r w:rsidRPr="003F7122">
        <w:rPr>
          <w:lang w:val="fr-CH"/>
        </w:rPr>
        <w:sym w:font="Symbol" w:char="F0B1"/>
      </w:r>
      <w:r w:rsidRPr="003F7122">
        <w:rPr>
          <w:lang w:val="fr-CH"/>
        </w:rPr>
        <w:t> 10 mm. Dans la mesure du possible, la jambe gauche du mannequin occupant la place du conducteur doit être dans des plans longitudinaux verticaux. Dans la mesure du possible, la jambe droite de ce mannequin doit être dans un plan vertical. Un réglage final pour placer les pieds dans la position prévue au paragraphe 2.6 pour les diverses configurations d’habitacle est autorisé.</w:t>
      </w:r>
    </w:p>
    <w:p w:rsidR="00467EB7" w:rsidRPr="003F7122" w:rsidRDefault="00467EB7" w:rsidP="00467EB7">
      <w:pPr>
        <w:pStyle w:val="SingleTxt"/>
        <w:rPr>
          <w:lang w:val="fr-CH"/>
        </w:rPr>
      </w:pPr>
      <w:r w:rsidRPr="003F7122">
        <w:rPr>
          <w:lang w:val="fr-CH"/>
        </w:rPr>
        <w:t>2.6</w:t>
      </w:r>
      <w:r w:rsidRPr="003F7122">
        <w:rPr>
          <w:lang w:val="fr-CH"/>
        </w:rPr>
        <w:tab/>
      </w:r>
      <w:r>
        <w:rPr>
          <w:lang w:val="fr-CH"/>
        </w:rPr>
        <w:tab/>
      </w:r>
      <w:r w:rsidRPr="003F7122">
        <w:rPr>
          <w:lang w:val="fr-CH"/>
        </w:rPr>
        <w:t>Pieds</w:t>
      </w:r>
    </w:p>
    <w:p w:rsidR="00467EB7" w:rsidRPr="003F7122" w:rsidRDefault="00467EB7" w:rsidP="00467EB7">
      <w:pPr>
        <w:pStyle w:val="SingleTxt"/>
        <w:ind w:left="2218" w:hanging="951"/>
        <w:rPr>
          <w:lang w:val="fr-CH"/>
        </w:rPr>
      </w:pPr>
      <w:r w:rsidRPr="003F7122">
        <w:rPr>
          <w:lang w:val="fr-CH"/>
        </w:rPr>
        <w:t>2.6.1</w:t>
      </w:r>
      <w:r w:rsidRPr="003F7122">
        <w:rPr>
          <w:lang w:val="fr-CH"/>
        </w:rPr>
        <w:tab/>
      </w:r>
      <w:r>
        <w:rPr>
          <w:lang w:val="fr-CH"/>
        </w:rPr>
        <w:tab/>
      </w:r>
      <w:r w:rsidRPr="003F7122">
        <w:rPr>
          <w:lang w:val="fr-CH"/>
        </w:rPr>
        <w:t>Le pied droit du mannequin occupant la place du conducteur doit reposer sur l’accélérateur non enfoncé, l’arrière du talon reposant sur le plancher dans le plan de la pédale. Si le pied ne peut être placé sur la pédale d’accélérateur, il doit être posé perpendiculairement au tibia et aussi près que possible de</w:t>
      </w:r>
      <w:r>
        <w:rPr>
          <w:lang w:val="fr-CH"/>
        </w:rPr>
        <w:t xml:space="preserve"> </w:t>
      </w:r>
      <w:r w:rsidRPr="003F7122">
        <w:rPr>
          <w:lang w:val="fr-CH"/>
        </w:rPr>
        <w:t>l’axe médian de la pédale, l’arrière du talon reposant sur le plancher. Le</w:t>
      </w:r>
      <w:r>
        <w:rPr>
          <w:lang w:val="fr-CH"/>
        </w:rPr>
        <w:t xml:space="preserve"> </w:t>
      </w:r>
      <w:r w:rsidRPr="003F7122">
        <w:rPr>
          <w:lang w:val="fr-CH"/>
        </w:rPr>
        <w:t xml:space="preserve">talon du pied gauche doit être placé le plus en avant possible et reposer sur le plancher. Le pied gauche doit être posé aussi à plat que possible sur la partie oblique du plancher. L’axe médian longitudinal du pied gauche doit être en position aussi parallèle que possible </w:t>
      </w:r>
      <w:r>
        <w:rPr>
          <w:lang w:val="fr-CH"/>
        </w:rPr>
        <w:t>à</w:t>
      </w:r>
      <w:r w:rsidRPr="003F7122">
        <w:rPr>
          <w:lang w:val="fr-CH"/>
        </w:rPr>
        <w:t xml:space="preserve"> l’axe médian longitudinal du véhicule. Pour les véhicules équipés d’un repose-pied, il doit être possible, à la demande du constructeur, de placer le pied </w:t>
      </w:r>
      <w:r w:rsidRPr="003F7122">
        <w:rPr>
          <w:lang w:val="fr-CH"/>
        </w:rPr>
        <w:lastRenderedPageBreak/>
        <w:t>gauche sur le repose-pied. Dans ce cas, la position du pied gauche est définie par le repose-pied.</w:t>
      </w:r>
    </w:p>
    <w:p w:rsidR="00467EB7" w:rsidRPr="003F7122" w:rsidRDefault="00467EB7" w:rsidP="00467EB7">
      <w:pPr>
        <w:pStyle w:val="SingleTxt"/>
        <w:ind w:left="2218" w:hanging="951"/>
        <w:rPr>
          <w:lang w:val="fr-CH"/>
        </w:rPr>
      </w:pPr>
      <w:r w:rsidRPr="003F7122">
        <w:rPr>
          <w:lang w:val="fr-CH"/>
        </w:rPr>
        <w:t>2.7</w:t>
      </w:r>
      <w:r w:rsidRPr="003F7122">
        <w:rPr>
          <w:lang w:val="fr-CH"/>
        </w:rPr>
        <w:tab/>
      </w:r>
      <w:r>
        <w:rPr>
          <w:lang w:val="fr-CH"/>
        </w:rPr>
        <w:tab/>
      </w:r>
      <w:r w:rsidRPr="003F7122">
        <w:rPr>
          <w:lang w:val="fr-CH"/>
        </w:rPr>
        <w:t>Les appareils de mesure installés ne doivent influer en aucune manière sur le déplacement du mannequin au moment du choc.</w:t>
      </w:r>
    </w:p>
    <w:p w:rsidR="00467EB7" w:rsidRPr="003F7122" w:rsidRDefault="00467EB7" w:rsidP="00467EB7">
      <w:pPr>
        <w:pStyle w:val="SingleTxt"/>
        <w:ind w:left="2218" w:hanging="951"/>
        <w:rPr>
          <w:lang w:val="fr-CH"/>
        </w:rPr>
      </w:pPr>
      <w:r w:rsidRPr="003F7122">
        <w:rPr>
          <w:lang w:val="fr-CH"/>
        </w:rPr>
        <w:t>2.8</w:t>
      </w:r>
      <w:r w:rsidRPr="003F7122">
        <w:rPr>
          <w:lang w:val="fr-CH"/>
        </w:rPr>
        <w:tab/>
      </w:r>
      <w:r>
        <w:rPr>
          <w:lang w:val="fr-CH"/>
        </w:rPr>
        <w:tab/>
      </w:r>
      <w:r w:rsidRPr="003F7122">
        <w:rPr>
          <w:lang w:val="fr-CH"/>
        </w:rPr>
        <w:t>La température des mannequins et des instruments de mesure doit être stabilisée avant l’essai et maintenue dans toute la mesure possible entre 19 et</w:t>
      </w:r>
      <w:r>
        <w:rPr>
          <w:lang w:val="fr-CH"/>
        </w:rPr>
        <w:t xml:space="preserve"> </w:t>
      </w:r>
      <w:r w:rsidRPr="003F7122">
        <w:rPr>
          <w:lang w:val="fr-CH"/>
        </w:rPr>
        <w:t>22,2 °C.</w:t>
      </w:r>
    </w:p>
    <w:p w:rsidR="00467EB7" w:rsidRPr="003F7122" w:rsidRDefault="00467EB7" w:rsidP="00467EB7">
      <w:pPr>
        <w:pStyle w:val="SingleTxt"/>
        <w:rPr>
          <w:u w:val="single"/>
          <w:lang w:val="fr-CH"/>
        </w:rPr>
      </w:pPr>
      <w:r w:rsidRPr="003F7122">
        <w:rPr>
          <w:lang w:val="fr-CH"/>
        </w:rPr>
        <w:fldChar w:fldCharType="begin"/>
      </w:r>
      <w:r w:rsidRPr="003F7122">
        <w:rPr>
          <w:lang w:val="fr-CH"/>
        </w:rPr>
        <w:instrText xml:space="preserve"> SEQ CHAPTER \h \r 1</w:instrText>
      </w:r>
      <w:r w:rsidRPr="003F7122">
        <w:rPr>
          <w:lang w:val="fr-CH"/>
        </w:rPr>
        <w:fldChar w:fldCharType="end"/>
      </w:r>
      <w:r w:rsidRPr="003F7122">
        <w:rPr>
          <w:lang w:val="fr-CH"/>
        </w:rPr>
        <w:t>2.9</w:t>
      </w:r>
      <w:r w:rsidRPr="003F7122">
        <w:rPr>
          <w:lang w:val="fr-CH"/>
        </w:rPr>
        <w:tab/>
      </w:r>
      <w:r>
        <w:rPr>
          <w:lang w:val="fr-CH"/>
        </w:rPr>
        <w:tab/>
      </w:r>
      <w:r w:rsidRPr="003F7122">
        <w:rPr>
          <w:lang w:val="fr-CH"/>
        </w:rPr>
        <w:t>Vêtement du mannequin HIII 50</w:t>
      </w:r>
      <w:r w:rsidRPr="003F7122">
        <w:rPr>
          <w:vertAlign w:val="superscript"/>
          <w:lang w:val="fr-CH"/>
        </w:rPr>
        <w:t>e</w:t>
      </w:r>
    </w:p>
    <w:p w:rsidR="00467EB7" w:rsidRPr="003F7122" w:rsidRDefault="00467EB7" w:rsidP="00467EB7">
      <w:pPr>
        <w:pStyle w:val="SingleTxt"/>
        <w:ind w:left="2218" w:hanging="951"/>
        <w:rPr>
          <w:lang w:val="fr-CH"/>
        </w:rPr>
      </w:pPr>
      <w:r w:rsidRPr="003F7122">
        <w:rPr>
          <w:lang w:val="fr-CH"/>
        </w:rPr>
        <w:t>2.9.1</w:t>
      </w:r>
      <w:r w:rsidRPr="003F7122">
        <w:rPr>
          <w:lang w:val="fr-CH"/>
        </w:rPr>
        <w:tab/>
      </w:r>
      <w:r>
        <w:rPr>
          <w:lang w:val="fr-CH"/>
        </w:rPr>
        <w:tab/>
      </w:r>
      <w:r w:rsidRPr="003F7122">
        <w:rPr>
          <w:lang w:val="fr-CH"/>
        </w:rPr>
        <w:t xml:space="preserve">Le mannequin </w:t>
      </w:r>
      <w:r>
        <w:rPr>
          <w:lang w:val="fr-CH"/>
        </w:rPr>
        <w:t xml:space="preserve">appareillé doit être vêtu d’un maillot </w:t>
      </w:r>
      <w:r w:rsidRPr="003F7122">
        <w:rPr>
          <w:lang w:val="fr-CH"/>
        </w:rPr>
        <w:t xml:space="preserve">en coton </w:t>
      </w:r>
      <w:r>
        <w:rPr>
          <w:lang w:val="fr-CH"/>
        </w:rPr>
        <w:t>extensible</w:t>
      </w:r>
      <w:r w:rsidRPr="003F7122">
        <w:rPr>
          <w:lang w:val="fr-CH"/>
        </w:rPr>
        <w:t xml:space="preserve"> moulant</w:t>
      </w:r>
      <w:r>
        <w:rPr>
          <w:lang w:val="fr-CH"/>
        </w:rPr>
        <w:t xml:space="preserve"> à m</w:t>
      </w:r>
      <w:r w:rsidRPr="003F7122">
        <w:rPr>
          <w:lang w:val="fr-CH"/>
        </w:rPr>
        <w:t xml:space="preserve">anches courtes et </w:t>
      </w:r>
      <w:r>
        <w:rPr>
          <w:lang w:val="fr-CH"/>
        </w:rPr>
        <w:t xml:space="preserve">de </w:t>
      </w:r>
      <w:r w:rsidRPr="003F7122">
        <w:rPr>
          <w:lang w:val="fr-CH"/>
        </w:rPr>
        <w:t>pantalons à mi-mollet, comme le prévoit la spécification FMVSS 208, dessins 78051-292 et 293 ou leur équivalent.</w:t>
      </w:r>
    </w:p>
    <w:p w:rsidR="00467EB7" w:rsidRPr="003F7122" w:rsidRDefault="00467EB7" w:rsidP="00A02950">
      <w:pPr>
        <w:pStyle w:val="SingleTxt"/>
        <w:ind w:left="2218" w:hanging="951"/>
        <w:rPr>
          <w:lang w:val="fr-CH"/>
        </w:rPr>
      </w:pPr>
      <w:r w:rsidRPr="003F7122">
        <w:rPr>
          <w:lang w:val="fr-CH"/>
        </w:rPr>
        <w:t>2.9.2</w:t>
      </w:r>
      <w:r>
        <w:rPr>
          <w:lang w:val="fr-CH"/>
        </w:rPr>
        <w:tab/>
      </w:r>
      <w:r w:rsidRPr="003F7122">
        <w:rPr>
          <w:lang w:val="fr-CH"/>
        </w:rPr>
        <w:tab/>
        <w:t xml:space="preserve">Une chaussure de taille 11XW, conforme aux spécifications de la norme militaire américaine MIL-S 13192, révision P, quant à </w:t>
      </w:r>
      <w:r>
        <w:rPr>
          <w:lang w:val="fr-CH"/>
        </w:rPr>
        <w:t>ses</w:t>
      </w:r>
      <w:r w:rsidRPr="003F7122">
        <w:rPr>
          <w:lang w:val="fr-CH"/>
        </w:rPr>
        <w:t xml:space="preserve"> dimension</w:t>
      </w:r>
      <w:r>
        <w:rPr>
          <w:lang w:val="fr-CH"/>
        </w:rPr>
        <w:t xml:space="preserve">s et </w:t>
      </w:r>
      <w:r w:rsidRPr="003F7122">
        <w:rPr>
          <w:lang w:val="fr-CH"/>
        </w:rPr>
        <w:t>à</w:t>
      </w:r>
      <w:r>
        <w:rPr>
          <w:lang w:val="fr-CH"/>
        </w:rPr>
        <w:t xml:space="preserve"> </w:t>
      </w:r>
      <w:r w:rsidRPr="003F7122">
        <w:rPr>
          <w:lang w:val="fr-CH"/>
        </w:rPr>
        <w:t>l’épaisseur de la semelle et du talon, et dont le poids est de 0,57 </w:t>
      </w:r>
      <w:r w:rsidR="00A02950" w:rsidRPr="003F7122">
        <w:rPr>
          <w:lang w:val="fr-CH"/>
        </w:rPr>
        <w:sym w:font="Symbol" w:char="F0B1"/>
      </w:r>
      <w:r w:rsidRPr="003F7122">
        <w:rPr>
          <w:lang w:val="fr-CH"/>
        </w:rPr>
        <w:t> 0,1 kg est placée et fixée à chaque pied du mannequin d’essai.</w:t>
      </w:r>
    </w:p>
    <w:p w:rsidR="00467EB7" w:rsidRPr="003F7122" w:rsidRDefault="00467EB7" w:rsidP="00467EB7">
      <w:pPr>
        <w:pStyle w:val="SingleTxt"/>
        <w:ind w:left="2218" w:hanging="951"/>
        <w:rPr>
          <w:lang w:val="fr-CH"/>
        </w:rPr>
      </w:pPr>
      <w:r w:rsidRPr="003F7122">
        <w:rPr>
          <w:lang w:val="fr-CH"/>
        </w:rPr>
        <w:t>3.</w:t>
      </w:r>
      <w:r w:rsidRPr="003F7122">
        <w:rPr>
          <w:lang w:val="fr-CH"/>
        </w:rPr>
        <w:tab/>
      </w:r>
      <w:r>
        <w:rPr>
          <w:lang w:val="fr-CH"/>
        </w:rPr>
        <w:tab/>
      </w:r>
      <w:r w:rsidRPr="003F7122">
        <w:rPr>
          <w:lang w:val="fr-CH"/>
        </w:rPr>
        <w:t>Installation du mannequin du type Hybride III femme du cinquième centile sur le siège du passager</w:t>
      </w:r>
    </w:p>
    <w:p w:rsidR="00467EB7" w:rsidRPr="003F7122" w:rsidRDefault="00467EB7" w:rsidP="00467EB7">
      <w:pPr>
        <w:pStyle w:val="SingleTxt"/>
        <w:ind w:left="2218" w:hanging="951"/>
        <w:rPr>
          <w:lang w:val="fr-CH"/>
        </w:rPr>
      </w:pPr>
      <w:r w:rsidRPr="003F7122">
        <w:rPr>
          <w:lang w:val="fr-CH"/>
        </w:rPr>
        <w:tab/>
      </w:r>
      <w:r>
        <w:rPr>
          <w:lang w:val="fr-CH"/>
        </w:rPr>
        <w:tab/>
      </w:r>
      <w:r w:rsidRPr="003F7122">
        <w:rPr>
          <w:lang w:val="fr-CH"/>
        </w:rPr>
        <w:t>Les dimensions longitudinale et verticale du point H sont représentées par les coordonnées (X</w:t>
      </w:r>
      <w:r w:rsidRPr="003F7122">
        <w:rPr>
          <w:vertAlign w:val="subscript"/>
          <w:lang w:val="fr-CH"/>
        </w:rPr>
        <w:t>50eM</w:t>
      </w:r>
      <w:r w:rsidRPr="003F7122">
        <w:rPr>
          <w:lang w:val="fr-CH"/>
        </w:rPr>
        <w:t>, Z</w:t>
      </w:r>
      <w:r w:rsidRPr="003F7122">
        <w:rPr>
          <w:vertAlign w:val="subscript"/>
          <w:lang w:val="fr-CH"/>
        </w:rPr>
        <w:t>50eM</w:t>
      </w:r>
      <w:r w:rsidRPr="003F7122">
        <w:rPr>
          <w:lang w:val="fr-CH"/>
        </w:rPr>
        <w:t>) et les dimensions longitudinale et verticale du point H 5</w:t>
      </w:r>
      <w:r w:rsidRPr="003F7122">
        <w:rPr>
          <w:vertAlign w:val="superscript"/>
          <w:lang w:val="fr-CH"/>
        </w:rPr>
        <w:t>e</w:t>
      </w:r>
      <w:r w:rsidRPr="003F7122">
        <w:rPr>
          <w:lang w:val="fr-CH"/>
        </w:rPr>
        <w:t>, par les coordonnées (X</w:t>
      </w:r>
      <w:r w:rsidRPr="003F7122">
        <w:rPr>
          <w:vertAlign w:val="subscript"/>
          <w:lang w:val="fr-CH"/>
        </w:rPr>
        <w:t>5eF</w:t>
      </w:r>
      <w:r w:rsidRPr="003F7122">
        <w:rPr>
          <w:lang w:val="fr-CH"/>
        </w:rPr>
        <w:t>, Z</w:t>
      </w:r>
      <w:r w:rsidRPr="003F7122">
        <w:rPr>
          <w:vertAlign w:val="subscript"/>
          <w:lang w:val="fr-CH"/>
        </w:rPr>
        <w:t>5eF</w:t>
      </w:r>
      <w:r w:rsidRPr="003F7122">
        <w:rPr>
          <w:lang w:val="fr-CH"/>
        </w:rPr>
        <w:t>). XSCL est la distance horizontale entre le point H et le point le plus en avant du coussin du siège (voir fig.</w:t>
      </w:r>
      <w:r>
        <w:rPr>
          <w:lang w:val="fr-CH"/>
        </w:rPr>
        <w:t> </w:t>
      </w:r>
      <w:r w:rsidRPr="003F7122">
        <w:rPr>
          <w:lang w:val="fr-CH"/>
        </w:rPr>
        <w:t>1). La formule ci-dessous permet de calculer le point H</w:t>
      </w:r>
      <w:r>
        <w:rPr>
          <w:lang w:val="fr-CH"/>
        </w:rPr>
        <w:t> </w:t>
      </w:r>
      <w:r w:rsidRPr="003F7122">
        <w:rPr>
          <w:lang w:val="fr-CH"/>
        </w:rPr>
        <w:t>5</w:t>
      </w:r>
      <w:r w:rsidRPr="003F7122">
        <w:rPr>
          <w:vertAlign w:val="superscript"/>
          <w:lang w:val="fr-CH"/>
        </w:rPr>
        <w:t>e</w:t>
      </w:r>
      <w:r w:rsidRPr="003F7122">
        <w:rPr>
          <w:lang w:val="fr-CH"/>
        </w:rPr>
        <w:t>. On notera que X</w:t>
      </w:r>
      <w:r w:rsidRPr="003F7122">
        <w:rPr>
          <w:vertAlign w:val="subscript"/>
          <w:lang w:val="fr-CH"/>
        </w:rPr>
        <w:t>5eF</w:t>
      </w:r>
      <w:r w:rsidRPr="003F7122">
        <w:rPr>
          <w:lang w:val="fr-CH"/>
        </w:rPr>
        <w:t xml:space="preserve"> doit toujours être plus en avant que X</w:t>
      </w:r>
      <w:r w:rsidRPr="003F7122">
        <w:rPr>
          <w:vertAlign w:val="subscript"/>
          <w:lang w:val="fr-CH"/>
        </w:rPr>
        <w:t>50eM</w:t>
      </w:r>
      <w:r>
        <w:rPr>
          <w:lang w:val="fr-CH"/>
        </w:rPr>
        <w:t>.</w:t>
      </w:r>
    </w:p>
    <w:p w:rsidR="00467EB7" w:rsidRPr="00CC7761" w:rsidRDefault="00467EB7" w:rsidP="00467EB7">
      <w:pPr>
        <w:pStyle w:val="SingleTxt"/>
        <w:rPr>
          <w:lang w:val="en-US"/>
        </w:rPr>
      </w:pPr>
      <w:r>
        <w:rPr>
          <w:lang w:val="fr-CH"/>
        </w:rPr>
        <w:tab/>
      </w:r>
      <w:r>
        <w:rPr>
          <w:lang w:val="fr-CH"/>
        </w:rPr>
        <w:tab/>
      </w:r>
      <w:r w:rsidRPr="00CC7761">
        <w:rPr>
          <w:lang w:val="en-US"/>
        </w:rPr>
        <w:t>X</w:t>
      </w:r>
      <w:r w:rsidRPr="00CC7761">
        <w:rPr>
          <w:vertAlign w:val="subscript"/>
          <w:lang w:val="en-US"/>
        </w:rPr>
        <w:t>5eF</w:t>
      </w:r>
      <w:r w:rsidRPr="00CC7761">
        <w:rPr>
          <w:lang w:val="en-US"/>
        </w:rPr>
        <w:t xml:space="preserve"> = X</w:t>
      </w:r>
      <w:r w:rsidRPr="00CC7761">
        <w:rPr>
          <w:vertAlign w:val="subscript"/>
          <w:lang w:val="en-US"/>
        </w:rPr>
        <w:t>50eM</w:t>
      </w:r>
      <w:r w:rsidRPr="00CC7761">
        <w:rPr>
          <w:lang w:val="en-US"/>
        </w:rPr>
        <w:t>, + (93</w:t>
      </w:r>
      <w:r w:rsidR="003B3553">
        <w:rPr>
          <w:lang w:val="en-US"/>
        </w:rPr>
        <w:t> </w:t>
      </w:r>
      <w:r w:rsidRPr="00CC7761">
        <w:rPr>
          <w:lang w:val="en-US"/>
        </w:rPr>
        <w:t>mm – 0,323 x XSCL)</w:t>
      </w:r>
    </w:p>
    <w:p w:rsidR="00467EB7" w:rsidRDefault="00467EB7" w:rsidP="00467EB7">
      <w:pPr>
        <w:pStyle w:val="SingleTxt"/>
        <w:rPr>
          <w:vertAlign w:val="subscript"/>
          <w:lang w:val="fr-CH"/>
        </w:rPr>
      </w:pPr>
      <w:r w:rsidRPr="00CC7761">
        <w:rPr>
          <w:lang w:val="en-US"/>
        </w:rPr>
        <w:tab/>
      </w:r>
      <w:r w:rsidRPr="00CC7761">
        <w:rPr>
          <w:lang w:val="en-US"/>
        </w:rPr>
        <w:tab/>
      </w:r>
      <w:r w:rsidRPr="003F7122">
        <w:rPr>
          <w:lang w:val="fr-CH"/>
        </w:rPr>
        <w:t>Z</w:t>
      </w:r>
      <w:r w:rsidRPr="003F7122">
        <w:rPr>
          <w:vertAlign w:val="subscript"/>
          <w:lang w:val="fr-CH"/>
        </w:rPr>
        <w:t>5eF</w:t>
      </w:r>
      <w:r w:rsidRPr="003F7122">
        <w:rPr>
          <w:lang w:val="fr-CH"/>
        </w:rPr>
        <w:t xml:space="preserve"> = Z</w:t>
      </w:r>
      <w:r w:rsidRPr="003F7122">
        <w:rPr>
          <w:vertAlign w:val="subscript"/>
          <w:lang w:val="fr-CH"/>
        </w:rPr>
        <w:t>50eM</w:t>
      </w:r>
    </w:p>
    <w:p w:rsidR="00467EB7" w:rsidRPr="00C47399" w:rsidRDefault="00467EB7" w:rsidP="00467EB7">
      <w:pPr>
        <w:pStyle w:val="SingleTxt"/>
        <w:spacing w:after="0" w:line="120" w:lineRule="exact"/>
        <w:rPr>
          <w:sz w:val="10"/>
          <w:vertAlign w:val="subscript"/>
          <w:lang w:val="fr-CH"/>
        </w:rPr>
      </w:pPr>
    </w:p>
    <w:p w:rsidR="00467EB7" w:rsidRPr="00B041D6" w:rsidRDefault="00467EB7" w:rsidP="003C59B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sidRPr="00B041D6">
        <w:rPr>
          <w:lang w:val="fr-CH"/>
        </w:rPr>
        <w:tab/>
        <w:t>Figure 1</w:t>
      </w:r>
    </w:p>
    <w:p w:rsidR="00467EB7" w:rsidRPr="00C47399" w:rsidRDefault="00467EB7" w:rsidP="00467EB7">
      <w:pPr>
        <w:pStyle w:val="SingleTxt"/>
        <w:spacing w:after="0" w:line="120" w:lineRule="exact"/>
        <w:rPr>
          <w:sz w:val="10"/>
          <w:lang w:val="fr-CH"/>
        </w:rPr>
      </w:pPr>
    </w:p>
    <w:p w:rsidR="00467EB7" w:rsidRPr="00C47399" w:rsidRDefault="00467EB7" w:rsidP="00467EB7">
      <w:pPr>
        <w:pStyle w:val="SingleTxt"/>
        <w:spacing w:after="0" w:line="120" w:lineRule="exact"/>
        <w:rPr>
          <w:sz w:val="10"/>
          <w:lang w:val="fr-CH"/>
        </w:rPr>
      </w:pPr>
    </w:p>
    <w:p w:rsidR="00467EB7" w:rsidRPr="00F65142" w:rsidRDefault="00467EB7" w:rsidP="00F65142">
      <w:pPr>
        <w:suppressAutoHyphens/>
        <w:kinsoku w:val="0"/>
        <w:overflowPunct w:val="0"/>
        <w:autoSpaceDE w:val="0"/>
        <w:autoSpaceDN w:val="0"/>
        <w:adjustRightInd w:val="0"/>
        <w:snapToGrid w:val="0"/>
        <w:spacing w:line="240" w:lineRule="auto"/>
        <w:ind w:left="2275"/>
        <w:rPr>
          <w:rFonts w:eastAsia="MS Mincho"/>
          <w:spacing w:val="0"/>
          <w:w w:val="100"/>
          <w:kern w:val="0"/>
          <w:sz w:val="10"/>
          <w:szCs w:val="20"/>
          <w:lang w:val="fr-CH" w:eastAsia="ja-JP"/>
        </w:rPr>
      </w:pPr>
      <w:r w:rsidRPr="008C4279">
        <w:rPr>
          <w:rFonts w:eastAsia="MS Mincho"/>
          <w:noProof/>
          <w:spacing w:val="0"/>
          <w:w w:val="100"/>
          <w:kern w:val="0"/>
          <w:szCs w:val="20"/>
          <w:lang w:val="en-GB" w:eastAsia="en-GB"/>
        </w:rPr>
        <w:drawing>
          <wp:inline distT="0" distB="0" distL="0" distR="0" wp14:anchorId="00621C8F" wp14:editId="4EEE5A89">
            <wp:extent cx="2026920" cy="1882140"/>
            <wp:effectExtent l="0" t="0" r="0" b="3810"/>
            <wp:docPr id="7"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6920" cy="1882140"/>
                    </a:xfrm>
                    <a:prstGeom prst="rect">
                      <a:avLst/>
                    </a:prstGeom>
                    <a:noFill/>
                    <a:ln>
                      <a:noFill/>
                    </a:ln>
                  </pic:spPr>
                </pic:pic>
              </a:graphicData>
            </a:graphic>
          </wp:inline>
        </w:drawing>
      </w:r>
    </w:p>
    <w:p w:rsidR="00F65142" w:rsidRPr="00F65142" w:rsidRDefault="00F65142" w:rsidP="00F65142">
      <w:pPr>
        <w:suppressAutoHyphens/>
        <w:kinsoku w:val="0"/>
        <w:overflowPunct w:val="0"/>
        <w:autoSpaceDE w:val="0"/>
        <w:autoSpaceDN w:val="0"/>
        <w:adjustRightInd w:val="0"/>
        <w:snapToGrid w:val="0"/>
        <w:spacing w:line="120" w:lineRule="exact"/>
        <w:ind w:left="2268"/>
        <w:rPr>
          <w:rFonts w:eastAsia="MS Mincho"/>
          <w:spacing w:val="0"/>
          <w:w w:val="100"/>
          <w:kern w:val="0"/>
          <w:sz w:val="10"/>
          <w:szCs w:val="20"/>
          <w:lang w:val="fr-CH" w:eastAsia="ja-JP"/>
        </w:rPr>
      </w:pPr>
    </w:p>
    <w:p w:rsidR="00F65142" w:rsidRPr="00F65142" w:rsidRDefault="00F65142" w:rsidP="00F65142">
      <w:pPr>
        <w:suppressAutoHyphens/>
        <w:kinsoku w:val="0"/>
        <w:overflowPunct w:val="0"/>
        <w:autoSpaceDE w:val="0"/>
        <w:autoSpaceDN w:val="0"/>
        <w:adjustRightInd w:val="0"/>
        <w:snapToGrid w:val="0"/>
        <w:spacing w:line="120" w:lineRule="exact"/>
        <w:ind w:left="2268"/>
        <w:rPr>
          <w:rFonts w:eastAsia="MS Mincho"/>
          <w:spacing w:val="0"/>
          <w:w w:val="100"/>
          <w:kern w:val="0"/>
          <w:sz w:val="10"/>
          <w:szCs w:val="20"/>
          <w:lang w:val="fr-CH" w:eastAsia="ja-JP"/>
        </w:rPr>
      </w:pPr>
    </w:p>
    <w:p w:rsidR="00467EB7" w:rsidRPr="004D1484" w:rsidRDefault="00467EB7" w:rsidP="00467EB7">
      <w:pPr>
        <w:pStyle w:val="SingleTxt"/>
        <w:rPr>
          <w:lang w:val="fr-CH"/>
        </w:rPr>
      </w:pPr>
      <w:r w:rsidRPr="004D1484">
        <w:rPr>
          <w:lang w:val="fr-CH"/>
        </w:rPr>
        <w:t>3.1</w:t>
      </w:r>
      <w:r w:rsidRPr="004D1484">
        <w:rPr>
          <w:lang w:val="fr-CH"/>
        </w:rPr>
        <w:tab/>
      </w:r>
      <w:r>
        <w:rPr>
          <w:lang w:val="fr-CH"/>
        </w:rPr>
        <w:tab/>
      </w:r>
      <w:r w:rsidRPr="004D1484">
        <w:rPr>
          <w:lang w:val="fr-CH"/>
        </w:rPr>
        <w:t>Tête</w:t>
      </w:r>
    </w:p>
    <w:p w:rsidR="00467EB7" w:rsidRPr="00F65142" w:rsidRDefault="00467EB7" w:rsidP="00467EB7">
      <w:pPr>
        <w:pStyle w:val="SingleTxt"/>
        <w:ind w:left="2218" w:hanging="951"/>
        <w:rPr>
          <w:lang w:val="fr-CH"/>
        </w:rPr>
      </w:pPr>
      <w:r w:rsidRPr="004D1484">
        <w:rPr>
          <w:lang w:val="fr-CH"/>
        </w:rPr>
        <w:tab/>
      </w:r>
      <w:r>
        <w:rPr>
          <w:lang w:val="fr-CH"/>
        </w:rPr>
        <w:tab/>
      </w:r>
      <w:r w:rsidRPr="00F65142">
        <w:rPr>
          <w:lang w:val="fr-CH"/>
        </w:rPr>
        <w:t>Le panneau transverse des appareils de mesure installé dans la tête doit être en position horizontale à 2,5° près. Pour mettre à niveau la tête du mannequin d’essai dans les véhicules munis de sièges droits avec dossier non réglable, on doit procéder aux diverses opérations suivantes. En premier lieu, régler la position du point H 5</w:t>
      </w:r>
      <w:r w:rsidRPr="00F65142">
        <w:rPr>
          <w:vertAlign w:val="superscript"/>
          <w:lang w:val="fr-CH"/>
        </w:rPr>
        <w:t>e</w:t>
      </w:r>
      <w:r w:rsidRPr="00F65142">
        <w:rPr>
          <w:lang w:val="fr-CH"/>
        </w:rPr>
        <w:t xml:space="preserve"> dans les limites indiquées au paragraphe 3.4.3.1 ci-après afin de mettre à niveau ledit panneau. Si celui-ci n’est pas encore à niveau, régler l’angle pelvien du mannequin dans les </w:t>
      </w:r>
      <w:r w:rsidRPr="00F65142">
        <w:rPr>
          <w:lang w:val="fr-CH"/>
        </w:rPr>
        <w:lastRenderedPageBreak/>
        <w:t>limites établies au paragraphe 3.4.3.2 ci-après. Si le panneau n’est toujours pas à niveau, régler le support de la nuque du mannequin du minimum nécessaire pour qu’il soit en position horizontale à 2,5° près.</w:t>
      </w:r>
    </w:p>
    <w:p w:rsidR="00467EB7" w:rsidRPr="004D1484" w:rsidRDefault="00467EB7" w:rsidP="00467EB7">
      <w:pPr>
        <w:pStyle w:val="SingleTxt"/>
        <w:rPr>
          <w:lang w:val="fr-CH"/>
        </w:rPr>
      </w:pPr>
      <w:r w:rsidRPr="004D1484">
        <w:rPr>
          <w:lang w:val="fr-CH"/>
        </w:rPr>
        <w:t>3.2</w:t>
      </w:r>
      <w:r w:rsidRPr="004D1484">
        <w:rPr>
          <w:lang w:val="fr-CH"/>
        </w:rPr>
        <w:tab/>
      </w:r>
      <w:r>
        <w:rPr>
          <w:lang w:val="fr-CH"/>
        </w:rPr>
        <w:tab/>
      </w:r>
      <w:r w:rsidRPr="004D1484">
        <w:rPr>
          <w:lang w:val="fr-CH"/>
        </w:rPr>
        <w:t>Bras</w:t>
      </w:r>
    </w:p>
    <w:p w:rsidR="00467EB7" w:rsidRPr="004D1484" w:rsidRDefault="00467EB7" w:rsidP="00467EB7">
      <w:pPr>
        <w:pStyle w:val="SingleTxt"/>
        <w:ind w:left="2218" w:hanging="951"/>
        <w:rPr>
          <w:lang w:val="fr-CH"/>
        </w:rPr>
      </w:pPr>
      <w:r w:rsidRPr="004D1484">
        <w:rPr>
          <w:lang w:val="fr-CH"/>
        </w:rPr>
        <w:t>3.2.1</w:t>
      </w:r>
      <w:r w:rsidRPr="004D1484">
        <w:rPr>
          <w:lang w:val="fr-CH"/>
        </w:rPr>
        <w:tab/>
      </w:r>
      <w:r>
        <w:rPr>
          <w:lang w:val="fr-CH"/>
        </w:rPr>
        <w:tab/>
      </w:r>
      <w:r w:rsidRPr="004D1484">
        <w:rPr>
          <w:lang w:val="fr-CH"/>
        </w:rPr>
        <w:t xml:space="preserve">Le passager doit avoir les bras en contact </w:t>
      </w:r>
      <w:r>
        <w:rPr>
          <w:lang w:val="fr-CH"/>
        </w:rPr>
        <w:t xml:space="preserve">à la fois </w:t>
      </w:r>
      <w:r w:rsidRPr="004D1484">
        <w:rPr>
          <w:lang w:val="fr-CH"/>
        </w:rPr>
        <w:t xml:space="preserve">avec le dossier </w:t>
      </w:r>
      <w:r>
        <w:rPr>
          <w:lang w:val="fr-CH"/>
        </w:rPr>
        <w:t xml:space="preserve">du siège </w:t>
      </w:r>
      <w:r w:rsidRPr="004D1484">
        <w:rPr>
          <w:lang w:val="fr-CH"/>
        </w:rPr>
        <w:t xml:space="preserve">et </w:t>
      </w:r>
      <w:r>
        <w:rPr>
          <w:lang w:val="fr-CH"/>
        </w:rPr>
        <w:t>ses propres</w:t>
      </w:r>
      <w:r w:rsidRPr="004D1484">
        <w:rPr>
          <w:lang w:val="fr-CH"/>
        </w:rPr>
        <w:t xml:space="preserve"> flancs.</w:t>
      </w:r>
    </w:p>
    <w:p w:rsidR="00467EB7" w:rsidRPr="004D1484" w:rsidRDefault="00467EB7" w:rsidP="00467EB7">
      <w:pPr>
        <w:pStyle w:val="SingleTxt"/>
        <w:rPr>
          <w:lang w:val="fr-CH"/>
        </w:rPr>
      </w:pPr>
      <w:r w:rsidRPr="004D1484">
        <w:rPr>
          <w:lang w:val="fr-CH"/>
        </w:rPr>
        <w:t>3.3</w:t>
      </w:r>
      <w:r w:rsidRPr="004D1484">
        <w:rPr>
          <w:lang w:val="fr-CH"/>
        </w:rPr>
        <w:tab/>
      </w:r>
      <w:r>
        <w:rPr>
          <w:lang w:val="fr-CH"/>
        </w:rPr>
        <w:tab/>
      </w:r>
      <w:r w:rsidRPr="004D1484">
        <w:rPr>
          <w:lang w:val="fr-CH"/>
        </w:rPr>
        <w:t>Mains</w:t>
      </w:r>
    </w:p>
    <w:p w:rsidR="00467EB7" w:rsidRPr="004D1484" w:rsidRDefault="00467EB7" w:rsidP="00467EB7">
      <w:pPr>
        <w:pStyle w:val="SingleTxt"/>
        <w:ind w:left="2218" w:hanging="951"/>
        <w:rPr>
          <w:lang w:val="fr-CH"/>
        </w:rPr>
      </w:pPr>
      <w:r w:rsidRPr="004D1484">
        <w:rPr>
          <w:lang w:val="fr-CH"/>
        </w:rPr>
        <w:t>3.3.1</w:t>
      </w:r>
      <w:r w:rsidRPr="004D1484">
        <w:rPr>
          <w:lang w:val="fr-CH"/>
        </w:rPr>
        <w:tab/>
      </w:r>
      <w:r>
        <w:rPr>
          <w:lang w:val="fr-CH"/>
        </w:rPr>
        <w:tab/>
      </w:r>
      <w:r w:rsidRPr="004D1484">
        <w:rPr>
          <w:lang w:val="fr-CH"/>
        </w:rPr>
        <w:t>Les paumes du mannequin occupant la place du passager doivent être en contact avec l’extérieur des cuisses. Le petit doigt doit toucher le coussin du siège.</w:t>
      </w:r>
    </w:p>
    <w:p w:rsidR="00467EB7" w:rsidRPr="004D1484" w:rsidRDefault="00467EB7" w:rsidP="00467EB7">
      <w:pPr>
        <w:pStyle w:val="SingleTxt"/>
        <w:rPr>
          <w:lang w:val="fr-CH"/>
        </w:rPr>
      </w:pPr>
      <w:r w:rsidRPr="004D1484">
        <w:rPr>
          <w:lang w:val="fr-CH"/>
        </w:rPr>
        <w:t>3.4</w:t>
      </w:r>
      <w:r w:rsidRPr="004D1484">
        <w:rPr>
          <w:lang w:val="fr-CH"/>
        </w:rPr>
        <w:tab/>
      </w:r>
      <w:r>
        <w:rPr>
          <w:lang w:val="fr-CH"/>
        </w:rPr>
        <w:tab/>
      </w:r>
      <w:r w:rsidRPr="004D1484">
        <w:rPr>
          <w:lang w:val="fr-CH"/>
        </w:rPr>
        <w:t>Torse</w:t>
      </w:r>
    </w:p>
    <w:p w:rsidR="00467EB7" w:rsidRPr="004D1484" w:rsidRDefault="00467EB7" w:rsidP="00467EB7">
      <w:pPr>
        <w:pStyle w:val="SingleTxt"/>
        <w:ind w:left="2218" w:hanging="951"/>
        <w:rPr>
          <w:lang w:val="fr-CH"/>
        </w:rPr>
      </w:pPr>
      <w:r w:rsidRPr="004D1484">
        <w:rPr>
          <w:lang w:val="fr-CH"/>
        </w:rPr>
        <w:t>3.4.1</w:t>
      </w:r>
      <w:r w:rsidRPr="004D1484">
        <w:rPr>
          <w:lang w:val="fr-CH"/>
        </w:rPr>
        <w:tab/>
      </w:r>
      <w:r>
        <w:rPr>
          <w:lang w:val="fr-CH"/>
        </w:rPr>
        <w:tab/>
      </w:r>
      <w:r w:rsidRPr="004D1484">
        <w:rPr>
          <w:lang w:val="fr-CH"/>
        </w:rPr>
        <w:t>Dans les véhicules équipés de banquettes, la partie supérieure du torse du mannequin occupant la place du passager doit</w:t>
      </w:r>
      <w:r>
        <w:rPr>
          <w:lang w:val="fr-CH"/>
        </w:rPr>
        <w:t xml:space="preserve"> être appuyée</w:t>
      </w:r>
      <w:r w:rsidRPr="004D1484">
        <w:rPr>
          <w:lang w:val="fr-CH"/>
        </w:rPr>
        <w:t xml:space="preserve"> contre le dossier. Le</w:t>
      </w:r>
      <w:r>
        <w:rPr>
          <w:lang w:val="fr-CH"/>
        </w:rPr>
        <w:t xml:space="preserve"> </w:t>
      </w:r>
      <w:r w:rsidRPr="004D1484">
        <w:rPr>
          <w:lang w:val="fr-CH"/>
        </w:rPr>
        <w:t>plan sagittal médian de ce mannequin doit être vertical et parallèle à l’axe médian longitudinal du véhicule et à la même distance de l’axe médian longitudinal du véhicule que le plan sagittal médian du mannequin occupant la place du conducteur.</w:t>
      </w:r>
    </w:p>
    <w:p w:rsidR="00467EB7" w:rsidRPr="004D1484" w:rsidRDefault="00467EB7" w:rsidP="00467EB7">
      <w:pPr>
        <w:pStyle w:val="SingleTxt"/>
        <w:ind w:left="2218" w:hanging="951"/>
        <w:rPr>
          <w:lang w:val="fr-CH"/>
        </w:rPr>
      </w:pPr>
      <w:r w:rsidRPr="004D1484">
        <w:rPr>
          <w:lang w:val="fr-CH"/>
        </w:rPr>
        <w:t>3.4.2</w:t>
      </w:r>
      <w:r w:rsidRPr="004D1484">
        <w:rPr>
          <w:lang w:val="fr-CH"/>
        </w:rPr>
        <w:tab/>
      </w:r>
      <w:r>
        <w:rPr>
          <w:lang w:val="fr-CH"/>
        </w:rPr>
        <w:tab/>
      </w:r>
      <w:r w:rsidRPr="004D1484">
        <w:rPr>
          <w:lang w:val="fr-CH"/>
        </w:rPr>
        <w:t xml:space="preserve">Dans les véhicules équipés de sièges individuels, la partie supérieure du torse du mannequin occupant la place du passager doit </w:t>
      </w:r>
      <w:r>
        <w:rPr>
          <w:lang w:val="fr-CH"/>
        </w:rPr>
        <w:t>être appuyée</w:t>
      </w:r>
      <w:r w:rsidRPr="004D1484">
        <w:rPr>
          <w:lang w:val="fr-CH"/>
        </w:rPr>
        <w:t xml:space="preserve"> contre le dossier du siège. Le plan sagittal médian de ce mannequin doit être vertical et coïncider avec l’axe médian longitudinal du siège individuel.</w:t>
      </w:r>
    </w:p>
    <w:p w:rsidR="00467EB7" w:rsidRPr="004D1484" w:rsidRDefault="00467EB7" w:rsidP="00467EB7">
      <w:pPr>
        <w:pStyle w:val="SingleTxt"/>
        <w:rPr>
          <w:lang w:val="fr-CH"/>
        </w:rPr>
      </w:pPr>
      <w:r w:rsidRPr="004D1484">
        <w:rPr>
          <w:lang w:val="fr-CH"/>
        </w:rPr>
        <w:t>3.4.3</w:t>
      </w:r>
      <w:r w:rsidRPr="004D1484">
        <w:rPr>
          <w:lang w:val="fr-CH"/>
        </w:rPr>
        <w:tab/>
      </w:r>
      <w:r>
        <w:rPr>
          <w:lang w:val="fr-CH"/>
        </w:rPr>
        <w:tab/>
      </w:r>
      <w:r w:rsidRPr="004D1484">
        <w:rPr>
          <w:lang w:val="fr-CH"/>
        </w:rPr>
        <w:t>Partie inférieure du torse</w:t>
      </w:r>
    </w:p>
    <w:p w:rsidR="00467EB7" w:rsidRPr="004D1484" w:rsidRDefault="00467EB7" w:rsidP="00467EB7">
      <w:pPr>
        <w:pStyle w:val="SingleTxt"/>
        <w:rPr>
          <w:lang w:val="fr-CH"/>
        </w:rPr>
      </w:pPr>
      <w:r w:rsidRPr="004D1484">
        <w:rPr>
          <w:lang w:val="fr-CH"/>
        </w:rPr>
        <w:t>3.4.3.1</w:t>
      </w:r>
      <w:r w:rsidRPr="004D1484">
        <w:rPr>
          <w:lang w:val="fr-CH"/>
        </w:rPr>
        <w:tab/>
        <w:t>Point H 5</w:t>
      </w:r>
      <w:r w:rsidRPr="004D1484">
        <w:rPr>
          <w:vertAlign w:val="superscript"/>
          <w:lang w:val="fr-CH"/>
        </w:rPr>
        <w:t>e</w:t>
      </w:r>
    </w:p>
    <w:p w:rsidR="00467EB7" w:rsidRPr="004D1484" w:rsidRDefault="00467EB7" w:rsidP="00467EB7">
      <w:pPr>
        <w:pStyle w:val="SingleTxt"/>
        <w:ind w:left="2218" w:hanging="951"/>
        <w:rPr>
          <w:lang w:val="fr-CH"/>
        </w:rPr>
      </w:pPr>
      <w:r w:rsidRPr="004D1484">
        <w:rPr>
          <w:lang w:val="fr-CH"/>
        </w:rPr>
        <w:tab/>
      </w:r>
      <w:r>
        <w:rPr>
          <w:lang w:val="fr-CH"/>
        </w:rPr>
        <w:tab/>
      </w:r>
      <w:r w:rsidRPr="004D1484">
        <w:rPr>
          <w:lang w:val="fr-CH"/>
        </w:rPr>
        <w:t>Le point H </w:t>
      </w:r>
      <w:r w:rsidRPr="00D15995">
        <w:rPr>
          <w:lang w:val="fr-CH"/>
        </w:rPr>
        <w:t>5</w:t>
      </w:r>
      <w:r w:rsidRPr="00D15995">
        <w:rPr>
          <w:vertAlign w:val="superscript"/>
          <w:lang w:val="fr-CH"/>
        </w:rPr>
        <w:t>e</w:t>
      </w:r>
      <w:r w:rsidRPr="00D15995">
        <w:rPr>
          <w:lang w:val="fr-CH"/>
        </w:rPr>
        <w:t xml:space="preserve"> </w:t>
      </w:r>
      <w:r w:rsidRPr="004D1484">
        <w:rPr>
          <w:lang w:val="fr-CH"/>
        </w:rPr>
        <w:t>du mannequin occupant la place du passager doit coïncider, avec une tolérance de 13 mm dans le sens horizontal, avec la position du point H </w:t>
      </w:r>
      <w:r w:rsidRPr="00D15995">
        <w:rPr>
          <w:lang w:val="fr-CH"/>
        </w:rPr>
        <w:t>5</w:t>
      </w:r>
      <w:r w:rsidRPr="00D15995">
        <w:rPr>
          <w:vertAlign w:val="superscript"/>
          <w:lang w:val="fr-CH"/>
        </w:rPr>
        <w:t>e</w:t>
      </w:r>
      <w:r w:rsidRPr="004D1484">
        <w:rPr>
          <w:lang w:val="fr-CH"/>
        </w:rPr>
        <w:t xml:space="preserve"> déterminée selon la procédure énoncée à l’annexe 6 </w:t>
      </w:r>
      <w:r w:rsidRPr="00D15995">
        <w:rPr>
          <w:lang w:val="fr-CH"/>
        </w:rPr>
        <w:t>et au paragraphe</w:t>
      </w:r>
      <w:r>
        <w:rPr>
          <w:lang w:val="fr-CH"/>
        </w:rPr>
        <w:t> 3 ci-</w:t>
      </w:r>
      <w:r w:rsidRPr="00D15995">
        <w:rPr>
          <w:lang w:val="fr-CH"/>
        </w:rPr>
        <w:t>dessus</w:t>
      </w:r>
      <w:r w:rsidRPr="004D1484">
        <w:rPr>
          <w:lang w:val="fr-CH"/>
        </w:rPr>
        <w:t>.</w:t>
      </w:r>
    </w:p>
    <w:p w:rsidR="00467EB7" w:rsidRPr="004D1484" w:rsidRDefault="00467EB7" w:rsidP="00467EB7">
      <w:pPr>
        <w:pStyle w:val="SingleTxt"/>
        <w:rPr>
          <w:lang w:val="fr-CH"/>
        </w:rPr>
      </w:pPr>
      <w:r w:rsidRPr="004D1484">
        <w:rPr>
          <w:lang w:val="fr-CH"/>
        </w:rPr>
        <w:t>3.4.3.2</w:t>
      </w:r>
      <w:r w:rsidRPr="004D1484">
        <w:rPr>
          <w:lang w:val="fr-CH"/>
        </w:rPr>
        <w:tab/>
        <w:t>Angle pelvien</w:t>
      </w:r>
    </w:p>
    <w:p w:rsidR="00467EB7" w:rsidRPr="004D1484" w:rsidRDefault="00467EB7" w:rsidP="00467EB7">
      <w:pPr>
        <w:pStyle w:val="SingleTxt"/>
        <w:ind w:left="2218" w:hanging="951"/>
        <w:rPr>
          <w:lang w:val="fr-CH"/>
        </w:rPr>
      </w:pPr>
      <w:r w:rsidRPr="004D1484">
        <w:rPr>
          <w:lang w:val="fr-CH"/>
        </w:rPr>
        <w:tab/>
      </w:r>
      <w:r>
        <w:rPr>
          <w:lang w:val="fr-CH"/>
        </w:rPr>
        <w:tab/>
      </w:r>
      <w:r w:rsidRPr="004D1484">
        <w:rPr>
          <w:lang w:val="fr-CH"/>
        </w:rPr>
        <w:t>Déterminé à l’aide du dessin 78051-532 de la cale étalon d’angle pelvien introduit à titre de référence dans la pièce 572, qui est insérée dans le trou de positionnement du point H du mannequin, cet angle mesuré sur la surface plate de 76,2 mm (3 pouces) de la cale étalon par rapport à l’horizontale doit être de</w:t>
      </w:r>
      <w:r w:rsidRPr="000C1B5D">
        <w:rPr>
          <w:lang w:val="fr-CH"/>
        </w:rPr>
        <w:t xml:space="preserve"> 20</w:t>
      </w:r>
      <w:r w:rsidR="00EF25ED">
        <w:rPr>
          <w:lang w:val="fr-CH"/>
        </w:rPr>
        <w:t> </w:t>
      </w:r>
      <w:r w:rsidRPr="004D1484">
        <w:rPr>
          <w:lang w:val="fr-CH"/>
        </w:rPr>
        <w:t>±2,5 degrés.</w:t>
      </w:r>
    </w:p>
    <w:p w:rsidR="00467EB7" w:rsidRPr="004D1484" w:rsidRDefault="00467EB7" w:rsidP="00467EB7">
      <w:pPr>
        <w:pStyle w:val="SingleTxt"/>
        <w:rPr>
          <w:lang w:val="fr-CH"/>
        </w:rPr>
      </w:pPr>
      <w:r w:rsidRPr="004D1484">
        <w:rPr>
          <w:lang w:val="fr-CH"/>
        </w:rPr>
        <w:t>3.5</w:t>
      </w:r>
      <w:r w:rsidRPr="004D1484">
        <w:rPr>
          <w:lang w:val="fr-CH"/>
        </w:rPr>
        <w:tab/>
      </w:r>
      <w:r>
        <w:rPr>
          <w:lang w:val="fr-CH"/>
        </w:rPr>
        <w:tab/>
      </w:r>
      <w:r w:rsidRPr="004D1484">
        <w:rPr>
          <w:lang w:val="fr-CH"/>
        </w:rPr>
        <w:t>Jambes</w:t>
      </w:r>
    </w:p>
    <w:p w:rsidR="00467EB7" w:rsidRDefault="00467EB7" w:rsidP="00467EB7">
      <w:pPr>
        <w:pStyle w:val="SingleTxt"/>
        <w:ind w:left="2218" w:hanging="951"/>
        <w:rPr>
          <w:lang w:val="fr-CH"/>
        </w:rPr>
      </w:pPr>
      <w:r w:rsidRPr="004D1484">
        <w:rPr>
          <w:lang w:val="fr-CH"/>
        </w:rPr>
        <w:tab/>
      </w:r>
      <w:r>
        <w:rPr>
          <w:lang w:val="fr-CH"/>
        </w:rPr>
        <w:tab/>
      </w:r>
      <w:r w:rsidRPr="004D1484">
        <w:rPr>
          <w:lang w:val="fr-CH"/>
        </w:rPr>
        <w:t xml:space="preserve">La partie supérieure des jambes du mannequin occupant la place du passager doit reposer sur le coussin des sièges dans la mesure où le positionnement des pieds le permet. La distance initiale entre les surfaces extérieures des points d’attache des genoux doit être de </w:t>
      </w:r>
      <w:r w:rsidRPr="00164026">
        <w:rPr>
          <w:lang w:val="fr-CH"/>
        </w:rPr>
        <w:t>229 ± 5 mm (voir fig. 2). Dans la mesure du possible, les deux jamb</w:t>
      </w:r>
      <w:r w:rsidRPr="004D1484">
        <w:rPr>
          <w:lang w:val="fr-CH"/>
        </w:rPr>
        <w:t>es du mannequin occupant la place du passager doivent être dans des plans longitudinaux verticaux. Un réglage final pour placer les pieds dans la position prévue au paragraphe 3.6 pour les diverses configurations d’habitacle est autorisé.</w:t>
      </w:r>
    </w:p>
    <w:p w:rsidR="00467EB7" w:rsidRDefault="00467EB7" w:rsidP="00467EB7">
      <w:pPr>
        <w:pStyle w:val="SingleTxt"/>
        <w:spacing w:after="0" w:line="120" w:lineRule="exact"/>
        <w:ind w:left="2218" w:hanging="951"/>
        <w:rPr>
          <w:sz w:val="10"/>
          <w:lang w:val="fr-CH"/>
        </w:rPr>
      </w:pPr>
    </w:p>
    <w:p w:rsidR="00467EB7" w:rsidRDefault="00467EB7" w:rsidP="002148A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06353F">
        <w:rPr>
          <w:b w:val="0"/>
          <w:lang w:val="fr-CH"/>
        </w:rPr>
        <w:lastRenderedPageBreak/>
        <w:tab/>
      </w:r>
      <w:r w:rsidRPr="0006353F">
        <w:rPr>
          <w:b w:val="0"/>
          <w:lang w:val="fr-CH"/>
        </w:rPr>
        <w:tab/>
        <w:t xml:space="preserve">Figure 2 </w:t>
      </w:r>
      <w:r w:rsidRPr="0006353F">
        <w:rPr>
          <w:b w:val="0"/>
          <w:lang w:val="fr-CH"/>
        </w:rPr>
        <w:br/>
      </w:r>
      <w:r w:rsidRPr="004D1484">
        <w:rPr>
          <w:lang w:val="fr-CH"/>
        </w:rPr>
        <w:t>Distance initiale du genou pour le mannequin du type Hybrid</w:t>
      </w:r>
      <w:r>
        <w:rPr>
          <w:lang w:val="fr-CH"/>
        </w:rPr>
        <w:t> </w:t>
      </w:r>
      <w:r w:rsidRPr="004D1484">
        <w:rPr>
          <w:lang w:val="fr-CH"/>
        </w:rPr>
        <w:t xml:space="preserve">III </w:t>
      </w:r>
      <w:r w:rsidR="002148A6">
        <w:rPr>
          <w:lang w:val="fr-CH"/>
        </w:rPr>
        <w:br/>
      </w:r>
      <w:r w:rsidRPr="004D1484">
        <w:rPr>
          <w:lang w:val="fr-CH"/>
        </w:rPr>
        <w:t>femme du</w:t>
      </w:r>
      <w:r w:rsidR="002148A6">
        <w:rPr>
          <w:lang w:val="fr-CH"/>
        </w:rPr>
        <w:t xml:space="preserve"> </w:t>
      </w:r>
      <w:r w:rsidRPr="004D1484">
        <w:rPr>
          <w:lang w:val="fr-CH"/>
        </w:rPr>
        <w:t>cinquième centile</w:t>
      </w:r>
    </w:p>
    <w:p w:rsidR="00467EB7" w:rsidRPr="0006353F" w:rsidRDefault="00467EB7" w:rsidP="002148A6">
      <w:pPr>
        <w:pStyle w:val="SingleTxt"/>
        <w:keepNext/>
        <w:keepLines/>
        <w:spacing w:after="0" w:line="120" w:lineRule="exact"/>
        <w:rPr>
          <w:sz w:val="10"/>
          <w:lang w:val="fr-CH"/>
        </w:rPr>
      </w:pPr>
    </w:p>
    <w:p w:rsidR="00467EB7" w:rsidRPr="0006353F" w:rsidRDefault="00467EB7" w:rsidP="002148A6">
      <w:pPr>
        <w:pStyle w:val="SingleTxt"/>
        <w:keepNext/>
        <w:keepLines/>
        <w:spacing w:after="0" w:line="120" w:lineRule="exact"/>
        <w:rPr>
          <w:sz w:val="10"/>
          <w:lang w:val="fr-CH"/>
        </w:rPr>
      </w:pPr>
    </w:p>
    <w:p w:rsidR="00467EB7" w:rsidRDefault="00467EB7" w:rsidP="002148A6">
      <w:pPr>
        <w:pStyle w:val="SingleTxt"/>
        <w:keepNext/>
        <w:keepLines/>
        <w:spacing w:line="240" w:lineRule="auto"/>
        <w:rPr>
          <w:lang w:val="fr-CH"/>
        </w:rPr>
      </w:pPr>
      <w:r w:rsidRPr="003F191D">
        <w:rPr>
          <w:noProof/>
          <w:lang w:val="en-GB" w:eastAsia="en-GB"/>
        </w:rPr>
        <w:drawing>
          <wp:inline distT="0" distB="0" distL="0" distR="0" wp14:anchorId="16FCFDC6" wp14:editId="02A04483">
            <wp:extent cx="3200400" cy="2145600"/>
            <wp:effectExtent l="0" t="0" r="0" b="762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2145600"/>
                    </a:xfrm>
                    <a:prstGeom prst="rect">
                      <a:avLst/>
                    </a:prstGeom>
                    <a:noFill/>
                    <a:ln>
                      <a:noFill/>
                    </a:ln>
                  </pic:spPr>
                </pic:pic>
              </a:graphicData>
            </a:graphic>
          </wp:inline>
        </w:drawing>
      </w:r>
    </w:p>
    <w:p w:rsidR="00095EE6" w:rsidRPr="00095EE6" w:rsidRDefault="00095EE6" w:rsidP="00693FF1">
      <w:pPr>
        <w:pStyle w:val="SingleTxt"/>
        <w:keepNext/>
        <w:keepLines/>
        <w:spacing w:after="0" w:line="100" w:lineRule="exact"/>
        <w:rPr>
          <w:sz w:val="10"/>
          <w:lang w:val="fr-CH"/>
        </w:rPr>
      </w:pPr>
    </w:p>
    <w:p w:rsidR="00095EE6" w:rsidRPr="00095EE6" w:rsidRDefault="00095EE6" w:rsidP="00693FF1">
      <w:pPr>
        <w:pStyle w:val="SingleTxt"/>
        <w:keepNext/>
        <w:keepLines/>
        <w:spacing w:after="0" w:line="100" w:lineRule="exact"/>
        <w:rPr>
          <w:sz w:val="10"/>
          <w:lang w:val="fr-CH"/>
        </w:rPr>
      </w:pPr>
    </w:p>
    <w:p w:rsidR="00467EB7" w:rsidRPr="003F191D" w:rsidRDefault="00467EB7" w:rsidP="002148A6">
      <w:pPr>
        <w:pStyle w:val="SingleTxt"/>
        <w:keepNext/>
        <w:keepLines/>
        <w:rPr>
          <w:lang w:val="fr-CH"/>
        </w:rPr>
      </w:pPr>
      <w:r w:rsidRPr="003F191D">
        <w:rPr>
          <w:lang w:val="fr-CH"/>
        </w:rPr>
        <w:t>3.6</w:t>
      </w:r>
      <w:r w:rsidRPr="003F191D">
        <w:rPr>
          <w:lang w:val="fr-CH"/>
        </w:rPr>
        <w:tab/>
      </w:r>
      <w:r>
        <w:rPr>
          <w:lang w:val="fr-CH"/>
        </w:rPr>
        <w:tab/>
      </w:r>
      <w:r w:rsidRPr="003F191D">
        <w:rPr>
          <w:lang w:val="fr-CH"/>
        </w:rPr>
        <w:t>Pieds</w:t>
      </w:r>
    </w:p>
    <w:p w:rsidR="00467EB7" w:rsidRPr="00044B1D" w:rsidRDefault="00467EB7" w:rsidP="00467EB7">
      <w:pPr>
        <w:pStyle w:val="SingleTxt"/>
        <w:ind w:left="2218" w:hanging="951"/>
        <w:rPr>
          <w:lang w:val="fr-CH"/>
        </w:rPr>
      </w:pPr>
      <w:r w:rsidRPr="003F191D">
        <w:rPr>
          <w:lang w:val="fr-CH"/>
        </w:rPr>
        <w:t>3.6.1</w:t>
      </w:r>
      <w:r w:rsidRPr="003F191D">
        <w:rPr>
          <w:lang w:val="fr-CH"/>
        </w:rPr>
        <w:tab/>
      </w:r>
      <w:r>
        <w:rPr>
          <w:lang w:val="fr-CH"/>
        </w:rPr>
        <w:tab/>
      </w:r>
      <w:r w:rsidRPr="00044B1D">
        <w:rPr>
          <w:lang w:val="fr-CH"/>
        </w:rPr>
        <w:t>Les jambes doivent être placées aussi loin que possible de l’avant du coussin du siège, tandis que les cuisses sont maintenues en contact avec le coussin, comme le montre la figure a). Comme le montre la figure b), chaque jambe est abaissée jusqu’à ce que le pied entre en contact avec le plancher, tandis que le pied et le tibia sont maintenus à angle droit l’un par rapport à l’autre et que l’angle d’inclinaison de la cuisse ne change pas. Lorsque chaque talon est en contact avec le plancher, le pied doit être soumis à une rotation telle que les orteils entrent autant que possible en contact avec le plancher, comme le montre la figure c).</w:t>
      </w:r>
    </w:p>
    <w:p w:rsidR="00467EB7" w:rsidRPr="00044B1D" w:rsidRDefault="00467EB7" w:rsidP="00467EB7">
      <w:pPr>
        <w:pStyle w:val="SingleTxt"/>
        <w:ind w:left="2218" w:hanging="951"/>
        <w:rPr>
          <w:lang w:val="fr-CH"/>
        </w:rPr>
      </w:pPr>
      <w:r w:rsidRPr="00044B1D">
        <w:rPr>
          <w:lang w:val="fr-CH"/>
        </w:rPr>
        <w:tab/>
      </w:r>
      <w:r w:rsidRPr="00044B1D">
        <w:rPr>
          <w:lang w:val="fr-CH"/>
        </w:rPr>
        <w:tab/>
        <w:t>S’il n’est pas possible de mettre chaque pied en contact avec le plancher, le pied doit être abaissé jusqu’à ce que le mollet entre en contact avec l’avant du coussin ou que l’arrière du pied entre en contact avec l’intérieur du véhicule. Le pied doit être maintenu autant que possible parallèle au plancher, comme on le voit sur la figure d).</w:t>
      </w:r>
    </w:p>
    <w:p w:rsidR="00467EB7" w:rsidRDefault="00467EB7" w:rsidP="00467EB7">
      <w:pPr>
        <w:pStyle w:val="SingleTxt"/>
        <w:ind w:left="2218" w:hanging="951"/>
        <w:rPr>
          <w:lang w:val="fr-CH"/>
        </w:rPr>
      </w:pPr>
      <w:r w:rsidRPr="00044B1D">
        <w:rPr>
          <w:lang w:val="fr-CH"/>
        </w:rPr>
        <w:tab/>
      </w:r>
      <w:r w:rsidRPr="00044B1D">
        <w:rPr>
          <w:lang w:val="fr-CH"/>
        </w:rPr>
        <w:tab/>
        <w:t xml:space="preserve">Dans le cas où un élément du véhicule fait obstacle, il convient de faire </w:t>
      </w:r>
      <w:r>
        <w:rPr>
          <w:lang w:val="fr-CH"/>
        </w:rPr>
        <w:t>pivoter</w:t>
      </w:r>
      <w:r w:rsidRPr="00044B1D">
        <w:rPr>
          <w:lang w:val="fr-CH"/>
        </w:rPr>
        <w:t xml:space="preserve"> le pied au minimum autour du tibia. Si l’obstacle est toujours présent, on fait </w:t>
      </w:r>
      <w:r>
        <w:rPr>
          <w:lang w:val="fr-CH"/>
        </w:rPr>
        <w:t>pivoter</w:t>
      </w:r>
      <w:r w:rsidRPr="00044B1D">
        <w:rPr>
          <w:lang w:val="fr-CH"/>
        </w:rPr>
        <w:t xml:space="preserve"> le fémur afin de l’éviter ou d</w:t>
      </w:r>
      <w:r>
        <w:rPr>
          <w:lang w:val="fr-CH"/>
        </w:rPr>
        <w:t>’atténuer le problème</w:t>
      </w:r>
      <w:r w:rsidRPr="00044B1D">
        <w:rPr>
          <w:lang w:val="fr-CH"/>
        </w:rPr>
        <w:t>. Le</w:t>
      </w:r>
      <w:r>
        <w:rPr>
          <w:lang w:val="fr-CH"/>
        </w:rPr>
        <w:t xml:space="preserve"> </w:t>
      </w:r>
      <w:r w:rsidRPr="00044B1D">
        <w:rPr>
          <w:lang w:val="fr-CH"/>
        </w:rPr>
        <w:t>pied doit être déplacé vers l’intérieur ou l’extérieur tandis que la distance qui sépare les genoux reste la même.</w:t>
      </w:r>
    </w:p>
    <w:p w:rsidR="00467EB7" w:rsidRPr="006F3585" w:rsidRDefault="00467EB7" w:rsidP="00693FF1">
      <w:pPr>
        <w:pStyle w:val="SingleTxt"/>
        <w:spacing w:after="0" w:line="100" w:lineRule="exact"/>
        <w:ind w:left="2217" w:hanging="950"/>
        <w:rPr>
          <w:sz w:val="10"/>
          <w:lang w:val="fr-CH"/>
        </w:rPr>
      </w:pPr>
    </w:p>
    <w:p w:rsidR="00467EB7" w:rsidRPr="006F3585" w:rsidRDefault="00467EB7" w:rsidP="00693FF1">
      <w:pPr>
        <w:pStyle w:val="SingleTxt"/>
        <w:spacing w:after="0" w:line="100" w:lineRule="exact"/>
        <w:ind w:left="2217" w:hanging="950"/>
        <w:rPr>
          <w:sz w:val="10"/>
          <w:lang w:val="fr-CH"/>
        </w:rPr>
      </w:pPr>
    </w:p>
    <w:p w:rsidR="00467EB7" w:rsidRPr="00CC7761" w:rsidRDefault="00467EB7" w:rsidP="00467EB7">
      <w:pPr>
        <w:suppressAutoHyphens/>
        <w:kinsoku w:val="0"/>
        <w:overflowPunct w:val="0"/>
        <w:autoSpaceDE w:val="0"/>
        <w:autoSpaceDN w:val="0"/>
        <w:adjustRightInd w:val="0"/>
        <w:snapToGrid w:val="0"/>
        <w:spacing w:line="240" w:lineRule="atLeast"/>
        <w:ind w:left="2268"/>
        <w:rPr>
          <w:rFonts w:eastAsia="MS Mincho"/>
          <w:spacing w:val="0"/>
          <w:w w:val="100"/>
          <w:kern w:val="0"/>
          <w:szCs w:val="20"/>
          <w:lang w:val="en-US" w:eastAsia="ja-JP"/>
        </w:rPr>
      </w:pPr>
      <w:r w:rsidRPr="006F3585">
        <w:rPr>
          <w:rFonts w:eastAsia="MS Mincho"/>
          <w:noProof/>
          <w:spacing w:val="0"/>
          <w:w w:val="100"/>
          <w:kern w:val="0"/>
          <w:szCs w:val="20"/>
          <w:lang w:val="en-GB" w:eastAsia="en-GB"/>
        </w:rPr>
        <w:drawing>
          <wp:inline distT="0" distB="0" distL="0" distR="0" wp14:anchorId="5F90A805" wp14:editId="4B8AA2B4">
            <wp:extent cx="1847850" cy="16573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r w:rsidRPr="00CC7761">
        <w:rPr>
          <w:rFonts w:eastAsia="MS Mincho"/>
          <w:spacing w:val="0"/>
          <w:w w:val="100"/>
          <w:kern w:val="0"/>
          <w:szCs w:val="20"/>
          <w:lang w:val="en-US" w:eastAsia="ja-JP"/>
        </w:rPr>
        <w:t xml:space="preserve"> </w:t>
      </w:r>
      <w:r w:rsidRPr="006F3585">
        <w:rPr>
          <w:rFonts w:eastAsia="MS Mincho"/>
          <w:noProof/>
          <w:spacing w:val="0"/>
          <w:w w:val="100"/>
          <w:kern w:val="0"/>
          <w:szCs w:val="20"/>
          <w:lang w:val="en-GB" w:eastAsia="en-GB"/>
        </w:rPr>
        <w:drawing>
          <wp:inline distT="0" distB="0" distL="0" distR="0" wp14:anchorId="2090B9E5" wp14:editId="6B384C3F">
            <wp:extent cx="1857375" cy="1571625"/>
            <wp:effectExtent l="0" t="0" r="9525" b="9525"/>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7375" cy="1571625"/>
                    </a:xfrm>
                    <a:prstGeom prst="rect">
                      <a:avLst/>
                    </a:prstGeom>
                    <a:noFill/>
                    <a:ln>
                      <a:noFill/>
                    </a:ln>
                  </pic:spPr>
                </pic:pic>
              </a:graphicData>
            </a:graphic>
          </wp:inline>
        </w:drawing>
      </w:r>
    </w:p>
    <w:p w:rsidR="00467EB7" w:rsidRPr="00CC7761" w:rsidRDefault="00467EB7" w:rsidP="00467EB7">
      <w:pPr>
        <w:tabs>
          <w:tab w:val="left" w:pos="6521"/>
        </w:tabs>
        <w:suppressAutoHyphens/>
        <w:kinsoku w:val="0"/>
        <w:overflowPunct w:val="0"/>
        <w:autoSpaceDE w:val="0"/>
        <w:autoSpaceDN w:val="0"/>
        <w:adjustRightInd w:val="0"/>
        <w:snapToGrid w:val="0"/>
        <w:spacing w:before="120" w:after="240" w:line="240" w:lineRule="atLeast"/>
        <w:ind w:left="2835" w:right="1134"/>
        <w:jc w:val="both"/>
        <w:rPr>
          <w:rFonts w:eastAsia="MS Mincho"/>
          <w:b/>
          <w:spacing w:val="0"/>
          <w:w w:val="100"/>
          <w:kern w:val="0"/>
          <w:szCs w:val="20"/>
          <w:lang w:val="en-US" w:eastAsia="ja-JP"/>
        </w:rPr>
      </w:pPr>
      <w:r w:rsidRPr="00CC7761">
        <w:rPr>
          <w:rFonts w:eastAsia="MS Mincho"/>
          <w:b/>
          <w:spacing w:val="0"/>
          <w:w w:val="100"/>
          <w:kern w:val="0"/>
          <w:szCs w:val="20"/>
          <w:lang w:val="en-US" w:eastAsia="ja-JP"/>
        </w:rPr>
        <w:t>Fig. a)</w:t>
      </w:r>
      <w:r w:rsidRPr="00CC7761">
        <w:rPr>
          <w:rFonts w:eastAsia="MS Mincho"/>
          <w:b/>
          <w:spacing w:val="0"/>
          <w:w w:val="100"/>
          <w:kern w:val="0"/>
          <w:szCs w:val="20"/>
          <w:lang w:val="en-US" w:eastAsia="ja-JP"/>
        </w:rPr>
        <w:tab/>
        <w:t>Fig. b)</w:t>
      </w:r>
    </w:p>
    <w:p w:rsidR="00904A61" w:rsidRPr="00CC7761" w:rsidRDefault="00904A61" w:rsidP="00904A61">
      <w:pPr>
        <w:suppressAutoHyphens/>
        <w:kinsoku w:val="0"/>
        <w:overflowPunct w:val="0"/>
        <w:autoSpaceDE w:val="0"/>
        <w:autoSpaceDN w:val="0"/>
        <w:adjustRightInd w:val="0"/>
        <w:snapToGrid w:val="0"/>
        <w:spacing w:line="120" w:lineRule="exact"/>
        <w:ind w:left="2268"/>
        <w:rPr>
          <w:rFonts w:eastAsia="MS Mincho"/>
          <w:spacing w:val="0"/>
          <w:w w:val="100"/>
          <w:kern w:val="0"/>
          <w:sz w:val="10"/>
          <w:szCs w:val="20"/>
          <w:lang w:val="en-US" w:eastAsia="ja-JP"/>
        </w:rPr>
      </w:pPr>
    </w:p>
    <w:p w:rsidR="00467EB7" w:rsidRPr="00CC7761" w:rsidRDefault="00467EB7" w:rsidP="00467EB7">
      <w:pPr>
        <w:suppressAutoHyphens/>
        <w:kinsoku w:val="0"/>
        <w:overflowPunct w:val="0"/>
        <w:autoSpaceDE w:val="0"/>
        <w:autoSpaceDN w:val="0"/>
        <w:adjustRightInd w:val="0"/>
        <w:snapToGrid w:val="0"/>
        <w:spacing w:line="240" w:lineRule="atLeast"/>
        <w:ind w:left="2268"/>
        <w:rPr>
          <w:rFonts w:eastAsia="MS Mincho"/>
          <w:spacing w:val="0"/>
          <w:w w:val="100"/>
          <w:kern w:val="0"/>
          <w:szCs w:val="20"/>
          <w:lang w:val="en-US" w:eastAsia="ja-JP"/>
        </w:rPr>
      </w:pPr>
      <w:r w:rsidRPr="006F3585">
        <w:rPr>
          <w:rFonts w:eastAsia="MS Mincho"/>
          <w:noProof/>
          <w:spacing w:val="0"/>
          <w:w w:val="100"/>
          <w:kern w:val="0"/>
          <w:szCs w:val="20"/>
          <w:lang w:val="en-GB" w:eastAsia="en-GB"/>
        </w:rPr>
        <w:drawing>
          <wp:inline distT="0" distB="0" distL="0" distR="0" wp14:anchorId="69D206B8" wp14:editId="3958A805">
            <wp:extent cx="1990534" cy="1709530"/>
            <wp:effectExtent l="0" t="0" r="0" b="508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0725" cy="1709694"/>
                    </a:xfrm>
                    <a:prstGeom prst="rect">
                      <a:avLst/>
                    </a:prstGeom>
                    <a:noFill/>
                    <a:ln>
                      <a:noFill/>
                    </a:ln>
                  </pic:spPr>
                </pic:pic>
              </a:graphicData>
            </a:graphic>
          </wp:inline>
        </w:drawing>
      </w:r>
      <w:r w:rsidRPr="00CC7761">
        <w:rPr>
          <w:rFonts w:eastAsia="MS Mincho"/>
          <w:spacing w:val="0"/>
          <w:w w:val="100"/>
          <w:kern w:val="0"/>
          <w:szCs w:val="20"/>
          <w:lang w:val="en-US" w:eastAsia="ja-JP"/>
        </w:rPr>
        <w:t xml:space="preserve"> </w:t>
      </w:r>
      <w:r w:rsidRPr="006F3585">
        <w:rPr>
          <w:rFonts w:eastAsia="MS Mincho"/>
          <w:noProof/>
          <w:spacing w:val="0"/>
          <w:w w:val="100"/>
          <w:kern w:val="0"/>
          <w:szCs w:val="20"/>
          <w:lang w:val="en-GB" w:eastAsia="en-GB"/>
        </w:rPr>
        <w:drawing>
          <wp:inline distT="0" distB="0" distL="0" distR="0" wp14:anchorId="1932A63B" wp14:editId="471FD3D0">
            <wp:extent cx="1809750" cy="1638300"/>
            <wp:effectExtent l="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0" cy="1638300"/>
                    </a:xfrm>
                    <a:prstGeom prst="rect">
                      <a:avLst/>
                    </a:prstGeom>
                    <a:noFill/>
                    <a:ln>
                      <a:noFill/>
                    </a:ln>
                  </pic:spPr>
                </pic:pic>
              </a:graphicData>
            </a:graphic>
          </wp:inline>
        </w:drawing>
      </w:r>
    </w:p>
    <w:p w:rsidR="00467EB7" w:rsidRPr="00CC7761" w:rsidRDefault="00467EB7" w:rsidP="00467EB7">
      <w:pPr>
        <w:tabs>
          <w:tab w:val="left" w:pos="6521"/>
        </w:tabs>
        <w:suppressAutoHyphens/>
        <w:kinsoku w:val="0"/>
        <w:overflowPunct w:val="0"/>
        <w:autoSpaceDE w:val="0"/>
        <w:autoSpaceDN w:val="0"/>
        <w:adjustRightInd w:val="0"/>
        <w:snapToGrid w:val="0"/>
        <w:spacing w:before="120" w:after="240" w:line="240" w:lineRule="atLeast"/>
        <w:ind w:left="2835" w:right="1134"/>
        <w:jc w:val="both"/>
        <w:rPr>
          <w:rFonts w:eastAsia="MS Mincho"/>
          <w:b/>
          <w:spacing w:val="0"/>
          <w:w w:val="100"/>
          <w:kern w:val="0"/>
          <w:szCs w:val="20"/>
          <w:lang w:val="en-US" w:eastAsia="ja-JP"/>
        </w:rPr>
      </w:pPr>
      <w:r w:rsidRPr="00CC7761">
        <w:rPr>
          <w:rFonts w:eastAsia="MS Mincho"/>
          <w:b/>
          <w:spacing w:val="0"/>
          <w:w w:val="100"/>
          <w:kern w:val="0"/>
          <w:szCs w:val="20"/>
          <w:lang w:val="en-US" w:eastAsia="ja-JP"/>
        </w:rPr>
        <w:t>Fig. c)</w:t>
      </w:r>
      <w:r w:rsidRPr="00CC7761">
        <w:rPr>
          <w:rFonts w:eastAsia="MS Mincho"/>
          <w:b/>
          <w:spacing w:val="0"/>
          <w:w w:val="100"/>
          <w:kern w:val="0"/>
          <w:szCs w:val="20"/>
          <w:lang w:val="en-US" w:eastAsia="ja-JP"/>
        </w:rPr>
        <w:tab/>
        <w:t>Fig. d)</w:t>
      </w:r>
    </w:p>
    <w:p w:rsidR="00467EB7" w:rsidRPr="00CC7761" w:rsidRDefault="00467EB7" w:rsidP="00467EB7">
      <w:pPr>
        <w:pStyle w:val="SingleTxt"/>
        <w:spacing w:after="0" w:line="120" w:lineRule="exact"/>
        <w:ind w:left="2217" w:hanging="950"/>
        <w:rPr>
          <w:sz w:val="10"/>
          <w:lang w:val="en-US"/>
        </w:rPr>
      </w:pPr>
    </w:p>
    <w:p w:rsidR="00467EB7" w:rsidRPr="00CC7761" w:rsidRDefault="00467EB7" w:rsidP="00467EB7">
      <w:pPr>
        <w:pStyle w:val="SingleTxt"/>
        <w:spacing w:after="0" w:line="120" w:lineRule="exact"/>
        <w:ind w:left="2217" w:hanging="950"/>
        <w:rPr>
          <w:sz w:val="10"/>
          <w:lang w:val="en-US"/>
        </w:rPr>
      </w:pPr>
    </w:p>
    <w:p w:rsidR="00467EB7" w:rsidRPr="006F3585" w:rsidRDefault="00467EB7" w:rsidP="00467EB7">
      <w:pPr>
        <w:pStyle w:val="SingleTxt"/>
        <w:ind w:left="2218" w:hanging="951"/>
        <w:rPr>
          <w:lang w:val="fr-CH"/>
        </w:rPr>
      </w:pPr>
      <w:r w:rsidRPr="006F3585">
        <w:rPr>
          <w:lang w:val="fr-CH"/>
        </w:rPr>
        <w:t>3.7</w:t>
      </w:r>
      <w:r w:rsidRPr="006F3585">
        <w:rPr>
          <w:lang w:val="fr-CH"/>
        </w:rPr>
        <w:tab/>
      </w:r>
      <w:r>
        <w:rPr>
          <w:lang w:val="fr-CH"/>
        </w:rPr>
        <w:tab/>
      </w:r>
      <w:r w:rsidRPr="006F3585">
        <w:rPr>
          <w:lang w:val="fr-CH"/>
        </w:rPr>
        <w:t>Les instruments de mesure mis en place ne doivent avoir aucune influence sur le mouvement du mannequin au moment de l’impact.</w:t>
      </w:r>
    </w:p>
    <w:p w:rsidR="00467EB7" w:rsidRPr="006F3585" w:rsidRDefault="00467EB7" w:rsidP="00467EB7">
      <w:pPr>
        <w:pStyle w:val="SingleTxt"/>
        <w:ind w:left="2218" w:hanging="951"/>
        <w:rPr>
          <w:lang w:val="fr-CH"/>
        </w:rPr>
      </w:pPr>
      <w:r w:rsidRPr="006F3585">
        <w:rPr>
          <w:lang w:val="fr-CH"/>
        </w:rPr>
        <w:t>3.8</w:t>
      </w:r>
      <w:r w:rsidRPr="006F3585">
        <w:rPr>
          <w:lang w:val="fr-CH"/>
        </w:rPr>
        <w:tab/>
      </w:r>
      <w:r>
        <w:rPr>
          <w:lang w:val="fr-CH"/>
        </w:rPr>
        <w:tab/>
      </w:r>
      <w:r w:rsidRPr="006F3585">
        <w:rPr>
          <w:lang w:val="fr-CH"/>
        </w:rPr>
        <w:t xml:space="preserve">La température des mannequins et </w:t>
      </w:r>
      <w:r w:rsidRPr="006F3585">
        <w:rPr>
          <w:lang w:val="fr-CH"/>
        </w:rPr>
        <w:fldChar w:fldCharType="begin"/>
      </w:r>
      <w:r w:rsidRPr="006F3585">
        <w:rPr>
          <w:lang w:val="fr-CH"/>
        </w:rPr>
        <w:instrText xml:space="preserve"> SEQ CHAPTER \h \r 1</w:instrText>
      </w:r>
      <w:r w:rsidRPr="006F3585">
        <w:rPr>
          <w:lang w:val="fr-CH"/>
        </w:rPr>
        <w:fldChar w:fldCharType="end"/>
      </w:r>
      <w:r w:rsidRPr="006F3585">
        <w:rPr>
          <w:lang w:val="fr-CH"/>
        </w:rPr>
        <w:t>des instruments de mesure est stabilisée avant l’essai et maintenue autant que possible entre 19 °C et 22,2 °C.</w:t>
      </w:r>
    </w:p>
    <w:p w:rsidR="00467EB7" w:rsidRPr="006F3585" w:rsidRDefault="00467EB7" w:rsidP="00467EB7">
      <w:pPr>
        <w:pStyle w:val="SingleTxt"/>
        <w:rPr>
          <w:u w:val="single"/>
          <w:lang w:val="fr-CH"/>
        </w:rPr>
      </w:pPr>
      <w:r w:rsidRPr="006F3585">
        <w:rPr>
          <w:lang w:val="fr-CH"/>
        </w:rPr>
        <w:fldChar w:fldCharType="begin"/>
      </w:r>
      <w:r w:rsidRPr="006F3585">
        <w:rPr>
          <w:lang w:val="fr-CH"/>
        </w:rPr>
        <w:instrText xml:space="preserve"> SEQ CHAPTER \h \r 1</w:instrText>
      </w:r>
      <w:r w:rsidRPr="006F3585">
        <w:rPr>
          <w:lang w:val="fr-CH"/>
        </w:rPr>
        <w:fldChar w:fldCharType="end"/>
      </w:r>
      <w:r w:rsidRPr="006F3585">
        <w:rPr>
          <w:lang w:val="fr-CH"/>
        </w:rPr>
        <w:t>3.9</w:t>
      </w:r>
      <w:r w:rsidRPr="006F3585">
        <w:rPr>
          <w:lang w:val="fr-CH"/>
        </w:rPr>
        <w:tab/>
      </w:r>
      <w:r>
        <w:rPr>
          <w:lang w:val="fr-CH"/>
        </w:rPr>
        <w:tab/>
      </w:r>
      <w:r w:rsidRPr="006F3585">
        <w:rPr>
          <w:lang w:val="fr-CH"/>
        </w:rPr>
        <w:t>Vêtements du mannequin Hybrid III 5</w:t>
      </w:r>
      <w:r w:rsidRPr="006F3585">
        <w:rPr>
          <w:vertAlign w:val="superscript"/>
          <w:lang w:val="fr-CH"/>
        </w:rPr>
        <w:t>e</w:t>
      </w:r>
    </w:p>
    <w:p w:rsidR="00467EB7" w:rsidRPr="006F3585" w:rsidRDefault="00467EB7" w:rsidP="00467EB7">
      <w:pPr>
        <w:pStyle w:val="SingleTxt"/>
        <w:ind w:left="2218" w:hanging="951"/>
        <w:rPr>
          <w:lang w:val="fr-CH"/>
        </w:rPr>
      </w:pPr>
      <w:r w:rsidRPr="006F3585">
        <w:rPr>
          <w:lang w:val="fr-CH"/>
        </w:rPr>
        <w:t>3.9.1</w:t>
      </w:r>
      <w:r w:rsidRPr="006F3585">
        <w:rPr>
          <w:lang w:val="fr-CH"/>
        </w:rPr>
        <w:tab/>
      </w:r>
      <w:r>
        <w:rPr>
          <w:lang w:val="fr-CH"/>
        </w:rPr>
        <w:tab/>
      </w:r>
      <w:r w:rsidRPr="006F3585">
        <w:rPr>
          <w:lang w:val="fr-CH"/>
        </w:rPr>
        <w:t>Le mannequin appareillé doit être vêtu d’un maillot de coton extensible à manches courtes et d</w:t>
      </w:r>
      <w:r>
        <w:rPr>
          <w:lang w:val="fr-CH"/>
        </w:rPr>
        <w:t>e</w:t>
      </w:r>
      <w:r w:rsidRPr="006F3585">
        <w:rPr>
          <w:lang w:val="fr-CH"/>
        </w:rPr>
        <w:t xml:space="preserve"> pantalon</w:t>
      </w:r>
      <w:r>
        <w:rPr>
          <w:lang w:val="fr-CH"/>
        </w:rPr>
        <w:t>s</w:t>
      </w:r>
      <w:r w:rsidRPr="006F3585">
        <w:rPr>
          <w:lang w:val="fr-CH"/>
        </w:rPr>
        <w:t xml:space="preserve"> à mi-mollet comme indiqué dans la norme FMVSS 208, schémas 78051-292 et 293 ou leurs équivalents.</w:t>
      </w:r>
    </w:p>
    <w:p w:rsidR="00467EB7" w:rsidRPr="006F3585" w:rsidRDefault="00467EB7" w:rsidP="003B3553">
      <w:pPr>
        <w:pStyle w:val="SingleTxt"/>
        <w:ind w:left="2218" w:hanging="951"/>
        <w:rPr>
          <w:lang w:val="fr-CH"/>
        </w:rPr>
      </w:pPr>
      <w:r w:rsidRPr="006F3585">
        <w:rPr>
          <w:lang w:val="fr-CH"/>
        </w:rPr>
        <w:t>3.9.2</w:t>
      </w:r>
      <w:r w:rsidRPr="006F3585">
        <w:rPr>
          <w:lang w:val="fr-CH"/>
        </w:rPr>
        <w:tab/>
      </w:r>
      <w:r>
        <w:rPr>
          <w:lang w:val="fr-CH"/>
        </w:rPr>
        <w:tab/>
      </w:r>
      <w:r w:rsidRPr="006F3585">
        <w:rPr>
          <w:lang w:val="fr-CH"/>
        </w:rPr>
        <w:t>Une chaussure pour femme de la taille</w:t>
      </w:r>
      <w:r>
        <w:rPr>
          <w:lang w:val="fr-CH"/>
        </w:rPr>
        <w:t xml:space="preserve"> </w:t>
      </w:r>
      <w:r w:rsidRPr="006F3585">
        <w:rPr>
          <w:lang w:val="fr-CH"/>
        </w:rPr>
        <w:t>7,5, répondant aux spécifications de la norme militaire américaine MIL-S-21711E</w:t>
      </w:r>
      <w:r>
        <w:rPr>
          <w:lang w:val="fr-CH"/>
        </w:rPr>
        <w:t>, révision P</w:t>
      </w:r>
      <w:r w:rsidRPr="006F3585">
        <w:rPr>
          <w:lang w:val="fr-CH"/>
        </w:rPr>
        <w:t xml:space="preserve">, quant à </w:t>
      </w:r>
      <w:r>
        <w:rPr>
          <w:lang w:val="fr-CH"/>
        </w:rPr>
        <w:t xml:space="preserve">ses dimensions, et </w:t>
      </w:r>
      <w:r w:rsidRPr="006F3585">
        <w:rPr>
          <w:lang w:val="fr-CH"/>
        </w:rPr>
        <w:t>à l’épaisseur de la semelle et du talon, et dont le poids est de 0,41 </w:t>
      </w:r>
      <w:r w:rsidR="003B3553" w:rsidRPr="003F7122">
        <w:rPr>
          <w:lang w:val="fr-CH"/>
        </w:rPr>
        <w:sym w:font="Symbol" w:char="F0B1"/>
      </w:r>
      <w:r w:rsidRPr="006F3585">
        <w:rPr>
          <w:lang w:val="fr-CH"/>
        </w:rPr>
        <w:t> 0,09 kg, est placée et fixée à chaque pied du mannequin d’essai.</w:t>
      </w:r>
    </w:p>
    <w:p w:rsidR="00467EB7" w:rsidRPr="006F3585" w:rsidRDefault="00467EB7" w:rsidP="00467EB7">
      <w:pPr>
        <w:pStyle w:val="SingleTxt"/>
        <w:rPr>
          <w:lang w:val="fr-CH"/>
        </w:rPr>
      </w:pPr>
      <w:r w:rsidRPr="006F3585">
        <w:rPr>
          <w:lang w:val="fr-CH"/>
        </w:rPr>
        <w:t>4.</w:t>
      </w:r>
      <w:r w:rsidRPr="006F3585">
        <w:rPr>
          <w:lang w:val="fr-CH"/>
        </w:rPr>
        <w:tab/>
      </w:r>
      <w:r w:rsidRPr="006F3585">
        <w:rPr>
          <w:lang w:val="fr-CH"/>
        </w:rPr>
        <w:tab/>
        <w:t>Réglage du dispositif de retenue</w:t>
      </w:r>
    </w:p>
    <w:p w:rsidR="00467EB7" w:rsidRDefault="00467EB7" w:rsidP="00467EB7">
      <w:pPr>
        <w:pStyle w:val="SingleTxt"/>
        <w:ind w:left="2218" w:hanging="951"/>
        <w:rPr>
          <w:lang w:val="fr-CH"/>
        </w:rPr>
        <w:sectPr w:rsidR="00467EB7" w:rsidSect="007360C7">
          <w:headerReference w:type="even" r:id="rId43"/>
          <w:headerReference w:type="default" r:id="rId44"/>
          <w:footerReference w:type="even" r:id="rId45"/>
          <w:footerReference w:type="default" r:id="rId46"/>
          <w:pgSz w:w="11909" w:h="16834"/>
          <w:pgMar w:top="1742" w:right="936" w:bottom="1898" w:left="936" w:header="576" w:footer="1030" w:gutter="0"/>
          <w:cols w:space="720"/>
          <w:noEndnote/>
          <w:docGrid w:linePitch="360"/>
        </w:sectPr>
      </w:pPr>
      <w:r>
        <w:rPr>
          <w:b/>
          <w:lang w:val="fr-CH"/>
        </w:rPr>
        <w:tab/>
      </w:r>
      <w:r>
        <w:rPr>
          <w:b/>
          <w:lang w:val="fr-CH"/>
        </w:rPr>
        <w:tab/>
      </w:r>
      <w:r w:rsidRPr="004E2F3E">
        <w:rPr>
          <w:lang w:val="fr-CH"/>
        </w:rPr>
        <w:t>Le veston du mannequin doit être mis en place convenablement, de sorte que le point de fixation du support inférieur de la nuque soit au même niveau que l’ouverture du haut du veston. Le mannequin étant installé à la place désignée, comme indiqué aux paragraphes 2.1 à 2.6 et 3.1 à 3.6 ci-dessus, mettre en place la ceinture et l’attacher. Veiller à ce que la sangle abdominale ne soit pas relâchée. Tirer la sangle d’épaule depuis l’enrouleur à l’horizontale, jusqu’au niveau du centre du mannequin, et la laisser se remettre en place dans l’enrouleur. Répéter cette opération quatre fois. La sangle d’épaule doit être placée de sorte qu’elle ne tombe pas de l’épaule et qu’elle n’entre pas en contact avec la nuque. La ceinture doit être mise en place comme suit : pour le mannequin Hybrid III homme du cinquantième centile, l’ouverture en haut du veston ne doit pas être entièrement masquée par la sangle; pour le mannequin HYBRID III femme du cinquième centile, la sangle d’épaule doit passer entre les seins. Appliquer une tension de 9 à 18 N à la sangle abdominale. Si la ceinture est équipée d’un dispositif de relâchement de la tension, donner à la sangle d’épaule le maximum de mou recommandé par le constructeur pour un usage normal (voir le manuel d’utilisation du véhicule). Dans le cas contraire, laisser l’excédent de sangle d’épaule se rétracter dans l’enrouleur. Dans le cas où la ceinture de sécurité et ses points d’ancrage sont positionnés de telle manière que la ceinture ne se place pas comme il est prescrit plus haut, il est permis d’ajuster celle-ci manuellement et de la maintenir en place à l’aide d’un adhésif</w:t>
      </w:r>
      <w:r>
        <w:rPr>
          <w:lang w:val="fr-CH"/>
        </w:rPr>
        <w:t xml:space="preserve">. </w:t>
      </w:r>
    </w:p>
    <w:p w:rsidR="00467EB7" w:rsidRDefault="00467EB7" w:rsidP="00467E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53" w:name="_Toc381109780"/>
      <w:bookmarkStart w:id="54" w:name="_Toc413834096"/>
      <w:r w:rsidRPr="00284A21">
        <w:rPr>
          <w:lang w:val="fr-CH"/>
        </w:rPr>
        <w:lastRenderedPageBreak/>
        <w:t>Annexe 6</w:t>
      </w:r>
      <w:bookmarkEnd w:id="53"/>
      <w:bookmarkEnd w:id="54"/>
    </w:p>
    <w:p w:rsidR="00467EB7" w:rsidRPr="00284A21" w:rsidRDefault="00467EB7" w:rsidP="00467EB7">
      <w:pPr>
        <w:pStyle w:val="SingleTxt"/>
        <w:spacing w:after="0" w:line="120" w:lineRule="exact"/>
        <w:rPr>
          <w:sz w:val="10"/>
          <w:lang w:val="fr-CH"/>
        </w:rPr>
      </w:pPr>
    </w:p>
    <w:p w:rsidR="00467EB7" w:rsidRDefault="00467EB7" w:rsidP="00467E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55" w:name="_Toc355617329"/>
      <w:bookmarkStart w:id="56" w:name="nouveaute"/>
      <w:r w:rsidRPr="00284A21">
        <w:rPr>
          <w:lang w:val="fr-CH"/>
        </w:rPr>
        <w:tab/>
      </w:r>
      <w:r w:rsidRPr="00284A21">
        <w:rPr>
          <w:lang w:val="fr-CH"/>
        </w:rPr>
        <w:tab/>
      </w:r>
      <w:bookmarkStart w:id="57" w:name="_Toc381109061"/>
      <w:bookmarkStart w:id="58" w:name="_Toc381109126"/>
      <w:bookmarkStart w:id="59" w:name="_Toc381109781"/>
      <w:bookmarkStart w:id="60" w:name="_Toc413834097"/>
      <w:r w:rsidRPr="00284A21">
        <w:rPr>
          <w:lang w:val="fr-CH"/>
        </w:rPr>
        <w:t xml:space="preserve">Procédure de détermination du point </w:t>
      </w:r>
      <w:r>
        <w:rPr>
          <w:lang w:val="fr-CH"/>
        </w:rPr>
        <w:t>« </w:t>
      </w:r>
      <w:r w:rsidRPr="00284A21">
        <w:rPr>
          <w:lang w:val="fr-CH"/>
        </w:rPr>
        <w:t>H</w:t>
      </w:r>
      <w:r>
        <w:rPr>
          <w:lang w:val="fr-CH"/>
        </w:rPr>
        <w:t> »</w:t>
      </w:r>
      <w:r w:rsidRPr="00284A21">
        <w:rPr>
          <w:lang w:val="fr-CH"/>
        </w:rPr>
        <w:t xml:space="preserve"> </w:t>
      </w:r>
      <w:r>
        <w:rPr>
          <w:lang w:val="fr-CH"/>
        </w:rPr>
        <w:br/>
      </w:r>
      <w:r w:rsidRPr="00284A21">
        <w:rPr>
          <w:lang w:val="fr-CH"/>
        </w:rPr>
        <w:t xml:space="preserve">et de l’angle réel de torse pour les places assises </w:t>
      </w:r>
      <w:r>
        <w:rPr>
          <w:lang w:val="fr-CH"/>
        </w:rPr>
        <w:br/>
      </w:r>
      <w:r w:rsidRPr="00284A21">
        <w:rPr>
          <w:lang w:val="fr-CH"/>
        </w:rPr>
        <w:t>des véhicules automobile</w:t>
      </w:r>
      <w:bookmarkEnd w:id="57"/>
      <w:bookmarkEnd w:id="58"/>
      <w:bookmarkEnd w:id="59"/>
      <w:bookmarkEnd w:id="60"/>
      <w:r w:rsidR="003B3553">
        <w:rPr>
          <w:lang w:val="fr-CH"/>
        </w:rPr>
        <w:t>s</w:t>
      </w:r>
      <w:r w:rsidRPr="001F0D2C">
        <w:rPr>
          <w:b w:val="0"/>
          <w:sz w:val="20"/>
          <w:szCs w:val="20"/>
          <w:vertAlign w:val="superscript"/>
          <w:lang w:val="fr-CH"/>
        </w:rPr>
        <w:footnoteReference w:id="8"/>
      </w:r>
    </w:p>
    <w:p w:rsidR="00467EB7" w:rsidRPr="00284A21" w:rsidRDefault="00467EB7" w:rsidP="00467EB7">
      <w:pPr>
        <w:pStyle w:val="SingleTxt"/>
        <w:spacing w:after="0" w:line="120" w:lineRule="exact"/>
        <w:rPr>
          <w:sz w:val="10"/>
          <w:lang w:val="fr-CH"/>
        </w:rPr>
      </w:pPr>
    </w:p>
    <w:p w:rsidR="00467EB7" w:rsidRPr="00284A21" w:rsidRDefault="00467EB7" w:rsidP="00467EB7">
      <w:pPr>
        <w:pStyle w:val="SingleTxt"/>
        <w:spacing w:after="0" w:line="120" w:lineRule="exact"/>
        <w:rPr>
          <w:sz w:val="10"/>
          <w:lang w:val="fr-CH"/>
        </w:rPr>
      </w:pPr>
    </w:p>
    <w:p w:rsidR="00467EB7" w:rsidRDefault="00467EB7" w:rsidP="00467E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vertAlign w:val="superscript"/>
          <w:lang w:val="fr-CH"/>
        </w:rPr>
      </w:pPr>
      <w:r w:rsidRPr="00284A21">
        <w:rPr>
          <w:lang w:val="fr-CH"/>
        </w:rPr>
        <w:tab/>
      </w:r>
      <w:r w:rsidRPr="00284A21">
        <w:rPr>
          <w:lang w:val="fr-CH"/>
        </w:rPr>
        <w:tab/>
      </w:r>
      <w:bookmarkStart w:id="61" w:name="_Toc381109062"/>
      <w:bookmarkStart w:id="62" w:name="_Toc381109127"/>
      <w:bookmarkStart w:id="63" w:name="_Toc381109782"/>
      <w:bookmarkStart w:id="64" w:name="_Toc413834098"/>
      <w:r w:rsidRPr="00284A21">
        <w:rPr>
          <w:lang w:val="fr-CH"/>
        </w:rPr>
        <w:t xml:space="preserve">Appendice 1 − Description du gabarit tridimensionnel </w:t>
      </w:r>
      <w:r>
        <w:rPr>
          <w:lang w:val="fr-CH"/>
        </w:rPr>
        <w:br/>
      </w:r>
      <w:r w:rsidRPr="00284A21">
        <w:rPr>
          <w:lang w:val="fr-CH"/>
        </w:rPr>
        <w:t>point</w:t>
      </w:r>
      <w:r>
        <w:rPr>
          <w:lang w:val="fr-CH"/>
        </w:rPr>
        <w:t xml:space="preserve"> « </w:t>
      </w:r>
      <w:r w:rsidRPr="00284A21">
        <w:rPr>
          <w:lang w:val="fr-CH"/>
        </w:rPr>
        <w:t>H</w:t>
      </w:r>
      <w:r>
        <w:rPr>
          <w:lang w:val="fr-CH"/>
        </w:rPr>
        <w:t> »</w:t>
      </w:r>
      <w:r w:rsidRPr="00284A21">
        <w:rPr>
          <w:lang w:val="fr-CH"/>
        </w:rPr>
        <w:t xml:space="preserve"> (Gabarit 3-D H)</w:t>
      </w:r>
      <w:r w:rsidRPr="00284A21">
        <w:rPr>
          <w:b w:val="0"/>
          <w:sz w:val="20"/>
          <w:szCs w:val="20"/>
          <w:vertAlign w:val="superscript"/>
          <w:lang w:val="fr-CH"/>
        </w:rPr>
        <w:t>1</w:t>
      </w:r>
      <w:bookmarkEnd w:id="61"/>
      <w:bookmarkEnd w:id="62"/>
      <w:bookmarkEnd w:id="63"/>
      <w:bookmarkEnd w:id="64"/>
    </w:p>
    <w:p w:rsidR="00467EB7" w:rsidRPr="00284A21" w:rsidRDefault="00467EB7" w:rsidP="00467EB7">
      <w:pPr>
        <w:pStyle w:val="SingleTxt"/>
        <w:spacing w:after="0" w:line="120" w:lineRule="exact"/>
        <w:rPr>
          <w:sz w:val="10"/>
          <w:lang w:val="fr-CH"/>
        </w:rPr>
      </w:pPr>
    </w:p>
    <w:p w:rsidR="00467EB7" w:rsidRPr="00284A21" w:rsidRDefault="00467EB7" w:rsidP="00467EB7">
      <w:pPr>
        <w:pStyle w:val="SingleTxt"/>
        <w:spacing w:after="0" w:line="120" w:lineRule="exact"/>
        <w:rPr>
          <w:sz w:val="10"/>
          <w:lang w:val="fr-CH"/>
        </w:rPr>
      </w:pPr>
    </w:p>
    <w:p w:rsidR="00467EB7" w:rsidRDefault="00467EB7" w:rsidP="00467E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vertAlign w:val="superscript"/>
          <w:lang w:val="fr-CH"/>
        </w:rPr>
      </w:pPr>
      <w:r w:rsidRPr="00284A21">
        <w:rPr>
          <w:lang w:val="fr-CH"/>
        </w:rPr>
        <w:tab/>
      </w:r>
      <w:r w:rsidRPr="00284A21">
        <w:rPr>
          <w:lang w:val="fr-CH"/>
        </w:rPr>
        <w:tab/>
      </w:r>
      <w:bookmarkStart w:id="65" w:name="_Toc381109063"/>
      <w:bookmarkStart w:id="66" w:name="_Toc381109128"/>
      <w:bookmarkStart w:id="67" w:name="_Toc381109783"/>
      <w:bookmarkStart w:id="68" w:name="_Toc413834099"/>
      <w:r w:rsidRPr="00284A21">
        <w:rPr>
          <w:lang w:val="fr-CH"/>
        </w:rPr>
        <w:t>Appendice 2 − Système de référence à trois dimensions</w:t>
      </w:r>
      <w:r w:rsidRPr="00284A21">
        <w:rPr>
          <w:b w:val="0"/>
          <w:sz w:val="20"/>
          <w:szCs w:val="20"/>
          <w:vertAlign w:val="superscript"/>
          <w:lang w:val="fr-CH"/>
        </w:rPr>
        <w:t>1</w:t>
      </w:r>
      <w:bookmarkEnd w:id="65"/>
      <w:bookmarkEnd w:id="66"/>
      <w:bookmarkEnd w:id="67"/>
      <w:bookmarkEnd w:id="68"/>
    </w:p>
    <w:p w:rsidR="00467EB7" w:rsidRPr="00284A21" w:rsidRDefault="00467EB7" w:rsidP="00467EB7">
      <w:pPr>
        <w:pStyle w:val="SingleTxt"/>
        <w:spacing w:after="0" w:line="120" w:lineRule="exact"/>
        <w:rPr>
          <w:sz w:val="10"/>
          <w:lang w:val="fr-CH"/>
        </w:rPr>
      </w:pPr>
    </w:p>
    <w:p w:rsidR="00467EB7" w:rsidRPr="00284A21" w:rsidRDefault="00467EB7" w:rsidP="00467EB7">
      <w:pPr>
        <w:pStyle w:val="SingleTxt"/>
        <w:spacing w:after="0" w:line="120" w:lineRule="exact"/>
        <w:rPr>
          <w:sz w:val="10"/>
          <w:lang w:val="fr-CH"/>
        </w:rPr>
      </w:pPr>
    </w:p>
    <w:p w:rsidR="00F84AD9" w:rsidRDefault="00467EB7" w:rsidP="00467E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284A21">
        <w:rPr>
          <w:lang w:val="fr-CH"/>
        </w:rPr>
        <w:tab/>
      </w:r>
      <w:r w:rsidRPr="00284A21">
        <w:rPr>
          <w:lang w:val="fr-CH"/>
        </w:rPr>
        <w:tab/>
      </w:r>
      <w:bookmarkStart w:id="69" w:name="_Toc381109784"/>
      <w:bookmarkStart w:id="70" w:name="_Toc413834100"/>
      <w:r w:rsidRPr="00284A21">
        <w:rPr>
          <w:lang w:val="fr-CH"/>
        </w:rPr>
        <w:t>Appendice 3 − Paramètres de référence des places assises</w:t>
      </w:r>
      <w:r w:rsidRPr="00214F62">
        <w:rPr>
          <w:b w:val="0"/>
          <w:sz w:val="20"/>
          <w:szCs w:val="20"/>
          <w:vertAlign w:val="superscript"/>
          <w:lang w:val="fr-CH"/>
        </w:rPr>
        <w:t>1</w:t>
      </w:r>
      <w:bookmarkEnd w:id="55"/>
      <w:bookmarkEnd w:id="56"/>
      <w:bookmarkEnd w:id="69"/>
      <w:bookmarkEnd w:id="70"/>
    </w:p>
    <w:p w:rsidR="00467EB7" w:rsidRDefault="00467EB7" w:rsidP="00467EB7">
      <w:pPr>
        <w:pStyle w:val="SingleTxt"/>
        <w:ind w:left="2218" w:hanging="951"/>
        <w:rPr>
          <w:lang w:val="fr-CH"/>
        </w:rPr>
      </w:pPr>
    </w:p>
    <w:p w:rsidR="00D234BC" w:rsidRDefault="00D234BC">
      <w:pPr>
        <w:spacing w:line="240" w:lineRule="auto"/>
        <w:rPr>
          <w:lang w:val="fr-CH"/>
        </w:rPr>
        <w:sectPr w:rsidR="00D234BC" w:rsidSect="001F0D2C">
          <w:headerReference w:type="even" r:id="rId47"/>
          <w:headerReference w:type="default" r:id="rId48"/>
          <w:footerReference w:type="even" r:id="rId49"/>
          <w:footerReference w:type="default" r:id="rId50"/>
          <w:footnotePr>
            <w:numRestart w:val="eachSect"/>
          </w:footnotePr>
          <w:type w:val="continuous"/>
          <w:pgSz w:w="11909" w:h="16834"/>
          <w:pgMar w:top="1742" w:right="936" w:bottom="1898" w:left="936" w:header="576" w:footer="1030" w:gutter="0"/>
          <w:cols w:space="720"/>
          <w:noEndnote/>
          <w:docGrid w:linePitch="360"/>
        </w:sectPr>
      </w:pPr>
    </w:p>
    <w:p w:rsidR="00467EB7" w:rsidRDefault="00467EB7" w:rsidP="00467E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71" w:name="_Toc381109785"/>
      <w:bookmarkStart w:id="72" w:name="_Toc413834101"/>
      <w:r w:rsidRPr="003B5100">
        <w:rPr>
          <w:lang w:val="fr-CH"/>
        </w:rPr>
        <w:lastRenderedPageBreak/>
        <w:t>Annexe 7</w:t>
      </w:r>
      <w:bookmarkEnd w:id="71"/>
      <w:bookmarkEnd w:id="72"/>
    </w:p>
    <w:p w:rsidR="00467EB7" w:rsidRPr="003B5100" w:rsidRDefault="00467EB7" w:rsidP="00467EB7">
      <w:pPr>
        <w:pStyle w:val="SingleTxt"/>
        <w:spacing w:after="0" w:line="120" w:lineRule="exact"/>
        <w:rPr>
          <w:sz w:val="10"/>
          <w:lang w:val="fr-CH"/>
        </w:rPr>
      </w:pPr>
    </w:p>
    <w:p w:rsidR="00467EB7" w:rsidRDefault="00467EB7" w:rsidP="00467E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3B5100">
        <w:rPr>
          <w:lang w:val="fr-CH"/>
        </w:rPr>
        <w:tab/>
      </w:r>
      <w:r w:rsidRPr="003B5100">
        <w:rPr>
          <w:lang w:val="fr-CH"/>
        </w:rPr>
        <w:tab/>
        <w:t>Procédure d’essai avec chariot</w:t>
      </w:r>
    </w:p>
    <w:p w:rsidR="00467EB7" w:rsidRPr="003B5100" w:rsidRDefault="00467EB7" w:rsidP="00467EB7">
      <w:pPr>
        <w:pStyle w:val="SingleTxt"/>
        <w:spacing w:after="0" w:line="120" w:lineRule="exact"/>
        <w:rPr>
          <w:sz w:val="10"/>
          <w:lang w:val="fr-CH"/>
        </w:rPr>
      </w:pPr>
    </w:p>
    <w:p w:rsidR="00467EB7" w:rsidRPr="003B5100" w:rsidRDefault="00467EB7" w:rsidP="00467EB7">
      <w:pPr>
        <w:pStyle w:val="SingleTxt"/>
        <w:spacing w:after="0" w:line="120" w:lineRule="exact"/>
        <w:rPr>
          <w:sz w:val="10"/>
          <w:lang w:val="fr-CH"/>
        </w:rPr>
      </w:pPr>
    </w:p>
    <w:p w:rsidR="00467EB7" w:rsidRPr="003B5100" w:rsidRDefault="00467EB7" w:rsidP="00467EB7">
      <w:pPr>
        <w:pStyle w:val="SingleTxt"/>
        <w:rPr>
          <w:lang w:val="fr-CH"/>
        </w:rPr>
      </w:pPr>
      <w:r w:rsidRPr="003B5100">
        <w:rPr>
          <w:lang w:val="fr-CH"/>
        </w:rPr>
        <w:t>1.</w:t>
      </w:r>
      <w:r>
        <w:rPr>
          <w:lang w:val="fr-CH"/>
        </w:rPr>
        <w:tab/>
      </w:r>
      <w:r w:rsidRPr="003B5100">
        <w:rPr>
          <w:lang w:val="fr-CH"/>
        </w:rPr>
        <w:tab/>
        <w:t>Préparatifs et mode opératoire</w:t>
      </w:r>
    </w:p>
    <w:p w:rsidR="00467EB7" w:rsidRPr="003B5100" w:rsidRDefault="00467EB7" w:rsidP="00467EB7">
      <w:pPr>
        <w:pStyle w:val="SingleTxt"/>
        <w:rPr>
          <w:lang w:val="fr-CH"/>
        </w:rPr>
      </w:pPr>
      <w:r w:rsidRPr="003B5100">
        <w:rPr>
          <w:lang w:val="fr-CH"/>
        </w:rPr>
        <w:t>1.1</w:t>
      </w:r>
      <w:r w:rsidRPr="003B5100">
        <w:rPr>
          <w:lang w:val="fr-CH"/>
        </w:rPr>
        <w:tab/>
      </w:r>
      <w:r>
        <w:rPr>
          <w:lang w:val="fr-CH"/>
        </w:rPr>
        <w:tab/>
      </w:r>
      <w:r w:rsidRPr="003B5100">
        <w:rPr>
          <w:lang w:val="fr-CH"/>
        </w:rPr>
        <w:t>Chariot</w:t>
      </w:r>
    </w:p>
    <w:p w:rsidR="00467EB7" w:rsidRPr="003B5100" w:rsidRDefault="00467EB7" w:rsidP="00467EB7">
      <w:pPr>
        <w:pStyle w:val="SingleTxt"/>
        <w:ind w:left="2218" w:hanging="951"/>
        <w:rPr>
          <w:lang w:val="fr-CH"/>
        </w:rPr>
      </w:pPr>
      <w:r w:rsidRPr="003B5100">
        <w:rPr>
          <w:lang w:val="fr-CH"/>
        </w:rPr>
        <w:tab/>
      </w:r>
      <w:r>
        <w:rPr>
          <w:lang w:val="fr-CH"/>
        </w:rPr>
        <w:tab/>
      </w:r>
      <w:r w:rsidRPr="003B5100">
        <w:rPr>
          <w:lang w:val="fr-CH"/>
        </w:rPr>
        <w:t>Le chariot doit être construit de manière à ne présenter aucune déformation permanente après l’essai. Il doit être dirigé de façon que, au moment du choc, il ne s’écarte pas de plus de 5° dans le plan vertical et de 2° dans le plan horizontal.</w:t>
      </w:r>
    </w:p>
    <w:p w:rsidR="00467EB7" w:rsidRPr="003B5100" w:rsidRDefault="00467EB7" w:rsidP="00467EB7">
      <w:pPr>
        <w:pStyle w:val="SingleTxt"/>
        <w:rPr>
          <w:lang w:val="fr-CH"/>
        </w:rPr>
      </w:pPr>
      <w:r w:rsidRPr="003B5100">
        <w:rPr>
          <w:lang w:val="fr-CH"/>
        </w:rPr>
        <w:t>1.2</w:t>
      </w:r>
      <w:r>
        <w:rPr>
          <w:lang w:val="fr-CH"/>
        </w:rPr>
        <w:tab/>
      </w:r>
      <w:r w:rsidRPr="003B5100">
        <w:rPr>
          <w:lang w:val="fr-CH"/>
        </w:rPr>
        <w:tab/>
        <w:t>État de la structure</w:t>
      </w:r>
    </w:p>
    <w:p w:rsidR="00467EB7" w:rsidRPr="003B5100" w:rsidRDefault="00467EB7" w:rsidP="00467EB7">
      <w:pPr>
        <w:pStyle w:val="SingleTxt"/>
        <w:rPr>
          <w:lang w:val="fr-CH"/>
        </w:rPr>
      </w:pPr>
      <w:r w:rsidRPr="003B5100">
        <w:rPr>
          <w:lang w:val="fr-CH"/>
        </w:rPr>
        <w:t>1.2.1</w:t>
      </w:r>
      <w:r w:rsidRPr="003B5100">
        <w:rPr>
          <w:lang w:val="fr-CH"/>
        </w:rPr>
        <w:tab/>
      </w:r>
      <w:r>
        <w:rPr>
          <w:lang w:val="fr-CH"/>
        </w:rPr>
        <w:tab/>
      </w:r>
      <w:r w:rsidRPr="003B5100">
        <w:rPr>
          <w:lang w:val="fr-CH"/>
        </w:rPr>
        <w:t>Généralités</w:t>
      </w:r>
    </w:p>
    <w:p w:rsidR="00467EB7" w:rsidRPr="003B5100" w:rsidRDefault="00467EB7" w:rsidP="00467EB7">
      <w:pPr>
        <w:pStyle w:val="SingleTxt"/>
        <w:ind w:left="2218" w:hanging="951"/>
        <w:rPr>
          <w:lang w:val="fr-CH"/>
        </w:rPr>
      </w:pPr>
      <w:r w:rsidRPr="003B5100">
        <w:rPr>
          <w:lang w:val="fr-CH"/>
        </w:rPr>
        <w:tab/>
      </w:r>
      <w:r>
        <w:rPr>
          <w:lang w:val="fr-CH"/>
        </w:rPr>
        <w:tab/>
      </w:r>
      <w:r w:rsidRPr="003B5100">
        <w:rPr>
          <w:lang w:val="fr-CH"/>
        </w:rPr>
        <w:t>La structure soumise à l’essai doit être représentative des véhicules de série vis</w:t>
      </w:r>
      <w:r>
        <w:rPr>
          <w:lang w:val="fr-CH"/>
        </w:rPr>
        <w:t>é</w:t>
      </w:r>
      <w:r w:rsidRPr="003B5100">
        <w:rPr>
          <w:lang w:val="fr-CH"/>
        </w:rPr>
        <w:t>s. Certains composants peuvent être remplacés ou enlevés à condition que cela n’ait manifestement aucun effet sur les résultats de l’essai.</w:t>
      </w:r>
    </w:p>
    <w:p w:rsidR="00467EB7" w:rsidRPr="003B5100" w:rsidRDefault="00467EB7" w:rsidP="00467EB7">
      <w:pPr>
        <w:pStyle w:val="SingleTxt"/>
        <w:rPr>
          <w:lang w:val="fr-CH"/>
        </w:rPr>
      </w:pPr>
      <w:r w:rsidRPr="003B5100">
        <w:rPr>
          <w:lang w:val="fr-CH"/>
        </w:rPr>
        <w:t>1.2.2</w:t>
      </w:r>
      <w:r w:rsidRPr="003B5100">
        <w:rPr>
          <w:lang w:val="fr-CH"/>
        </w:rPr>
        <w:tab/>
      </w:r>
      <w:r>
        <w:rPr>
          <w:lang w:val="fr-CH"/>
        </w:rPr>
        <w:tab/>
      </w:r>
      <w:r w:rsidRPr="003B5100">
        <w:rPr>
          <w:lang w:val="fr-CH"/>
        </w:rPr>
        <w:t>Réglages</w:t>
      </w:r>
    </w:p>
    <w:p w:rsidR="00467EB7" w:rsidRPr="003B5100" w:rsidRDefault="00467EB7" w:rsidP="00467EB7">
      <w:pPr>
        <w:pStyle w:val="SingleTxt"/>
        <w:ind w:left="2218" w:hanging="951"/>
        <w:rPr>
          <w:lang w:val="fr-CH"/>
        </w:rPr>
      </w:pPr>
      <w:r w:rsidRPr="003B5100">
        <w:rPr>
          <w:lang w:val="fr-CH"/>
        </w:rPr>
        <w:tab/>
      </w:r>
      <w:r>
        <w:rPr>
          <w:lang w:val="fr-CH"/>
        </w:rPr>
        <w:tab/>
      </w:r>
      <w:r w:rsidRPr="003B5100">
        <w:rPr>
          <w:lang w:val="fr-CH"/>
        </w:rPr>
        <w:t>Les réglages doivent être conformes à ceux décrits au paragraphe 1.4.3 de l’annexe 3 du présent Règlement, en tenant compte des indications du paragraphe 1.2.1 ci-dessus.</w:t>
      </w:r>
    </w:p>
    <w:p w:rsidR="00467EB7" w:rsidRPr="003B5100" w:rsidRDefault="00467EB7" w:rsidP="00467EB7">
      <w:pPr>
        <w:pStyle w:val="SingleTxt"/>
        <w:rPr>
          <w:lang w:val="fr-CH"/>
        </w:rPr>
      </w:pPr>
      <w:r w:rsidRPr="003B5100">
        <w:rPr>
          <w:lang w:val="fr-CH"/>
        </w:rPr>
        <w:t>1.3</w:t>
      </w:r>
      <w:r w:rsidRPr="003B5100">
        <w:rPr>
          <w:lang w:val="fr-CH"/>
        </w:rPr>
        <w:tab/>
      </w:r>
      <w:r>
        <w:rPr>
          <w:lang w:val="fr-CH"/>
        </w:rPr>
        <w:tab/>
      </w:r>
      <w:r w:rsidRPr="003B5100">
        <w:rPr>
          <w:lang w:val="fr-CH"/>
        </w:rPr>
        <w:t>Fixation de la structure</w:t>
      </w:r>
    </w:p>
    <w:p w:rsidR="00467EB7" w:rsidRPr="003B5100" w:rsidRDefault="00467EB7" w:rsidP="00467EB7">
      <w:pPr>
        <w:pStyle w:val="SingleTxt"/>
        <w:ind w:left="2218" w:hanging="951"/>
        <w:rPr>
          <w:lang w:val="fr-CH"/>
        </w:rPr>
      </w:pPr>
      <w:r w:rsidRPr="003B5100">
        <w:rPr>
          <w:lang w:val="fr-CH"/>
        </w:rPr>
        <w:t>1.3.1</w:t>
      </w:r>
      <w:r w:rsidRPr="003B5100">
        <w:rPr>
          <w:lang w:val="fr-CH"/>
        </w:rPr>
        <w:tab/>
      </w:r>
      <w:r>
        <w:rPr>
          <w:lang w:val="fr-CH"/>
        </w:rPr>
        <w:tab/>
      </w:r>
      <w:r w:rsidRPr="003B5100">
        <w:rPr>
          <w:lang w:val="fr-CH"/>
        </w:rPr>
        <w:t>La structure doit être fermement fixée sur le chariot de façon qu’aucun déplacement relatif ne se produise au cours de l’essai.</w:t>
      </w:r>
    </w:p>
    <w:p w:rsidR="00467EB7" w:rsidRPr="003B5100" w:rsidRDefault="00467EB7" w:rsidP="00467EB7">
      <w:pPr>
        <w:pStyle w:val="SingleTxt"/>
        <w:ind w:left="2218" w:hanging="951"/>
        <w:rPr>
          <w:lang w:val="fr-CH"/>
        </w:rPr>
      </w:pPr>
      <w:r w:rsidRPr="003B5100">
        <w:rPr>
          <w:lang w:val="fr-CH"/>
        </w:rPr>
        <w:t>1.3.2</w:t>
      </w:r>
      <w:r>
        <w:rPr>
          <w:lang w:val="fr-CH"/>
        </w:rPr>
        <w:tab/>
      </w:r>
      <w:r w:rsidRPr="003B5100">
        <w:rPr>
          <w:lang w:val="fr-CH"/>
        </w:rPr>
        <w:tab/>
      </w:r>
      <w:r w:rsidRPr="001F46DC">
        <w:rPr>
          <w:spacing w:val="2"/>
          <w:lang w:val="fr-CH"/>
        </w:rPr>
        <w:t>La méthode utilisée pour fixer la structure sur le chariot ne doit pas avoir pour effet de renforcer les ancrages de sièges ou les dispositifs de retenue ou de produire une déformation anormale de la structure, quelle qu’elle soit.</w:t>
      </w:r>
    </w:p>
    <w:p w:rsidR="00467EB7" w:rsidRPr="003B5100" w:rsidRDefault="00467EB7" w:rsidP="00467EB7">
      <w:pPr>
        <w:pStyle w:val="SingleTxt"/>
        <w:ind w:left="2218" w:hanging="951"/>
        <w:rPr>
          <w:lang w:val="fr-CH"/>
        </w:rPr>
      </w:pPr>
      <w:r w:rsidRPr="003B5100">
        <w:rPr>
          <w:lang w:val="fr-CH"/>
        </w:rPr>
        <w:t>1.3.3</w:t>
      </w:r>
      <w:r>
        <w:rPr>
          <w:lang w:val="fr-CH"/>
        </w:rPr>
        <w:tab/>
      </w:r>
      <w:r w:rsidRPr="003B5100">
        <w:rPr>
          <w:lang w:val="fr-CH"/>
        </w:rPr>
        <w:tab/>
        <w:t>Le dispositif de fixation recommandé est le suivant</w:t>
      </w:r>
      <w:r w:rsidR="001F46DC">
        <w:rPr>
          <w:lang w:val="fr-CH"/>
        </w:rPr>
        <w:t> </w:t>
      </w:r>
      <w:r w:rsidRPr="003B5100">
        <w:rPr>
          <w:lang w:val="fr-CH"/>
        </w:rPr>
        <w:t>: la structure doit reposer sur des supports placés plus ou moins dans l’axe des roues ou, si possible, être fixée sur le chariot par les attaches du système de suspension.</w:t>
      </w:r>
    </w:p>
    <w:p w:rsidR="00467EB7" w:rsidRPr="003B5100" w:rsidRDefault="00467EB7" w:rsidP="00467EB7">
      <w:pPr>
        <w:pStyle w:val="SingleTxt"/>
        <w:ind w:left="2218" w:hanging="951"/>
        <w:rPr>
          <w:lang w:val="fr-CH"/>
        </w:rPr>
      </w:pPr>
      <w:r w:rsidRPr="003B5100">
        <w:rPr>
          <w:lang w:val="fr-CH"/>
        </w:rPr>
        <w:t>1.3.4</w:t>
      </w:r>
      <w:r w:rsidRPr="003B5100">
        <w:rPr>
          <w:lang w:val="fr-CH"/>
        </w:rPr>
        <w:tab/>
      </w:r>
      <w:r>
        <w:rPr>
          <w:lang w:val="fr-CH"/>
        </w:rPr>
        <w:tab/>
      </w:r>
      <w:r w:rsidRPr="003B5100">
        <w:rPr>
          <w:lang w:val="fr-CH"/>
        </w:rPr>
        <w:fldChar w:fldCharType="begin"/>
      </w:r>
      <w:r w:rsidRPr="003B5100">
        <w:rPr>
          <w:lang w:val="fr-CH"/>
        </w:rPr>
        <w:instrText xml:space="preserve"> SEQ CHAPTER \h \r 1</w:instrText>
      </w:r>
      <w:r w:rsidRPr="003B5100">
        <w:rPr>
          <w:lang w:val="fr-CH"/>
        </w:rPr>
        <w:fldChar w:fldCharType="end"/>
      </w:r>
      <w:r w:rsidRPr="003B5100">
        <w:rPr>
          <w:lang w:val="fr-CH"/>
        </w:rPr>
        <w:t>L’angle formé par l’axe longitudinal du véhicule et la direction du mouvement du chariot doit être de 0</w:t>
      </w:r>
      <w:r>
        <w:rPr>
          <w:lang w:val="fr-CH"/>
        </w:rPr>
        <w:t> </w:t>
      </w:r>
      <w:r w:rsidRPr="003B5100">
        <w:rPr>
          <w:lang w:val="fr-CH"/>
        </w:rPr>
        <w:t>± 2°.</w:t>
      </w:r>
    </w:p>
    <w:p w:rsidR="00467EB7" w:rsidRPr="003B5100" w:rsidRDefault="00467EB7" w:rsidP="00467EB7">
      <w:pPr>
        <w:pStyle w:val="SingleTxt"/>
        <w:rPr>
          <w:lang w:val="fr-CH"/>
        </w:rPr>
      </w:pPr>
      <w:r w:rsidRPr="003B5100">
        <w:rPr>
          <w:lang w:val="fr-CH"/>
        </w:rPr>
        <w:t>1.4</w:t>
      </w:r>
      <w:r w:rsidRPr="003B5100">
        <w:rPr>
          <w:lang w:val="fr-CH"/>
        </w:rPr>
        <w:tab/>
      </w:r>
      <w:r>
        <w:rPr>
          <w:lang w:val="fr-CH"/>
        </w:rPr>
        <w:tab/>
      </w:r>
      <w:r w:rsidRPr="003B5100">
        <w:rPr>
          <w:lang w:val="fr-CH"/>
        </w:rPr>
        <w:t>Mannequins</w:t>
      </w:r>
    </w:p>
    <w:p w:rsidR="00467EB7" w:rsidRPr="003B5100" w:rsidRDefault="00467EB7" w:rsidP="00467EB7">
      <w:pPr>
        <w:pStyle w:val="SingleTxt"/>
        <w:ind w:left="2218" w:hanging="951"/>
        <w:rPr>
          <w:lang w:val="fr-CH"/>
        </w:rPr>
      </w:pPr>
      <w:r w:rsidRPr="003B5100">
        <w:rPr>
          <w:lang w:val="fr-CH"/>
        </w:rPr>
        <w:tab/>
      </w:r>
      <w:r>
        <w:rPr>
          <w:lang w:val="fr-CH"/>
        </w:rPr>
        <w:tab/>
      </w:r>
      <w:r w:rsidRPr="003B5100">
        <w:rPr>
          <w:lang w:val="fr-CH"/>
        </w:rPr>
        <w:t>Les mannequins et leur positionnement doivent être conformes aux spécifications données au paragraphe 2 de l’annexe 3.</w:t>
      </w:r>
    </w:p>
    <w:p w:rsidR="00467EB7" w:rsidRPr="003B5100" w:rsidRDefault="00467EB7" w:rsidP="00467EB7">
      <w:pPr>
        <w:pStyle w:val="SingleTxt"/>
        <w:rPr>
          <w:lang w:val="fr-CH"/>
        </w:rPr>
      </w:pPr>
      <w:r w:rsidRPr="003B5100">
        <w:rPr>
          <w:lang w:val="fr-CH"/>
        </w:rPr>
        <w:t>1.5</w:t>
      </w:r>
      <w:r w:rsidRPr="003B5100">
        <w:rPr>
          <w:lang w:val="fr-CH"/>
        </w:rPr>
        <w:tab/>
      </w:r>
      <w:r>
        <w:rPr>
          <w:lang w:val="fr-CH"/>
        </w:rPr>
        <w:tab/>
      </w:r>
      <w:r w:rsidRPr="003B5100">
        <w:rPr>
          <w:lang w:val="fr-CH"/>
        </w:rPr>
        <w:t>Appareillage de mesure</w:t>
      </w:r>
    </w:p>
    <w:p w:rsidR="00467EB7" w:rsidRPr="003B5100" w:rsidRDefault="00467EB7" w:rsidP="00467EB7">
      <w:pPr>
        <w:pStyle w:val="SingleTxt"/>
        <w:rPr>
          <w:lang w:val="fr-CH"/>
        </w:rPr>
      </w:pPr>
      <w:r w:rsidRPr="003B5100">
        <w:rPr>
          <w:lang w:val="fr-CH"/>
        </w:rPr>
        <w:t>1.5.1</w:t>
      </w:r>
      <w:r w:rsidRPr="003B5100">
        <w:rPr>
          <w:lang w:val="fr-CH"/>
        </w:rPr>
        <w:tab/>
      </w:r>
      <w:r>
        <w:rPr>
          <w:lang w:val="fr-CH"/>
        </w:rPr>
        <w:tab/>
      </w:r>
      <w:r w:rsidRPr="003B5100">
        <w:rPr>
          <w:lang w:val="fr-CH"/>
        </w:rPr>
        <w:t>Décélération de la structure</w:t>
      </w:r>
    </w:p>
    <w:p w:rsidR="00467EB7" w:rsidRPr="003B5100" w:rsidRDefault="00467EB7" w:rsidP="00467EB7">
      <w:pPr>
        <w:pStyle w:val="SingleTxt"/>
        <w:ind w:left="2218" w:hanging="951"/>
        <w:rPr>
          <w:lang w:val="fr-CH"/>
        </w:rPr>
      </w:pPr>
      <w:r w:rsidRPr="003B5100">
        <w:rPr>
          <w:lang w:val="fr-CH"/>
        </w:rPr>
        <w:tab/>
      </w:r>
      <w:r>
        <w:rPr>
          <w:lang w:val="fr-CH"/>
        </w:rPr>
        <w:tab/>
      </w:r>
      <w:r w:rsidRPr="003B5100">
        <w:rPr>
          <w:lang w:val="fr-CH"/>
        </w:rPr>
        <w:t>Les capteurs devant mesurer la décélération de la structure au moment du choc doivent être parallèles à l’axe longitudinal du chariot selon les spécifications données à l’annexe 8 (CFC 180).</w:t>
      </w:r>
    </w:p>
    <w:p w:rsidR="00467EB7" w:rsidRPr="003B5100" w:rsidRDefault="00467EB7" w:rsidP="00467EB7">
      <w:pPr>
        <w:pStyle w:val="SingleTxt"/>
        <w:rPr>
          <w:lang w:val="fr-CH"/>
        </w:rPr>
      </w:pPr>
      <w:r w:rsidRPr="003B5100">
        <w:rPr>
          <w:lang w:val="fr-CH"/>
        </w:rPr>
        <w:t>1.5.2</w:t>
      </w:r>
      <w:r w:rsidRPr="003B5100">
        <w:rPr>
          <w:lang w:val="fr-CH"/>
        </w:rPr>
        <w:tab/>
      </w:r>
      <w:r>
        <w:rPr>
          <w:lang w:val="fr-CH"/>
        </w:rPr>
        <w:tab/>
      </w:r>
      <w:r w:rsidRPr="003B5100">
        <w:rPr>
          <w:lang w:val="fr-CH"/>
        </w:rPr>
        <w:t>Mesures à effectuer sur les mannequins</w:t>
      </w:r>
    </w:p>
    <w:p w:rsidR="00467EB7" w:rsidRPr="003B5100" w:rsidRDefault="00467EB7" w:rsidP="00467EB7">
      <w:pPr>
        <w:pStyle w:val="SingleTxt"/>
        <w:ind w:left="2218" w:hanging="951"/>
        <w:rPr>
          <w:lang w:val="fr-CH"/>
        </w:rPr>
      </w:pPr>
      <w:r w:rsidRPr="003B5100">
        <w:rPr>
          <w:lang w:val="fr-CH"/>
        </w:rPr>
        <w:tab/>
      </w:r>
      <w:r>
        <w:rPr>
          <w:lang w:val="fr-CH"/>
        </w:rPr>
        <w:tab/>
      </w:r>
      <w:r w:rsidRPr="003B5100">
        <w:rPr>
          <w:lang w:val="fr-CH"/>
        </w:rPr>
        <w:t>Toutes les mesures nécessaires pour vérifier les critères prescrits sont indiquées au paragraphe</w:t>
      </w:r>
      <w:r>
        <w:rPr>
          <w:lang w:val="fr-CH"/>
        </w:rPr>
        <w:t> </w:t>
      </w:r>
      <w:r w:rsidRPr="003B5100">
        <w:rPr>
          <w:lang w:val="fr-CH"/>
        </w:rPr>
        <w:t>5 de l’annexe 3.</w:t>
      </w:r>
    </w:p>
    <w:p w:rsidR="00467EB7" w:rsidRPr="003B5100" w:rsidRDefault="00467EB7" w:rsidP="00467EB7">
      <w:pPr>
        <w:pStyle w:val="SingleTxt"/>
        <w:rPr>
          <w:lang w:val="fr-CH"/>
        </w:rPr>
      </w:pPr>
      <w:r w:rsidRPr="003B5100">
        <w:rPr>
          <w:lang w:val="fr-CH"/>
        </w:rPr>
        <w:t>1.6</w:t>
      </w:r>
      <w:r w:rsidRPr="003B5100">
        <w:rPr>
          <w:lang w:val="fr-CH"/>
        </w:rPr>
        <w:tab/>
      </w:r>
      <w:r>
        <w:rPr>
          <w:lang w:val="fr-CH"/>
        </w:rPr>
        <w:tab/>
      </w:r>
      <w:r w:rsidRPr="003B5100">
        <w:rPr>
          <w:lang w:val="fr-CH"/>
        </w:rPr>
        <w:t>Courbe de décélération de la structure</w:t>
      </w:r>
    </w:p>
    <w:p w:rsidR="00467EB7" w:rsidRPr="003B5100" w:rsidRDefault="00467EB7" w:rsidP="003B3553">
      <w:pPr>
        <w:pStyle w:val="SingleTxt"/>
        <w:ind w:left="2218" w:hanging="951"/>
        <w:rPr>
          <w:lang w:val="fr-CH"/>
        </w:rPr>
      </w:pPr>
      <w:r w:rsidRPr="003B5100">
        <w:rPr>
          <w:lang w:val="fr-CH"/>
        </w:rPr>
        <w:tab/>
      </w:r>
      <w:r>
        <w:rPr>
          <w:lang w:val="fr-CH"/>
        </w:rPr>
        <w:tab/>
      </w:r>
      <w:r w:rsidRPr="003B5100">
        <w:rPr>
          <w:lang w:val="fr-CH"/>
        </w:rPr>
        <w:t xml:space="preserve">La courbe de décélération de la structure au cours de </w:t>
      </w:r>
      <w:r>
        <w:rPr>
          <w:lang w:val="fr-CH"/>
        </w:rPr>
        <w:t>l</w:t>
      </w:r>
      <w:r w:rsidRPr="003B5100">
        <w:rPr>
          <w:lang w:val="fr-CH"/>
        </w:rPr>
        <w:t xml:space="preserve">’impact doit être telle que la courbe de </w:t>
      </w:r>
      <w:r>
        <w:rPr>
          <w:lang w:val="fr-CH"/>
        </w:rPr>
        <w:t>« </w:t>
      </w:r>
      <w:r w:rsidRPr="003B5100">
        <w:rPr>
          <w:lang w:val="fr-CH"/>
        </w:rPr>
        <w:t>variation de la vitesse en fonction du temps</w:t>
      </w:r>
      <w:r>
        <w:rPr>
          <w:lang w:val="fr-CH"/>
        </w:rPr>
        <w:t> »</w:t>
      </w:r>
      <w:r w:rsidRPr="003B5100">
        <w:rPr>
          <w:lang w:val="fr-CH"/>
        </w:rPr>
        <w:t xml:space="preserve"> obtenue </w:t>
      </w:r>
      <w:r w:rsidRPr="003B5100">
        <w:rPr>
          <w:lang w:val="fr-CH"/>
        </w:rPr>
        <w:lastRenderedPageBreak/>
        <w:t xml:space="preserve">par intégration ne diffère en aucun point de plus de </w:t>
      </w:r>
      <w:r w:rsidR="003B3553" w:rsidRPr="003F7122">
        <w:rPr>
          <w:lang w:val="fr-CH"/>
        </w:rPr>
        <w:sym w:font="Symbol" w:char="F0B1"/>
      </w:r>
      <w:r w:rsidRPr="003B5100">
        <w:rPr>
          <w:lang w:val="fr-CH"/>
        </w:rPr>
        <w:t xml:space="preserve">1 m/s de la courbe de référence de </w:t>
      </w:r>
      <w:r>
        <w:rPr>
          <w:lang w:val="fr-CH"/>
        </w:rPr>
        <w:t>« </w:t>
      </w:r>
      <w:r w:rsidRPr="003B5100">
        <w:rPr>
          <w:lang w:val="fr-CH"/>
        </w:rPr>
        <w:t>variation de la vitesse en fonction du temps</w:t>
      </w:r>
      <w:r>
        <w:rPr>
          <w:lang w:val="fr-CH"/>
        </w:rPr>
        <w:t> »</w:t>
      </w:r>
      <w:r w:rsidRPr="003B5100">
        <w:rPr>
          <w:lang w:val="fr-CH"/>
        </w:rPr>
        <w:t xml:space="preserve"> du véhicule en question définie à l’appendice de la présente annexe. Un</w:t>
      </w:r>
      <w:r>
        <w:rPr>
          <w:lang w:val="fr-CH"/>
        </w:rPr>
        <w:t xml:space="preserve"> </w:t>
      </w:r>
      <w:r w:rsidRPr="003B5100">
        <w:rPr>
          <w:lang w:val="fr-CH"/>
        </w:rPr>
        <w:t>déplacement par rapport à l’axe des temps de la courbe de référence peut être utilisé pour obtenir la vitesse de la structure à l’intérieur du couloir.</w:t>
      </w:r>
    </w:p>
    <w:p w:rsidR="00467EB7" w:rsidRPr="003B5100" w:rsidRDefault="00467EB7" w:rsidP="00467EB7">
      <w:pPr>
        <w:pStyle w:val="SingleTxt"/>
        <w:rPr>
          <w:lang w:val="fr-CH"/>
        </w:rPr>
      </w:pPr>
      <w:r w:rsidRPr="003B5100">
        <w:rPr>
          <w:lang w:val="fr-CH"/>
        </w:rPr>
        <w:t>1.7</w:t>
      </w:r>
      <w:r w:rsidRPr="003B5100">
        <w:rPr>
          <w:lang w:val="fr-CH"/>
        </w:rPr>
        <w:tab/>
      </w:r>
      <w:r>
        <w:rPr>
          <w:lang w:val="fr-CH"/>
        </w:rPr>
        <w:tab/>
      </w:r>
      <w:r w:rsidRPr="003B5100">
        <w:rPr>
          <w:lang w:val="fr-CH"/>
        </w:rPr>
        <w:t xml:space="preserve">Courbe de référence </w:t>
      </w:r>
      <w:r w:rsidRPr="003B5100">
        <w:rPr>
          <w:lang w:val="fr-CH"/>
        </w:rPr>
        <w:sym w:font="Symbol" w:char="F044"/>
      </w:r>
      <w:r w:rsidRPr="003B5100">
        <w:rPr>
          <w:lang w:val="fr-CH"/>
        </w:rPr>
        <w:t>V = f(t) du véhicule étudié</w:t>
      </w:r>
    </w:p>
    <w:p w:rsidR="00467EB7" w:rsidRPr="003B5100" w:rsidRDefault="00467EB7" w:rsidP="00467EB7">
      <w:pPr>
        <w:pStyle w:val="SingleTxt"/>
        <w:ind w:left="2218" w:hanging="951"/>
        <w:rPr>
          <w:lang w:val="fr-CH"/>
        </w:rPr>
      </w:pPr>
      <w:r w:rsidRPr="003B5100">
        <w:rPr>
          <w:lang w:val="fr-CH"/>
        </w:rPr>
        <w:tab/>
      </w:r>
      <w:r>
        <w:rPr>
          <w:lang w:val="fr-CH"/>
        </w:rPr>
        <w:tab/>
      </w:r>
      <w:r w:rsidRPr="003B5100">
        <w:rPr>
          <w:lang w:val="fr-CH"/>
        </w:rPr>
        <w:t xml:space="preserve">Cette courbe de référence est obtenue par intégration de la courbe de décélération du véhicule </w:t>
      </w:r>
      <w:r>
        <w:rPr>
          <w:lang w:val="fr-CH"/>
        </w:rPr>
        <w:t xml:space="preserve">soumis à l’essai </w:t>
      </w:r>
      <w:r w:rsidRPr="003B5100">
        <w:rPr>
          <w:lang w:val="fr-CH"/>
        </w:rPr>
        <w:t>mesurée lors de l’essai de c</w:t>
      </w:r>
      <w:r>
        <w:rPr>
          <w:lang w:val="fr-CH"/>
        </w:rPr>
        <w:t xml:space="preserve">hoc avant </w:t>
      </w:r>
      <w:r w:rsidRPr="003B5100">
        <w:rPr>
          <w:lang w:val="fr-CH"/>
        </w:rPr>
        <w:t>contre une barrière, selon les spécifications du paragraphe 6 de l’annexe</w:t>
      </w:r>
      <w:r>
        <w:rPr>
          <w:lang w:val="fr-CH"/>
        </w:rPr>
        <w:t> </w:t>
      </w:r>
      <w:r w:rsidRPr="003B5100">
        <w:rPr>
          <w:lang w:val="fr-CH"/>
        </w:rPr>
        <w:t>3 du présent Règlement.</w:t>
      </w:r>
    </w:p>
    <w:p w:rsidR="00467EB7" w:rsidRPr="003B5100" w:rsidRDefault="00467EB7" w:rsidP="00467EB7">
      <w:pPr>
        <w:pStyle w:val="SingleTxt"/>
        <w:rPr>
          <w:lang w:val="fr-CH"/>
        </w:rPr>
      </w:pPr>
      <w:r w:rsidRPr="003B5100">
        <w:rPr>
          <w:lang w:val="fr-CH"/>
        </w:rPr>
        <w:t>1.8</w:t>
      </w:r>
      <w:r w:rsidRPr="003B5100">
        <w:rPr>
          <w:lang w:val="fr-CH"/>
        </w:rPr>
        <w:tab/>
      </w:r>
      <w:r>
        <w:rPr>
          <w:lang w:val="fr-CH"/>
        </w:rPr>
        <w:tab/>
      </w:r>
      <w:r w:rsidRPr="003B5100">
        <w:rPr>
          <w:lang w:val="fr-CH"/>
        </w:rPr>
        <w:t>Méthodes équivalentes</w:t>
      </w:r>
    </w:p>
    <w:p w:rsidR="00467EB7" w:rsidRDefault="00467EB7" w:rsidP="00467EB7">
      <w:pPr>
        <w:pStyle w:val="SingleTxt"/>
        <w:ind w:left="2218" w:hanging="951"/>
        <w:rPr>
          <w:lang w:val="fr-CH"/>
        </w:rPr>
      </w:pPr>
      <w:r w:rsidRPr="003B5100">
        <w:rPr>
          <w:lang w:val="fr-CH"/>
        </w:rPr>
        <w:tab/>
      </w:r>
      <w:r>
        <w:rPr>
          <w:lang w:val="fr-CH"/>
        </w:rPr>
        <w:tab/>
      </w:r>
      <w:r w:rsidRPr="003B5100">
        <w:rPr>
          <w:lang w:val="fr-CH"/>
        </w:rPr>
        <w:t>L’essai peut être réalisé par une autre méthode que celle de la décélération d’un chariot à condition d’être conforme aux prescriptions concernant le champ de variation de la vitesse qui sont énoncées au paragraphe 1.6 ci</w:t>
      </w:r>
      <w:r>
        <w:rPr>
          <w:lang w:val="fr-CH"/>
        </w:rPr>
        <w:t>-</w:t>
      </w:r>
      <w:r w:rsidRPr="003B5100">
        <w:rPr>
          <w:lang w:val="fr-CH"/>
        </w:rPr>
        <w:t>dessus.</w:t>
      </w:r>
    </w:p>
    <w:p w:rsidR="00467EB7" w:rsidRDefault="00467EB7" w:rsidP="00467EB7">
      <w:pPr>
        <w:pStyle w:val="SingleTxt"/>
        <w:ind w:left="2218" w:hanging="951"/>
        <w:rPr>
          <w:lang w:val="fr-CH"/>
        </w:rPr>
      </w:pPr>
    </w:p>
    <w:p w:rsidR="00D234BC" w:rsidRDefault="00D234BC">
      <w:pPr>
        <w:spacing w:line="240" w:lineRule="auto"/>
        <w:rPr>
          <w:lang w:val="fr-CH"/>
        </w:rPr>
        <w:sectPr w:rsidR="00D234BC" w:rsidSect="00D234BC">
          <w:headerReference w:type="even" r:id="rId51"/>
          <w:headerReference w:type="default" r:id="rId52"/>
          <w:footerReference w:type="even" r:id="rId53"/>
          <w:footerReference w:type="default" r:id="rId54"/>
          <w:footnotePr>
            <w:numRestart w:val="eachSect"/>
          </w:footnotePr>
          <w:pgSz w:w="11909" w:h="16834"/>
          <w:pgMar w:top="1742" w:right="936" w:bottom="1898" w:left="936" w:header="576" w:footer="1030" w:gutter="0"/>
          <w:cols w:space="720"/>
          <w:noEndnote/>
          <w:docGrid w:linePitch="360"/>
        </w:sectPr>
      </w:pPr>
    </w:p>
    <w:p w:rsidR="00467EB7" w:rsidRDefault="00467EB7" w:rsidP="00467E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73" w:name="_Toc381109787"/>
      <w:bookmarkStart w:id="74" w:name="_Toc413834103"/>
      <w:r w:rsidRPr="00FF17DC">
        <w:rPr>
          <w:lang w:val="fr-CH"/>
        </w:rPr>
        <w:lastRenderedPageBreak/>
        <w:t xml:space="preserve">Annexe 7 </w:t>
      </w:r>
      <w:r>
        <w:rPr>
          <w:lang w:val="fr-CH"/>
        </w:rPr>
        <w:t>–</w:t>
      </w:r>
      <w:r w:rsidRPr="00FF17DC">
        <w:rPr>
          <w:lang w:val="fr-CH"/>
        </w:rPr>
        <w:t xml:space="preserve"> Appendi</w:t>
      </w:r>
      <w:bookmarkEnd w:id="73"/>
      <w:bookmarkEnd w:id="74"/>
      <w:r w:rsidRPr="00FF17DC">
        <w:rPr>
          <w:lang w:val="fr-CH"/>
        </w:rPr>
        <w:t>ce</w:t>
      </w:r>
    </w:p>
    <w:p w:rsidR="00467EB7" w:rsidRPr="00FF17DC" w:rsidRDefault="00467EB7" w:rsidP="00467EB7">
      <w:pPr>
        <w:pStyle w:val="SingleTxt"/>
        <w:spacing w:after="0" w:line="120" w:lineRule="exact"/>
        <w:rPr>
          <w:sz w:val="10"/>
          <w:lang w:val="fr-CH"/>
        </w:rPr>
      </w:pPr>
    </w:p>
    <w:p w:rsidR="00467EB7" w:rsidRPr="00FF17DC" w:rsidRDefault="00467EB7" w:rsidP="00467EB7">
      <w:pPr>
        <w:pStyle w:val="SingleTxt"/>
        <w:spacing w:after="0" w:line="120" w:lineRule="exact"/>
        <w:rPr>
          <w:sz w:val="10"/>
          <w:lang w:val="fr-CH"/>
        </w:rPr>
      </w:pPr>
    </w:p>
    <w:p w:rsidR="00467EB7" w:rsidRDefault="00467EB7" w:rsidP="00467E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FF17DC">
        <w:rPr>
          <w:lang w:val="fr-CH"/>
        </w:rPr>
        <w:tab/>
      </w:r>
      <w:r w:rsidRPr="00FF17DC">
        <w:rPr>
          <w:lang w:val="fr-CH"/>
        </w:rPr>
        <w:tab/>
      </w:r>
      <w:bookmarkStart w:id="75" w:name="_Toc381109064"/>
      <w:bookmarkStart w:id="76" w:name="_Toc381109129"/>
      <w:bookmarkStart w:id="77" w:name="_Toc381109788"/>
      <w:bookmarkStart w:id="78" w:name="_Toc413834104"/>
      <w:r w:rsidRPr="00FF17DC">
        <w:rPr>
          <w:lang w:val="fr-CH"/>
        </w:rPr>
        <w:t xml:space="preserve">Courbe d’équivalence − bande de tolérance </w:t>
      </w:r>
      <w:r>
        <w:rPr>
          <w:lang w:val="fr-CH"/>
        </w:rPr>
        <w:br/>
      </w:r>
      <w:r w:rsidRPr="00FF17DC">
        <w:rPr>
          <w:lang w:val="fr-CH"/>
        </w:rPr>
        <w:t xml:space="preserve">pour la courbe </w:t>
      </w:r>
      <w:r w:rsidRPr="00FF17DC">
        <w:rPr>
          <w:lang w:val="fr-CH"/>
        </w:rPr>
        <w:sym w:font="Symbol" w:char="F044"/>
      </w:r>
      <w:r w:rsidRPr="00FF17DC">
        <w:rPr>
          <w:lang w:val="fr-CH"/>
        </w:rPr>
        <w:t>V = f(t)</w:t>
      </w:r>
      <w:bookmarkEnd w:id="75"/>
      <w:bookmarkEnd w:id="76"/>
      <w:bookmarkEnd w:id="77"/>
      <w:bookmarkEnd w:id="78"/>
    </w:p>
    <w:p w:rsidR="00467EB7" w:rsidRPr="00FF17DC" w:rsidRDefault="00467EB7" w:rsidP="00467EB7">
      <w:pPr>
        <w:pStyle w:val="SingleTxt"/>
        <w:spacing w:after="0" w:line="120" w:lineRule="exact"/>
        <w:rPr>
          <w:sz w:val="10"/>
          <w:lang w:val="fr-CH"/>
        </w:rPr>
      </w:pPr>
    </w:p>
    <w:p w:rsidR="00467EB7" w:rsidRPr="00FF17DC" w:rsidRDefault="00467EB7" w:rsidP="00467EB7">
      <w:pPr>
        <w:pStyle w:val="SingleTxt"/>
        <w:spacing w:after="0" w:line="120" w:lineRule="exact"/>
        <w:rPr>
          <w:sz w:val="10"/>
          <w:lang w:val="fr-CH"/>
        </w:rPr>
      </w:pPr>
    </w:p>
    <w:bookmarkStart w:id="79" w:name="_MON_1468329399"/>
    <w:bookmarkEnd w:id="79"/>
    <w:p w:rsidR="00467EB7" w:rsidRDefault="00467EB7" w:rsidP="00467EB7">
      <w:pPr>
        <w:pStyle w:val="SingleTxt"/>
        <w:spacing w:line="240" w:lineRule="auto"/>
        <w:rPr>
          <w:lang w:val="fr-CH"/>
        </w:rPr>
      </w:pPr>
      <w:r w:rsidRPr="008957EC">
        <w:rPr>
          <w:lang w:val="fr-CH"/>
        </w:rPr>
        <w:object w:dxaOrig="7101" w:dyaOrig="8684">
          <v:shape id="_x0000_i1026" type="#_x0000_t75" style="width:365.35pt;height:439.4pt" o:ole="" o:bordertopcolor="this" o:borderleftcolor="this" o:borderbottomcolor="this" o:borderrightcolor="this">
            <v:imagedata r:id="rId55" o:title="" croptop="-1284f" cropbottom="-856f" cropleft="-1622f" cropright="-1622f"/>
            <w10:bordertop type="single" width="4"/>
            <w10:borderleft type="single" width="4"/>
            <w10:borderbottom type="single" width="4"/>
            <w10:borderright type="single" width="4"/>
          </v:shape>
          <o:OLEObject Type="Embed" ProgID="Word.Picture.8" ShapeID="_x0000_i1026" DrawAspect="Content" ObjectID="_1509284036" r:id="rId56"/>
        </w:object>
      </w:r>
    </w:p>
    <w:p w:rsidR="00467EB7" w:rsidRPr="006C1E33" w:rsidRDefault="00467EB7" w:rsidP="006C1E33">
      <w:pPr>
        <w:pStyle w:val="SingleTxt"/>
        <w:spacing w:after="0" w:line="120" w:lineRule="exact"/>
        <w:ind w:left="2218" w:hanging="951"/>
        <w:rPr>
          <w:sz w:val="10"/>
          <w:lang w:val="fr-CH"/>
        </w:rPr>
      </w:pPr>
    </w:p>
    <w:p w:rsidR="006C1E33" w:rsidRPr="006C1E33" w:rsidRDefault="006C1E33" w:rsidP="006C1E33">
      <w:pPr>
        <w:pStyle w:val="SingleTxt"/>
        <w:spacing w:after="0" w:line="120" w:lineRule="exact"/>
        <w:ind w:left="2218" w:hanging="951"/>
        <w:rPr>
          <w:sz w:val="10"/>
          <w:lang w:val="fr-CH"/>
        </w:rPr>
      </w:pPr>
    </w:p>
    <w:p w:rsidR="00D234BC" w:rsidRDefault="00D234BC">
      <w:pPr>
        <w:spacing w:line="240" w:lineRule="auto"/>
        <w:rPr>
          <w:lang w:val="fr-CH"/>
        </w:rPr>
        <w:sectPr w:rsidR="00D234BC" w:rsidSect="00D234BC">
          <w:headerReference w:type="default" r:id="rId57"/>
          <w:footerReference w:type="default" r:id="rId58"/>
          <w:footnotePr>
            <w:numRestart w:val="eachSect"/>
          </w:footnotePr>
          <w:pgSz w:w="11909" w:h="16834"/>
          <w:pgMar w:top="1742" w:right="936" w:bottom="1898" w:left="936" w:header="576" w:footer="1030" w:gutter="0"/>
          <w:cols w:space="720"/>
          <w:noEndnote/>
          <w:docGrid w:linePitch="360"/>
        </w:sectPr>
      </w:pPr>
    </w:p>
    <w:p w:rsidR="00467EB7" w:rsidRDefault="00467EB7" w:rsidP="00467E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80" w:name="_Toc381109789"/>
      <w:bookmarkStart w:id="81" w:name="_Toc413834105"/>
      <w:r w:rsidRPr="006D5EEA">
        <w:rPr>
          <w:lang w:val="fr-CH"/>
        </w:rPr>
        <w:lastRenderedPageBreak/>
        <w:t>Annexe 8</w:t>
      </w:r>
      <w:bookmarkEnd w:id="80"/>
      <w:bookmarkEnd w:id="81"/>
    </w:p>
    <w:p w:rsidR="00467EB7" w:rsidRPr="006D5EEA" w:rsidRDefault="00467EB7" w:rsidP="00467EB7">
      <w:pPr>
        <w:pStyle w:val="SingleTxt"/>
        <w:spacing w:after="0" w:line="120" w:lineRule="exact"/>
        <w:rPr>
          <w:sz w:val="10"/>
          <w:lang w:val="fr-CH"/>
        </w:rPr>
      </w:pPr>
    </w:p>
    <w:p w:rsidR="00467EB7" w:rsidRDefault="00467EB7" w:rsidP="00467E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6D5EEA">
        <w:rPr>
          <w:lang w:val="fr-CH"/>
        </w:rPr>
        <w:tab/>
      </w:r>
      <w:r w:rsidRPr="006D5EEA">
        <w:rPr>
          <w:lang w:val="fr-CH"/>
        </w:rPr>
        <w:tab/>
      </w:r>
      <w:bookmarkStart w:id="82" w:name="_Toc355617338"/>
      <w:r w:rsidRPr="006D5EEA">
        <w:rPr>
          <w:lang w:val="fr-CH"/>
        </w:rPr>
        <w:t>Technique de mesurage pour les essais de mesure</w:t>
      </w:r>
      <w:r>
        <w:rPr>
          <w:lang w:val="fr-CH"/>
        </w:rPr>
        <w:t> </w:t>
      </w:r>
      <w:r w:rsidRPr="006D5EEA">
        <w:rPr>
          <w:lang w:val="fr-CH"/>
        </w:rPr>
        <w:t>: instrumentation</w:t>
      </w:r>
      <w:bookmarkEnd w:id="82"/>
    </w:p>
    <w:p w:rsidR="00467EB7" w:rsidRPr="006D5EEA" w:rsidRDefault="00467EB7" w:rsidP="00467EB7">
      <w:pPr>
        <w:pStyle w:val="SingleTxt"/>
        <w:spacing w:after="0" w:line="120" w:lineRule="exact"/>
        <w:rPr>
          <w:sz w:val="10"/>
          <w:lang w:val="fr-CH"/>
        </w:rPr>
      </w:pPr>
    </w:p>
    <w:p w:rsidR="00467EB7" w:rsidRPr="006D5EEA" w:rsidRDefault="00467EB7" w:rsidP="00467EB7">
      <w:pPr>
        <w:pStyle w:val="SingleTxt"/>
        <w:spacing w:after="0" w:line="120" w:lineRule="exact"/>
        <w:rPr>
          <w:sz w:val="10"/>
          <w:lang w:val="fr-CH"/>
        </w:rPr>
      </w:pPr>
    </w:p>
    <w:p w:rsidR="00467EB7" w:rsidRPr="006D5EEA" w:rsidRDefault="00467EB7" w:rsidP="00467EB7">
      <w:pPr>
        <w:pStyle w:val="SingleTxt"/>
        <w:rPr>
          <w:lang w:val="fr-CH"/>
        </w:rPr>
      </w:pPr>
      <w:r w:rsidRPr="006D5EEA">
        <w:rPr>
          <w:lang w:val="fr-CH"/>
        </w:rPr>
        <w:t>1.</w:t>
      </w:r>
      <w:r w:rsidRPr="006D5EEA">
        <w:rPr>
          <w:lang w:val="fr-CH"/>
        </w:rPr>
        <w:tab/>
      </w:r>
      <w:r>
        <w:rPr>
          <w:lang w:val="fr-CH"/>
        </w:rPr>
        <w:tab/>
      </w:r>
      <w:r w:rsidRPr="006D5EEA">
        <w:rPr>
          <w:lang w:val="fr-CH"/>
        </w:rPr>
        <w:t>Définitions</w:t>
      </w:r>
    </w:p>
    <w:p w:rsidR="00467EB7" w:rsidRPr="006D5EEA" w:rsidRDefault="00467EB7" w:rsidP="00467EB7">
      <w:pPr>
        <w:pStyle w:val="SingleTxt"/>
        <w:rPr>
          <w:lang w:val="fr-CH"/>
        </w:rPr>
      </w:pPr>
      <w:r w:rsidRPr="006D5EEA">
        <w:rPr>
          <w:lang w:val="fr-CH"/>
        </w:rPr>
        <w:t>1.1</w:t>
      </w:r>
      <w:r w:rsidRPr="006D5EEA">
        <w:rPr>
          <w:lang w:val="fr-CH"/>
        </w:rPr>
        <w:tab/>
      </w:r>
      <w:r>
        <w:rPr>
          <w:lang w:val="fr-CH"/>
        </w:rPr>
        <w:tab/>
      </w:r>
      <w:r w:rsidRPr="006D5EEA">
        <w:rPr>
          <w:lang w:val="fr-CH"/>
        </w:rPr>
        <w:t>Chaîne de mesurage</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Une chaîne de mesurage comprend tous les éléments à partir du capteur (ou</w:t>
      </w:r>
      <w:r>
        <w:rPr>
          <w:lang w:val="fr-CH"/>
        </w:rPr>
        <w:t xml:space="preserve"> </w:t>
      </w:r>
      <w:r w:rsidRPr="006D5EEA">
        <w:rPr>
          <w:lang w:val="fr-CH"/>
        </w:rPr>
        <w:t>les capteurs dont les signaux de sortie sont combinés) jusqu’à et y compris toutes les procédures d’analyse qui pourraient modifier le contenu des données en fréquence ou en amplitude.</w:t>
      </w:r>
    </w:p>
    <w:p w:rsidR="00467EB7" w:rsidRPr="006D5EEA" w:rsidRDefault="00467EB7" w:rsidP="00467EB7">
      <w:pPr>
        <w:pStyle w:val="SingleTxt"/>
        <w:rPr>
          <w:lang w:val="fr-CH"/>
        </w:rPr>
      </w:pPr>
      <w:r w:rsidRPr="006D5EEA">
        <w:rPr>
          <w:lang w:val="fr-CH"/>
        </w:rPr>
        <w:t>1.2</w:t>
      </w:r>
      <w:r w:rsidRPr="006D5EEA">
        <w:rPr>
          <w:lang w:val="fr-CH"/>
        </w:rPr>
        <w:tab/>
      </w:r>
      <w:r>
        <w:rPr>
          <w:lang w:val="fr-CH"/>
        </w:rPr>
        <w:tab/>
      </w:r>
      <w:r w:rsidRPr="006D5EEA">
        <w:rPr>
          <w:lang w:val="fr-CH"/>
        </w:rPr>
        <w:t>Capteur</w:t>
      </w:r>
    </w:p>
    <w:p w:rsidR="00467EB7" w:rsidRPr="006D5EEA" w:rsidRDefault="00467EB7" w:rsidP="00467EB7">
      <w:pPr>
        <w:pStyle w:val="SingleTxt"/>
        <w:ind w:left="2218" w:hanging="951"/>
        <w:rPr>
          <w:lang w:val="fr-CH"/>
        </w:rPr>
      </w:pPr>
      <w:r w:rsidRPr="006D5EEA">
        <w:rPr>
          <w:lang w:val="fr-CH"/>
        </w:rPr>
        <w:tab/>
      </w:r>
      <w:r>
        <w:rPr>
          <w:lang w:val="fr-CH"/>
        </w:rPr>
        <w:tab/>
        <w:t>P</w:t>
      </w:r>
      <w:r w:rsidRPr="006D5EEA">
        <w:rPr>
          <w:lang w:val="fr-CH"/>
        </w:rPr>
        <w:t>remier élément d’une chaîne de mesurage,</w:t>
      </w:r>
      <w:r>
        <w:rPr>
          <w:lang w:val="fr-CH"/>
        </w:rPr>
        <w:t xml:space="preserve"> il est</w:t>
      </w:r>
      <w:r w:rsidRPr="006D5EEA">
        <w:rPr>
          <w:lang w:val="fr-CH"/>
        </w:rPr>
        <w:t xml:space="preserve"> utilisé pour convertir une grandeur physique à mesurer en une seconde grandeur (par exemple tension électrique) pouvant être traitée par les autres éléments de la chaîne de mesurage.</w:t>
      </w:r>
    </w:p>
    <w:p w:rsidR="00467EB7" w:rsidRPr="006D5EEA" w:rsidRDefault="00467EB7" w:rsidP="00467EB7">
      <w:pPr>
        <w:pStyle w:val="SingleTxt"/>
        <w:rPr>
          <w:lang w:val="fr-CH"/>
        </w:rPr>
      </w:pPr>
      <w:r w:rsidRPr="006D5EEA">
        <w:rPr>
          <w:lang w:val="fr-CH"/>
        </w:rPr>
        <w:t>1.3</w:t>
      </w:r>
      <w:r w:rsidRPr="006D5EEA">
        <w:rPr>
          <w:lang w:val="fr-CH"/>
        </w:rPr>
        <w:tab/>
      </w:r>
      <w:r>
        <w:rPr>
          <w:lang w:val="fr-CH"/>
        </w:rPr>
        <w:tab/>
      </w:r>
      <w:r w:rsidRPr="006D5EEA">
        <w:rPr>
          <w:lang w:val="fr-CH"/>
        </w:rPr>
        <w:t>Classe d’amplitude de la chaîne de mesurage</w:t>
      </w:r>
      <w:r w:rsidR="00172B64">
        <w:rPr>
          <w:lang w:val="fr-CH"/>
        </w:rPr>
        <w:t> </w:t>
      </w:r>
      <w:r w:rsidRPr="006D5EEA">
        <w:rPr>
          <w:lang w:val="fr-CH"/>
        </w:rPr>
        <w:t>: CAC</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 xml:space="preserve">L’appellation pour une chaîne de mesurage qui satisfait à certaines caractéristiques d’amplitude </w:t>
      </w:r>
      <w:r>
        <w:rPr>
          <w:lang w:val="fr-CH"/>
        </w:rPr>
        <w:t xml:space="preserve">définies </w:t>
      </w:r>
      <w:r w:rsidRPr="006D5EEA">
        <w:rPr>
          <w:lang w:val="fr-CH"/>
        </w:rPr>
        <w:t>dans la présente annexe. Elle est désignée par un nombre qui a pour valeur la limite supérieure de l’étendue de mesurage.</w:t>
      </w:r>
    </w:p>
    <w:p w:rsidR="00467EB7" w:rsidRPr="006D5EEA" w:rsidRDefault="00467EB7" w:rsidP="00467EB7">
      <w:pPr>
        <w:pStyle w:val="SingleTxt"/>
        <w:rPr>
          <w:lang w:val="fr-CH"/>
        </w:rPr>
      </w:pPr>
      <w:r w:rsidRPr="006D5EEA">
        <w:rPr>
          <w:lang w:val="fr-CH"/>
        </w:rPr>
        <w:t>1.4</w:t>
      </w:r>
      <w:r w:rsidRPr="006D5EEA">
        <w:rPr>
          <w:lang w:val="fr-CH"/>
        </w:rPr>
        <w:tab/>
      </w:r>
      <w:r>
        <w:rPr>
          <w:lang w:val="fr-CH"/>
        </w:rPr>
        <w:tab/>
      </w:r>
      <w:r w:rsidRPr="006D5EEA">
        <w:rPr>
          <w:lang w:val="fr-CH"/>
        </w:rPr>
        <w:t>Fréquences caractéristiques F</w:t>
      </w:r>
      <w:r w:rsidRPr="006D5EEA">
        <w:rPr>
          <w:vertAlign w:val="subscript"/>
          <w:lang w:val="fr-CH"/>
        </w:rPr>
        <w:t>H</w:t>
      </w:r>
      <w:r w:rsidRPr="006D5EEA">
        <w:rPr>
          <w:lang w:val="fr-CH"/>
        </w:rPr>
        <w:t>, F</w:t>
      </w:r>
      <w:r w:rsidRPr="006D5EEA">
        <w:rPr>
          <w:vertAlign w:val="subscript"/>
          <w:lang w:val="fr-CH"/>
        </w:rPr>
        <w:t>L</w:t>
      </w:r>
      <w:r w:rsidRPr="006D5EEA">
        <w:rPr>
          <w:lang w:val="fr-CH"/>
        </w:rPr>
        <w:t>, F</w:t>
      </w:r>
      <w:r w:rsidRPr="006D5EEA">
        <w:rPr>
          <w:vertAlign w:val="subscript"/>
          <w:lang w:val="fr-CH"/>
        </w:rPr>
        <w:t>N</w:t>
      </w:r>
    </w:p>
    <w:p w:rsidR="00467EB7" w:rsidRPr="006D5EEA" w:rsidRDefault="00467EB7" w:rsidP="00467EB7">
      <w:pPr>
        <w:pStyle w:val="SingleTxt"/>
        <w:rPr>
          <w:lang w:val="fr-CH"/>
        </w:rPr>
      </w:pPr>
      <w:r w:rsidRPr="006D5EEA">
        <w:rPr>
          <w:lang w:val="fr-CH"/>
        </w:rPr>
        <w:tab/>
      </w:r>
      <w:r>
        <w:rPr>
          <w:lang w:val="fr-CH"/>
        </w:rPr>
        <w:tab/>
      </w:r>
      <w:r w:rsidRPr="006D5EEA">
        <w:rPr>
          <w:lang w:val="fr-CH"/>
        </w:rPr>
        <w:t>Ces fréquences sont définies par la figure 1 de la présente annexe.</w:t>
      </w:r>
    </w:p>
    <w:p w:rsidR="00467EB7" w:rsidRPr="006D5EEA" w:rsidRDefault="00467EB7" w:rsidP="00467EB7">
      <w:pPr>
        <w:pStyle w:val="SingleTxt"/>
        <w:rPr>
          <w:lang w:val="fr-CH"/>
        </w:rPr>
      </w:pPr>
      <w:r w:rsidRPr="006D5EEA">
        <w:rPr>
          <w:lang w:val="fr-CH"/>
        </w:rPr>
        <w:t>1.5</w:t>
      </w:r>
      <w:r w:rsidRPr="006D5EEA">
        <w:rPr>
          <w:lang w:val="fr-CH"/>
        </w:rPr>
        <w:tab/>
      </w:r>
      <w:r>
        <w:rPr>
          <w:lang w:val="fr-CH"/>
        </w:rPr>
        <w:tab/>
      </w:r>
      <w:r w:rsidRPr="006D5EEA">
        <w:rPr>
          <w:lang w:val="fr-CH"/>
        </w:rPr>
        <w:t>Classe de fréquence de la chaîne de mesurage</w:t>
      </w:r>
      <w:r>
        <w:rPr>
          <w:lang w:val="fr-CH"/>
        </w:rPr>
        <w:t> </w:t>
      </w:r>
      <w:r w:rsidRPr="006D5EEA">
        <w:rPr>
          <w:lang w:val="fr-CH"/>
        </w:rPr>
        <w:t>: CFC</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 xml:space="preserve">La classe de fréquence est désignée par un nombre indiquant que la réponse en fréquence de la chaîne de mesurage se situe dans les limites </w:t>
      </w:r>
      <w:r>
        <w:rPr>
          <w:lang w:val="fr-CH"/>
        </w:rPr>
        <w:t>définies</w:t>
      </w:r>
      <w:r w:rsidRPr="006D5EEA">
        <w:rPr>
          <w:lang w:val="fr-CH"/>
        </w:rPr>
        <w:t xml:space="preserve"> </w:t>
      </w:r>
      <w:r>
        <w:rPr>
          <w:lang w:val="fr-CH"/>
        </w:rPr>
        <w:t>à</w:t>
      </w:r>
      <w:r w:rsidRPr="006D5EEA">
        <w:rPr>
          <w:lang w:val="fr-CH"/>
        </w:rPr>
        <w:t xml:space="preserve"> la figure 1 de la présente annexe. Ce nombre et la valeur de la fréquence F</w:t>
      </w:r>
      <w:r w:rsidRPr="006D5EEA">
        <w:rPr>
          <w:vertAlign w:val="subscript"/>
          <w:lang w:val="fr-CH"/>
        </w:rPr>
        <w:t>H</w:t>
      </w:r>
      <w:r w:rsidRPr="006D5EEA">
        <w:rPr>
          <w:lang w:val="fr-CH"/>
        </w:rPr>
        <w:t>, en Hz, sont numériquement égaux.</w:t>
      </w:r>
    </w:p>
    <w:p w:rsidR="00467EB7" w:rsidRPr="006D5EEA" w:rsidRDefault="00467EB7" w:rsidP="00467EB7">
      <w:pPr>
        <w:pStyle w:val="SingleTxt"/>
        <w:rPr>
          <w:lang w:val="fr-CH"/>
        </w:rPr>
      </w:pPr>
      <w:r w:rsidRPr="006D5EEA">
        <w:rPr>
          <w:lang w:val="fr-CH"/>
        </w:rPr>
        <w:t>1.6</w:t>
      </w:r>
      <w:r w:rsidRPr="006D5EEA">
        <w:rPr>
          <w:lang w:val="fr-CH"/>
        </w:rPr>
        <w:tab/>
      </w:r>
      <w:r>
        <w:rPr>
          <w:lang w:val="fr-CH"/>
        </w:rPr>
        <w:tab/>
      </w:r>
      <w:r w:rsidRPr="006D5EEA">
        <w:rPr>
          <w:lang w:val="fr-CH"/>
        </w:rPr>
        <w:t>Coefficient de sensibilité</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La pente de la droite qui est la meilleure approximation des valeurs d’étalonnage, déterminée par la méthode des moindres carrés dans la classe d’amplitude de la chaîne de mesurage.</w:t>
      </w:r>
    </w:p>
    <w:p w:rsidR="00467EB7" w:rsidRPr="006D5EEA" w:rsidRDefault="00467EB7" w:rsidP="00467EB7">
      <w:pPr>
        <w:pStyle w:val="SingleTxt"/>
        <w:rPr>
          <w:lang w:val="fr-CH"/>
        </w:rPr>
      </w:pPr>
      <w:r w:rsidRPr="006D5EEA">
        <w:rPr>
          <w:lang w:val="fr-CH"/>
        </w:rPr>
        <w:t>1.7</w:t>
      </w:r>
      <w:r w:rsidRPr="006D5EEA">
        <w:rPr>
          <w:lang w:val="fr-CH"/>
        </w:rPr>
        <w:tab/>
      </w:r>
      <w:r>
        <w:rPr>
          <w:lang w:val="fr-CH"/>
        </w:rPr>
        <w:tab/>
      </w:r>
      <w:r w:rsidRPr="006D5EEA">
        <w:rPr>
          <w:lang w:val="fr-CH"/>
        </w:rPr>
        <w:t>Facteur d’étalonnage d’une chaîne de mesurage</w:t>
      </w:r>
    </w:p>
    <w:p w:rsidR="00467EB7" w:rsidRDefault="00467EB7" w:rsidP="00467EB7">
      <w:pPr>
        <w:pStyle w:val="SingleTxt"/>
        <w:spacing w:after="80" w:line="240" w:lineRule="auto"/>
        <w:ind w:left="2217" w:hanging="950"/>
        <w:rPr>
          <w:lang w:val="fr-CH"/>
        </w:rPr>
      </w:pPr>
      <w:r w:rsidRPr="006D5EEA">
        <w:rPr>
          <w:lang w:val="fr-CH"/>
        </w:rPr>
        <w:tab/>
      </w:r>
      <w:r>
        <w:rPr>
          <w:lang w:val="fr-CH"/>
        </w:rPr>
        <w:tab/>
      </w:r>
      <w:r w:rsidRPr="006D5EEA">
        <w:rPr>
          <w:lang w:val="fr-CH"/>
        </w:rPr>
        <w:t>La valeur moyenne des coefficients de sensibilité évalués à des fréquences également réparties sur une échelle logarithmique entre</w:t>
      </w:r>
      <w:r>
        <w:rPr>
          <w:lang w:val="fr-CH"/>
        </w:rPr>
        <w:t xml:space="preserve"> </w:t>
      </w:r>
      <w:r w:rsidRPr="002F0B6B">
        <w:rPr>
          <w:position w:val="-24"/>
        </w:rPr>
        <w:object w:dxaOrig="880" w:dyaOrig="580">
          <v:shape id="_x0000_i1027" type="#_x0000_t75" style="width:44pt;height:29pt" o:ole="">
            <v:imagedata r:id="rId59" o:title=""/>
          </v:shape>
          <o:OLEObject Type="Embed" ProgID="Equation.3" ShapeID="_x0000_i1027" DrawAspect="Content" ObjectID="_1509284037" r:id="rId60"/>
        </w:object>
      </w:r>
    </w:p>
    <w:p w:rsidR="00467EB7" w:rsidRPr="006D5EEA" w:rsidRDefault="00467EB7" w:rsidP="00467EB7">
      <w:pPr>
        <w:pStyle w:val="SingleTxt"/>
        <w:rPr>
          <w:lang w:val="fr-CH"/>
        </w:rPr>
      </w:pPr>
      <w:r w:rsidRPr="006D5EEA">
        <w:rPr>
          <w:lang w:val="fr-CH"/>
        </w:rPr>
        <w:t>1.8</w:t>
      </w:r>
      <w:r w:rsidRPr="006D5EEA">
        <w:rPr>
          <w:lang w:val="fr-CH"/>
        </w:rPr>
        <w:tab/>
      </w:r>
      <w:r>
        <w:rPr>
          <w:lang w:val="fr-CH"/>
        </w:rPr>
        <w:tab/>
      </w:r>
      <w:r w:rsidRPr="006D5EEA">
        <w:rPr>
          <w:lang w:val="fr-CH"/>
        </w:rPr>
        <w:t>Erreur de linéarité</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Le rapport, en pourcentage, de l’écart maximal entre la valeur enregistrée lors de l’étalonnage et la valeur lue sur la droite définie au paragraphe 1.6 ci</w:t>
      </w:r>
      <w:r w:rsidRPr="006D5EEA">
        <w:rPr>
          <w:lang w:val="fr-CH"/>
        </w:rPr>
        <w:noBreakHyphen/>
        <w:t>dessus, à la limite supérieure de la classe d’amplitude de la chaîne de mesurage.</w:t>
      </w:r>
    </w:p>
    <w:p w:rsidR="00467EB7" w:rsidRPr="006D5EEA" w:rsidRDefault="00467EB7" w:rsidP="00467EB7">
      <w:pPr>
        <w:pStyle w:val="SingleTxt"/>
        <w:rPr>
          <w:lang w:val="fr-CH"/>
        </w:rPr>
      </w:pPr>
      <w:r w:rsidRPr="006D5EEA">
        <w:rPr>
          <w:lang w:val="fr-CH"/>
        </w:rPr>
        <w:t>1.9</w:t>
      </w:r>
      <w:r w:rsidRPr="006D5EEA">
        <w:rPr>
          <w:lang w:val="fr-CH"/>
        </w:rPr>
        <w:tab/>
      </w:r>
      <w:r>
        <w:rPr>
          <w:lang w:val="fr-CH"/>
        </w:rPr>
        <w:tab/>
      </w:r>
      <w:r w:rsidRPr="006D5EEA">
        <w:rPr>
          <w:lang w:val="fr-CH"/>
        </w:rPr>
        <w:t>Sensibilité transversale</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Le rapport du signal de sortie au signal d’entrée lorsque le capteur est soumis à une excitation perpendiculaire à l’axe de mesure. Il s’exprime en pourcentage de la sensibilité sur l’axe de mesure.</w:t>
      </w:r>
    </w:p>
    <w:p w:rsidR="00467EB7" w:rsidRPr="006D5EEA" w:rsidRDefault="00467EB7" w:rsidP="00467EB7">
      <w:pPr>
        <w:pStyle w:val="SingleTxt"/>
        <w:rPr>
          <w:lang w:val="fr-CH"/>
        </w:rPr>
      </w:pPr>
      <w:r w:rsidRPr="006D5EEA">
        <w:rPr>
          <w:lang w:val="fr-CH"/>
        </w:rPr>
        <w:lastRenderedPageBreak/>
        <w:t>1.10</w:t>
      </w:r>
      <w:r w:rsidRPr="006D5EEA">
        <w:rPr>
          <w:lang w:val="fr-CH"/>
        </w:rPr>
        <w:tab/>
      </w:r>
      <w:r>
        <w:rPr>
          <w:lang w:val="fr-CH"/>
        </w:rPr>
        <w:tab/>
      </w:r>
      <w:r w:rsidRPr="006D5EEA">
        <w:rPr>
          <w:lang w:val="fr-CH"/>
        </w:rPr>
        <w:t>Temps de retard de phase</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Le temps de retard de phase d’une chaîne de mesurage est égal au déphasage (exprimé en radians) d’un signal sinusoïdal, divisé par la pulsation de ce signal (exprimé en radians/seconde).</w:t>
      </w:r>
    </w:p>
    <w:p w:rsidR="00467EB7" w:rsidRPr="006D5EEA" w:rsidRDefault="00467EB7" w:rsidP="00467EB7">
      <w:pPr>
        <w:pStyle w:val="SingleTxt"/>
        <w:rPr>
          <w:lang w:val="fr-CH"/>
        </w:rPr>
      </w:pPr>
      <w:r w:rsidRPr="006D5EEA">
        <w:rPr>
          <w:lang w:val="fr-CH"/>
        </w:rPr>
        <w:t>1.11</w:t>
      </w:r>
      <w:r w:rsidRPr="006D5EEA">
        <w:rPr>
          <w:lang w:val="fr-CH"/>
        </w:rPr>
        <w:tab/>
      </w:r>
      <w:r>
        <w:rPr>
          <w:lang w:val="fr-CH"/>
        </w:rPr>
        <w:tab/>
      </w:r>
      <w:r w:rsidRPr="006D5EEA">
        <w:rPr>
          <w:lang w:val="fr-CH"/>
        </w:rPr>
        <w:t>Environnement</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L’ensemble, à un moment donné, de toutes les conditions et influences extérieures auxquelles la chaîne de mesurage est soumise.</w:t>
      </w:r>
    </w:p>
    <w:p w:rsidR="00467EB7" w:rsidRPr="006D5EEA" w:rsidRDefault="00467EB7" w:rsidP="00467EB7">
      <w:pPr>
        <w:pStyle w:val="SingleTxt"/>
        <w:rPr>
          <w:lang w:val="fr-CH"/>
        </w:rPr>
      </w:pPr>
      <w:r w:rsidRPr="006D5EEA">
        <w:rPr>
          <w:lang w:val="fr-CH"/>
        </w:rPr>
        <w:t>2.</w:t>
      </w:r>
      <w:r w:rsidRPr="006D5EEA">
        <w:rPr>
          <w:lang w:val="fr-CH"/>
        </w:rPr>
        <w:tab/>
      </w:r>
      <w:r>
        <w:rPr>
          <w:lang w:val="fr-CH"/>
        </w:rPr>
        <w:tab/>
      </w:r>
      <w:r w:rsidRPr="006D5EEA">
        <w:rPr>
          <w:lang w:val="fr-CH"/>
        </w:rPr>
        <w:t>Performances exigées</w:t>
      </w:r>
    </w:p>
    <w:p w:rsidR="00467EB7" w:rsidRPr="006D5EEA" w:rsidRDefault="00467EB7" w:rsidP="00467EB7">
      <w:pPr>
        <w:pStyle w:val="SingleTxt"/>
        <w:rPr>
          <w:u w:val="single"/>
          <w:lang w:val="fr-CH"/>
        </w:rPr>
      </w:pPr>
      <w:r w:rsidRPr="006D5EEA">
        <w:rPr>
          <w:lang w:val="fr-CH"/>
        </w:rPr>
        <w:t>2.1</w:t>
      </w:r>
      <w:r w:rsidRPr="006D5EEA">
        <w:rPr>
          <w:lang w:val="fr-CH"/>
        </w:rPr>
        <w:tab/>
      </w:r>
      <w:r>
        <w:rPr>
          <w:lang w:val="fr-CH"/>
        </w:rPr>
        <w:tab/>
      </w:r>
      <w:r w:rsidRPr="006D5EEA">
        <w:rPr>
          <w:lang w:val="fr-CH"/>
        </w:rPr>
        <w:t>Erreur de linéarité</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La valeur absolue de l’erreur de linéarité d’une chaîne de mesurage, à une fréquence quelconque comprise dans la CFC, doit être égale ou inférieure à 2,5 % de la valeur de la CAC, sur toute l’étendue de mesurage.</w:t>
      </w:r>
    </w:p>
    <w:p w:rsidR="00467EB7" w:rsidRPr="006D5EEA" w:rsidRDefault="00467EB7" w:rsidP="00467EB7">
      <w:pPr>
        <w:pStyle w:val="SingleTxt"/>
        <w:rPr>
          <w:lang w:val="fr-CH"/>
        </w:rPr>
      </w:pPr>
      <w:r w:rsidRPr="006D5EEA">
        <w:rPr>
          <w:lang w:val="fr-CH"/>
        </w:rPr>
        <w:t>2.2</w:t>
      </w:r>
      <w:r w:rsidRPr="006D5EEA">
        <w:rPr>
          <w:lang w:val="fr-CH"/>
        </w:rPr>
        <w:tab/>
      </w:r>
      <w:r>
        <w:rPr>
          <w:lang w:val="fr-CH"/>
        </w:rPr>
        <w:tab/>
      </w:r>
      <w:r w:rsidRPr="006D5EEA">
        <w:rPr>
          <w:lang w:val="fr-CH"/>
        </w:rPr>
        <w:t>Amplitude en fonction de la fréquence</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 xml:space="preserve">La courbe de réponse en fréquence d’une chaîne de mesurage doit se situer </w:t>
      </w:r>
      <w:r w:rsidRPr="00466CC6">
        <w:rPr>
          <w:spacing w:val="2"/>
          <w:lang w:val="fr-CH"/>
        </w:rPr>
        <w:t>dans l’enveloppe donnée par la figure</w:t>
      </w:r>
      <w:r>
        <w:rPr>
          <w:spacing w:val="2"/>
          <w:lang w:val="fr-CH"/>
        </w:rPr>
        <w:t xml:space="preserve"> </w:t>
      </w:r>
      <w:r w:rsidRPr="00466CC6">
        <w:rPr>
          <w:spacing w:val="2"/>
          <w:lang w:val="fr-CH"/>
        </w:rPr>
        <w:t>1 de la présente annexe. La ligne 0 dB</w:t>
      </w:r>
      <w:r w:rsidRPr="006D5EEA">
        <w:rPr>
          <w:lang w:val="fr-CH"/>
        </w:rPr>
        <w:t xml:space="preserve"> est déterminée par le facteur d’étalonnage.</w:t>
      </w:r>
    </w:p>
    <w:p w:rsidR="00467EB7" w:rsidRPr="006D5EEA" w:rsidRDefault="00467EB7" w:rsidP="00467EB7">
      <w:pPr>
        <w:pStyle w:val="SingleTxt"/>
        <w:rPr>
          <w:lang w:val="fr-CH"/>
        </w:rPr>
      </w:pPr>
      <w:r w:rsidRPr="006D5EEA">
        <w:rPr>
          <w:lang w:val="fr-CH"/>
        </w:rPr>
        <w:t>2.3</w:t>
      </w:r>
      <w:r w:rsidRPr="006D5EEA">
        <w:rPr>
          <w:lang w:val="fr-CH"/>
        </w:rPr>
        <w:tab/>
      </w:r>
      <w:r>
        <w:rPr>
          <w:lang w:val="fr-CH"/>
        </w:rPr>
        <w:tab/>
      </w:r>
      <w:r w:rsidRPr="006D5EEA">
        <w:rPr>
          <w:lang w:val="fr-CH"/>
        </w:rPr>
        <w:t>Temps de retard de phase</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Le temps de retard de phase entre le signal d’entrée et le signal de sortie d’une chaîne de mesurage doit être déterminé et ne doit pas varier de plus de 1/10 F</w:t>
      </w:r>
      <w:r w:rsidRPr="006D5EEA">
        <w:rPr>
          <w:vertAlign w:val="subscript"/>
          <w:lang w:val="fr-CH"/>
        </w:rPr>
        <w:t>H</w:t>
      </w:r>
      <w:r w:rsidRPr="006D5EEA">
        <w:rPr>
          <w:lang w:val="fr-CH"/>
        </w:rPr>
        <w:t xml:space="preserve"> entre 0,03 F</w:t>
      </w:r>
      <w:r w:rsidRPr="006D5EEA">
        <w:rPr>
          <w:vertAlign w:val="subscript"/>
          <w:lang w:val="fr-CH"/>
        </w:rPr>
        <w:t>H</w:t>
      </w:r>
      <w:r w:rsidRPr="006D5EEA">
        <w:rPr>
          <w:lang w:val="fr-CH"/>
        </w:rPr>
        <w:t xml:space="preserve"> et F</w:t>
      </w:r>
      <w:r w:rsidRPr="006D5EEA">
        <w:rPr>
          <w:vertAlign w:val="subscript"/>
          <w:lang w:val="fr-CH"/>
        </w:rPr>
        <w:t>H</w:t>
      </w:r>
      <w:r w:rsidRPr="006D5EEA">
        <w:rPr>
          <w:lang w:val="fr-CH"/>
        </w:rPr>
        <w:t>.</w:t>
      </w:r>
    </w:p>
    <w:p w:rsidR="00467EB7" w:rsidRPr="006D5EEA" w:rsidRDefault="00467EB7" w:rsidP="00467EB7">
      <w:pPr>
        <w:pStyle w:val="SingleTxt"/>
        <w:rPr>
          <w:lang w:val="fr-CH"/>
        </w:rPr>
      </w:pPr>
      <w:r w:rsidRPr="006D5EEA">
        <w:rPr>
          <w:lang w:val="fr-CH"/>
        </w:rPr>
        <w:t>2.4</w:t>
      </w:r>
      <w:r w:rsidRPr="006D5EEA">
        <w:rPr>
          <w:lang w:val="fr-CH"/>
        </w:rPr>
        <w:tab/>
      </w:r>
      <w:r>
        <w:rPr>
          <w:lang w:val="fr-CH"/>
        </w:rPr>
        <w:tab/>
      </w:r>
      <w:r w:rsidRPr="006D5EEA">
        <w:rPr>
          <w:lang w:val="fr-CH"/>
        </w:rPr>
        <w:t>Temps</w:t>
      </w:r>
    </w:p>
    <w:p w:rsidR="00467EB7" w:rsidRPr="006D5EEA" w:rsidRDefault="00467EB7" w:rsidP="00467EB7">
      <w:pPr>
        <w:pStyle w:val="SingleTxt"/>
        <w:rPr>
          <w:lang w:val="fr-CH"/>
        </w:rPr>
      </w:pPr>
      <w:r w:rsidRPr="006D5EEA">
        <w:rPr>
          <w:lang w:val="fr-CH"/>
        </w:rPr>
        <w:t>2.4.1</w:t>
      </w:r>
      <w:r w:rsidRPr="006D5EEA">
        <w:rPr>
          <w:lang w:val="fr-CH"/>
        </w:rPr>
        <w:tab/>
      </w:r>
      <w:r>
        <w:rPr>
          <w:lang w:val="fr-CH"/>
        </w:rPr>
        <w:tab/>
      </w:r>
      <w:r w:rsidRPr="006D5EEA">
        <w:rPr>
          <w:lang w:val="fr-CH"/>
        </w:rPr>
        <w:t>Base de temps</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Une base de temps doit être enregistrée. Cette base de temps doit donner au moins 1/100 s avec une précision de 1 %.</w:t>
      </w:r>
    </w:p>
    <w:p w:rsidR="00467EB7" w:rsidRPr="006D5EEA" w:rsidRDefault="00467EB7" w:rsidP="00467EB7">
      <w:pPr>
        <w:pStyle w:val="SingleTxt"/>
        <w:rPr>
          <w:lang w:val="fr-CH"/>
        </w:rPr>
      </w:pPr>
      <w:r w:rsidRPr="006D5EEA">
        <w:rPr>
          <w:lang w:val="fr-CH"/>
        </w:rPr>
        <w:t>2.4.2</w:t>
      </w:r>
      <w:r w:rsidRPr="006D5EEA">
        <w:rPr>
          <w:lang w:val="fr-CH"/>
        </w:rPr>
        <w:tab/>
      </w:r>
      <w:r>
        <w:rPr>
          <w:lang w:val="fr-CH"/>
        </w:rPr>
        <w:tab/>
      </w:r>
      <w:r w:rsidRPr="006D5EEA">
        <w:rPr>
          <w:lang w:val="fr-CH"/>
        </w:rPr>
        <w:t>Temps de retard relatif</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Le temps de retard relatif entre les signaux de deux ou plusieurs chaînes de mesurage, quelle que soit leur classe de fr</w:t>
      </w:r>
      <w:r w:rsidR="00172B64">
        <w:rPr>
          <w:lang w:val="fr-CH"/>
        </w:rPr>
        <w:t>équence, ne doit pas dépasser 1 </w:t>
      </w:r>
      <w:r w:rsidRPr="006D5EEA">
        <w:rPr>
          <w:lang w:val="fr-CH"/>
        </w:rPr>
        <w:t>ms, retard dû au déphasage exclu.</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Deux ou plusieurs chaînes de mesurage, dont les signaux sont composés, doivent avoir la même classe de fréquence et ne pas avoir un temps de retard relatif supérieur à 1/10 F</w:t>
      </w:r>
      <w:r w:rsidRPr="006D5EEA">
        <w:rPr>
          <w:vertAlign w:val="subscript"/>
          <w:lang w:val="fr-CH"/>
        </w:rPr>
        <w:t>H</w:t>
      </w:r>
      <w:r w:rsidRPr="006D5EEA">
        <w:rPr>
          <w:lang w:val="fr-CH"/>
        </w:rPr>
        <w:t>.</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Cette prescription s’applique aux signaux analogiques ainsi qu’aux signaux numériques et aux impulsions de synchronisation.</w:t>
      </w:r>
    </w:p>
    <w:p w:rsidR="00467EB7" w:rsidRPr="006D5EEA" w:rsidRDefault="00467EB7" w:rsidP="00467EB7">
      <w:pPr>
        <w:pStyle w:val="SingleTxt"/>
        <w:rPr>
          <w:lang w:val="fr-CH"/>
        </w:rPr>
      </w:pPr>
      <w:r w:rsidRPr="006D5EEA">
        <w:rPr>
          <w:lang w:val="fr-CH"/>
        </w:rPr>
        <w:t>2.5</w:t>
      </w:r>
      <w:r w:rsidRPr="006D5EEA">
        <w:rPr>
          <w:lang w:val="fr-CH"/>
        </w:rPr>
        <w:tab/>
      </w:r>
      <w:r>
        <w:rPr>
          <w:lang w:val="fr-CH"/>
        </w:rPr>
        <w:tab/>
      </w:r>
      <w:r w:rsidRPr="006D5EEA">
        <w:rPr>
          <w:lang w:val="fr-CH"/>
        </w:rPr>
        <w:t>Sensibilité transverse du capteur</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La sensibilité transverse du capteur doit être inférieure à 5 % dans toutes les directions.</w:t>
      </w:r>
    </w:p>
    <w:p w:rsidR="00467EB7" w:rsidRPr="006D5EEA" w:rsidRDefault="00467EB7" w:rsidP="00467EB7">
      <w:pPr>
        <w:pStyle w:val="SingleTxt"/>
        <w:rPr>
          <w:lang w:val="fr-CH"/>
        </w:rPr>
      </w:pPr>
      <w:r w:rsidRPr="006D5EEA">
        <w:rPr>
          <w:lang w:val="fr-CH"/>
        </w:rPr>
        <w:t>2.6</w:t>
      </w:r>
      <w:r w:rsidRPr="006D5EEA">
        <w:rPr>
          <w:lang w:val="fr-CH"/>
        </w:rPr>
        <w:tab/>
      </w:r>
      <w:r>
        <w:rPr>
          <w:lang w:val="fr-CH"/>
        </w:rPr>
        <w:tab/>
      </w:r>
      <w:r w:rsidRPr="006D5EEA">
        <w:rPr>
          <w:lang w:val="fr-CH"/>
        </w:rPr>
        <w:t>Étalonnage</w:t>
      </w:r>
    </w:p>
    <w:p w:rsidR="00467EB7" w:rsidRPr="006D5EEA" w:rsidRDefault="00467EB7" w:rsidP="00467EB7">
      <w:pPr>
        <w:pStyle w:val="SingleTxt"/>
        <w:rPr>
          <w:lang w:val="fr-CH"/>
        </w:rPr>
      </w:pPr>
      <w:r w:rsidRPr="006D5EEA">
        <w:rPr>
          <w:lang w:val="fr-CH"/>
        </w:rPr>
        <w:t>2.6.1</w:t>
      </w:r>
      <w:r w:rsidRPr="006D5EEA">
        <w:rPr>
          <w:lang w:val="fr-CH"/>
        </w:rPr>
        <w:tab/>
      </w:r>
      <w:r>
        <w:rPr>
          <w:lang w:val="fr-CH"/>
        </w:rPr>
        <w:tab/>
      </w:r>
      <w:r w:rsidRPr="006D5EEA">
        <w:rPr>
          <w:lang w:val="fr-CH"/>
        </w:rPr>
        <w:t>Généralités</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 xml:space="preserve">Une chaîne de mesurage doit être étalonnée au moins une fois par an, par comparaison </w:t>
      </w:r>
      <w:r>
        <w:rPr>
          <w:lang w:val="fr-CH"/>
        </w:rPr>
        <w:t>avec</w:t>
      </w:r>
      <w:r w:rsidRPr="006D5EEA">
        <w:rPr>
          <w:lang w:val="fr-CH"/>
        </w:rPr>
        <w:t xml:space="preserve"> des éléments de référence se rapportant à des étalons connus. Les méthodes utilisées pour effectuer la comparaison avec les éléments de référence ne doivent pas introduire une erreur supérieure à 1 % de la CAC. L’utilisation des éléments de référence est limitée à la gamme </w:t>
      </w:r>
      <w:r w:rsidRPr="006D5EEA">
        <w:rPr>
          <w:lang w:val="fr-CH"/>
        </w:rPr>
        <w:lastRenderedPageBreak/>
        <w:t>de fréquences pour laquelle ils ont été étalonnés. Des sous-systèmes d’une chaîne de mesurage peuvent être évalués individuellement et les résultats englobés dans la précision de la chaîne complète, en tenant compte des effets d’interaction. Ceci peut être fait, par exemple, par un signal électrique d’amplitude connue simulant le signal de sortie du capteur qui permet de vérifier le gain de la chaîne de mesurage, excepté le capteur.</w:t>
      </w:r>
    </w:p>
    <w:p w:rsidR="00467EB7" w:rsidRPr="006D5EEA" w:rsidRDefault="00467EB7" w:rsidP="00467EB7">
      <w:pPr>
        <w:pStyle w:val="SingleTxt"/>
        <w:rPr>
          <w:lang w:val="fr-CH"/>
        </w:rPr>
      </w:pPr>
      <w:r w:rsidRPr="006D5EEA">
        <w:rPr>
          <w:lang w:val="fr-CH"/>
        </w:rPr>
        <w:t>2.6.2</w:t>
      </w:r>
      <w:r w:rsidRPr="006D5EEA">
        <w:rPr>
          <w:lang w:val="fr-CH"/>
        </w:rPr>
        <w:tab/>
      </w:r>
      <w:r>
        <w:rPr>
          <w:lang w:val="fr-CH"/>
        </w:rPr>
        <w:tab/>
      </w:r>
      <w:r w:rsidRPr="006D5EEA">
        <w:rPr>
          <w:lang w:val="fr-CH"/>
        </w:rPr>
        <w:t>Précision des éléments de référence pour étalonnage</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La précision de ces éléments de référence doit être certifiée ou confirmée par un service de métrologie officiel.</w:t>
      </w:r>
    </w:p>
    <w:p w:rsidR="00467EB7" w:rsidRPr="006D5EEA" w:rsidRDefault="00467EB7" w:rsidP="00467EB7">
      <w:pPr>
        <w:pStyle w:val="SingleTxt"/>
        <w:rPr>
          <w:lang w:val="fr-CH"/>
        </w:rPr>
      </w:pPr>
      <w:r w:rsidRPr="006D5EEA">
        <w:rPr>
          <w:lang w:val="fr-CH"/>
        </w:rPr>
        <w:t>2.6.2.1</w:t>
      </w:r>
      <w:r w:rsidRPr="006D5EEA">
        <w:rPr>
          <w:lang w:val="fr-CH"/>
        </w:rPr>
        <w:tab/>
        <w:t>Étalonnage en statique</w:t>
      </w:r>
    </w:p>
    <w:p w:rsidR="00467EB7" w:rsidRPr="006D5EEA" w:rsidRDefault="00467EB7" w:rsidP="00467EB7">
      <w:pPr>
        <w:pStyle w:val="SingleTxt"/>
        <w:rPr>
          <w:lang w:val="fr-CH"/>
        </w:rPr>
      </w:pPr>
      <w:r w:rsidRPr="006D5EEA">
        <w:rPr>
          <w:lang w:val="fr-CH"/>
        </w:rPr>
        <w:t>2.6.2.1.1</w:t>
      </w:r>
      <w:r w:rsidRPr="006D5EEA">
        <w:rPr>
          <w:lang w:val="fr-CH"/>
        </w:rPr>
        <w:tab/>
        <w:t>Accélérations</w:t>
      </w:r>
    </w:p>
    <w:p w:rsidR="00467EB7" w:rsidRPr="00172B64" w:rsidRDefault="00467EB7" w:rsidP="00467EB7">
      <w:pPr>
        <w:pStyle w:val="SingleTxt"/>
        <w:ind w:left="2218" w:hanging="951"/>
        <w:rPr>
          <w:lang w:val="fr-CH"/>
        </w:rPr>
      </w:pPr>
      <w:r w:rsidRPr="006D5EEA">
        <w:rPr>
          <w:lang w:val="fr-CH"/>
        </w:rPr>
        <w:tab/>
      </w:r>
      <w:r>
        <w:rPr>
          <w:lang w:val="fr-CH"/>
        </w:rPr>
        <w:tab/>
      </w:r>
      <w:r w:rsidRPr="00172B64">
        <w:rPr>
          <w:lang w:val="fr-CH"/>
        </w:rPr>
        <w:t>Les erreurs doivent être inférieures à 1,5 % de la classe d’amplitude de la chaîne.</w:t>
      </w:r>
    </w:p>
    <w:p w:rsidR="00467EB7" w:rsidRPr="006D5EEA" w:rsidRDefault="00467EB7" w:rsidP="00467EB7">
      <w:pPr>
        <w:pStyle w:val="SingleTxt"/>
        <w:rPr>
          <w:lang w:val="fr-CH"/>
        </w:rPr>
      </w:pPr>
      <w:r w:rsidRPr="006D5EEA">
        <w:rPr>
          <w:lang w:val="fr-CH"/>
        </w:rPr>
        <w:t>2.6.2.1.2</w:t>
      </w:r>
      <w:r w:rsidRPr="006D5EEA">
        <w:rPr>
          <w:lang w:val="fr-CH"/>
        </w:rPr>
        <w:tab/>
        <w:t>Forces</w:t>
      </w:r>
    </w:p>
    <w:p w:rsidR="00467EB7" w:rsidRPr="006D5EEA" w:rsidRDefault="00467EB7" w:rsidP="00467EB7">
      <w:pPr>
        <w:pStyle w:val="SingleTxt"/>
        <w:rPr>
          <w:lang w:val="fr-CH"/>
        </w:rPr>
      </w:pPr>
      <w:r w:rsidRPr="006D5EEA">
        <w:rPr>
          <w:lang w:val="fr-CH"/>
        </w:rPr>
        <w:tab/>
      </w:r>
      <w:r>
        <w:rPr>
          <w:lang w:val="fr-CH"/>
        </w:rPr>
        <w:tab/>
      </w:r>
      <w:r w:rsidRPr="006D5EEA">
        <w:rPr>
          <w:lang w:val="fr-CH"/>
        </w:rPr>
        <w:t>L’erreur doit être inférieure à 1 % de la classe d’amplitude de la chaîne.</w:t>
      </w:r>
    </w:p>
    <w:p w:rsidR="00467EB7" w:rsidRPr="006D5EEA" w:rsidRDefault="00467EB7" w:rsidP="00467EB7">
      <w:pPr>
        <w:pStyle w:val="SingleTxt"/>
        <w:rPr>
          <w:lang w:val="fr-CH"/>
        </w:rPr>
      </w:pPr>
      <w:r w:rsidRPr="006D5EEA">
        <w:rPr>
          <w:lang w:val="fr-CH"/>
        </w:rPr>
        <w:t>2.6.2.1.3</w:t>
      </w:r>
      <w:r w:rsidRPr="006D5EEA">
        <w:rPr>
          <w:lang w:val="fr-CH"/>
        </w:rPr>
        <w:tab/>
        <w:t>Déplacements</w:t>
      </w:r>
    </w:p>
    <w:p w:rsidR="00467EB7" w:rsidRPr="006D5EEA" w:rsidRDefault="00467EB7" w:rsidP="00467EB7">
      <w:pPr>
        <w:pStyle w:val="SingleTxt"/>
        <w:rPr>
          <w:lang w:val="fr-CH"/>
        </w:rPr>
      </w:pPr>
      <w:r w:rsidRPr="006D5EEA">
        <w:rPr>
          <w:lang w:val="fr-CH"/>
        </w:rPr>
        <w:tab/>
      </w:r>
      <w:r>
        <w:rPr>
          <w:lang w:val="fr-CH"/>
        </w:rPr>
        <w:tab/>
      </w:r>
      <w:r w:rsidRPr="006D5EEA">
        <w:rPr>
          <w:lang w:val="fr-CH"/>
        </w:rPr>
        <w:t>L’erreur doit être inférieure à 1 % de la classe d’amplitude de la chaîne.</w:t>
      </w:r>
    </w:p>
    <w:p w:rsidR="00467EB7" w:rsidRPr="006D5EEA" w:rsidRDefault="00467EB7" w:rsidP="00467EB7">
      <w:pPr>
        <w:pStyle w:val="SingleTxt"/>
        <w:rPr>
          <w:lang w:val="fr-CH"/>
        </w:rPr>
      </w:pPr>
      <w:r w:rsidRPr="006D5EEA">
        <w:rPr>
          <w:lang w:val="fr-CH"/>
        </w:rPr>
        <w:t>2.6.2.2</w:t>
      </w:r>
      <w:r w:rsidRPr="006D5EEA">
        <w:rPr>
          <w:lang w:val="fr-CH"/>
        </w:rPr>
        <w:tab/>
        <w:t>Étalonnage en dynamique</w:t>
      </w:r>
    </w:p>
    <w:p w:rsidR="00467EB7" w:rsidRPr="006D5EEA" w:rsidRDefault="00467EB7" w:rsidP="00467EB7">
      <w:pPr>
        <w:pStyle w:val="SingleTxt"/>
        <w:rPr>
          <w:lang w:val="fr-CH"/>
        </w:rPr>
      </w:pPr>
      <w:r w:rsidRPr="006D5EEA">
        <w:rPr>
          <w:lang w:val="fr-CH"/>
        </w:rPr>
        <w:t>2.6.2.2.1</w:t>
      </w:r>
      <w:r w:rsidRPr="006D5EEA">
        <w:rPr>
          <w:lang w:val="fr-CH"/>
        </w:rPr>
        <w:tab/>
        <w:t>Accélérations</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L’erreur, exprimée en pourcentage de la classe d’amplitude de la chaîne, doit être inférieure à 1,5 % au-dessous de 400 Hz, inférieure à 2 % entre 400 et 900 Hz et inférieure à 2,5 % au-delà de 900 Hz.</w:t>
      </w:r>
    </w:p>
    <w:p w:rsidR="00467EB7" w:rsidRPr="006D5EEA" w:rsidRDefault="00467EB7" w:rsidP="00467EB7">
      <w:pPr>
        <w:pStyle w:val="SingleTxt"/>
        <w:rPr>
          <w:lang w:val="fr-CH"/>
        </w:rPr>
      </w:pPr>
      <w:r w:rsidRPr="006D5EEA">
        <w:rPr>
          <w:lang w:val="fr-CH"/>
        </w:rPr>
        <w:t>2.6.2.3</w:t>
      </w:r>
      <w:r w:rsidRPr="006D5EEA">
        <w:rPr>
          <w:lang w:val="fr-CH"/>
        </w:rPr>
        <w:tab/>
        <w:t>Temps</w:t>
      </w:r>
    </w:p>
    <w:p w:rsidR="00467EB7" w:rsidRPr="006D5EEA" w:rsidRDefault="00467EB7" w:rsidP="00467EB7">
      <w:pPr>
        <w:pStyle w:val="SingleTxt"/>
        <w:rPr>
          <w:lang w:val="fr-CH"/>
        </w:rPr>
      </w:pPr>
      <w:r w:rsidRPr="006D5EEA">
        <w:rPr>
          <w:lang w:val="fr-CH"/>
        </w:rPr>
        <w:tab/>
      </w:r>
      <w:r>
        <w:rPr>
          <w:lang w:val="fr-CH"/>
        </w:rPr>
        <w:tab/>
      </w:r>
      <w:r w:rsidRPr="006D5EEA">
        <w:rPr>
          <w:lang w:val="fr-CH"/>
        </w:rPr>
        <w:t>L’erreur relative sur le temps de référence doit être inférieure à 10</w:t>
      </w:r>
      <w:r w:rsidRPr="006D5EEA">
        <w:rPr>
          <w:vertAlign w:val="superscript"/>
          <w:lang w:val="fr-CH"/>
        </w:rPr>
        <w:t>-5</w:t>
      </w:r>
      <w:r w:rsidRPr="006D5EEA">
        <w:rPr>
          <w:lang w:val="fr-CH"/>
        </w:rPr>
        <w:t>.</w:t>
      </w:r>
    </w:p>
    <w:p w:rsidR="00467EB7" w:rsidRPr="006D5EEA" w:rsidRDefault="00467EB7" w:rsidP="00467EB7">
      <w:pPr>
        <w:pStyle w:val="SingleTxt"/>
        <w:rPr>
          <w:lang w:val="fr-CH"/>
        </w:rPr>
      </w:pPr>
      <w:r w:rsidRPr="006D5EEA">
        <w:rPr>
          <w:lang w:val="fr-CH"/>
        </w:rPr>
        <w:t>2.6.3</w:t>
      </w:r>
      <w:r w:rsidRPr="006D5EEA">
        <w:rPr>
          <w:lang w:val="fr-CH"/>
        </w:rPr>
        <w:tab/>
      </w:r>
      <w:r>
        <w:rPr>
          <w:lang w:val="fr-CH"/>
        </w:rPr>
        <w:tab/>
      </w:r>
      <w:r w:rsidRPr="006D5EEA">
        <w:rPr>
          <w:lang w:val="fr-CH"/>
        </w:rPr>
        <w:t>Coefficient de sensibilité et erreur de linéarité</w:t>
      </w:r>
    </w:p>
    <w:p w:rsidR="00467EB7" w:rsidRPr="00172B64" w:rsidRDefault="00467EB7" w:rsidP="00467EB7">
      <w:pPr>
        <w:pStyle w:val="SingleTxt"/>
        <w:ind w:left="2218" w:hanging="951"/>
        <w:rPr>
          <w:spacing w:val="2"/>
          <w:lang w:val="fr-CH"/>
        </w:rPr>
      </w:pPr>
      <w:r w:rsidRPr="006D5EEA">
        <w:rPr>
          <w:lang w:val="fr-CH"/>
        </w:rPr>
        <w:tab/>
      </w:r>
      <w:r>
        <w:rPr>
          <w:lang w:val="fr-CH"/>
        </w:rPr>
        <w:tab/>
      </w:r>
      <w:r w:rsidRPr="00172B64">
        <w:rPr>
          <w:spacing w:val="2"/>
          <w:lang w:val="fr-CH"/>
        </w:rPr>
        <w:t xml:space="preserve">Il faut déterminer le coefficient de sensibilité et l’erreur de linéarité en mesurant le signal de sortie de la chaîne de mesurage, par rapport à un signal d’entrée connu, pour différentes valeurs de ce signal. L’étalonnage de la </w:t>
      </w:r>
      <w:r w:rsidRPr="00172B64">
        <w:rPr>
          <w:lang w:val="fr-CH"/>
        </w:rPr>
        <w:t>chaîne doit couvrir toute l’étendue de la classe d’amplitude de la chaîne.</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Pour des canaux bipolarisés, on doit utiliser des valeurs positives et négatives.</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Si aucun matériel d’étalonnage ne peut donner les caractéristiques d’entrée requises par suite de valeurs trop élevées de la grandeur à mesurer, les étalonnages doivent être effectués dans les limites des normes d’étalonnage et ces limites doivent être consignées dans le procès-verbal d’essai.</w:t>
      </w:r>
    </w:p>
    <w:p w:rsidR="00467EB7" w:rsidRDefault="00467EB7" w:rsidP="00467EB7">
      <w:pPr>
        <w:pStyle w:val="SingleTxt"/>
        <w:ind w:left="2218" w:hanging="951"/>
        <w:rPr>
          <w:lang w:val="fr-CH"/>
        </w:rPr>
      </w:pPr>
      <w:r>
        <w:rPr>
          <w:lang w:val="fr-CH"/>
        </w:rPr>
        <w:tab/>
      </w:r>
      <w:r>
        <w:rPr>
          <w:lang w:val="fr-CH"/>
        </w:rPr>
        <w:tab/>
      </w:r>
      <w:r w:rsidRPr="006D5EEA">
        <w:rPr>
          <w:lang w:val="fr-CH"/>
        </w:rPr>
        <w:t xml:space="preserve">Une chaîne de mesurage complète doit être étalonnée à une fréquence ou avec un spectre de fréquence ayant une valeur significative comprise entre </w:t>
      </w:r>
    </w:p>
    <w:p w:rsidR="00467EB7" w:rsidRPr="006D5EEA" w:rsidRDefault="00467EB7" w:rsidP="00467EB7">
      <w:pPr>
        <w:pStyle w:val="SingleTxt"/>
        <w:spacing w:line="240" w:lineRule="auto"/>
        <w:ind w:left="2218" w:firstLine="29"/>
        <w:rPr>
          <w:lang w:val="fr-CH"/>
        </w:rPr>
      </w:pPr>
      <w:r w:rsidRPr="0040393C">
        <w:rPr>
          <w:lang w:val="fr-CH"/>
        </w:rPr>
        <w:object w:dxaOrig="820" w:dyaOrig="580">
          <v:shape id="_x0000_i1028" type="#_x0000_t75" style="width:41pt;height:29pt" o:ole="">
            <v:imagedata r:id="rId61" o:title=""/>
          </v:shape>
          <o:OLEObject Type="Embed" ProgID="Equation.3" ShapeID="_x0000_i1028" DrawAspect="Content" ObjectID="_1509284038" r:id="rId62"/>
        </w:object>
      </w:r>
      <w:r>
        <w:rPr>
          <w:lang w:val="fr-CH"/>
        </w:rPr>
        <w:t>.</w:t>
      </w:r>
    </w:p>
    <w:p w:rsidR="00467EB7" w:rsidRPr="006D5EEA" w:rsidRDefault="00467EB7" w:rsidP="00467EB7">
      <w:pPr>
        <w:pStyle w:val="SingleTxt"/>
        <w:rPr>
          <w:lang w:val="fr-CH"/>
        </w:rPr>
      </w:pPr>
      <w:r w:rsidRPr="006D5EEA">
        <w:rPr>
          <w:lang w:val="fr-CH"/>
        </w:rPr>
        <w:t>2.6.4</w:t>
      </w:r>
      <w:r>
        <w:rPr>
          <w:lang w:val="fr-CH"/>
        </w:rPr>
        <w:tab/>
      </w:r>
      <w:r w:rsidRPr="006D5EEA">
        <w:rPr>
          <w:lang w:val="fr-CH"/>
        </w:rPr>
        <w:tab/>
        <w:t>Étalonnage de la réponse en fréquence</w:t>
      </w:r>
    </w:p>
    <w:p w:rsidR="00467EB7" w:rsidRPr="006D5EEA" w:rsidRDefault="00467EB7" w:rsidP="003B3553">
      <w:pPr>
        <w:pStyle w:val="SingleTxt"/>
        <w:ind w:left="2218" w:hanging="951"/>
        <w:rPr>
          <w:lang w:val="fr-CH"/>
        </w:rPr>
      </w:pPr>
      <w:r w:rsidRPr="006D5EEA">
        <w:rPr>
          <w:lang w:val="fr-CH"/>
        </w:rPr>
        <w:tab/>
      </w:r>
      <w:r>
        <w:rPr>
          <w:lang w:val="fr-CH"/>
        </w:rPr>
        <w:tab/>
      </w:r>
      <w:r w:rsidRPr="006D5EEA">
        <w:rPr>
          <w:lang w:val="fr-CH"/>
        </w:rPr>
        <w:t xml:space="preserve">Il faut déterminer les courbes d’étalonnage de phase et d’amplitude en fonction de la fréquence en mesurant les signaux de sortie de la chaîne de mesurage, en phase et en amplitude, par rapport à un signal d’entrée connu, </w:t>
      </w:r>
      <w:r w:rsidRPr="006D5EEA">
        <w:rPr>
          <w:lang w:val="fr-CH"/>
        </w:rPr>
        <w:lastRenderedPageBreak/>
        <w:t>pour différentes valeurs de la fréquence de ce signal variant entre F</w:t>
      </w:r>
      <w:r w:rsidRPr="006D5EEA">
        <w:rPr>
          <w:vertAlign w:val="subscript"/>
          <w:lang w:val="fr-CH"/>
        </w:rPr>
        <w:t>L</w:t>
      </w:r>
      <w:r w:rsidRPr="006D5EEA">
        <w:rPr>
          <w:lang w:val="fr-CH"/>
        </w:rPr>
        <w:t xml:space="preserve"> et </w:t>
      </w:r>
      <w:r w:rsidR="003B3553">
        <w:rPr>
          <w:lang w:val="fr-CH"/>
        </w:rPr>
        <w:t>10 </w:t>
      </w:r>
      <w:r w:rsidRPr="006D5EEA">
        <w:rPr>
          <w:lang w:val="fr-CH"/>
        </w:rPr>
        <w:t>fois la classe de fréquence ou 3 000 Hz, en choisissant la plus basse des deux valeurs.</w:t>
      </w:r>
    </w:p>
    <w:p w:rsidR="00467EB7" w:rsidRPr="006D5EEA" w:rsidRDefault="00467EB7" w:rsidP="00467EB7">
      <w:pPr>
        <w:pStyle w:val="SingleTxt"/>
        <w:rPr>
          <w:lang w:val="fr-CH"/>
        </w:rPr>
      </w:pPr>
      <w:r w:rsidRPr="006D5EEA">
        <w:rPr>
          <w:lang w:val="fr-CH"/>
        </w:rPr>
        <w:t>2.7</w:t>
      </w:r>
      <w:r w:rsidRPr="006D5EEA">
        <w:rPr>
          <w:lang w:val="fr-CH"/>
        </w:rPr>
        <w:tab/>
      </w:r>
      <w:r>
        <w:rPr>
          <w:lang w:val="fr-CH"/>
        </w:rPr>
        <w:tab/>
      </w:r>
      <w:r w:rsidRPr="006D5EEA">
        <w:rPr>
          <w:lang w:val="fr-CH"/>
        </w:rPr>
        <w:t>Effets de l’environnement</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 xml:space="preserve">On doit procéder à des vérifications régulières pour </w:t>
      </w:r>
      <w:r>
        <w:rPr>
          <w:lang w:val="fr-CH"/>
        </w:rPr>
        <w:t>déceler</w:t>
      </w:r>
      <w:r w:rsidRPr="006D5EEA">
        <w:rPr>
          <w:lang w:val="fr-CH"/>
        </w:rPr>
        <w:t xml:space="preserve"> tout effet de l’environnement (par exemple influence du flux magnétique ou électrique, vitesse du câble, etc.). Ceci peut être fait, par exemple, en enregistrant le signal de sortie de canaux disponibles équipés de capteurs fictifs. Si des signaux de sortie significatifs sont obtenus, des corrections doivent être apportées, par exemple par le remplacement des câbles.</w:t>
      </w:r>
    </w:p>
    <w:p w:rsidR="00467EB7" w:rsidRPr="006D5EEA" w:rsidRDefault="00467EB7" w:rsidP="00467EB7">
      <w:pPr>
        <w:pStyle w:val="SingleTxt"/>
        <w:rPr>
          <w:lang w:val="fr-CH"/>
        </w:rPr>
      </w:pPr>
      <w:r w:rsidRPr="006D5EEA">
        <w:rPr>
          <w:lang w:val="fr-CH"/>
        </w:rPr>
        <w:t>2.8</w:t>
      </w:r>
      <w:r w:rsidRPr="006D5EEA">
        <w:rPr>
          <w:lang w:val="fr-CH"/>
        </w:rPr>
        <w:tab/>
      </w:r>
      <w:r>
        <w:rPr>
          <w:lang w:val="fr-CH"/>
        </w:rPr>
        <w:tab/>
      </w:r>
      <w:r w:rsidRPr="006D5EEA">
        <w:rPr>
          <w:lang w:val="fr-CH"/>
        </w:rPr>
        <w:t>Choix et désignation de la chaîne de mesurage</w:t>
      </w:r>
    </w:p>
    <w:p w:rsidR="00467EB7" w:rsidRPr="006D5EEA" w:rsidRDefault="00467EB7" w:rsidP="00467EB7">
      <w:pPr>
        <w:pStyle w:val="SingleTxt"/>
        <w:rPr>
          <w:lang w:val="fr-CH"/>
        </w:rPr>
      </w:pPr>
      <w:r w:rsidRPr="006D5EEA">
        <w:rPr>
          <w:lang w:val="fr-CH"/>
        </w:rPr>
        <w:tab/>
      </w:r>
      <w:r>
        <w:rPr>
          <w:lang w:val="fr-CH"/>
        </w:rPr>
        <w:tab/>
      </w:r>
      <w:r w:rsidRPr="006D5EEA">
        <w:rPr>
          <w:lang w:val="fr-CH"/>
        </w:rPr>
        <w:t>Les CAC et CFC définissent une chaîne de mesurage.</w:t>
      </w:r>
    </w:p>
    <w:p w:rsidR="00467EB7" w:rsidRPr="006D5EEA" w:rsidRDefault="00467EB7" w:rsidP="00467EB7">
      <w:pPr>
        <w:pStyle w:val="SingleTxt"/>
        <w:rPr>
          <w:lang w:val="fr-CH"/>
        </w:rPr>
      </w:pPr>
      <w:r w:rsidRPr="006D5EEA">
        <w:rPr>
          <w:lang w:val="fr-CH"/>
        </w:rPr>
        <w:tab/>
      </w:r>
      <w:r>
        <w:rPr>
          <w:lang w:val="fr-CH"/>
        </w:rPr>
        <w:tab/>
      </w:r>
      <w:r w:rsidRPr="006D5EEA">
        <w:rPr>
          <w:lang w:val="fr-CH"/>
        </w:rPr>
        <w:t>La CAC doit être de 1, 2 ou 5 fois une puissance de 10.</w:t>
      </w:r>
    </w:p>
    <w:p w:rsidR="00467EB7" w:rsidRPr="006D5EEA" w:rsidRDefault="00467EB7" w:rsidP="00467EB7">
      <w:pPr>
        <w:pStyle w:val="SingleTxt"/>
        <w:rPr>
          <w:lang w:val="fr-CH"/>
        </w:rPr>
      </w:pPr>
      <w:r w:rsidRPr="006D5EEA">
        <w:rPr>
          <w:lang w:val="fr-CH"/>
        </w:rPr>
        <w:t>3.</w:t>
      </w:r>
      <w:r w:rsidRPr="006D5EEA">
        <w:rPr>
          <w:lang w:val="fr-CH"/>
        </w:rPr>
        <w:tab/>
      </w:r>
      <w:r>
        <w:rPr>
          <w:lang w:val="fr-CH"/>
        </w:rPr>
        <w:tab/>
      </w:r>
      <w:r w:rsidRPr="006D5EEA">
        <w:rPr>
          <w:lang w:val="fr-CH"/>
        </w:rPr>
        <w:t>Montage des capteurs</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 xml:space="preserve">Le montage des capteurs devrait être rigide, afin que les vibrations altèrent le moins possible les enregistrements. On considérera comme valable un montage dont la fréquence de résonnance la </w:t>
      </w:r>
      <w:r>
        <w:rPr>
          <w:lang w:val="fr-CH"/>
        </w:rPr>
        <w:t>plus basse est au moins égale à </w:t>
      </w:r>
      <w:r w:rsidRPr="006D5EEA">
        <w:rPr>
          <w:lang w:val="fr-CH"/>
        </w:rPr>
        <w:t>5 fois la fréquence F</w:t>
      </w:r>
      <w:r w:rsidRPr="006D5EEA">
        <w:rPr>
          <w:vertAlign w:val="subscript"/>
          <w:lang w:val="fr-CH"/>
        </w:rPr>
        <w:t>H</w:t>
      </w:r>
      <w:r w:rsidRPr="006D5EEA">
        <w:rPr>
          <w:lang w:val="fr-CH"/>
        </w:rPr>
        <w:t xml:space="preserve"> de la chaîne de mesurage considérée. En particulier, le montage des capteurs d’accélération devrait être tel que l’angle initial de l’axe de mesure réel soit connu avec une erreur inférieure ou égale à 5° par rapport à l’axe du trièdre de référence, à moins qu’une évaluation analytique ou expérimentale de l’effet du montage du capteur sur les résultats relevés ne soit faite. Quand, en un point, on mesure des accélérations suivant plusieurs directions, chaque axe de capteur d’accélération devrait passer à moins de 10 mm de ce point et le centre de la masse sismique de chaque capteur d’accél</w:t>
      </w:r>
      <w:r>
        <w:rPr>
          <w:lang w:val="fr-CH"/>
        </w:rPr>
        <w:t>ération devrait être à moins de </w:t>
      </w:r>
      <w:r w:rsidRPr="006D5EEA">
        <w:rPr>
          <w:lang w:val="fr-CH"/>
        </w:rPr>
        <w:t>30 mm de ce point.</w:t>
      </w:r>
    </w:p>
    <w:p w:rsidR="00467EB7" w:rsidRPr="006D5EEA" w:rsidRDefault="00467EB7" w:rsidP="00467EB7">
      <w:pPr>
        <w:pStyle w:val="SingleTxt"/>
        <w:rPr>
          <w:lang w:val="fr-CH"/>
        </w:rPr>
      </w:pPr>
      <w:r w:rsidRPr="006D5EEA">
        <w:rPr>
          <w:lang w:val="fr-CH"/>
        </w:rPr>
        <w:t>4.</w:t>
      </w:r>
      <w:r w:rsidRPr="006D5EEA">
        <w:rPr>
          <w:lang w:val="fr-CH"/>
        </w:rPr>
        <w:tab/>
      </w:r>
      <w:r>
        <w:rPr>
          <w:lang w:val="fr-CH"/>
        </w:rPr>
        <w:tab/>
      </w:r>
      <w:r w:rsidRPr="006D5EEA">
        <w:rPr>
          <w:lang w:val="fr-CH"/>
        </w:rPr>
        <w:t>Traitement des données</w:t>
      </w:r>
    </w:p>
    <w:p w:rsidR="00467EB7" w:rsidRPr="006D5EEA" w:rsidRDefault="00467EB7" w:rsidP="00467EB7">
      <w:pPr>
        <w:pStyle w:val="SingleTxt"/>
        <w:rPr>
          <w:lang w:val="fr-CH"/>
        </w:rPr>
      </w:pPr>
      <w:r w:rsidRPr="006D5EEA">
        <w:rPr>
          <w:lang w:val="fr-CH"/>
        </w:rPr>
        <w:t>4.1</w:t>
      </w:r>
      <w:r w:rsidRPr="006D5EEA">
        <w:rPr>
          <w:lang w:val="fr-CH"/>
        </w:rPr>
        <w:tab/>
      </w:r>
      <w:r>
        <w:rPr>
          <w:lang w:val="fr-CH"/>
        </w:rPr>
        <w:tab/>
      </w:r>
      <w:r w:rsidRPr="006D5EEA">
        <w:rPr>
          <w:lang w:val="fr-CH"/>
        </w:rPr>
        <w:t>Filtration</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La filtration correspondant à la fréquence de la classe de la chaîne de mesurage pourra être réalisée lors de l’enregistrement ou au cours du traitement des données. Toutefois, une filtration analogique à un niveau supérieur à la CFC devrait être faite avant l’enregistrement, afin d’utiliser au moins 50 % de la dynamique de l’enregistreur et de réduire le risque dû à la présence de hautes fréquences pouvant entraîner une saturation de l’enregistreur ou des erreurs de repliement dans le processus de numérisation.</w:t>
      </w:r>
    </w:p>
    <w:p w:rsidR="00467EB7" w:rsidRPr="006D5EEA" w:rsidRDefault="00467EB7" w:rsidP="00467EB7">
      <w:pPr>
        <w:pStyle w:val="SingleTxt"/>
        <w:rPr>
          <w:lang w:val="fr-CH"/>
        </w:rPr>
      </w:pPr>
      <w:r w:rsidRPr="006D5EEA">
        <w:rPr>
          <w:lang w:val="fr-CH"/>
        </w:rPr>
        <w:t>4.2</w:t>
      </w:r>
      <w:r w:rsidRPr="006D5EEA">
        <w:rPr>
          <w:lang w:val="fr-CH"/>
        </w:rPr>
        <w:tab/>
      </w:r>
      <w:r>
        <w:rPr>
          <w:lang w:val="fr-CH"/>
        </w:rPr>
        <w:tab/>
      </w:r>
      <w:r w:rsidRPr="006D5EEA">
        <w:rPr>
          <w:lang w:val="fr-CH"/>
        </w:rPr>
        <w:t>Numérisation</w:t>
      </w:r>
    </w:p>
    <w:p w:rsidR="00467EB7" w:rsidRPr="006D5EEA" w:rsidRDefault="00467EB7" w:rsidP="00467EB7">
      <w:pPr>
        <w:pStyle w:val="SingleTxt"/>
        <w:rPr>
          <w:lang w:val="fr-CH"/>
        </w:rPr>
      </w:pPr>
      <w:r w:rsidRPr="006D5EEA">
        <w:rPr>
          <w:lang w:val="fr-CH"/>
        </w:rPr>
        <w:t>4.2.1</w:t>
      </w:r>
      <w:r w:rsidRPr="006D5EEA">
        <w:rPr>
          <w:lang w:val="fr-CH"/>
        </w:rPr>
        <w:tab/>
      </w:r>
      <w:r>
        <w:rPr>
          <w:lang w:val="fr-CH"/>
        </w:rPr>
        <w:tab/>
      </w:r>
      <w:r w:rsidRPr="006D5EEA">
        <w:rPr>
          <w:lang w:val="fr-CH"/>
        </w:rPr>
        <w:t>Fréquence d’échantillonnage</w:t>
      </w:r>
    </w:p>
    <w:p w:rsidR="00467EB7" w:rsidRPr="006D5EEA" w:rsidRDefault="00467EB7" w:rsidP="00467EB7">
      <w:pPr>
        <w:pStyle w:val="SingleTxt"/>
        <w:rPr>
          <w:lang w:val="fr-CH"/>
        </w:rPr>
      </w:pPr>
      <w:r w:rsidRPr="006D5EEA">
        <w:rPr>
          <w:lang w:val="fr-CH"/>
        </w:rPr>
        <w:tab/>
      </w:r>
      <w:r>
        <w:rPr>
          <w:lang w:val="fr-CH"/>
        </w:rPr>
        <w:tab/>
      </w:r>
      <w:r w:rsidRPr="006D5EEA">
        <w:rPr>
          <w:lang w:val="fr-CH"/>
        </w:rPr>
        <w:t>La fréquence d’échantillonnage devrait être égale au moins à 8 F</w:t>
      </w:r>
      <w:r w:rsidRPr="006D5EEA">
        <w:rPr>
          <w:vertAlign w:val="subscript"/>
          <w:lang w:val="fr-CH"/>
        </w:rPr>
        <w:t>H</w:t>
      </w:r>
      <w:r w:rsidRPr="006D5EEA">
        <w:rPr>
          <w:lang w:val="fr-CH"/>
        </w:rPr>
        <w:t>.</w:t>
      </w:r>
    </w:p>
    <w:p w:rsidR="00467EB7" w:rsidRPr="006D5EEA" w:rsidRDefault="00467EB7" w:rsidP="00467EB7">
      <w:pPr>
        <w:pStyle w:val="SingleTxt"/>
        <w:rPr>
          <w:lang w:val="fr-CH"/>
        </w:rPr>
      </w:pPr>
      <w:r w:rsidRPr="006D5EEA">
        <w:rPr>
          <w:lang w:val="fr-CH"/>
        </w:rPr>
        <w:t>4.2.2</w:t>
      </w:r>
      <w:r w:rsidRPr="006D5EEA">
        <w:rPr>
          <w:lang w:val="fr-CH"/>
        </w:rPr>
        <w:tab/>
      </w:r>
      <w:r>
        <w:rPr>
          <w:lang w:val="fr-CH"/>
        </w:rPr>
        <w:tab/>
      </w:r>
      <w:r w:rsidRPr="006D5EEA">
        <w:rPr>
          <w:lang w:val="fr-CH"/>
        </w:rPr>
        <w:t>Résolution en amplitude</w:t>
      </w:r>
    </w:p>
    <w:p w:rsidR="00467EB7" w:rsidRPr="006D5EEA" w:rsidRDefault="00467EB7" w:rsidP="00467EB7">
      <w:pPr>
        <w:pStyle w:val="SingleTxt"/>
        <w:ind w:left="2218" w:hanging="951"/>
        <w:rPr>
          <w:lang w:val="fr-CH"/>
        </w:rPr>
      </w:pPr>
      <w:r w:rsidRPr="006D5EEA">
        <w:rPr>
          <w:lang w:val="fr-CH"/>
        </w:rPr>
        <w:tab/>
      </w:r>
      <w:r>
        <w:rPr>
          <w:lang w:val="fr-CH"/>
        </w:rPr>
        <w:tab/>
      </w:r>
      <w:r w:rsidRPr="006D5EEA">
        <w:rPr>
          <w:lang w:val="fr-CH"/>
        </w:rPr>
        <w:t>La longueur des mots numériques devrait être d’au moins 7 bits plus un bit de parité.</w:t>
      </w:r>
    </w:p>
    <w:p w:rsidR="00467EB7" w:rsidRPr="006D5EEA" w:rsidRDefault="00467EB7" w:rsidP="00467EB7">
      <w:pPr>
        <w:pStyle w:val="SingleTxt"/>
        <w:rPr>
          <w:u w:val="single"/>
          <w:lang w:val="fr-CH"/>
        </w:rPr>
      </w:pPr>
      <w:r w:rsidRPr="006D5EEA">
        <w:rPr>
          <w:lang w:val="fr-CH"/>
        </w:rPr>
        <w:t>5.</w:t>
      </w:r>
      <w:r w:rsidRPr="006D5EEA">
        <w:rPr>
          <w:lang w:val="fr-CH"/>
        </w:rPr>
        <w:tab/>
      </w:r>
      <w:r>
        <w:rPr>
          <w:lang w:val="fr-CH"/>
        </w:rPr>
        <w:tab/>
      </w:r>
      <w:r w:rsidRPr="006D5EEA">
        <w:rPr>
          <w:lang w:val="fr-CH"/>
        </w:rPr>
        <w:t>Présentation des résultats</w:t>
      </w:r>
    </w:p>
    <w:p w:rsidR="00467EB7" w:rsidRDefault="00467EB7" w:rsidP="00467EB7">
      <w:pPr>
        <w:pStyle w:val="SingleTxt"/>
        <w:ind w:left="2218" w:hanging="951"/>
        <w:rPr>
          <w:lang w:val="fr-CH"/>
        </w:rPr>
      </w:pPr>
      <w:r w:rsidRPr="006D5EEA">
        <w:rPr>
          <w:lang w:val="fr-CH"/>
        </w:rPr>
        <w:tab/>
      </w:r>
      <w:r>
        <w:rPr>
          <w:lang w:val="fr-CH"/>
        </w:rPr>
        <w:tab/>
      </w:r>
      <w:r w:rsidRPr="006D5EEA">
        <w:rPr>
          <w:lang w:val="fr-CH"/>
        </w:rPr>
        <w:t xml:space="preserve">Les résultats devraient être présentés sur format A4 (ISO/R 216). Lorsque ces résultats sont présentés sous forme de diagramme, les axes des </w:t>
      </w:r>
      <w:r w:rsidRPr="006D5EEA">
        <w:rPr>
          <w:lang w:val="fr-CH"/>
        </w:rPr>
        <w:lastRenderedPageBreak/>
        <w:t>coordonnées devraient être gradués selon une unité de mesure correspondant à un multiple approprié de l’unité choisie (par exemple 1, 2, 5, 10, 20 mm). Les unités SI doivent être utilisées, à l’exception de la vitesse du véhicule, qui peut être exprimée en km/h, et des accélérations dues à un choc, qui peuvent être exprimées en g (avec g = 9,8 m/s</w:t>
      </w:r>
      <w:r w:rsidRPr="006D5EEA">
        <w:rPr>
          <w:vertAlign w:val="superscript"/>
          <w:lang w:val="fr-CH"/>
        </w:rPr>
        <w:t>2</w:t>
      </w:r>
      <w:r w:rsidRPr="006D5EEA">
        <w:rPr>
          <w:lang w:val="fr-CH"/>
        </w:rPr>
        <w:t>).</w:t>
      </w:r>
    </w:p>
    <w:p w:rsidR="00467EB7" w:rsidRPr="00F10ED8" w:rsidRDefault="00467EB7" w:rsidP="00467EB7">
      <w:pPr>
        <w:pStyle w:val="SingleTxt"/>
        <w:spacing w:after="0" w:line="120" w:lineRule="exact"/>
        <w:ind w:left="2218" w:hanging="951"/>
        <w:rPr>
          <w:sz w:val="10"/>
          <w:lang w:val="fr-CH"/>
        </w:rPr>
      </w:pPr>
    </w:p>
    <w:p w:rsidR="00467EB7" w:rsidRDefault="00467EB7" w:rsidP="00467EB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F10ED8">
        <w:rPr>
          <w:b w:val="0"/>
          <w:lang w:val="fr-CH"/>
        </w:rPr>
        <w:tab/>
      </w:r>
      <w:r w:rsidRPr="00F10ED8">
        <w:rPr>
          <w:b w:val="0"/>
          <w:lang w:val="fr-CH"/>
        </w:rPr>
        <w:tab/>
        <w:t xml:space="preserve">Figure 1 </w:t>
      </w:r>
      <w:r w:rsidRPr="00F10ED8">
        <w:rPr>
          <w:b w:val="0"/>
          <w:lang w:val="fr-CH"/>
        </w:rPr>
        <w:br/>
      </w:r>
      <w:r w:rsidRPr="006D5EEA">
        <w:rPr>
          <w:lang w:val="fr-CH"/>
        </w:rPr>
        <w:t>Courbe de réponse en fréquence</w:t>
      </w:r>
    </w:p>
    <w:p w:rsidR="00467EB7" w:rsidRPr="00FA5D13" w:rsidRDefault="00467EB7" w:rsidP="00467EB7">
      <w:pPr>
        <w:pStyle w:val="SingleTxt"/>
        <w:spacing w:after="0" w:line="120" w:lineRule="exact"/>
        <w:rPr>
          <w:sz w:val="10"/>
          <w:lang w:val="fr-CH"/>
        </w:rPr>
      </w:pPr>
    </w:p>
    <w:p w:rsidR="00467EB7" w:rsidRDefault="00467EB7" w:rsidP="00467EB7">
      <w:pPr>
        <w:pStyle w:val="SingleTxt"/>
        <w:spacing w:after="0" w:line="120" w:lineRule="exact"/>
        <w:rPr>
          <w:sz w:val="10"/>
          <w:lang w:val="fr-CH"/>
        </w:rPr>
      </w:pPr>
    </w:p>
    <w:bookmarkStart w:id="83" w:name="_MON_1468329400"/>
    <w:bookmarkEnd w:id="83"/>
    <w:p w:rsidR="00467EB7" w:rsidRPr="007C185D" w:rsidRDefault="00467EB7" w:rsidP="00467EB7">
      <w:pPr>
        <w:suppressAutoHyphens/>
        <w:kinsoku w:val="0"/>
        <w:overflowPunct w:val="0"/>
        <w:autoSpaceDE w:val="0"/>
        <w:autoSpaceDN w:val="0"/>
        <w:adjustRightInd w:val="0"/>
        <w:snapToGrid w:val="0"/>
        <w:spacing w:line="240" w:lineRule="atLeast"/>
        <w:ind w:left="1267"/>
        <w:rPr>
          <w:rFonts w:eastAsia="Times New Roman"/>
          <w:spacing w:val="0"/>
          <w:w w:val="100"/>
          <w:kern w:val="0"/>
          <w:szCs w:val="20"/>
          <w:lang w:val="fr-CH"/>
        </w:rPr>
      </w:pPr>
      <w:r w:rsidRPr="007C185D">
        <w:rPr>
          <w:rFonts w:eastAsia="Times New Roman"/>
          <w:spacing w:val="0"/>
          <w:w w:val="100"/>
          <w:kern w:val="0"/>
          <w:szCs w:val="20"/>
          <w:lang w:val="fr-CH"/>
        </w:rPr>
        <w:object w:dxaOrig="7244" w:dyaOrig="5282">
          <v:shape id="_x0000_i1029" type="#_x0000_t75" style="width:365.45pt;height:267.8pt" o:ole="" o:bordertopcolor="this" o:borderleftcolor="this" o:borderbottomcolor="this" o:borderrightcolor="this">
            <v:imagedata r:id="rId63" o:title="" cropbottom="-2814f" cropleft="-1026f" cropright="-1026f"/>
            <w10:bordertop type="single" width="4"/>
            <w10:borderleft type="single" width="4"/>
            <w10:borderbottom type="single" width="4"/>
            <w10:borderright type="single" width="4"/>
          </v:shape>
          <o:OLEObject Type="Embed" ProgID="Word.Picture.8" ShapeID="_x0000_i1029" DrawAspect="Content" ObjectID="_1509284039" r:id="rId64"/>
        </w:object>
      </w:r>
    </w:p>
    <w:p w:rsidR="00467EB7" w:rsidRPr="007C185D" w:rsidRDefault="00467EB7" w:rsidP="00467EB7">
      <w:pPr>
        <w:pStyle w:val="SingleTxt"/>
        <w:spacing w:after="0" w:line="120" w:lineRule="exact"/>
        <w:rPr>
          <w:sz w:val="10"/>
          <w:lang w:val="fr-CH"/>
        </w:rPr>
      </w:pPr>
    </w:p>
    <w:p w:rsidR="00467EB7" w:rsidRPr="007C185D" w:rsidRDefault="00467EB7" w:rsidP="00467EB7">
      <w:pPr>
        <w:pStyle w:val="SingleTxt"/>
        <w:spacing w:after="0" w:line="120" w:lineRule="exact"/>
        <w:rPr>
          <w:sz w:val="10"/>
          <w:lang w:val="fr-CH"/>
        </w:rPr>
      </w:pPr>
    </w:p>
    <w:p w:rsidR="00467EB7" w:rsidRPr="00FB6293" w:rsidRDefault="00467EB7" w:rsidP="00467EB7">
      <w:pPr>
        <w:pStyle w:val="SingleT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7"/>
        <w:gridCol w:w="1097"/>
        <w:gridCol w:w="1097"/>
        <w:gridCol w:w="1097"/>
        <w:gridCol w:w="3114"/>
      </w:tblGrid>
      <w:tr w:rsidR="009206C7" w:rsidRPr="00FB6293" w:rsidTr="003B3553">
        <w:tc>
          <w:tcPr>
            <w:tcW w:w="1097" w:type="dxa"/>
            <w:shd w:val="clear" w:color="auto" w:fill="auto"/>
            <w:vAlign w:val="bottom"/>
          </w:tcPr>
          <w:p w:rsidR="009206C7" w:rsidRDefault="009206C7" w:rsidP="003B3553">
            <w:pPr>
              <w:tabs>
                <w:tab w:val="left" w:pos="288"/>
                <w:tab w:val="left" w:pos="576"/>
                <w:tab w:val="left" w:pos="864"/>
                <w:tab w:val="left" w:pos="1152"/>
              </w:tabs>
              <w:suppressAutoHyphens/>
              <w:spacing w:before="40" w:after="80"/>
              <w:ind w:left="43" w:right="43"/>
              <w:jc w:val="right"/>
              <w:rPr>
                <w:lang w:val="fr-CH"/>
              </w:rPr>
            </w:pPr>
            <w:r>
              <w:rPr>
                <w:lang w:val="fr-CH"/>
              </w:rPr>
              <w:t>CFC</w:t>
            </w:r>
          </w:p>
        </w:tc>
        <w:tc>
          <w:tcPr>
            <w:tcW w:w="1097" w:type="dxa"/>
            <w:shd w:val="clear" w:color="auto" w:fill="auto"/>
            <w:vAlign w:val="bottom"/>
          </w:tcPr>
          <w:p w:rsidR="009206C7" w:rsidRDefault="009206C7" w:rsidP="003B3553">
            <w:pPr>
              <w:tabs>
                <w:tab w:val="left" w:pos="288"/>
                <w:tab w:val="left" w:pos="576"/>
                <w:tab w:val="left" w:pos="864"/>
                <w:tab w:val="left" w:pos="1152"/>
              </w:tabs>
              <w:suppressAutoHyphens/>
              <w:spacing w:before="40" w:after="80"/>
              <w:ind w:left="43" w:right="43"/>
              <w:jc w:val="right"/>
              <w:rPr>
                <w:lang w:val="fr-CH"/>
              </w:rPr>
            </w:pPr>
            <w:r>
              <w:rPr>
                <w:lang w:val="fr-CH"/>
              </w:rPr>
              <w:t>F</w:t>
            </w:r>
            <w:r w:rsidRPr="004F3241">
              <w:rPr>
                <w:vertAlign w:val="subscript"/>
                <w:lang w:val="fr-CH"/>
              </w:rPr>
              <w:t>L</w:t>
            </w:r>
            <w:r>
              <w:rPr>
                <w:lang w:val="fr-CH"/>
              </w:rPr>
              <w:t xml:space="preserve"> </w:t>
            </w:r>
            <w:r>
              <w:rPr>
                <w:lang w:val="fr-CH"/>
              </w:rPr>
              <w:br/>
              <w:t>HZ</w:t>
            </w:r>
          </w:p>
        </w:tc>
        <w:tc>
          <w:tcPr>
            <w:tcW w:w="1097" w:type="dxa"/>
            <w:shd w:val="clear" w:color="auto" w:fill="auto"/>
            <w:vAlign w:val="bottom"/>
          </w:tcPr>
          <w:p w:rsidR="009206C7" w:rsidRDefault="009206C7" w:rsidP="003B3553">
            <w:pPr>
              <w:tabs>
                <w:tab w:val="left" w:pos="288"/>
                <w:tab w:val="left" w:pos="576"/>
                <w:tab w:val="left" w:pos="864"/>
                <w:tab w:val="left" w:pos="1152"/>
              </w:tabs>
              <w:suppressAutoHyphens/>
              <w:spacing w:before="40" w:after="80"/>
              <w:ind w:left="43" w:right="43"/>
              <w:jc w:val="right"/>
              <w:rPr>
                <w:lang w:val="fr-CH"/>
              </w:rPr>
            </w:pPr>
            <w:r>
              <w:rPr>
                <w:lang w:val="fr-CH"/>
              </w:rPr>
              <w:t>F</w:t>
            </w:r>
            <w:r w:rsidRPr="004F3241">
              <w:rPr>
                <w:vertAlign w:val="subscript"/>
                <w:lang w:val="fr-CH"/>
              </w:rPr>
              <w:t>H</w:t>
            </w:r>
            <w:r>
              <w:rPr>
                <w:lang w:val="fr-CH"/>
              </w:rPr>
              <w:t xml:space="preserve"> </w:t>
            </w:r>
            <w:r>
              <w:rPr>
                <w:lang w:val="fr-CH"/>
              </w:rPr>
              <w:br/>
              <w:t>HZ</w:t>
            </w:r>
          </w:p>
        </w:tc>
        <w:tc>
          <w:tcPr>
            <w:tcW w:w="1097" w:type="dxa"/>
            <w:shd w:val="clear" w:color="auto" w:fill="auto"/>
            <w:vAlign w:val="bottom"/>
          </w:tcPr>
          <w:p w:rsidR="009206C7" w:rsidRDefault="009206C7" w:rsidP="003B3553">
            <w:pPr>
              <w:tabs>
                <w:tab w:val="left" w:pos="288"/>
                <w:tab w:val="left" w:pos="576"/>
                <w:tab w:val="left" w:pos="864"/>
                <w:tab w:val="left" w:pos="1152"/>
              </w:tabs>
              <w:suppressAutoHyphens/>
              <w:spacing w:before="40" w:after="80"/>
              <w:ind w:left="43" w:right="43"/>
              <w:jc w:val="right"/>
              <w:rPr>
                <w:lang w:val="fr-CH"/>
              </w:rPr>
            </w:pPr>
            <w:r>
              <w:rPr>
                <w:lang w:val="fr-CH"/>
              </w:rPr>
              <w:t>F</w:t>
            </w:r>
            <w:r w:rsidRPr="004F3241">
              <w:rPr>
                <w:vertAlign w:val="subscript"/>
                <w:lang w:val="fr-CH"/>
              </w:rPr>
              <w:t>N</w:t>
            </w:r>
            <w:r>
              <w:rPr>
                <w:lang w:val="fr-CH"/>
              </w:rPr>
              <w:t xml:space="preserve"> </w:t>
            </w:r>
            <w:r>
              <w:rPr>
                <w:lang w:val="fr-CH"/>
              </w:rPr>
              <w:br/>
              <w:t>HZ</w:t>
            </w:r>
          </w:p>
        </w:tc>
        <w:tc>
          <w:tcPr>
            <w:tcW w:w="3114" w:type="dxa"/>
            <w:vMerge w:val="restart"/>
            <w:shd w:val="clear" w:color="auto" w:fill="auto"/>
          </w:tcPr>
          <w:p w:rsidR="009206C7" w:rsidRPr="00FB6293" w:rsidRDefault="009206C7" w:rsidP="00467EB7">
            <w:pPr>
              <w:tabs>
                <w:tab w:val="left" w:pos="288"/>
                <w:tab w:val="left" w:pos="576"/>
                <w:tab w:val="left" w:pos="864"/>
                <w:tab w:val="left" w:pos="1152"/>
              </w:tabs>
              <w:suppressAutoHyphens/>
              <w:spacing w:before="40" w:after="80"/>
              <w:ind w:left="115" w:right="115"/>
              <w:rPr>
                <w:lang w:val="fr-CH"/>
              </w:rPr>
            </w:pPr>
            <w:r>
              <w:rPr>
                <w:lang w:val="fr-CH"/>
              </w:rPr>
              <w:t>N</w:t>
            </w:r>
            <w:r>
              <w:rPr>
                <w:lang w:val="fr-CH"/>
              </w:rPr>
              <w:tab/>
            </w:r>
            <w:r>
              <w:rPr>
                <w:lang w:val="fr-CH"/>
              </w:rPr>
              <w:tab/>
            </w:r>
            <w:r w:rsidRPr="00DB5F9E">
              <w:rPr>
                <w:lang w:val="fr-CH"/>
              </w:rPr>
              <w:t>Échelle</w:t>
            </w:r>
            <w:r w:rsidRPr="006C3578">
              <w:rPr>
                <w:u w:val="single"/>
                <w:lang w:val="fr-CH"/>
              </w:rPr>
              <w:t xml:space="preserve"> logarithmique</w:t>
            </w:r>
          </w:p>
          <w:p w:rsidR="009206C7" w:rsidRDefault="009206C7" w:rsidP="00467EB7">
            <w:pPr>
              <w:tabs>
                <w:tab w:val="left" w:pos="288"/>
                <w:tab w:val="left" w:pos="576"/>
                <w:tab w:val="left" w:pos="864"/>
                <w:tab w:val="left" w:pos="1152"/>
              </w:tabs>
              <w:suppressAutoHyphens/>
              <w:spacing w:before="40" w:after="80"/>
              <w:ind w:left="115" w:right="115"/>
              <w:rPr>
                <w:lang w:val="fr-CH"/>
              </w:rPr>
            </w:pPr>
            <w:r>
              <w:rPr>
                <w:lang w:val="fr-CH"/>
              </w:rPr>
              <w:t>a</w:t>
            </w:r>
            <w:r>
              <w:rPr>
                <w:lang w:val="fr-CH"/>
              </w:rPr>
              <w:tab/>
            </w:r>
            <w:r>
              <w:rPr>
                <w:lang w:val="fr-CH"/>
              </w:rPr>
              <w:tab/>
            </w:r>
            <w:r w:rsidRPr="00261478">
              <w:sym w:font="Symbol" w:char="F0B1"/>
            </w:r>
            <w:r>
              <w:t> 0,5</w:t>
            </w:r>
            <w:r>
              <w:tab/>
            </w:r>
            <w:r>
              <w:tab/>
              <w:t xml:space="preserve">dB </w:t>
            </w:r>
            <w:r>
              <w:br/>
            </w:r>
            <w:r>
              <w:rPr>
                <w:lang w:val="fr-CH"/>
              </w:rPr>
              <w:t>b</w:t>
            </w:r>
            <w:r>
              <w:rPr>
                <w:lang w:val="fr-CH"/>
              </w:rPr>
              <w:tab/>
            </w:r>
            <w:r>
              <w:rPr>
                <w:lang w:val="fr-CH"/>
              </w:rPr>
              <w:tab/>
            </w:r>
            <w:r>
              <w:t>+ 0,5; -1</w:t>
            </w:r>
            <w:r>
              <w:tab/>
              <w:t>dB</w:t>
            </w:r>
            <w:r>
              <w:rPr>
                <w:lang w:val="fr-CH"/>
              </w:rPr>
              <w:br/>
              <w:t>c</w:t>
            </w:r>
            <w:r>
              <w:rPr>
                <w:lang w:val="fr-CH"/>
              </w:rPr>
              <w:tab/>
            </w:r>
            <w:r>
              <w:rPr>
                <w:lang w:val="fr-CH"/>
              </w:rPr>
              <w:tab/>
            </w:r>
            <w:r>
              <w:t>+ 0,5; -4</w:t>
            </w:r>
            <w:r>
              <w:tab/>
              <w:t>dB</w:t>
            </w:r>
            <w:r>
              <w:rPr>
                <w:lang w:val="fr-CH"/>
              </w:rPr>
              <w:br/>
              <w:t>d</w:t>
            </w:r>
            <w:r>
              <w:rPr>
                <w:lang w:val="fr-CH"/>
              </w:rPr>
              <w:tab/>
            </w:r>
            <w:r>
              <w:rPr>
                <w:lang w:val="fr-CH"/>
              </w:rPr>
              <w:tab/>
            </w:r>
            <w:r>
              <w:t>- 9</w:t>
            </w:r>
            <w:r>
              <w:tab/>
            </w:r>
            <w:r>
              <w:tab/>
            </w:r>
            <w:r>
              <w:tab/>
              <w:t xml:space="preserve">dB/octave </w:t>
            </w:r>
            <w:r>
              <w:rPr>
                <w:lang w:val="fr-CH"/>
              </w:rPr>
              <w:br/>
              <w:t>e</w:t>
            </w:r>
            <w:r>
              <w:rPr>
                <w:lang w:val="fr-CH"/>
              </w:rPr>
              <w:tab/>
            </w:r>
            <w:r>
              <w:rPr>
                <w:lang w:val="fr-CH"/>
              </w:rPr>
              <w:tab/>
            </w:r>
            <w:r>
              <w:t>- </w:t>
            </w:r>
            <w:r w:rsidRPr="005328FE">
              <w:rPr>
                <w:lang w:val="fr-CH"/>
              </w:rPr>
              <w:t>24</w:t>
            </w:r>
            <w:r>
              <w:tab/>
            </w:r>
            <w:r>
              <w:tab/>
              <w:t>dB/octave</w:t>
            </w:r>
            <w:r>
              <w:rPr>
                <w:lang w:val="fr-CH"/>
              </w:rPr>
              <w:br/>
              <w:t>f</w:t>
            </w:r>
            <w:r>
              <w:rPr>
                <w:lang w:val="fr-CH"/>
              </w:rPr>
              <w:tab/>
            </w:r>
            <w:r>
              <w:rPr>
                <w:lang w:val="fr-CH"/>
              </w:rPr>
              <w:tab/>
            </w:r>
            <w:r w:rsidRPr="00261478">
              <w:sym w:font="Symbol" w:char="F0A5"/>
            </w:r>
            <w:r>
              <w:t xml:space="preserve"> </w:t>
            </w:r>
            <w:r>
              <w:rPr>
                <w:lang w:val="fr-CH"/>
              </w:rPr>
              <w:br/>
              <w:t>g</w:t>
            </w:r>
            <w:r>
              <w:rPr>
                <w:lang w:val="fr-CH"/>
              </w:rPr>
              <w:tab/>
            </w:r>
            <w:r>
              <w:rPr>
                <w:lang w:val="fr-CH"/>
              </w:rPr>
              <w:tab/>
            </w:r>
            <w:r w:rsidRPr="005328FE">
              <w:rPr>
                <w:lang w:val="fr-CH"/>
              </w:rPr>
              <w:t>-</w:t>
            </w:r>
            <w:r>
              <w:t> 30</w:t>
            </w:r>
          </w:p>
        </w:tc>
      </w:tr>
      <w:tr w:rsidR="009206C7" w:rsidRPr="00FB6293" w:rsidTr="003B3553">
        <w:tc>
          <w:tcPr>
            <w:tcW w:w="1097" w:type="dxa"/>
            <w:shd w:val="clear" w:color="auto" w:fill="auto"/>
            <w:vAlign w:val="bottom"/>
          </w:tcPr>
          <w:p w:rsidR="009206C7" w:rsidRPr="00FB6293" w:rsidRDefault="009206C7" w:rsidP="003B3553">
            <w:pPr>
              <w:tabs>
                <w:tab w:val="left" w:pos="288"/>
                <w:tab w:val="left" w:pos="576"/>
                <w:tab w:val="left" w:pos="864"/>
                <w:tab w:val="left" w:pos="1152"/>
              </w:tabs>
              <w:suppressAutoHyphens/>
              <w:spacing w:before="40" w:after="80"/>
              <w:ind w:left="43" w:right="43"/>
              <w:jc w:val="right"/>
              <w:rPr>
                <w:lang w:val="fr-CH"/>
              </w:rPr>
            </w:pPr>
            <w:r>
              <w:rPr>
                <w:lang w:val="fr-CH"/>
              </w:rPr>
              <w:t xml:space="preserve">1 000 </w:t>
            </w:r>
            <w:r>
              <w:rPr>
                <w:lang w:val="fr-CH"/>
              </w:rPr>
              <w:br/>
              <w:t xml:space="preserve">600 </w:t>
            </w:r>
            <w:r>
              <w:rPr>
                <w:lang w:val="fr-CH"/>
              </w:rPr>
              <w:br/>
              <w:t xml:space="preserve">180 </w:t>
            </w:r>
            <w:r>
              <w:rPr>
                <w:lang w:val="fr-CH"/>
              </w:rPr>
              <w:br/>
              <w:t>60</w:t>
            </w:r>
          </w:p>
        </w:tc>
        <w:tc>
          <w:tcPr>
            <w:tcW w:w="1097" w:type="dxa"/>
            <w:shd w:val="clear" w:color="auto" w:fill="auto"/>
            <w:vAlign w:val="bottom"/>
          </w:tcPr>
          <w:p w:rsidR="009206C7" w:rsidRPr="00D21315" w:rsidRDefault="009206C7" w:rsidP="003B3553">
            <w:pPr>
              <w:tabs>
                <w:tab w:val="left" w:pos="288"/>
                <w:tab w:val="left" w:pos="576"/>
                <w:tab w:val="left" w:pos="864"/>
                <w:tab w:val="left" w:pos="1152"/>
              </w:tabs>
              <w:suppressAutoHyphens/>
              <w:spacing w:before="40" w:after="80"/>
              <w:ind w:left="43" w:right="43"/>
              <w:jc w:val="right"/>
              <w:rPr>
                <w:lang w:val="en-GB"/>
              </w:rPr>
            </w:pPr>
            <w:r w:rsidRPr="00D21315">
              <w:rPr>
                <w:u w:val="single"/>
                <w:lang w:val="en-GB"/>
              </w:rPr>
              <w:t>&lt;</w:t>
            </w:r>
            <w:r w:rsidRPr="00D21315">
              <w:rPr>
                <w:lang w:val="en-GB"/>
              </w:rPr>
              <w:t> 0,1</w:t>
            </w:r>
            <w:r>
              <w:rPr>
                <w:lang w:val="en-GB"/>
              </w:rPr>
              <w:t xml:space="preserve"> </w:t>
            </w:r>
            <w:r>
              <w:rPr>
                <w:lang w:val="en-GB"/>
              </w:rPr>
              <w:br/>
            </w:r>
            <w:r w:rsidRPr="00D21315">
              <w:rPr>
                <w:u w:val="single"/>
                <w:lang w:val="en-GB"/>
              </w:rPr>
              <w:t>&lt;</w:t>
            </w:r>
            <w:r w:rsidRPr="00D21315">
              <w:rPr>
                <w:lang w:val="en-GB"/>
              </w:rPr>
              <w:t> 0,1</w:t>
            </w:r>
            <w:r>
              <w:rPr>
                <w:lang w:val="en-GB"/>
              </w:rPr>
              <w:t xml:space="preserve"> </w:t>
            </w:r>
            <w:r>
              <w:rPr>
                <w:lang w:val="en-GB"/>
              </w:rPr>
              <w:br/>
            </w:r>
            <w:r w:rsidRPr="00D21315">
              <w:rPr>
                <w:u w:val="single"/>
                <w:lang w:val="en-GB"/>
              </w:rPr>
              <w:t>&lt;</w:t>
            </w:r>
            <w:r w:rsidRPr="00D21315">
              <w:rPr>
                <w:lang w:val="en-GB"/>
              </w:rPr>
              <w:t> 0,1</w:t>
            </w:r>
            <w:r>
              <w:rPr>
                <w:lang w:val="en-GB"/>
              </w:rPr>
              <w:t xml:space="preserve"> </w:t>
            </w:r>
            <w:r>
              <w:rPr>
                <w:lang w:val="en-GB"/>
              </w:rPr>
              <w:br/>
            </w:r>
            <w:r w:rsidRPr="00D21315">
              <w:rPr>
                <w:u w:val="single"/>
                <w:lang w:val="en-GB"/>
              </w:rPr>
              <w:t>&lt;</w:t>
            </w:r>
            <w:r w:rsidRPr="00D21315">
              <w:rPr>
                <w:lang w:val="en-GB"/>
              </w:rPr>
              <w:t> 0,1</w:t>
            </w:r>
          </w:p>
        </w:tc>
        <w:tc>
          <w:tcPr>
            <w:tcW w:w="1097" w:type="dxa"/>
            <w:shd w:val="clear" w:color="auto" w:fill="auto"/>
            <w:vAlign w:val="bottom"/>
          </w:tcPr>
          <w:p w:rsidR="009206C7" w:rsidRPr="00FB6293" w:rsidRDefault="009206C7" w:rsidP="003B3553">
            <w:pPr>
              <w:tabs>
                <w:tab w:val="left" w:pos="288"/>
                <w:tab w:val="left" w:pos="576"/>
                <w:tab w:val="left" w:pos="864"/>
                <w:tab w:val="left" w:pos="1152"/>
              </w:tabs>
              <w:suppressAutoHyphens/>
              <w:spacing w:before="40" w:after="80"/>
              <w:ind w:left="43" w:right="43"/>
              <w:jc w:val="right"/>
              <w:rPr>
                <w:lang w:val="fr-CH"/>
              </w:rPr>
            </w:pPr>
            <w:r>
              <w:rPr>
                <w:lang w:val="fr-CH"/>
              </w:rPr>
              <w:t xml:space="preserve">1 000 </w:t>
            </w:r>
            <w:r>
              <w:rPr>
                <w:lang w:val="fr-CH"/>
              </w:rPr>
              <w:br/>
              <w:t xml:space="preserve">600 </w:t>
            </w:r>
            <w:r>
              <w:rPr>
                <w:lang w:val="fr-CH"/>
              </w:rPr>
              <w:br/>
              <w:t xml:space="preserve">180 </w:t>
            </w:r>
            <w:r>
              <w:rPr>
                <w:lang w:val="fr-CH"/>
              </w:rPr>
              <w:br/>
              <w:t>60</w:t>
            </w:r>
          </w:p>
        </w:tc>
        <w:tc>
          <w:tcPr>
            <w:tcW w:w="1097" w:type="dxa"/>
            <w:shd w:val="clear" w:color="auto" w:fill="auto"/>
            <w:vAlign w:val="bottom"/>
          </w:tcPr>
          <w:p w:rsidR="009206C7" w:rsidRPr="00FB6293" w:rsidRDefault="009206C7" w:rsidP="003B3553">
            <w:pPr>
              <w:tabs>
                <w:tab w:val="left" w:pos="288"/>
                <w:tab w:val="left" w:pos="576"/>
                <w:tab w:val="left" w:pos="864"/>
                <w:tab w:val="left" w:pos="1152"/>
              </w:tabs>
              <w:suppressAutoHyphens/>
              <w:spacing w:before="40" w:after="80"/>
              <w:ind w:left="43" w:right="43"/>
              <w:jc w:val="right"/>
              <w:rPr>
                <w:lang w:val="fr-CH"/>
              </w:rPr>
            </w:pPr>
            <w:r>
              <w:rPr>
                <w:lang w:val="fr-CH"/>
              </w:rPr>
              <w:t xml:space="preserve">1 650 </w:t>
            </w:r>
            <w:r>
              <w:rPr>
                <w:lang w:val="fr-CH"/>
              </w:rPr>
              <w:br/>
              <w:t xml:space="preserve">1 000 </w:t>
            </w:r>
            <w:r>
              <w:rPr>
                <w:lang w:val="fr-CH"/>
              </w:rPr>
              <w:br/>
              <w:t xml:space="preserve">300 </w:t>
            </w:r>
            <w:r>
              <w:rPr>
                <w:lang w:val="fr-CH"/>
              </w:rPr>
              <w:br/>
              <w:t>100</w:t>
            </w:r>
          </w:p>
        </w:tc>
        <w:tc>
          <w:tcPr>
            <w:tcW w:w="3114" w:type="dxa"/>
            <w:vMerge/>
            <w:shd w:val="clear" w:color="auto" w:fill="auto"/>
          </w:tcPr>
          <w:p w:rsidR="009206C7" w:rsidRPr="00FB6293" w:rsidRDefault="009206C7" w:rsidP="00467EB7">
            <w:pPr>
              <w:tabs>
                <w:tab w:val="left" w:pos="288"/>
                <w:tab w:val="left" w:pos="576"/>
                <w:tab w:val="left" w:pos="864"/>
                <w:tab w:val="left" w:pos="1152"/>
              </w:tabs>
              <w:suppressAutoHyphens/>
              <w:spacing w:before="40" w:after="80"/>
              <w:ind w:left="115" w:right="115"/>
              <w:rPr>
                <w:lang w:val="fr-CH"/>
              </w:rPr>
            </w:pPr>
          </w:p>
        </w:tc>
      </w:tr>
    </w:tbl>
    <w:p w:rsidR="00467EB7" w:rsidRDefault="00467EB7" w:rsidP="00467EB7">
      <w:pPr>
        <w:pStyle w:val="SingleTxt"/>
        <w:ind w:left="2218" w:hanging="951"/>
        <w:rPr>
          <w:lang w:val="fr-CH"/>
        </w:rPr>
      </w:pPr>
    </w:p>
    <w:p w:rsidR="00D234BC" w:rsidRDefault="00D234BC">
      <w:pPr>
        <w:spacing w:line="240" w:lineRule="auto"/>
        <w:rPr>
          <w:lang w:val="fr-CH"/>
        </w:rPr>
        <w:sectPr w:rsidR="00D234BC" w:rsidSect="00D234BC">
          <w:headerReference w:type="even" r:id="rId65"/>
          <w:headerReference w:type="default" r:id="rId66"/>
          <w:footerReference w:type="even" r:id="rId67"/>
          <w:footerReference w:type="default" r:id="rId68"/>
          <w:footnotePr>
            <w:numRestart w:val="eachSect"/>
          </w:footnotePr>
          <w:pgSz w:w="11909" w:h="16834"/>
          <w:pgMar w:top="1742" w:right="936" w:bottom="1898" w:left="936" w:header="576" w:footer="1030" w:gutter="0"/>
          <w:cols w:space="720"/>
          <w:noEndnote/>
          <w:docGrid w:linePitch="360"/>
        </w:sectPr>
      </w:pPr>
    </w:p>
    <w:p w:rsidR="00E87C06" w:rsidRDefault="00E87C06" w:rsidP="00E87C0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84" w:name="_Toc381109791"/>
      <w:bookmarkStart w:id="85" w:name="_Toc413834107"/>
      <w:r w:rsidRPr="001C4959">
        <w:rPr>
          <w:lang w:val="fr-CH"/>
        </w:rPr>
        <w:lastRenderedPageBreak/>
        <w:t>Annexe 9</w:t>
      </w:r>
      <w:bookmarkEnd w:id="84"/>
      <w:bookmarkEnd w:id="85"/>
    </w:p>
    <w:p w:rsidR="00E87C06" w:rsidRPr="001C4959" w:rsidRDefault="00E87C06" w:rsidP="00E87C06">
      <w:pPr>
        <w:pStyle w:val="SingleTxt"/>
        <w:spacing w:after="0" w:line="120" w:lineRule="exact"/>
        <w:rPr>
          <w:sz w:val="10"/>
          <w:lang w:val="fr-CH"/>
        </w:rPr>
      </w:pPr>
    </w:p>
    <w:p w:rsidR="00E87C06" w:rsidRDefault="00E87C06" w:rsidP="00E87C0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1C4959">
        <w:rPr>
          <w:lang w:val="fr-CH"/>
        </w:rPr>
        <w:tab/>
      </w:r>
      <w:r w:rsidRPr="001C4959">
        <w:rPr>
          <w:lang w:val="fr-CH"/>
        </w:rPr>
        <w:tab/>
      </w:r>
      <w:r w:rsidRPr="001C4959">
        <w:rPr>
          <w:spacing w:val="-4"/>
          <w:lang w:val="fr-CH"/>
        </w:rPr>
        <w:t>Procédures d’essai applicables à la protection des occupants des véhicules électriques contre tout contact avec les éléments</w:t>
      </w:r>
      <w:r w:rsidRPr="001C4959">
        <w:rPr>
          <w:lang w:val="fr-CH"/>
        </w:rPr>
        <w:t xml:space="preserve"> </w:t>
      </w:r>
      <w:r>
        <w:rPr>
          <w:lang w:val="fr-CH"/>
        </w:rPr>
        <w:t>à </w:t>
      </w:r>
      <w:r w:rsidRPr="001C4959">
        <w:rPr>
          <w:lang w:val="fr-CH"/>
        </w:rPr>
        <w:t>haute tension et contre toute fuite d’électrolyte</w:t>
      </w:r>
    </w:p>
    <w:p w:rsidR="00E87C06" w:rsidRPr="001C4959" w:rsidRDefault="00E87C06" w:rsidP="00E87C06">
      <w:pPr>
        <w:pStyle w:val="SingleTxt"/>
        <w:spacing w:after="0" w:line="120" w:lineRule="exact"/>
        <w:rPr>
          <w:sz w:val="10"/>
          <w:lang w:val="fr-CH"/>
        </w:rPr>
      </w:pPr>
    </w:p>
    <w:p w:rsidR="00E87C06" w:rsidRPr="001C4959" w:rsidRDefault="00E87C06" w:rsidP="00E87C06">
      <w:pPr>
        <w:pStyle w:val="SingleTxt"/>
        <w:spacing w:after="0" w:line="120" w:lineRule="exact"/>
        <w:rPr>
          <w:sz w:val="10"/>
          <w:lang w:val="fr-CH"/>
        </w:rPr>
      </w:pPr>
    </w:p>
    <w:p w:rsidR="00E87C06" w:rsidRPr="001C4959" w:rsidRDefault="00E87C06" w:rsidP="00E87C06">
      <w:pPr>
        <w:pStyle w:val="SingleTxt"/>
        <w:ind w:left="2218" w:hanging="951"/>
        <w:rPr>
          <w:lang w:val="fr-CH"/>
        </w:rPr>
      </w:pPr>
      <w:r>
        <w:rPr>
          <w:lang w:val="fr-CH"/>
        </w:rPr>
        <w:tab/>
      </w:r>
      <w:r>
        <w:rPr>
          <w:lang w:val="fr-CH"/>
        </w:rPr>
        <w:tab/>
      </w:r>
      <w:r w:rsidRPr="001C4959">
        <w:rPr>
          <w:lang w:val="fr-CH"/>
        </w:rPr>
        <w:t>On trouvera dans la présente annexe la description des procédures d’essai visant à démontrer la conformité avec les dispositions du paragraphe 5.2.8 du présent Règlement relatives à la sûreté électrique. On notera que la résistance d’isolement peut aussi se mesurer au moyen d’un mégohmmètre ou d’un oscilloscope. Dans ce cas, il peut s’avérer nécessaire de désactiver le système embarqué de surveillance de la résistance d’isolement.</w:t>
      </w:r>
    </w:p>
    <w:p w:rsidR="00E87C06" w:rsidRPr="000D495C" w:rsidRDefault="00E87C06" w:rsidP="00E87C06">
      <w:pPr>
        <w:pStyle w:val="SingleTxt"/>
        <w:ind w:left="2218" w:hanging="951"/>
        <w:rPr>
          <w:lang w:val="fr-CH"/>
        </w:rPr>
      </w:pPr>
      <w:r>
        <w:rPr>
          <w:lang w:val="fr-CH"/>
        </w:rPr>
        <w:tab/>
      </w:r>
      <w:r>
        <w:rPr>
          <w:lang w:val="fr-CH"/>
        </w:rPr>
        <w:tab/>
      </w:r>
      <w:r w:rsidRPr="000D495C">
        <w:rPr>
          <w:lang w:val="fr-CH"/>
        </w:rPr>
        <w:t>Avant de procéder à l’essai de choc, mesurer et consigner la tension du rail haute tension (V</w:t>
      </w:r>
      <w:r w:rsidRPr="000D495C">
        <w:rPr>
          <w:vertAlign w:val="subscript"/>
          <w:lang w:val="fr-CH"/>
        </w:rPr>
        <w:t>b</w:t>
      </w:r>
      <w:r w:rsidRPr="000D495C">
        <w:rPr>
          <w:lang w:val="fr-CH"/>
        </w:rPr>
        <w:t xml:space="preserve"> sur la figure 1 ci-après), puis vérifier qu’elle est conforme à la tension de fonctionnement du véhicule prévue par le constructeur.</w:t>
      </w:r>
    </w:p>
    <w:p w:rsidR="00E87C06" w:rsidRPr="001C4959" w:rsidRDefault="00E87C06" w:rsidP="00E87C06">
      <w:pPr>
        <w:pStyle w:val="SingleTxt"/>
        <w:rPr>
          <w:lang w:val="fr-CH"/>
        </w:rPr>
      </w:pPr>
      <w:r w:rsidRPr="001C4959">
        <w:rPr>
          <w:lang w:val="fr-CH"/>
        </w:rPr>
        <w:t>1.</w:t>
      </w:r>
      <w:r w:rsidRPr="001C4959">
        <w:rPr>
          <w:lang w:val="fr-CH"/>
        </w:rPr>
        <w:tab/>
      </w:r>
      <w:r>
        <w:rPr>
          <w:lang w:val="fr-CH"/>
        </w:rPr>
        <w:tab/>
      </w:r>
      <w:r w:rsidRPr="001C4959">
        <w:rPr>
          <w:lang w:val="fr-CH"/>
        </w:rPr>
        <w:t>Préparation de l’essai et matériel requis</w:t>
      </w:r>
    </w:p>
    <w:p w:rsidR="00E87C06" w:rsidRPr="001C4959" w:rsidRDefault="00E87C06" w:rsidP="00E87C06">
      <w:pPr>
        <w:pStyle w:val="SingleTxt"/>
        <w:ind w:left="2218" w:hanging="951"/>
        <w:rPr>
          <w:lang w:val="fr-CH"/>
        </w:rPr>
      </w:pPr>
      <w:r>
        <w:rPr>
          <w:lang w:val="fr-CH"/>
        </w:rPr>
        <w:tab/>
      </w:r>
      <w:r>
        <w:rPr>
          <w:lang w:val="fr-CH"/>
        </w:rPr>
        <w:tab/>
      </w:r>
      <w:r w:rsidRPr="001C4959">
        <w:rPr>
          <w:lang w:val="fr-CH"/>
        </w:rPr>
        <w:t>Si l’on utilise une fonction de déconnexion de la haute tension, les mesures doivent être relevées des deux côtés du dispositif de déconnexion.</w:t>
      </w:r>
    </w:p>
    <w:p w:rsidR="00E87C06" w:rsidRPr="001C4959" w:rsidRDefault="00E87C06" w:rsidP="00E87C06">
      <w:pPr>
        <w:pStyle w:val="SingleTxt"/>
        <w:ind w:left="2218" w:hanging="951"/>
        <w:rPr>
          <w:lang w:val="fr-CH"/>
        </w:rPr>
      </w:pPr>
      <w:r>
        <w:rPr>
          <w:lang w:val="fr-CH"/>
        </w:rPr>
        <w:tab/>
      </w:r>
      <w:r>
        <w:rPr>
          <w:lang w:val="fr-CH"/>
        </w:rPr>
        <w:tab/>
      </w:r>
      <w:r w:rsidRPr="001C4959">
        <w:rPr>
          <w:lang w:val="fr-CH"/>
        </w:rPr>
        <w:t>Toutefois, si la fonction de déconnexion de la haute tension est intégrée au SRSEE ou au système de conversion de l’énergie et si le rail haute tension du SRSEE ou le système de conversion bénéficient du degré de protection IPXXB à la suite de l’essai de choc, les mesures peuvent être relevées uniquement en aval du dispositif de déconnexion.</w:t>
      </w:r>
    </w:p>
    <w:p w:rsidR="00E87C06" w:rsidRPr="001C4959" w:rsidRDefault="00E87C06" w:rsidP="00E87C06">
      <w:pPr>
        <w:pStyle w:val="SingleTxt"/>
        <w:ind w:left="2218" w:hanging="951"/>
        <w:rPr>
          <w:lang w:val="fr-CH"/>
        </w:rPr>
      </w:pPr>
      <w:r>
        <w:rPr>
          <w:lang w:val="fr-CH"/>
        </w:rPr>
        <w:tab/>
      </w:r>
      <w:r>
        <w:rPr>
          <w:lang w:val="fr-CH"/>
        </w:rPr>
        <w:tab/>
      </w:r>
      <w:r w:rsidRPr="001C4959">
        <w:rPr>
          <w:lang w:val="fr-CH"/>
        </w:rPr>
        <w:t>Le voltmètre utilisé pour l’essai considéré ici doit mesurer les valeurs du courant continu et avoir une résistance interne minimale de 10 MΩ.</w:t>
      </w:r>
    </w:p>
    <w:p w:rsidR="00E87C06" w:rsidRPr="001C4959" w:rsidRDefault="00E87C06" w:rsidP="00E87C06">
      <w:pPr>
        <w:pStyle w:val="SingleTxt"/>
        <w:rPr>
          <w:lang w:val="fr-CH"/>
        </w:rPr>
      </w:pPr>
      <w:r w:rsidRPr="001C4959">
        <w:rPr>
          <w:lang w:val="fr-CH"/>
        </w:rPr>
        <w:t>2.</w:t>
      </w:r>
      <w:r w:rsidRPr="001C4959">
        <w:rPr>
          <w:lang w:val="fr-CH"/>
        </w:rPr>
        <w:tab/>
      </w:r>
      <w:r>
        <w:rPr>
          <w:lang w:val="fr-CH"/>
        </w:rPr>
        <w:tab/>
      </w:r>
      <w:r w:rsidRPr="001C4959">
        <w:rPr>
          <w:lang w:val="fr-CH"/>
        </w:rPr>
        <w:t>Les instructions ci-après peuvent être appliquées pour mesurer la tension.</w:t>
      </w:r>
    </w:p>
    <w:p w:rsidR="00E87C06" w:rsidRPr="001C4959" w:rsidRDefault="00E87C06" w:rsidP="00E87C06">
      <w:pPr>
        <w:pStyle w:val="SingleTxt"/>
        <w:ind w:left="2218" w:hanging="951"/>
        <w:rPr>
          <w:lang w:val="fr-CH"/>
        </w:rPr>
      </w:pPr>
      <w:r>
        <w:rPr>
          <w:lang w:val="fr-CH"/>
        </w:rPr>
        <w:tab/>
      </w:r>
      <w:r>
        <w:rPr>
          <w:lang w:val="fr-CH"/>
        </w:rPr>
        <w:tab/>
      </w:r>
      <w:r w:rsidRPr="001C4959">
        <w:rPr>
          <w:lang w:val="fr-CH"/>
        </w:rPr>
        <w:t>Après l’essai de choc, mesurer les tensions des rails haute tension (V</w:t>
      </w:r>
      <w:r w:rsidRPr="001C4959">
        <w:rPr>
          <w:vertAlign w:val="subscript"/>
          <w:lang w:val="fr-CH"/>
        </w:rPr>
        <w:t>b</w:t>
      </w:r>
      <w:r w:rsidRPr="001C4959">
        <w:rPr>
          <w:lang w:val="fr-CH"/>
        </w:rPr>
        <w:t>, V</w:t>
      </w:r>
      <w:r w:rsidRPr="001C4959">
        <w:rPr>
          <w:vertAlign w:val="subscript"/>
          <w:lang w:val="fr-CH"/>
        </w:rPr>
        <w:t>1</w:t>
      </w:r>
      <w:r w:rsidRPr="001C4959">
        <w:rPr>
          <w:lang w:val="fr-CH"/>
        </w:rPr>
        <w:t xml:space="preserve"> et V</w:t>
      </w:r>
      <w:r w:rsidRPr="001C4959">
        <w:rPr>
          <w:vertAlign w:val="subscript"/>
          <w:lang w:val="fr-CH"/>
        </w:rPr>
        <w:t>2</w:t>
      </w:r>
      <w:r w:rsidRPr="001C4959">
        <w:rPr>
          <w:lang w:val="fr-CH"/>
        </w:rPr>
        <w:t xml:space="preserve"> sur la figure 1 ci</w:t>
      </w:r>
      <w:r w:rsidRPr="001C4959">
        <w:rPr>
          <w:lang w:val="fr-CH"/>
        </w:rPr>
        <w:noBreakHyphen/>
        <w:t>après).</w:t>
      </w:r>
    </w:p>
    <w:p w:rsidR="00E87C06" w:rsidRPr="001C4959" w:rsidRDefault="00E87C06" w:rsidP="00E87C06">
      <w:pPr>
        <w:pStyle w:val="SingleTxt"/>
        <w:rPr>
          <w:lang w:val="fr-CH"/>
        </w:rPr>
      </w:pPr>
      <w:r>
        <w:rPr>
          <w:lang w:val="fr-CH"/>
        </w:rPr>
        <w:tab/>
      </w:r>
      <w:r>
        <w:rPr>
          <w:lang w:val="fr-CH"/>
        </w:rPr>
        <w:tab/>
      </w:r>
      <w:r w:rsidRPr="001C4959">
        <w:rPr>
          <w:lang w:val="fr-CH"/>
        </w:rPr>
        <w:t>La tension doit être mesurée entre 5 et 60 secondes après le choc.</w:t>
      </w:r>
    </w:p>
    <w:p w:rsidR="00E87C06" w:rsidRDefault="00E87C06" w:rsidP="00E87C06">
      <w:pPr>
        <w:pStyle w:val="SingleTxt"/>
        <w:ind w:left="2218" w:hanging="951"/>
        <w:rPr>
          <w:lang w:val="fr-CH"/>
        </w:rPr>
      </w:pPr>
      <w:r>
        <w:rPr>
          <w:lang w:val="fr-CH"/>
        </w:rPr>
        <w:tab/>
      </w:r>
      <w:r>
        <w:rPr>
          <w:lang w:val="fr-CH"/>
        </w:rPr>
        <w:tab/>
      </w:r>
      <w:r w:rsidRPr="001C4959">
        <w:rPr>
          <w:lang w:val="fr-CH"/>
        </w:rPr>
        <w:t>Cette procédure ne s’applique pas si l’essai est effectué alors que la chaîne de traction électrique n’est pas sous tension.</w:t>
      </w:r>
    </w:p>
    <w:p w:rsidR="000D495C" w:rsidRPr="000D495C" w:rsidRDefault="000D495C" w:rsidP="00E87C06">
      <w:pPr>
        <w:pStyle w:val="SingleTxt"/>
        <w:spacing w:after="0" w:line="120" w:lineRule="exact"/>
        <w:ind w:left="2218" w:hanging="951"/>
        <w:rPr>
          <w:b/>
          <w:sz w:val="10"/>
          <w:lang w:val="fr-CH"/>
        </w:rPr>
      </w:pPr>
    </w:p>
    <w:p w:rsidR="00E87C06" w:rsidRPr="000D495C" w:rsidRDefault="00E87C06" w:rsidP="000D495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vertAlign w:val="subscript"/>
          <w:lang w:val="fr-CH"/>
        </w:rPr>
      </w:pPr>
      <w:bookmarkStart w:id="86" w:name="_Toc355617346"/>
      <w:r w:rsidRPr="000D495C">
        <w:rPr>
          <w:lang w:val="fr-CH"/>
        </w:rPr>
        <w:lastRenderedPageBreak/>
        <w:tab/>
      </w:r>
      <w:r w:rsidRPr="000D495C">
        <w:rPr>
          <w:b w:val="0"/>
          <w:lang w:val="fr-CH"/>
        </w:rPr>
        <w:tab/>
        <w:t>Figure 1</w:t>
      </w:r>
      <w:bookmarkEnd w:id="86"/>
      <w:r w:rsidRPr="000D495C">
        <w:rPr>
          <w:lang w:val="fr-CH"/>
        </w:rPr>
        <w:t xml:space="preserve"> </w:t>
      </w:r>
      <w:r w:rsidRPr="000D495C">
        <w:rPr>
          <w:lang w:val="fr-CH"/>
        </w:rPr>
        <w:br/>
        <w:t>Mesure de V</w:t>
      </w:r>
      <w:r w:rsidRPr="000D495C">
        <w:rPr>
          <w:vertAlign w:val="subscript"/>
          <w:lang w:val="fr-CH"/>
        </w:rPr>
        <w:t>b</w:t>
      </w:r>
      <w:r w:rsidRPr="000D495C">
        <w:rPr>
          <w:lang w:val="fr-CH"/>
        </w:rPr>
        <w:t>, V</w:t>
      </w:r>
      <w:r w:rsidRPr="000D495C">
        <w:rPr>
          <w:vertAlign w:val="subscript"/>
          <w:lang w:val="fr-CH"/>
        </w:rPr>
        <w:t>1</w:t>
      </w:r>
      <w:r w:rsidRPr="000D495C">
        <w:rPr>
          <w:lang w:val="fr-CH"/>
        </w:rPr>
        <w:t xml:space="preserve"> et V</w:t>
      </w:r>
      <w:r w:rsidRPr="000D495C">
        <w:rPr>
          <w:vertAlign w:val="subscript"/>
          <w:lang w:val="fr-CH"/>
        </w:rPr>
        <w:t>2</w:t>
      </w:r>
    </w:p>
    <w:p w:rsidR="000D495C" w:rsidRPr="0026204E" w:rsidRDefault="000D495C" w:rsidP="000D495C">
      <w:pPr>
        <w:pStyle w:val="SingleTxt"/>
        <w:keepNext/>
        <w:keepLines/>
        <w:spacing w:after="0" w:line="120" w:lineRule="exact"/>
        <w:rPr>
          <w:sz w:val="10"/>
          <w:lang w:val="fr-CH"/>
        </w:rPr>
      </w:pPr>
    </w:p>
    <w:p w:rsidR="000D495C" w:rsidRPr="0026204E" w:rsidRDefault="000D495C" w:rsidP="000D495C">
      <w:pPr>
        <w:pStyle w:val="SingleTxt"/>
        <w:keepNext/>
        <w:keepLines/>
        <w:spacing w:after="0" w:line="120" w:lineRule="exact"/>
        <w:rPr>
          <w:sz w:val="10"/>
          <w:lang w:val="fr-CH"/>
        </w:rPr>
      </w:pPr>
    </w:p>
    <w:p w:rsidR="00E87C06" w:rsidRPr="00D419A9" w:rsidRDefault="00E87C06" w:rsidP="0026204E">
      <w:pPr>
        <w:keepNext/>
        <w:keepLines/>
        <w:suppressAutoHyphens/>
        <w:kinsoku w:val="0"/>
        <w:overflowPunct w:val="0"/>
        <w:autoSpaceDE w:val="0"/>
        <w:autoSpaceDN w:val="0"/>
        <w:adjustRightInd w:val="0"/>
        <w:snapToGrid w:val="0"/>
        <w:spacing w:line="240" w:lineRule="atLeast"/>
        <w:ind w:left="1267"/>
        <w:rPr>
          <w:rFonts w:eastAsia="Times New Roman"/>
          <w:spacing w:val="0"/>
          <w:w w:val="100"/>
          <w:kern w:val="0"/>
          <w:szCs w:val="20"/>
          <w:lang w:val="fr-CH"/>
        </w:rPr>
      </w:pPr>
      <w:r w:rsidRPr="00D419A9">
        <w:rPr>
          <w:rFonts w:eastAsia="Times New Roman"/>
          <w:noProof/>
          <w:spacing w:val="0"/>
          <w:w w:val="100"/>
          <w:kern w:val="0"/>
          <w:szCs w:val="20"/>
          <w:lang w:val="en-GB" w:eastAsia="en-GB"/>
        </w:rPr>
        <w:drawing>
          <wp:inline distT="0" distB="0" distL="0" distR="0" wp14:anchorId="62418C01" wp14:editId="07A4EAF8">
            <wp:extent cx="3920400" cy="2678400"/>
            <wp:effectExtent l="0" t="0" r="4445" b="8255"/>
            <wp:docPr id="4"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20400" cy="2678400"/>
                    </a:xfrm>
                    <a:prstGeom prst="rect">
                      <a:avLst/>
                    </a:prstGeom>
                    <a:noFill/>
                    <a:ln>
                      <a:noFill/>
                    </a:ln>
                  </pic:spPr>
                </pic:pic>
              </a:graphicData>
            </a:graphic>
          </wp:inline>
        </w:drawing>
      </w:r>
    </w:p>
    <w:p w:rsidR="00E87C06" w:rsidRPr="00D419A9" w:rsidRDefault="00E87C06" w:rsidP="000D495C">
      <w:pPr>
        <w:pStyle w:val="SingleTxt"/>
        <w:keepNext/>
        <w:keepLines/>
        <w:spacing w:after="0" w:line="120" w:lineRule="exact"/>
        <w:rPr>
          <w:sz w:val="10"/>
          <w:lang w:val="fr-CH"/>
        </w:rPr>
      </w:pPr>
    </w:p>
    <w:p w:rsidR="00E87C06" w:rsidRPr="00D419A9" w:rsidRDefault="00E87C06" w:rsidP="000D495C">
      <w:pPr>
        <w:pStyle w:val="SingleTxt"/>
        <w:keepNext/>
        <w:keepLines/>
        <w:spacing w:after="0" w:line="120" w:lineRule="exact"/>
        <w:rPr>
          <w:sz w:val="10"/>
          <w:lang w:val="fr-CH"/>
        </w:rPr>
      </w:pPr>
    </w:p>
    <w:p w:rsidR="00E87C06" w:rsidRPr="00D419A9" w:rsidRDefault="00E87C06" w:rsidP="00E87C06">
      <w:pPr>
        <w:pStyle w:val="SingleTxt"/>
        <w:ind w:left="2218" w:hanging="951"/>
        <w:rPr>
          <w:lang w:val="fr-CH"/>
        </w:rPr>
      </w:pPr>
      <w:r w:rsidRPr="00D419A9">
        <w:rPr>
          <w:lang w:val="fr-CH"/>
        </w:rPr>
        <w:t>3.</w:t>
      </w:r>
      <w:r w:rsidRPr="00D419A9">
        <w:rPr>
          <w:lang w:val="fr-CH"/>
        </w:rPr>
        <w:tab/>
      </w:r>
      <w:r w:rsidRPr="00D419A9">
        <w:rPr>
          <w:lang w:val="fr-CH"/>
        </w:rPr>
        <w:tab/>
        <w:t>Procédure d’évaluation du fonctionnement avec un faible niveau d’énergie électrique</w:t>
      </w:r>
    </w:p>
    <w:p w:rsidR="00E87C06" w:rsidRPr="00D419A9" w:rsidRDefault="00E87C06" w:rsidP="00E87C06">
      <w:pPr>
        <w:pStyle w:val="SingleTxt"/>
        <w:ind w:left="2218" w:hanging="951"/>
        <w:rPr>
          <w:lang w:val="fr-CH"/>
        </w:rPr>
      </w:pPr>
      <w:r w:rsidRPr="00D419A9">
        <w:rPr>
          <w:lang w:val="fr-CH"/>
        </w:rPr>
        <w:tab/>
      </w:r>
      <w:r>
        <w:rPr>
          <w:lang w:val="fr-CH"/>
        </w:rPr>
        <w:tab/>
      </w:r>
      <w:r w:rsidRPr="00D419A9">
        <w:rPr>
          <w:lang w:val="fr-CH"/>
        </w:rPr>
        <w:t>Avant le choc, un commutateur S</w:t>
      </w:r>
      <w:r w:rsidRPr="00D419A9">
        <w:rPr>
          <w:vertAlign w:val="subscript"/>
          <w:lang w:val="fr-CH"/>
        </w:rPr>
        <w:t>1</w:t>
      </w:r>
      <w:r w:rsidRPr="00D419A9">
        <w:rPr>
          <w:lang w:val="fr-CH"/>
        </w:rPr>
        <w:t xml:space="preserve"> et une résistance de décharge connue R</w:t>
      </w:r>
      <w:r w:rsidRPr="00D419A9">
        <w:rPr>
          <w:vertAlign w:val="subscript"/>
          <w:lang w:val="fr-CH"/>
        </w:rPr>
        <w:t>e</w:t>
      </w:r>
      <w:r w:rsidRPr="00D419A9">
        <w:rPr>
          <w:lang w:val="fr-CH"/>
        </w:rPr>
        <w:t xml:space="preserve"> sont branchés en parallèle à la capacitance requise (voir fig. 2 ci-après).</w:t>
      </w:r>
    </w:p>
    <w:p w:rsidR="00E87C06" w:rsidRDefault="00E87C06" w:rsidP="00E87C06">
      <w:pPr>
        <w:pStyle w:val="SingleTxt"/>
        <w:ind w:left="2218" w:hanging="951"/>
        <w:rPr>
          <w:lang w:val="fr-CH"/>
        </w:rPr>
      </w:pPr>
      <w:r>
        <w:rPr>
          <w:lang w:val="fr-CH"/>
        </w:rPr>
        <w:tab/>
      </w:r>
      <w:r>
        <w:rPr>
          <w:lang w:val="fr-CH"/>
        </w:rPr>
        <w:tab/>
        <w:t>Entre</w:t>
      </w:r>
      <w:r w:rsidRPr="00D419A9">
        <w:rPr>
          <w:lang w:val="fr-CH"/>
        </w:rPr>
        <w:t xml:space="preserve"> 5 </w:t>
      </w:r>
      <w:r>
        <w:rPr>
          <w:lang w:val="fr-CH"/>
        </w:rPr>
        <w:t xml:space="preserve">et </w:t>
      </w:r>
      <w:r w:rsidRPr="00D419A9">
        <w:rPr>
          <w:lang w:val="fr-CH"/>
        </w:rPr>
        <w:t>60 secondes</w:t>
      </w:r>
      <w:r w:rsidRPr="00D419A9">
        <w:rPr>
          <w:b/>
          <w:lang w:val="fr-CH"/>
        </w:rPr>
        <w:t xml:space="preserve"> </w:t>
      </w:r>
      <w:r w:rsidRPr="00D419A9">
        <w:rPr>
          <w:lang w:val="fr-CH"/>
        </w:rPr>
        <w:t>après le choc, fermer le commutateur S</w:t>
      </w:r>
      <w:r w:rsidRPr="00D419A9">
        <w:rPr>
          <w:vertAlign w:val="subscript"/>
          <w:lang w:val="fr-CH"/>
        </w:rPr>
        <w:t>1</w:t>
      </w:r>
      <w:r w:rsidRPr="00D419A9">
        <w:rPr>
          <w:lang w:val="fr-CH"/>
        </w:rPr>
        <w:t xml:space="preserve"> puis mesurer et consigner la tension V</w:t>
      </w:r>
      <w:r w:rsidRPr="00D419A9">
        <w:rPr>
          <w:vertAlign w:val="subscript"/>
          <w:lang w:val="fr-CH"/>
        </w:rPr>
        <w:t>b</w:t>
      </w:r>
      <w:r w:rsidRPr="00D419A9">
        <w:rPr>
          <w:lang w:val="fr-CH"/>
        </w:rPr>
        <w:t xml:space="preserve"> et l’intensité I</w:t>
      </w:r>
      <w:r w:rsidRPr="00D419A9">
        <w:rPr>
          <w:vertAlign w:val="subscript"/>
          <w:lang w:val="fr-CH"/>
        </w:rPr>
        <w:t>e</w:t>
      </w:r>
      <w:r w:rsidRPr="00D419A9">
        <w:rPr>
          <w:lang w:val="fr-CH"/>
        </w:rPr>
        <w:t>. Le</w:t>
      </w:r>
      <w:r>
        <w:rPr>
          <w:lang w:val="fr-CH"/>
        </w:rPr>
        <w:t xml:space="preserve"> </w:t>
      </w:r>
      <w:r w:rsidRPr="00D419A9">
        <w:rPr>
          <w:lang w:val="fr-CH"/>
        </w:rPr>
        <w:t>produit de la tension V</w:t>
      </w:r>
      <w:r w:rsidRPr="00D419A9">
        <w:rPr>
          <w:vertAlign w:val="subscript"/>
          <w:lang w:val="fr-CH"/>
        </w:rPr>
        <w:t>b</w:t>
      </w:r>
      <w:r w:rsidRPr="00D419A9">
        <w:rPr>
          <w:lang w:val="fr-CH"/>
        </w:rPr>
        <w:t xml:space="preserve"> par l’intensité I</w:t>
      </w:r>
      <w:r w:rsidRPr="00D419A9">
        <w:rPr>
          <w:vertAlign w:val="subscript"/>
          <w:lang w:val="fr-CH"/>
        </w:rPr>
        <w:t>e</w:t>
      </w:r>
      <w:r w:rsidRPr="00D419A9">
        <w:rPr>
          <w:lang w:val="fr-CH"/>
        </w:rPr>
        <w:t xml:space="preserve"> est intégré à la période qui s’écoule entre le moment où l’on ferme le commutateur S</w:t>
      </w:r>
      <w:r w:rsidRPr="00D419A9">
        <w:rPr>
          <w:vertAlign w:val="subscript"/>
          <w:lang w:val="fr-CH"/>
        </w:rPr>
        <w:t>1</w:t>
      </w:r>
      <w:r w:rsidRPr="00D419A9">
        <w:rPr>
          <w:lang w:val="fr-CH"/>
        </w:rPr>
        <w:t xml:space="preserve"> (t</w:t>
      </w:r>
      <w:r w:rsidRPr="00D419A9">
        <w:rPr>
          <w:vertAlign w:val="subscript"/>
          <w:lang w:val="fr-CH"/>
        </w:rPr>
        <w:t>c</w:t>
      </w:r>
      <w:r w:rsidRPr="00D419A9">
        <w:rPr>
          <w:lang w:val="fr-CH"/>
        </w:rPr>
        <w:t>) et celui où la tension V</w:t>
      </w:r>
      <w:r w:rsidRPr="00D419A9">
        <w:rPr>
          <w:vertAlign w:val="subscript"/>
          <w:lang w:val="fr-CH"/>
        </w:rPr>
        <w:t>b</w:t>
      </w:r>
      <w:r w:rsidRPr="00D419A9">
        <w:rPr>
          <w:lang w:val="fr-CH"/>
        </w:rPr>
        <w:t xml:space="preserve"> redescend sous le seuil de la haute tension de 60</w:t>
      </w:r>
      <w:r w:rsidRPr="00D419A9">
        <w:rPr>
          <w:b/>
          <w:lang w:val="fr-CH"/>
        </w:rPr>
        <w:t> </w:t>
      </w:r>
      <w:r w:rsidRPr="00D419A9">
        <w:rPr>
          <w:lang w:val="fr-CH"/>
        </w:rPr>
        <w:t>V en courant continu (t</w:t>
      </w:r>
      <w:r w:rsidRPr="00D419A9">
        <w:rPr>
          <w:vertAlign w:val="subscript"/>
          <w:lang w:val="fr-CH"/>
        </w:rPr>
        <w:t>h</w:t>
      </w:r>
      <w:r w:rsidRPr="00D419A9">
        <w:rPr>
          <w:lang w:val="fr-CH"/>
        </w:rPr>
        <w:t>), ce qui permet d’obtenir l’énergie totale (ET) en joules, comme suit</w:t>
      </w:r>
      <w:r>
        <w:rPr>
          <w:lang w:val="fr-CH"/>
        </w:rPr>
        <w:t> </w:t>
      </w:r>
      <w:r w:rsidRPr="00D419A9">
        <w:rPr>
          <w:lang w:val="fr-CH"/>
        </w:rPr>
        <w:t>:</w:t>
      </w:r>
    </w:p>
    <w:p w:rsidR="00E87C06" w:rsidRDefault="00E87C06" w:rsidP="00E87C06">
      <w:pPr>
        <w:pStyle w:val="SingleTxt"/>
        <w:spacing w:after="0" w:line="240" w:lineRule="auto"/>
        <w:ind w:left="2217" w:hanging="950"/>
        <w:rPr>
          <w:lang w:val="fr-CH"/>
        </w:rPr>
      </w:pPr>
      <w:r>
        <w:rPr>
          <w:lang w:val="fr-CH"/>
        </w:rPr>
        <w:tab/>
      </w:r>
      <w:r>
        <w:rPr>
          <w:lang w:val="fr-CH"/>
        </w:rPr>
        <w:tab/>
        <w:t>a)</w:t>
      </w:r>
      <w:r>
        <w:rPr>
          <w:lang w:val="fr-CH"/>
        </w:rPr>
        <w:tab/>
      </w:r>
      <w:r>
        <w:rPr>
          <w:noProof/>
          <w:position w:val="-32"/>
          <w:lang w:val="en-GB" w:eastAsia="en-GB"/>
        </w:rPr>
        <w:drawing>
          <wp:inline distT="0" distB="0" distL="0" distR="0" wp14:anchorId="5CD6CF15" wp14:editId="37D3522A">
            <wp:extent cx="891540" cy="472440"/>
            <wp:effectExtent l="0" t="0" r="3810" b="381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91540" cy="472440"/>
                    </a:xfrm>
                    <a:prstGeom prst="rect">
                      <a:avLst/>
                    </a:prstGeom>
                    <a:noFill/>
                    <a:ln>
                      <a:noFill/>
                    </a:ln>
                  </pic:spPr>
                </pic:pic>
              </a:graphicData>
            </a:graphic>
          </wp:inline>
        </w:drawing>
      </w:r>
    </w:p>
    <w:p w:rsidR="00E87C06" w:rsidRPr="0071516A" w:rsidRDefault="00E87C06" w:rsidP="00E87C06">
      <w:pPr>
        <w:pStyle w:val="SingleTxt"/>
        <w:ind w:left="2218" w:hanging="951"/>
        <w:rPr>
          <w:lang w:val="fr-CH"/>
        </w:rPr>
      </w:pPr>
      <w:r>
        <w:rPr>
          <w:lang w:val="fr-CH"/>
        </w:rPr>
        <w:tab/>
      </w:r>
      <w:r>
        <w:rPr>
          <w:lang w:val="fr-CH"/>
        </w:rPr>
        <w:tab/>
      </w:r>
      <w:r w:rsidRPr="0071516A">
        <w:rPr>
          <w:lang w:val="fr-CH"/>
        </w:rPr>
        <w:t>Si V</w:t>
      </w:r>
      <w:r w:rsidRPr="0071516A">
        <w:rPr>
          <w:vertAlign w:val="subscript"/>
          <w:lang w:val="fr-CH"/>
        </w:rPr>
        <w:t>b</w:t>
      </w:r>
      <w:r w:rsidRPr="0071516A">
        <w:rPr>
          <w:lang w:val="fr-CH"/>
        </w:rPr>
        <w:t xml:space="preserve"> est mesuré entre 5 et 60 secondes après le choc et que la capacitance des condensateurs X (C</w:t>
      </w:r>
      <w:r w:rsidRPr="0071516A">
        <w:rPr>
          <w:vertAlign w:val="subscript"/>
          <w:lang w:val="fr-CH"/>
        </w:rPr>
        <w:t>x</w:t>
      </w:r>
      <w:r w:rsidRPr="0071516A">
        <w:rPr>
          <w:lang w:val="fr-CH"/>
        </w:rPr>
        <w:t>) est fixée par le constructeur, l’énergie totale s’obtient au moyen de la formule ci-après</w:t>
      </w:r>
      <w:r w:rsidR="008B4BCA">
        <w:rPr>
          <w:lang w:val="fr-CH"/>
        </w:rPr>
        <w:t> </w:t>
      </w:r>
      <w:r w:rsidRPr="0071516A">
        <w:rPr>
          <w:lang w:val="fr-CH"/>
        </w:rPr>
        <w:t>:</w:t>
      </w:r>
    </w:p>
    <w:p w:rsidR="00E87C06" w:rsidRPr="0071516A" w:rsidRDefault="00E87C06" w:rsidP="00E87C06">
      <w:pPr>
        <w:pStyle w:val="SingleTxt"/>
        <w:rPr>
          <w:lang w:val="fr-CH"/>
        </w:rPr>
      </w:pPr>
      <w:r>
        <w:rPr>
          <w:lang w:val="fr-CH"/>
        </w:rPr>
        <w:tab/>
      </w:r>
      <w:r w:rsidRPr="0071516A">
        <w:rPr>
          <w:lang w:val="fr-CH"/>
        </w:rPr>
        <w:tab/>
        <w:t>b)</w:t>
      </w:r>
      <w:r w:rsidRPr="0071516A">
        <w:rPr>
          <w:lang w:val="fr-CH"/>
        </w:rPr>
        <w:tab/>
        <w:t>TE = 0,5 x C</w:t>
      </w:r>
      <w:r w:rsidRPr="0071516A">
        <w:rPr>
          <w:vertAlign w:val="subscript"/>
          <w:lang w:val="fr-CH"/>
        </w:rPr>
        <w:t>x</w:t>
      </w:r>
      <w:r w:rsidRPr="0071516A">
        <w:rPr>
          <w:lang w:val="fr-CH"/>
        </w:rPr>
        <w:t xml:space="preserve"> x (V</w:t>
      </w:r>
      <w:r w:rsidRPr="0071516A">
        <w:rPr>
          <w:vertAlign w:val="subscript"/>
          <w:lang w:val="fr-CH"/>
        </w:rPr>
        <w:t>b</w:t>
      </w:r>
      <w:r w:rsidRPr="0071516A">
        <w:rPr>
          <w:vertAlign w:val="superscript"/>
          <w:lang w:val="fr-CH"/>
        </w:rPr>
        <w:t>2</w:t>
      </w:r>
      <w:r w:rsidRPr="0071516A">
        <w:rPr>
          <w:lang w:val="fr-CH"/>
        </w:rPr>
        <w:t xml:space="preserve"> – 3 600)</w:t>
      </w:r>
    </w:p>
    <w:p w:rsidR="00E87C06" w:rsidRPr="0071516A" w:rsidRDefault="00E87C06" w:rsidP="008B4BCA">
      <w:pPr>
        <w:pStyle w:val="SingleTxt"/>
        <w:ind w:left="2218" w:hanging="951"/>
        <w:rPr>
          <w:lang w:val="fr-CH"/>
        </w:rPr>
      </w:pPr>
      <w:r>
        <w:rPr>
          <w:lang w:val="fr-CH"/>
        </w:rPr>
        <w:tab/>
      </w:r>
      <w:r w:rsidRPr="0071516A">
        <w:rPr>
          <w:lang w:val="fr-CH"/>
        </w:rPr>
        <w:tab/>
        <w:t>Si V</w:t>
      </w:r>
      <w:r w:rsidRPr="0071516A">
        <w:rPr>
          <w:vertAlign w:val="subscript"/>
          <w:lang w:val="fr-CH"/>
        </w:rPr>
        <w:t>1</w:t>
      </w:r>
      <w:r w:rsidRPr="0071516A">
        <w:rPr>
          <w:lang w:val="fr-CH"/>
        </w:rPr>
        <w:t xml:space="preserve"> et V</w:t>
      </w:r>
      <w:r w:rsidRPr="0071516A">
        <w:rPr>
          <w:vertAlign w:val="subscript"/>
          <w:lang w:val="fr-CH"/>
        </w:rPr>
        <w:t>2</w:t>
      </w:r>
      <w:r w:rsidRPr="0071516A">
        <w:rPr>
          <w:lang w:val="fr-CH"/>
        </w:rPr>
        <w:t xml:space="preserve"> (voir fig. 1 ci-dessus) sont mesurés entre 5 et 60 secondes après le choc et que la capacitance des condensateurs Y (C</w:t>
      </w:r>
      <w:r w:rsidRPr="0071516A">
        <w:rPr>
          <w:vertAlign w:val="subscript"/>
          <w:lang w:val="fr-CH"/>
        </w:rPr>
        <w:t>y1</w:t>
      </w:r>
      <w:r w:rsidRPr="0071516A">
        <w:rPr>
          <w:lang w:val="fr-CH"/>
        </w:rPr>
        <w:t xml:space="preserve"> et C</w:t>
      </w:r>
      <w:r w:rsidRPr="0071516A">
        <w:rPr>
          <w:vertAlign w:val="subscript"/>
          <w:lang w:val="fr-CH"/>
        </w:rPr>
        <w:t>y2</w:t>
      </w:r>
      <w:r w:rsidRPr="0071516A">
        <w:rPr>
          <w:lang w:val="fr-CH"/>
        </w:rPr>
        <w:t>) est fixée par le constructeur, l’énergie totale (TE</w:t>
      </w:r>
      <w:r w:rsidRPr="0071516A">
        <w:rPr>
          <w:vertAlign w:val="subscript"/>
          <w:lang w:val="fr-CH"/>
        </w:rPr>
        <w:t>y1</w:t>
      </w:r>
      <w:r w:rsidRPr="0071516A">
        <w:rPr>
          <w:lang w:val="fr-CH"/>
        </w:rPr>
        <w:t xml:space="preserve"> et TE</w:t>
      </w:r>
      <w:r w:rsidRPr="0071516A">
        <w:rPr>
          <w:vertAlign w:val="subscript"/>
          <w:lang w:val="fr-CH"/>
        </w:rPr>
        <w:t>y2</w:t>
      </w:r>
      <w:r w:rsidRPr="0071516A">
        <w:rPr>
          <w:lang w:val="fr-CH"/>
        </w:rPr>
        <w:t>) s’obtient au moyen des formules ci-après</w:t>
      </w:r>
      <w:r w:rsidR="008B4BCA">
        <w:rPr>
          <w:lang w:val="fr-CH"/>
        </w:rPr>
        <w:t> </w:t>
      </w:r>
      <w:r w:rsidRPr="0071516A">
        <w:rPr>
          <w:lang w:val="fr-CH"/>
        </w:rPr>
        <w:t>:</w:t>
      </w:r>
    </w:p>
    <w:p w:rsidR="00E87C06" w:rsidRPr="00CC7761" w:rsidRDefault="00E87C06" w:rsidP="00E87C06">
      <w:pPr>
        <w:pStyle w:val="SingleTxt"/>
        <w:rPr>
          <w:lang w:val="en-US"/>
        </w:rPr>
      </w:pPr>
      <w:r>
        <w:rPr>
          <w:lang w:val="fr-CH"/>
        </w:rPr>
        <w:tab/>
      </w:r>
      <w:r>
        <w:rPr>
          <w:lang w:val="fr-CH"/>
        </w:rPr>
        <w:tab/>
      </w:r>
      <w:r w:rsidRPr="00CC7761">
        <w:rPr>
          <w:lang w:val="en-US"/>
        </w:rPr>
        <w:t>c)</w:t>
      </w:r>
      <w:r w:rsidRPr="00CC7761">
        <w:rPr>
          <w:lang w:val="en-US"/>
        </w:rPr>
        <w:tab/>
        <w:t>TE</w:t>
      </w:r>
      <w:r w:rsidRPr="00CC7761">
        <w:rPr>
          <w:vertAlign w:val="subscript"/>
          <w:lang w:val="en-US"/>
        </w:rPr>
        <w:t>y1</w:t>
      </w:r>
      <w:r w:rsidRPr="00CC7761">
        <w:rPr>
          <w:lang w:val="en-US"/>
        </w:rPr>
        <w:t xml:space="preserve"> = 0,5 x C</w:t>
      </w:r>
      <w:r w:rsidRPr="00CC7761">
        <w:rPr>
          <w:vertAlign w:val="subscript"/>
          <w:lang w:val="en-US"/>
        </w:rPr>
        <w:t>y1</w:t>
      </w:r>
      <w:r w:rsidRPr="00CC7761">
        <w:rPr>
          <w:lang w:val="en-US"/>
        </w:rPr>
        <w:t xml:space="preserve"> x (V</w:t>
      </w:r>
      <w:r w:rsidRPr="00CC7761">
        <w:rPr>
          <w:vertAlign w:val="subscript"/>
          <w:lang w:val="en-US"/>
        </w:rPr>
        <w:t>1</w:t>
      </w:r>
      <w:r w:rsidRPr="00CC7761">
        <w:rPr>
          <w:vertAlign w:val="superscript"/>
          <w:lang w:val="en-US"/>
        </w:rPr>
        <w:t>2</w:t>
      </w:r>
      <w:r w:rsidRPr="00CC7761">
        <w:rPr>
          <w:lang w:val="en-US"/>
        </w:rPr>
        <w:t xml:space="preserve"> -3 600)</w:t>
      </w:r>
    </w:p>
    <w:p w:rsidR="00E87C06" w:rsidRPr="00CC7761" w:rsidRDefault="00E87C06" w:rsidP="00E87C06">
      <w:pPr>
        <w:pStyle w:val="SingleTxt"/>
        <w:rPr>
          <w:lang w:val="en-US"/>
        </w:rPr>
      </w:pPr>
      <w:r w:rsidRPr="00CC7761">
        <w:rPr>
          <w:lang w:val="en-US"/>
        </w:rPr>
        <w:tab/>
      </w:r>
      <w:r w:rsidRPr="00CC7761">
        <w:rPr>
          <w:lang w:val="en-US"/>
        </w:rPr>
        <w:tab/>
      </w:r>
      <w:r w:rsidRPr="00CC7761">
        <w:rPr>
          <w:lang w:val="en-US"/>
        </w:rPr>
        <w:tab/>
        <w:t>TE</w:t>
      </w:r>
      <w:r w:rsidRPr="00CC7761">
        <w:rPr>
          <w:vertAlign w:val="subscript"/>
          <w:lang w:val="en-US"/>
        </w:rPr>
        <w:t>y2</w:t>
      </w:r>
      <w:r w:rsidRPr="00CC7761">
        <w:rPr>
          <w:lang w:val="en-US"/>
        </w:rPr>
        <w:t xml:space="preserve"> = 0,5 x C</w:t>
      </w:r>
      <w:r w:rsidRPr="00CC7761">
        <w:rPr>
          <w:vertAlign w:val="subscript"/>
          <w:lang w:val="en-US"/>
        </w:rPr>
        <w:t>y2</w:t>
      </w:r>
      <w:r w:rsidRPr="00CC7761">
        <w:rPr>
          <w:lang w:val="en-US"/>
        </w:rPr>
        <w:t xml:space="preserve"> x (V</w:t>
      </w:r>
      <w:r w:rsidRPr="00CC7761">
        <w:rPr>
          <w:vertAlign w:val="subscript"/>
          <w:lang w:val="en-US"/>
        </w:rPr>
        <w:t>2</w:t>
      </w:r>
      <w:r w:rsidRPr="00CC7761">
        <w:rPr>
          <w:vertAlign w:val="superscript"/>
          <w:lang w:val="en-US"/>
        </w:rPr>
        <w:t>2</w:t>
      </w:r>
      <w:r w:rsidRPr="00CC7761">
        <w:rPr>
          <w:lang w:val="en-US"/>
        </w:rPr>
        <w:t>- 3 600)</w:t>
      </w:r>
    </w:p>
    <w:p w:rsidR="00E87C06" w:rsidRDefault="00E87C06" w:rsidP="00E87C06">
      <w:pPr>
        <w:pStyle w:val="SingleTxt"/>
        <w:ind w:left="2218" w:hanging="951"/>
        <w:rPr>
          <w:lang w:val="fr-CH"/>
        </w:rPr>
      </w:pPr>
      <w:r w:rsidRPr="00CC7761">
        <w:rPr>
          <w:lang w:val="en-US"/>
        </w:rPr>
        <w:tab/>
      </w:r>
      <w:r w:rsidRPr="00CC7761">
        <w:rPr>
          <w:lang w:val="en-US"/>
        </w:rPr>
        <w:tab/>
      </w:r>
      <w:r w:rsidRPr="0071516A">
        <w:rPr>
          <w:lang w:val="fr-CH"/>
        </w:rPr>
        <w:t>Cette procédure ne s’applique pas si l’essai est effectué lorsque la chaîne de traction électrique n’est pas sous tension.</w:t>
      </w:r>
    </w:p>
    <w:p w:rsidR="00E87C06" w:rsidRPr="00D436A4" w:rsidRDefault="00E87C06" w:rsidP="00E87C06">
      <w:pPr>
        <w:pStyle w:val="SingleTxt"/>
        <w:spacing w:after="0" w:line="120" w:lineRule="exact"/>
        <w:ind w:left="2218" w:hanging="951"/>
        <w:rPr>
          <w:sz w:val="10"/>
          <w:lang w:val="fr-CH"/>
        </w:rPr>
      </w:pPr>
    </w:p>
    <w:p w:rsidR="00E87C06" w:rsidRDefault="00E87C06" w:rsidP="008A391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b/>
      </w:r>
      <w:r>
        <w:rPr>
          <w:lang w:val="fr-CH"/>
        </w:rPr>
        <w:tab/>
      </w:r>
      <w:r w:rsidRPr="00D436A4">
        <w:rPr>
          <w:b w:val="0"/>
          <w:lang w:val="fr-CH"/>
        </w:rPr>
        <w:t xml:space="preserve">Figure 2 </w:t>
      </w:r>
      <w:r w:rsidRPr="00D436A4">
        <w:rPr>
          <w:lang w:val="fr-CH"/>
        </w:rPr>
        <w:br/>
        <w:t>Mesure de l’énergie du rail haute tension contenue dans les condensateurs X</w:t>
      </w:r>
    </w:p>
    <w:p w:rsidR="00E87C06" w:rsidRPr="004F6480" w:rsidRDefault="00E87C06" w:rsidP="008A391B">
      <w:pPr>
        <w:pStyle w:val="SingleTxt"/>
        <w:keepNext/>
        <w:keepLines/>
        <w:spacing w:after="0" w:line="120" w:lineRule="exact"/>
        <w:rPr>
          <w:sz w:val="10"/>
          <w:lang w:val="fr-CH"/>
        </w:rPr>
      </w:pPr>
    </w:p>
    <w:p w:rsidR="00E87C06" w:rsidRPr="004F6480" w:rsidRDefault="00E87C06" w:rsidP="008A391B">
      <w:pPr>
        <w:pStyle w:val="SingleTxt"/>
        <w:keepNext/>
        <w:keepLines/>
        <w:spacing w:after="0" w:line="120" w:lineRule="exact"/>
        <w:rPr>
          <w:sz w:val="10"/>
          <w:lang w:val="fr-CH"/>
        </w:rPr>
      </w:pPr>
    </w:p>
    <w:p w:rsidR="00E87C06" w:rsidRPr="004F6480" w:rsidRDefault="00E87C06" w:rsidP="008A391B">
      <w:pPr>
        <w:suppressAutoHyphens/>
        <w:kinsoku w:val="0"/>
        <w:overflowPunct w:val="0"/>
        <w:autoSpaceDE w:val="0"/>
        <w:autoSpaceDN w:val="0"/>
        <w:adjustRightInd w:val="0"/>
        <w:snapToGrid w:val="0"/>
        <w:spacing w:line="240" w:lineRule="atLeast"/>
        <w:ind w:left="1267"/>
        <w:rPr>
          <w:rFonts w:eastAsia="Times New Roman"/>
          <w:spacing w:val="0"/>
          <w:w w:val="100"/>
          <w:kern w:val="0"/>
          <w:szCs w:val="20"/>
          <w:lang w:val="fr-CH"/>
        </w:rPr>
      </w:pPr>
      <w:r w:rsidRPr="004F6480">
        <w:rPr>
          <w:rFonts w:eastAsia="Times New Roman"/>
          <w:noProof/>
          <w:spacing w:val="0"/>
          <w:w w:val="100"/>
          <w:kern w:val="0"/>
          <w:szCs w:val="20"/>
          <w:lang w:val="en-GB" w:eastAsia="en-GB"/>
        </w:rPr>
        <w:drawing>
          <wp:inline distT="0" distB="0" distL="0" distR="0" wp14:anchorId="4103E090" wp14:editId="4CCABCD8">
            <wp:extent cx="4640400" cy="2883600"/>
            <wp:effectExtent l="0" t="0" r="8255" b="0"/>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40400" cy="2883600"/>
                    </a:xfrm>
                    <a:prstGeom prst="rect">
                      <a:avLst/>
                    </a:prstGeom>
                    <a:noFill/>
                    <a:ln>
                      <a:noFill/>
                    </a:ln>
                  </pic:spPr>
                </pic:pic>
              </a:graphicData>
            </a:graphic>
          </wp:inline>
        </w:drawing>
      </w:r>
    </w:p>
    <w:p w:rsidR="00DC4263" w:rsidRPr="00DC4263" w:rsidRDefault="00DC4263" w:rsidP="00DC4263">
      <w:pPr>
        <w:pStyle w:val="SingleTxt"/>
        <w:spacing w:after="0" w:line="120" w:lineRule="exact"/>
        <w:rPr>
          <w:sz w:val="10"/>
          <w:lang w:val="fr-CH"/>
        </w:rPr>
      </w:pPr>
    </w:p>
    <w:p w:rsidR="00DC4263" w:rsidRPr="00DC4263" w:rsidRDefault="00DC4263" w:rsidP="00DC4263">
      <w:pPr>
        <w:pStyle w:val="SingleTxt"/>
        <w:spacing w:after="0" w:line="120" w:lineRule="exact"/>
        <w:rPr>
          <w:sz w:val="10"/>
          <w:lang w:val="fr-CH"/>
        </w:rPr>
      </w:pPr>
    </w:p>
    <w:p w:rsidR="00E87C06" w:rsidRPr="004F6480" w:rsidRDefault="00E87C06" w:rsidP="00E87C06">
      <w:pPr>
        <w:pStyle w:val="SingleTxt"/>
        <w:rPr>
          <w:lang w:val="fr-CH"/>
        </w:rPr>
      </w:pPr>
      <w:r w:rsidRPr="004F6480">
        <w:rPr>
          <w:lang w:val="fr-CH"/>
        </w:rPr>
        <w:t>4.</w:t>
      </w:r>
      <w:r w:rsidRPr="004F6480">
        <w:rPr>
          <w:lang w:val="fr-CH"/>
        </w:rPr>
        <w:tab/>
      </w:r>
      <w:r>
        <w:rPr>
          <w:lang w:val="fr-CH"/>
        </w:rPr>
        <w:tab/>
      </w:r>
      <w:r w:rsidRPr="004F6480">
        <w:rPr>
          <w:lang w:val="fr-CH"/>
        </w:rPr>
        <w:t>Protection physique</w:t>
      </w:r>
    </w:p>
    <w:p w:rsidR="00E87C06" w:rsidRPr="004F6480" w:rsidRDefault="00E87C06" w:rsidP="00E87C06">
      <w:pPr>
        <w:pStyle w:val="SingleTxt"/>
        <w:ind w:left="2218" w:hanging="951"/>
        <w:rPr>
          <w:lang w:val="fr-CH"/>
        </w:rPr>
      </w:pPr>
      <w:r>
        <w:rPr>
          <w:lang w:val="fr-CH"/>
        </w:rPr>
        <w:tab/>
      </w:r>
      <w:r>
        <w:rPr>
          <w:lang w:val="fr-CH"/>
        </w:rPr>
        <w:tab/>
      </w:r>
      <w:r w:rsidRPr="004F6480">
        <w:rPr>
          <w:lang w:val="fr-CH"/>
        </w:rPr>
        <w:t>Après l’essai de choc, ouvrir, démonter ou retirer toutes les parties entourant les éléments à haute tension, sans l’aide d’outils. Toutes les parties restantes sont considérées comme faisant partie de la protection physique.</w:t>
      </w:r>
    </w:p>
    <w:p w:rsidR="00E87C06" w:rsidRPr="004F6480" w:rsidRDefault="00E87C06" w:rsidP="00E87C06">
      <w:pPr>
        <w:pStyle w:val="SingleTxt"/>
        <w:ind w:left="2218" w:hanging="951"/>
        <w:rPr>
          <w:lang w:val="fr-CH"/>
        </w:rPr>
      </w:pPr>
      <w:r>
        <w:rPr>
          <w:lang w:val="fr-CH"/>
        </w:rPr>
        <w:tab/>
      </w:r>
      <w:r>
        <w:rPr>
          <w:lang w:val="fr-CH"/>
        </w:rPr>
        <w:tab/>
      </w:r>
      <w:r w:rsidRPr="004F6480">
        <w:rPr>
          <w:lang w:val="fr-CH"/>
        </w:rPr>
        <w:t>Placer le doigt d’épreuve articulé, décrit à la figure 1 de l’appendice 1, dans tous les interstices ou les ouvertures de la protection physique, avec une force de 10 N </w:t>
      </w:r>
      <w:r w:rsidRPr="004F6480">
        <w:rPr>
          <w:lang w:val="fr-CH"/>
        </w:rPr>
        <w:sym w:font="Symbol" w:char="F0B1"/>
      </w:r>
      <w:r w:rsidRPr="004F6480">
        <w:rPr>
          <w:lang w:val="fr-CH"/>
        </w:rPr>
        <w:t> 10 %, aux</w:t>
      </w:r>
      <w:r w:rsidRPr="004F6480">
        <w:rPr>
          <w:b/>
          <w:lang w:val="fr-CH"/>
        </w:rPr>
        <w:t xml:space="preserve"> </w:t>
      </w:r>
      <w:r w:rsidRPr="004F6480">
        <w:rPr>
          <w:lang w:val="fr-CH"/>
        </w:rPr>
        <w:t>fins</w:t>
      </w:r>
      <w:r w:rsidRPr="004F6480">
        <w:rPr>
          <w:b/>
          <w:lang w:val="fr-CH"/>
        </w:rPr>
        <w:t xml:space="preserve"> </w:t>
      </w:r>
      <w:r w:rsidRPr="004F6480">
        <w:rPr>
          <w:lang w:val="fr-CH"/>
        </w:rPr>
        <w:t>de l’évaluation de la sûreté électrique. Si le doigt entre partiellement ou entièrement dans la protection physique, le placer dans toutes les positions indiquées ci-dessous.</w:t>
      </w:r>
    </w:p>
    <w:p w:rsidR="00E87C06" w:rsidRPr="004F6480" w:rsidRDefault="00E87C06" w:rsidP="00E87C06">
      <w:pPr>
        <w:pStyle w:val="SingleTxt"/>
        <w:ind w:left="2218" w:hanging="951"/>
        <w:rPr>
          <w:lang w:val="fr-CH"/>
        </w:rPr>
      </w:pPr>
      <w:r>
        <w:rPr>
          <w:lang w:val="fr-CH"/>
        </w:rPr>
        <w:tab/>
      </w:r>
      <w:r>
        <w:rPr>
          <w:lang w:val="fr-CH"/>
        </w:rPr>
        <w:tab/>
      </w:r>
      <w:r w:rsidRPr="004F6480">
        <w:rPr>
          <w:lang w:val="fr-CH"/>
        </w:rPr>
        <w:t>À partir de la position verticale, plier progressivement les deux articulations du doigt d’épreuve jusqu’à former un angle maximum de 90° par rapport à l’axe de la section adjacente du doigt et les placer dans toutes les positions possibles.</w:t>
      </w:r>
    </w:p>
    <w:p w:rsidR="00E87C06" w:rsidRPr="004F6480" w:rsidRDefault="00E87C06" w:rsidP="00E87C06">
      <w:pPr>
        <w:pStyle w:val="SingleTxt"/>
        <w:ind w:left="2218" w:hanging="951"/>
        <w:rPr>
          <w:lang w:val="fr-CH"/>
        </w:rPr>
      </w:pPr>
      <w:r>
        <w:rPr>
          <w:lang w:val="fr-CH"/>
        </w:rPr>
        <w:tab/>
      </w:r>
      <w:r>
        <w:rPr>
          <w:lang w:val="fr-CH"/>
        </w:rPr>
        <w:tab/>
      </w:r>
      <w:r w:rsidRPr="004F6480">
        <w:rPr>
          <w:lang w:val="fr-CH"/>
        </w:rPr>
        <w:t>Les barrières internes sont considérées comme faisant partie du carter de protection.</w:t>
      </w:r>
    </w:p>
    <w:p w:rsidR="00E87C06" w:rsidRPr="004F6480" w:rsidRDefault="00E87C06" w:rsidP="00E87C06">
      <w:pPr>
        <w:pStyle w:val="SingleTxt"/>
        <w:ind w:left="2218" w:hanging="951"/>
        <w:rPr>
          <w:lang w:val="fr-CH"/>
        </w:rPr>
      </w:pPr>
      <w:r>
        <w:rPr>
          <w:lang w:val="fr-CH"/>
        </w:rPr>
        <w:tab/>
      </w:r>
      <w:r>
        <w:rPr>
          <w:lang w:val="fr-CH"/>
        </w:rPr>
        <w:tab/>
      </w:r>
      <w:r w:rsidRPr="004F6480">
        <w:rPr>
          <w:lang w:val="fr-CH"/>
        </w:rPr>
        <w:t>Le cas échéant, brancher en série une source électrique basse tension (entre</w:t>
      </w:r>
      <w:r>
        <w:rPr>
          <w:lang w:val="fr-CH"/>
        </w:rPr>
        <w:t> </w:t>
      </w:r>
      <w:r w:rsidRPr="004F6480">
        <w:rPr>
          <w:lang w:val="fr-CH"/>
        </w:rPr>
        <w:t>40 et 50 V) avec une lampe appropriée, entre le doigt d’épreuve articulé et les éléments à haute tension situés à l’intérieur de la barrière électrique ou du carter de protection.</w:t>
      </w:r>
    </w:p>
    <w:p w:rsidR="00E87C06" w:rsidRPr="004F6480" w:rsidRDefault="00E87C06" w:rsidP="00E87C06">
      <w:pPr>
        <w:pStyle w:val="SingleTxt"/>
        <w:rPr>
          <w:lang w:val="fr-CH"/>
        </w:rPr>
      </w:pPr>
      <w:r w:rsidRPr="004F6480">
        <w:rPr>
          <w:lang w:val="fr-CH"/>
        </w:rPr>
        <w:t>4.1</w:t>
      </w:r>
      <w:r>
        <w:rPr>
          <w:lang w:val="fr-CH"/>
        </w:rPr>
        <w:tab/>
      </w:r>
      <w:r w:rsidRPr="004F6480">
        <w:rPr>
          <w:lang w:val="fr-CH"/>
        </w:rPr>
        <w:tab/>
        <w:t>Conditions d’acceptation</w:t>
      </w:r>
    </w:p>
    <w:p w:rsidR="00E87C06" w:rsidRPr="004F6480" w:rsidRDefault="00E87C06" w:rsidP="00E87C06">
      <w:pPr>
        <w:pStyle w:val="SingleTxt"/>
        <w:ind w:left="2218" w:hanging="951"/>
        <w:rPr>
          <w:lang w:val="fr-CH"/>
        </w:rPr>
      </w:pPr>
      <w:r>
        <w:rPr>
          <w:lang w:val="fr-CH"/>
        </w:rPr>
        <w:tab/>
      </w:r>
      <w:r>
        <w:rPr>
          <w:lang w:val="fr-CH"/>
        </w:rPr>
        <w:tab/>
      </w:r>
      <w:r w:rsidRPr="004F6480">
        <w:rPr>
          <w:lang w:val="fr-CH"/>
        </w:rPr>
        <w:t>Les prescriptions énoncées au paragraphe 5.2.8.1.3 du présent Règlement sont considérées comme remplies si le doigt d’épreuve articulé</w:t>
      </w:r>
      <w:r w:rsidRPr="004F6480">
        <w:rPr>
          <w:b/>
          <w:lang w:val="fr-CH"/>
        </w:rPr>
        <w:t xml:space="preserve"> </w:t>
      </w:r>
      <w:r w:rsidRPr="004F6480">
        <w:rPr>
          <w:lang w:val="fr-CH"/>
        </w:rPr>
        <w:t>défini à la figure 1 de l’appendice</w:t>
      </w:r>
      <w:r>
        <w:rPr>
          <w:lang w:val="fr-CH"/>
        </w:rPr>
        <w:t xml:space="preserve"> </w:t>
      </w:r>
      <w:r w:rsidRPr="004F6480">
        <w:rPr>
          <w:lang w:val="fr-CH"/>
        </w:rPr>
        <w:t>1 ne peut entrer en contact avec les parties à</w:t>
      </w:r>
      <w:r w:rsidRPr="004F6480">
        <w:rPr>
          <w:b/>
          <w:lang w:val="fr-CH"/>
        </w:rPr>
        <w:t xml:space="preserve"> </w:t>
      </w:r>
      <w:r w:rsidRPr="004F6480">
        <w:rPr>
          <w:lang w:val="fr-CH"/>
        </w:rPr>
        <w:t>haute</w:t>
      </w:r>
      <w:r w:rsidRPr="004F6480">
        <w:rPr>
          <w:b/>
          <w:lang w:val="fr-CH"/>
        </w:rPr>
        <w:t xml:space="preserve"> </w:t>
      </w:r>
      <w:r w:rsidRPr="004F6480">
        <w:rPr>
          <w:lang w:val="fr-CH"/>
        </w:rPr>
        <w:t>tension.</w:t>
      </w:r>
    </w:p>
    <w:p w:rsidR="00E87C06" w:rsidRPr="004F6480" w:rsidRDefault="00E87C06" w:rsidP="00E87C06">
      <w:pPr>
        <w:pStyle w:val="SingleTxt"/>
        <w:ind w:left="2218" w:hanging="951"/>
        <w:rPr>
          <w:lang w:val="fr-CH"/>
        </w:rPr>
      </w:pPr>
      <w:r>
        <w:rPr>
          <w:lang w:val="fr-CH"/>
        </w:rPr>
        <w:tab/>
      </w:r>
      <w:r>
        <w:rPr>
          <w:lang w:val="fr-CH"/>
        </w:rPr>
        <w:tab/>
      </w:r>
      <w:r w:rsidRPr="004F6480">
        <w:rPr>
          <w:lang w:val="fr-CH"/>
        </w:rPr>
        <w:t>Le cas échéant, un miroir ou un fibroscope peut être utilisé pour voir si le doigt</w:t>
      </w:r>
      <w:r w:rsidRPr="004F6480">
        <w:rPr>
          <w:b/>
          <w:lang w:val="fr-CH"/>
        </w:rPr>
        <w:t xml:space="preserve"> </w:t>
      </w:r>
      <w:r w:rsidRPr="004F6480">
        <w:rPr>
          <w:lang w:val="fr-CH"/>
        </w:rPr>
        <w:t>d’épreuve</w:t>
      </w:r>
      <w:r w:rsidRPr="004F6480">
        <w:rPr>
          <w:b/>
          <w:lang w:val="fr-CH"/>
        </w:rPr>
        <w:t xml:space="preserve"> </w:t>
      </w:r>
      <w:r w:rsidRPr="004F6480">
        <w:rPr>
          <w:lang w:val="fr-CH"/>
        </w:rPr>
        <w:t>articulé entre en contact avec les rails haute tension.</w:t>
      </w:r>
    </w:p>
    <w:p w:rsidR="00E87C06" w:rsidRPr="004F6480" w:rsidRDefault="00E87C06" w:rsidP="00E87C06">
      <w:pPr>
        <w:pStyle w:val="SingleTxt"/>
        <w:ind w:left="2218" w:hanging="951"/>
        <w:rPr>
          <w:lang w:val="fr-CH"/>
        </w:rPr>
      </w:pPr>
      <w:r>
        <w:rPr>
          <w:lang w:val="fr-CH"/>
        </w:rPr>
        <w:lastRenderedPageBreak/>
        <w:tab/>
      </w:r>
      <w:r>
        <w:rPr>
          <w:lang w:val="fr-CH"/>
        </w:rPr>
        <w:tab/>
      </w:r>
      <w:r w:rsidRPr="004F6480">
        <w:rPr>
          <w:lang w:val="fr-CH"/>
        </w:rPr>
        <w:t>Si le respect de cette prescription est vérifié au moyen d’un circuit test entre le doigt d’épreuve articulé et les éléments à haute tension, la lampe témoin ne doit pas s’allumer.</w:t>
      </w:r>
    </w:p>
    <w:p w:rsidR="00E87C06" w:rsidRPr="004F6480" w:rsidRDefault="00E87C06" w:rsidP="00E87C06">
      <w:pPr>
        <w:pStyle w:val="SingleTxt"/>
        <w:rPr>
          <w:lang w:val="fr-CH"/>
        </w:rPr>
      </w:pPr>
      <w:r w:rsidRPr="004F6480">
        <w:rPr>
          <w:lang w:val="fr-CH"/>
        </w:rPr>
        <w:t>5.</w:t>
      </w:r>
      <w:r w:rsidRPr="004F6480">
        <w:rPr>
          <w:lang w:val="fr-CH"/>
        </w:rPr>
        <w:tab/>
      </w:r>
      <w:r>
        <w:rPr>
          <w:lang w:val="fr-CH"/>
        </w:rPr>
        <w:tab/>
      </w:r>
      <w:r w:rsidRPr="004F6480">
        <w:rPr>
          <w:lang w:val="fr-CH"/>
        </w:rPr>
        <w:t>Résistance d’isolement</w:t>
      </w:r>
    </w:p>
    <w:p w:rsidR="00E87C06" w:rsidRPr="004F6480" w:rsidRDefault="00E87C06" w:rsidP="00E87C06">
      <w:pPr>
        <w:pStyle w:val="SingleTxt"/>
        <w:ind w:left="2218" w:hanging="951"/>
        <w:rPr>
          <w:lang w:val="fr-CH"/>
        </w:rPr>
      </w:pPr>
      <w:r>
        <w:rPr>
          <w:lang w:val="fr-CH"/>
        </w:rPr>
        <w:tab/>
      </w:r>
      <w:r>
        <w:rPr>
          <w:lang w:val="fr-CH"/>
        </w:rPr>
        <w:tab/>
      </w:r>
      <w:r w:rsidRPr="004F6480">
        <w:rPr>
          <w:lang w:val="fr-CH"/>
        </w:rPr>
        <w:t>La résistance d’isolement entre le rail haute tension et la masse électrique peut être mise en évidence soit par mesure, soit par une combinaison mesure/calcul.</w:t>
      </w:r>
    </w:p>
    <w:p w:rsidR="00E87C06" w:rsidRPr="004F6480" w:rsidRDefault="00E87C06" w:rsidP="00E87C06">
      <w:pPr>
        <w:pStyle w:val="SingleTxt"/>
        <w:ind w:left="2218" w:hanging="951"/>
        <w:rPr>
          <w:lang w:val="fr-CH"/>
        </w:rPr>
      </w:pPr>
      <w:r>
        <w:rPr>
          <w:lang w:val="fr-CH"/>
        </w:rPr>
        <w:tab/>
      </w:r>
      <w:r>
        <w:rPr>
          <w:lang w:val="fr-CH"/>
        </w:rPr>
        <w:tab/>
      </w:r>
      <w:r w:rsidRPr="004F6480">
        <w:rPr>
          <w:lang w:val="fr-CH"/>
        </w:rPr>
        <w:t>Les instructions ci-après devraient être appliquées si la résistance d’isolement est mise en évidence par mesure.</w:t>
      </w:r>
    </w:p>
    <w:p w:rsidR="00E87C06" w:rsidRPr="004F6480" w:rsidRDefault="00E87C06" w:rsidP="00E87C06">
      <w:pPr>
        <w:pStyle w:val="SingleTxt"/>
        <w:ind w:left="2218" w:hanging="951"/>
        <w:rPr>
          <w:lang w:val="fr-CH"/>
        </w:rPr>
      </w:pPr>
      <w:r>
        <w:rPr>
          <w:lang w:val="fr-CH"/>
        </w:rPr>
        <w:tab/>
      </w:r>
      <w:r w:rsidRPr="004F6480">
        <w:rPr>
          <w:lang w:val="fr-CH"/>
        </w:rPr>
        <w:tab/>
        <w:t>Mesurer et consigner la tension (V</w:t>
      </w:r>
      <w:r w:rsidRPr="004F6480">
        <w:rPr>
          <w:vertAlign w:val="subscript"/>
          <w:lang w:val="fr-CH"/>
        </w:rPr>
        <w:t>b</w:t>
      </w:r>
      <w:r w:rsidRPr="004F6480">
        <w:rPr>
          <w:lang w:val="fr-CH"/>
        </w:rPr>
        <w:t>) entre le pôle négatif et le pôle positif du rail haute tension (voir la figure 1 ci-dessus);</w:t>
      </w:r>
    </w:p>
    <w:p w:rsidR="00E87C06" w:rsidRPr="004F6480" w:rsidRDefault="00E87C06" w:rsidP="00E87C06">
      <w:pPr>
        <w:pStyle w:val="SingleTxt"/>
        <w:ind w:left="2218" w:hanging="951"/>
        <w:rPr>
          <w:lang w:val="fr-CH"/>
        </w:rPr>
      </w:pPr>
      <w:r>
        <w:rPr>
          <w:lang w:val="fr-CH"/>
        </w:rPr>
        <w:tab/>
      </w:r>
      <w:r w:rsidRPr="004F6480">
        <w:rPr>
          <w:lang w:val="fr-CH"/>
        </w:rPr>
        <w:tab/>
        <w:t>Mesurer et consigner la tension (V</w:t>
      </w:r>
      <w:r w:rsidRPr="004F6480">
        <w:rPr>
          <w:vertAlign w:val="subscript"/>
          <w:lang w:val="fr-CH"/>
        </w:rPr>
        <w:t>1</w:t>
      </w:r>
      <w:r w:rsidRPr="004F6480">
        <w:rPr>
          <w:lang w:val="fr-CH"/>
        </w:rPr>
        <w:t>) entre le pôle négatif du rail haute tension et la masse électrique (voir la figure</w:t>
      </w:r>
      <w:r>
        <w:rPr>
          <w:lang w:val="fr-CH"/>
        </w:rPr>
        <w:t xml:space="preserve"> </w:t>
      </w:r>
      <w:r w:rsidRPr="004F6480">
        <w:rPr>
          <w:lang w:val="fr-CH"/>
        </w:rPr>
        <w:t>1 ci-dessus);</w:t>
      </w:r>
    </w:p>
    <w:p w:rsidR="00E87C06" w:rsidRPr="004F6480" w:rsidRDefault="00E87C06" w:rsidP="00E87C06">
      <w:pPr>
        <w:pStyle w:val="SingleTxt"/>
        <w:ind w:left="2218" w:hanging="951"/>
        <w:rPr>
          <w:lang w:val="fr-CH"/>
        </w:rPr>
      </w:pPr>
      <w:r>
        <w:rPr>
          <w:lang w:val="fr-CH"/>
        </w:rPr>
        <w:tab/>
      </w:r>
      <w:r w:rsidRPr="004F6480">
        <w:rPr>
          <w:lang w:val="fr-CH"/>
        </w:rPr>
        <w:tab/>
        <w:t>Mesurer et consigner la tension (V</w:t>
      </w:r>
      <w:r w:rsidRPr="004F6480">
        <w:rPr>
          <w:vertAlign w:val="subscript"/>
          <w:lang w:val="fr-CH"/>
        </w:rPr>
        <w:t>2</w:t>
      </w:r>
      <w:r w:rsidRPr="004F6480">
        <w:rPr>
          <w:lang w:val="fr-CH"/>
        </w:rPr>
        <w:t>) entre le pôle positif du rail haute tension et la masse électrique (voir la figure</w:t>
      </w:r>
      <w:r>
        <w:rPr>
          <w:lang w:val="fr-CH"/>
        </w:rPr>
        <w:t xml:space="preserve"> </w:t>
      </w:r>
      <w:r w:rsidRPr="004F6480">
        <w:rPr>
          <w:lang w:val="fr-CH"/>
        </w:rPr>
        <w:t>1 ci-dessus);</w:t>
      </w:r>
    </w:p>
    <w:p w:rsidR="00E87C06" w:rsidRPr="004F6480" w:rsidRDefault="00E87C06" w:rsidP="00E87C06">
      <w:pPr>
        <w:pStyle w:val="SingleTxt"/>
        <w:ind w:left="2218" w:hanging="951"/>
        <w:rPr>
          <w:lang w:val="fr-CH"/>
        </w:rPr>
      </w:pPr>
      <w:r>
        <w:rPr>
          <w:lang w:val="fr-CH"/>
        </w:rPr>
        <w:tab/>
      </w:r>
      <w:r w:rsidRPr="004F6480">
        <w:rPr>
          <w:lang w:val="fr-CH"/>
        </w:rPr>
        <w:tab/>
        <w:t>Si V</w:t>
      </w:r>
      <w:r w:rsidRPr="004F6480">
        <w:rPr>
          <w:vertAlign w:val="subscript"/>
          <w:lang w:val="fr-CH"/>
        </w:rPr>
        <w:t>1</w:t>
      </w:r>
      <w:r w:rsidRPr="004F6480">
        <w:rPr>
          <w:lang w:val="fr-CH"/>
        </w:rPr>
        <w:t xml:space="preserve"> est égal ou supérieur à V</w:t>
      </w:r>
      <w:r w:rsidRPr="004F6480">
        <w:rPr>
          <w:vertAlign w:val="subscript"/>
          <w:lang w:val="fr-CH"/>
        </w:rPr>
        <w:t>2</w:t>
      </w:r>
      <w:r w:rsidRPr="004F6480">
        <w:rPr>
          <w:lang w:val="fr-CH"/>
        </w:rPr>
        <w:t>, insérer une résistance normalisée connue (R</w:t>
      </w:r>
      <w:r w:rsidRPr="004F6480">
        <w:rPr>
          <w:vertAlign w:val="subscript"/>
          <w:lang w:val="fr-CH"/>
        </w:rPr>
        <w:t>o</w:t>
      </w:r>
      <w:r w:rsidRPr="004F6480">
        <w:rPr>
          <w:lang w:val="fr-CH"/>
        </w:rPr>
        <w:t>) entre le pôle négatif du rail haute tension et la masse électrique. La résistance R</w:t>
      </w:r>
      <w:r w:rsidRPr="004F6480">
        <w:rPr>
          <w:vertAlign w:val="subscript"/>
          <w:lang w:val="fr-CH"/>
        </w:rPr>
        <w:t>o</w:t>
      </w:r>
      <w:r w:rsidRPr="004F6480">
        <w:rPr>
          <w:lang w:val="fr-CH"/>
        </w:rPr>
        <w:t xml:space="preserve"> étant en place, mesurer la tension (V</w:t>
      </w:r>
      <w:r w:rsidRPr="004F6480">
        <w:rPr>
          <w:vertAlign w:val="subscript"/>
          <w:lang w:val="fr-CH"/>
        </w:rPr>
        <w:t>1</w:t>
      </w:r>
      <w:r w:rsidRPr="004F6480">
        <w:rPr>
          <w:lang w:val="fr-CH"/>
        </w:rPr>
        <w:t>’) entre le pôle négatif du rail haute tension et la masse électrique (voir la figure 3 ci</w:t>
      </w:r>
      <w:r w:rsidRPr="004F6480">
        <w:rPr>
          <w:lang w:val="fr-CH"/>
        </w:rPr>
        <w:noBreakHyphen/>
        <w:t>dessous). Calculer la résistance d’isolement (R</w:t>
      </w:r>
      <w:r w:rsidRPr="004F6480">
        <w:rPr>
          <w:vertAlign w:val="subscript"/>
          <w:lang w:val="fr-CH"/>
        </w:rPr>
        <w:t>i</w:t>
      </w:r>
      <w:r w:rsidRPr="004F6480">
        <w:rPr>
          <w:lang w:val="fr-CH"/>
        </w:rPr>
        <w:t>) en appliquant la formule ci-dessous</w:t>
      </w:r>
      <w:r w:rsidR="008B4BCA">
        <w:rPr>
          <w:lang w:val="fr-CH"/>
        </w:rPr>
        <w:t> </w:t>
      </w:r>
      <w:r w:rsidRPr="004F6480">
        <w:rPr>
          <w:lang w:val="fr-CH"/>
        </w:rPr>
        <w:t xml:space="preserve">: </w:t>
      </w:r>
    </w:p>
    <w:p w:rsidR="00E87C06" w:rsidRPr="004F6480" w:rsidRDefault="00E87C06" w:rsidP="00E87C06">
      <w:pPr>
        <w:pStyle w:val="SingleTxt"/>
        <w:rPr>
          <w:lang w:val="fr-CH"/>
        </w:rPr>
      </w:pPr>
      <w:r>
        <w:rPr>
          <w:lang w:val="fr-CH"/>
        </w:rPr>
        <w:tab/>
      </w:r>
      <w:r>
        <w:rPr>
          <w:lang w:val="fr-CH"/>
        </w:rPr>
        <w:tab/>
      </w:r>
      <w:r w:rsidRPr="004F6480">
        <w:rPr>
          <w:lang w:val="fr-CH"/>
        </w:rPr>
        <w:t>R</w:t>
      </w:r>
      <w:r w:rsidRPr="004F6480">
        <w:rPr>
          <w:vertAlign w:val="subscript"/>
          <w:lang w:val="fr-CH"/>
        </w:rPr>
        <w:t>i</w:t>
      </w:r>
      <w:r w:rsidRPr="004F6480">
        <w:rPr>
          <w:lang w:val="fr-CH"/>
        </w:rPr>
        <w:t xml:space="preserve"> = R</w:t>
      </w:r>
      <w:r w:rsidRPr="004F6480">
        <w:rPr>
          <w:vertAlign w:val="subscript"/>
          <w:lang w:val="fr-CH"/>
        </w:rPr>
        <w:t>o</w:t>
      </w:r>
      <w:r w:rsidRPr="004F6480">
        <w:rPr>
          <w:lang w:val="fr-CH"/>
        </w:rPr>
        <w:t>*(V</w:t>
      </w:r>
      <w:r w:rsidRPr="004F6480">
        <w:rPr>
          <w:vertAlign w:val="subscript"/>
          <w:lang w:val="fr-CH"/>
        </w:rPr>
        <w:t>b</w:t>
      </w:r>
      <w:r w:rsidRPr="004F6480">
        <w:rPr>
          <w:lang w:val="fr-CH"/>
        </w:rPr>
        <w:t>/V</w:t>
      </w:r>
      <w:r w:rsidRPr="004F6480">
        <w:rPr>
          <w:vertAlign w:val="subscript"/>
          <w:lang w:val="fr-CH"/>
        </w:rPr>
        <w:t>1</w:t>
      </w:r>
      <w:r w:rsidRPr="004F6480">
        <w:rPr>
          <w:lang w:val="fr-CH"/>
        </w:rPr>
        <w:t>’ – V</w:t>
      </w:r>
      <w:r w:rsidRPr="004F6480">
        <w:rPr>
          <w:vertAlign w:val="subscript"/>
          <w:lang w:val="fr-CH"/>
        </w:rPr>
        <w:t>b</w:t>
      </w:r>
      <w:r w:rsidRPr="004F6480">
        <w:rPr>
          <w:lang w:val="fr-CH"/>
        </w:rPr>
        <w:t>/V</w:t>
      </w:r>
      <w:r w:rsidRPr="004F6480">
        <w:rPr>
          <w:vertAlign w:val="subscript"/>
          <w:lang w:val="fr-CH"/>
        </w:rPr>
        <w:t>1</w:t>
      </w:r>
      <w:r w:rsidRPr="004F6480">
        <w:rPr>
          <w:lang w:val="fr-CH"/>
        </w:rPr>
        <w:t>) ou R</w:t>
      </w:r>
      <w:r w:rsidRPr="004F6480">
        <w:rPr>
          <w:vertAlign w:val="subscript"/>
          <w:lang w:val="fr-CH"/>
        </w:rPr>
        <w:t>i</w:t>
      </w:r>
      <w:r w:rsidRPr="004F6480">
        <w:rPr>
          <w:lang w:val="fr-CH"/>
        </w:rPr>
        <w:t xml:space="preserve"> = R</w:t>
      </w:r>
      <w:r w:rsidRPr="004F6480">
        <w:rPr>
          <w:vertAlign w:val="subscript"/>
          <w:lang w:val="fr-CH"/>
        </w:rPr>
        <w:t>o</w:t>
      </w:r>
      <w:r w:rsidRPr="004F6480">
        <w:rPr>
          <w:lang w:val="fr-CH"/>
        </w:rPr>
        <w:t>*V</w:t>
      </w:r>
      <w:r w:rsidRPr="004F6480">
        <w:rPr>
          <w:vertAlign w:val="subscript"/>
          <w:lang w:val="fr-CH"/>
        </w:rPr>
        <w:t>b</w:t>
      </w:r>
      <w:r w:rsidRPr="004F6480">
        <w:rPr>
          <w:lang w:val="fr-CH"/>
        </w:rPr>
        <w:t>*(1/V</w:t>
      </w:r>
      <w:r w:rsidRPr="004F6480">
        <w:rPr>
          <w:vertAlign w:val="subscript"/>
          <w:lang w:val="fr-CH"/>
        </w:rPr>
        <w:t>1</w:t>
      </w:r>
      <w:r w:rsidRPr="004F6480">
        <w:rPr>
          <w:lang w:val="fr-CH"/>
        </w:rPr>
        <w:t>’ – 1/V</w:t>
      </w:r>
      <w:r w:rsidRPr="004F6480">
        <w:rPr>
          <w:vertAlign w:val="subscript"/>
          <w:lang w:val="fr-CH"/>
        </w:rPr>
        <w:t>1</w:t>
      </w:r>
      <w:r w:rsidRPr="004F6480">
        <w:rPr>
          <w:lang w:val="fr-CH"/>
        </w:rPr>
        <w:t>)</w:t>
      </w:r>
    </w:p>
    <w:p w:rsidR="00E87C06" w:rsidRPr="004F6480" w:rsidRDefault="00E87C06" w:rsidP="00E87C06">
      <w:pPr>
        <w:pStyle w:val="SingleTxt"/>
        <w:ind w:left="2218" w:hanging="951"/>
        <w:rPr>
          <w:lang w:val="fr-CH"/>
        </w:rPr>
      </w:pPr>
      <w:r>
        <w:rPr>
          <w:lang w:val="fr-CH"/>
        </w:rPr>
        <w:tab/>
      </w:r>
      <w:r>
        <w:rPr>
          <w:lang w:val="fr-CH"/>
        </w:rPr>
        <w:tab/>
      </w:r>
      <w:r w:rsidRPr="004F6480">
        <w:rPr>
          <w:lang w:val="fr-CH"/>
        </w:rPr>
        <w:t>Diviser la valeur obtenue (exprimée en ohms) par la tension de fonctionnement du rail haute tension (exprimée en volts).</w:t>
      </w:r>
    </w:p>
    <w:p w:rsidR="00E87C06" w:rsidRDefault="00E87C06" w:rsidP="00E87C06">
      <w:pPr>
        <w:pStyle w:val="SingleTxt"/>
        <w:rPr>
          <w:lang w:val="fr-CH"/>
        </w:rPr>
      </w:pPr>
      <w:r>
        <w:rPr>
          <w:lang w:val="fr-CH"/>
        </w:rPr>
        <w:tab/>
      </w:r>
      <w:r>
        <w:rPr>
          <w:lang w:val="fr-CH"/>
        </w:rPr>
        <w:tab/>
      </w:r>
      <w:r w:rsidRPr="004F6480">
        <w:rPr>
          <w:lang w:val="fr-CH"/>
        </w:rPr>
        <w:t>R</w:t>
      </w:r>
      <w:r w:rsidRPr="004F6480">
        <w:rPr>
          <w:vertAlign w:val="subscript"/>
          <w:lang w:val="fr-CH"/>
        </w:rPr>
        <w:t>i</w:t>
      </w:r>
      <w:r w:rsidRPr="004F6480">
        <w:rPr>
          <w:lang w:val="fr-CH"/>
        </w:rPr>
        <w:t xml:space="preserve"> (Ω / V) = R</w:t>
      </w:r>
      <w:r w:rsidRPr="004F6480">
        <w:rPr>
          <w:vertAlign w:val="subscript"/>
          <w:lang w:val="fr-CH"/>
        </w:rPr>
        <w:t>i</w:t>
      </w:r>
      <w:r w:rsidRPr="004F6480">
        <w:rPr>
          <w:lang w:val="fr-CH"/>
        </w:rPr>
        <w:t xml:space="preserve"> (Ω) / Tension de fonctionnement (V).</w:t>
      </w:r>
    </w:p>
    <w:p w:rsidR="00E87C06" w:rsidRPr="00E45689" w:rsidRDefault="00E87C06" w:rsidP="00E87C06">
      <w:pPr>
        <w:pStyle w:val="SingleTxt"/>
        <w:spacing w:after="0" w:line="120" w:lineRule="exact"/>
        <w:rPr>
          <w:sz w:val="10"/>
          <w:lang w:val="fr-CH"/>
        </w:rPr>
      </w:pPr>
    </w:p>
    <w:p w:rsidR="00E87C06" w:rsidRDefault="00E87C06" w:rsidP="00E87C0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E45689">
        <w:rPr>
          <w:b w:val="0"/>
          <w:lang w:val="fr-CH"/>
        </w:rPr>
        <w:t xml:space="preserve">Figure 3 </w:t>
      </w:r>
      <w:r w:rsidRPr="00E45689">
        <w:rPr>
          <w:b w:val="0"/>
          <w:lang w:val="fr-CH"/>
        </w:rPr>
        <w:br/>
      </w:r>
      <w:r w:rsidRPr="00E45689">
        <w:rPr>
          <w:lang w:val="fr-CH"/>
        </w:rPr>
        <w:t>Mesure de V</w:t>
      </w:r>
      <w:r w:rsidRPr="00E45689">
        <w:rPr>
          <w:vertAlign w:val="subscript"/>
          <w:lang w:val="fr-CH"/>
        </w:rPr>
        <w:t>1</w:t>
      </w:r>
      <w:r w:rsidRPr="00E45689">
        <w:rPr>
          <w:lang w:val="fr-CH"/>
        </w:rPr>
        <w:t>’</w:t>
      </w:r>
    </w:p>
    <w:p w:rsidR="00910892" w:rsidRPr="00910892" w:rsidRDefault="00910892" w:rsidP="00910892">
      <w:pPr>
        <w:pStyle w:val="SingleTxt"/>
        <w:spacing w:after="0" w:line="120" w:lineRule="exact"/>
        <w:rPr>
          <w:sz w:val="10"/>
          <w:lang w:val="fr-CH"/>
        </w:rPr>
      </w:pPr>
    </w:p>
    <w:p w:rsidR="00910892" w:rsidRPr="00910892" w:rsidRDefault="00910892" w:rsidP="00910892">
      <w:pPr>
        <w:pStyle w:val="SingleTxt"/>
        <w:spacing w:after="0" w:line="120" w:lineRule="exact"/>
        <w:rPr>
          <w:sz w:val="10"/>
          <w:lang w:val="fr-CH"/>
        </w:rPr>
      </w:pPr>
    </w:p>
    <w:p w:rsidR="00E87C06" w:rsidRPr="00E45689" w:rsidRDefault="00E87C06" w:rsidP="00910892">
      <w:pPr>
        <w:suppressAutoHyphens/>
        <w:kinsoku w:val="0"/>
        <w:overflowPunct w:val="0"/>
        <w:autoSpaceDE w:val="0"/>
        <w:autoSpaceDN w:val="0"/>
        <w:adjustRightInd w:val="0"/>
        <w:snapToGrid w:val="0"/>
        <w:spacing w:line="240" w:lineRule="atLeast"/>
        <w:ind w:left="1267"/>
        <w:rPr>
          <w:rFonts w:eastAsia="Times New Roman"/>
          <w:spacing w:val="0"/>
          <w:w w:val="100"/>
          <w:kern w:val="0"/>
          <w:szCs w:val="20"/>
          <w:lang w:val="fr-CH"/>
        </w:rPr>
      </w:pPr>
      <w:r w:rsidRPr="00E45689">
        <w:rPr>
          <w:rFonts w:eastAsia="Times New Roman"/>
          <w:noProof/>
          <w:spacing w:val="0"/>
          <w:w w:val="100"/>
          <w:kern w:val="0"/>
          <w:szCs w:val="20"/>
          <w:lang w:val="en-GB" w:eastAsia="en-GB"/>
        </w:rPr>
        <w:drawing>
          <wp:inline distT="0" distB="0" distL="0" distR="0" wp14:anchorId="18BB7DB8" wp14:editId="6BD2A7C0">
            <wp:extent cx="3920400" cy="2761200"/>
            <wp:effectExtent l="0" t="0" r="4445" b="1270"/>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20400" cy="2761200"/>
                    </a:xfrm>
                    <a:prstGeom prst="rect">
                      <a:avLst/>
                    </a:prstGeom>
                    <a:noFill/>
                    <a:ln>
                      <a:noFill/>
                    </a:ln>
                  </pic:spPr>
                </pic:pic>
              </a:graphicData>
            </a:graphic>
          </wp:inline>
        </w:drawing>
      </w:r>
    </w:p>
    <w:p w:rsidR="00E87C06" w:rsidRPr="000F0486" w:rsidRDefault="00E87C06" w:rsidP="00E87C06">
      <w:pPr>
        <w:pStyle w:val="SingleTxt"/>
        <w:spacing w:after="0" w:line="120" w:lineRule="exact"/>
        <w:rPr>
          <w:sz w:val="10"/>
          <w:lang w:val="fr-CH"/>
        </w:rPr>
      </w:pPr>
    </w:p>
    <w:p w:rsidR="00E87C06" w:rsidRPr="000F0486" w:rsidRDefault="00E87C06" w:rsidP="00E87C06">
      <w:pPr>
        <w:pStyle w:val="SingleTxt"/>
        <w:spacing w:after="0" w:line="120" w:lineRule="exact"/>
        <w:rPr>
          <w:sz w:val="10"/>
          <w:lang w:val="fr-CH"/>
        </w:rPr>
      </w:pPr>
    </w:p>
    <w:p w:rsidR="00E87C06" w:rsidRPr="000F0486" w:rsidRDefault="00E87C06" w:rsidP="00E87C06">
      <w:pPr>
        <w:pStyle w:val="SingleTxt"/>
        <w:ind w:left="2218"/>
        <w:rPr>
          <w:lang w:val="fr-CH"/>
        </w:rPr>
      </w:pPr>
      <w:r w:rsidRPr="000F0486">
        <w:rPr>
          <w:lang w:val="fr-CH"/>
        </w:rPr>
        <w:t>Si V</w:t>
      </w:r>
      <w:r w:rsidRPr="000F0486">
        <w:rPr>
          <w:vertAlign w:val="subscript"/>
          <w:lang w:val="fr-CH"/>
        </w:rPr>
        <w:t>2</w:t>
      </w:r>
      <w:r w:rsidR="003B3553">
        <w:rPr>
          <w:lang w:val="fr-CH"/>
        </w:rPr>
        <w:t xml:space="preserve"> est supérieur</w:t>
      </w:r>
      <w:r w:rsidRPr="000F0486">
        <w:rPr>
          <w:lang w:val="fr-CH"/>
        </w:rPr>
        <w:t xml:space="preserve"> à V</w:t>
      </w:r>
      <w:r w:rsidRPr="000F0486">
        <w:rPr>
          <w:vertAlign w:val="subscript"/>
          <w:lang w:val="fr-CH"/>
        </w:rPr>
        <w:t>1</w:t>
      </w:r>
      <w:r w:rsidRPr="000F0486">
        <w:rPr>
          <w:lang w:val="fr-CH"/>
        </w:rPr>
        <w:t>, intercaler une résistance normalisée connue (R</w:t>
      </w:r>
      <w:r w:rsidRPr="000F0486">
        <w:rPr>
          <w:vertAlign w:val="subscript"/>
          <w:lang w:val="fr-CH"/>
        </w:rPr>
        <w:t>o</w:t>
      </w:r>
      <w:r w:rsidRPr="000F0486">
        <w:rPr>
          <w:lang w:val="fr-CH"/>
        </w:rPr>
        <w:t xml:space="preserve">) entre le pôle positif du rail haute tension et la masse électrique. La </w:t>
      </w:r>
      <w:r w:rsidRPr="000F0486">
        <w:rPr>
          <w:lang w:val="fr-CH"/>
        </w:rPr>
        <w:lastRenderedPageBreak/>
        <w:t>résistance R</w:t>
      </w:r>
      <w:r w:rsidRPr="000F0486">
        <w:rPr>
          <w:vertAlign w:val="subscript"/>
          <w:lang w:val="fr-CH"/>
        </w:rPr>
        <w:t>o</w:t>
      </w:r>
      <w:r w:rsidRPr="000F0486">
        <w:rPr>
          <w:lang w:val="fr-CH"/>
        </w:rPr>
        <w:t xml:space="preserve"> étant en place, mesurer la tension (V</w:t>
      </w:r>
      <w:r w:rsidRPr="000F0486">
        <w:rPr>
          <w:vertAlign w:val="subscript"/>
          <w:lang w:val="fr-CH"/>
        </w:rPr>
        <w:t>2</w:t>
      </w:r>
      <w:r w:rsidRPr="000F0486">
        <w:rPr>
          <w:lang w:val="fr-CH"/>
        </w:rPr>
        <w:t>’) entre le pôle positif du rail haute tension et la masse électrique (voir la figure 4 ci-après).</w:t>
      </w:r>
    </w:p>
    <w:p w:rsidR="00E87C06" w:rsidRPr="000F0486" w:rsidRDefault="00E87C06" w:rsidP="00E87C06">
      <w:pPr>
        <w:pStyle w:val="SingleTxt"/>
        <w:rPr>
          <w:lang w:val="fr-CH"/>
        </w:rPr>
      </w:pPr>
      <w:r w:rsidRPr="000F0486">
        <w:rPr>
          <w:lang w:val="fr-CH"/>
        </w:rPr>
        <w:tab/>
      </w:r>
      <w:r>
        <w:rPr>
          <w:lang w:val="fr-CH"/>
        </w:rPr>
        <w:tab/>
      </w:r>
      <w:r w:rsidRPr="000F0486">
        <w:rPr>
          <w:lang w:val="fr-CH"/>
        </w:rPr>
        <w:t>Calculer la résistance d’isolement (R</w:t>
      </w:r>
      <w:r w:rsidRPr="000F0486">
        <w:rPr>
          <w:vertAlign w:val="subscript"/>
          <w:lang w:val="fr-CH"/>
        </w:rPr>
        <w:t>i</w:t>
      </w:r>
      <w:r w:rsidRPr="000F0486">
        <w:rPr>
          <w:lang w:val="fr-CH"/>
        </w:rPr>
        <w:t>) en appliquant la formule ci-dessous</w:t>
      </w:r>
      <w:r w:rsidR="008B4BCA">
        <w:rPr>
          <w:lang w:val="fr-CH"/>
        </w:rPr>
        <w:t> </w:t>
      </w:r>
      <w:r w:rsidRPr="000F0486">
        <w:rPr>
          <w:lang w:val="fr-CH"/>
        </w:rPr>
        <w:t>:</w:t>
      </w:r>
    </w:p>
    <w:p w:rsidR="00E87C06" w:rsidRPr="000F0486" w:rsidRDefault="00E87C06" w:rsidP="00E87C06">
      <w:pPr>
        <w:pStyle w:val="SingleTxt"/>
        <w:rPr>
          <w:lang w:val="fr-CH"/>
        </w:rPr>
      </w:pPr>
      <w:r>
        <w:rPr>
          <w:lang w:val="fr-CH"/>
        </w:rPr>
        <w:tab/>
      </w:r>
      <w:r>
        <w:rPr>
          <w:lang w:val="fr-CH"/>
        </w:rPr>
        <w:tab/>
      </w:r>
      <w:r w:rsidRPr="000F0486">
        <w:rPr>
          <w:lang w:val="fr-CH"/>
        </w:rPr>
        <w:t>R</w:t>
      </w:r>
      <w:r w:rsidRPr="000F0486">
        <w:rPr>
          <w:vertAlign w:val="subscript"/>
          <w:lang w:val="fr-CH"/>
        </w:rPr>
        <w:t>i</w:t>
      </w:r>
      <w:r w:rsidRPr="000F0486">
        <w:rPr>
          <w:lang w:val="fr-CH"/>
        </w:rPr>
        <w:t xml:space="preserve"> = R</w:t>
      </w:r>
      <w:r w:rsidRPr="000F0486">
        <w:rPr>
          <w:vertAlign w:val="subscript"/>
          <w:lang w:val="fr-CH"/>
        </w:rPr>
        <w:t>o</w:t>
      </w:r>
      <w:r w:rsidRPr="000F0486">
        <w:rPr>
          <w:lang w:val="fr-CH"/>
        </w:rPr>
        <w:t>*(V</w:t>
      </w:r>
      <w:r w:rsidRPr="000F0486">
        <w:rPr>
          <w:vertAlign w:val="subscript"/>
          <w:lang w:val="fr-CH"/>
        </w:rPr>
        <w:t>b</w:t>
      </w:r>
      <w:r w:rsidRPr="000F0486">
        <w:rPr>
          <w:lang w:val="fr-CH"/>
        </w:rPr>
        <w:t>/V</w:t>
      </w:r>
      <w:r w:rsidRPr="000F0486">
        <w:rPr>
          <w:vertAlign w:val="subscript"/>
          <w:lang w:val="fr-CH"/>
        </w:rPr>
        <w:t>2</w:t>
      </w:r>
      <w:r w:rsidRPr="000F0486">
        <w:rPr>
          <w:lang w:val="fr-CH"/>
        </w:rPr>
        <w:t>’ – V</w:t>
      </w:r>
      <w:r w:rsidRPr="000F0486">
        <w:rPr>
          <w:vertAlign w:val="subscript"/>
          <w:lang w:val="fr-CH"/>
        </w:rPr>
        <w:t>b</w:t>
      </w:r>
      <w:r w:rsidRPr="000F0486">
        <w:rPr>
          <w:lang w:val="fr-CH"/>
        </w:rPr>
        <w:t>/V</w:t>
      </w:r>
      <w:r w:rsidRPr="000F0486">
        <w:rPr>
          <w:vertAlign w:val="subscript"/>
          <w:lang w:val="fr-CH"/>
        </w:rPr>
        <w:t>2</w:t>
      </w:r>
      <w:r w:rsidRPr="000F0486">
        <w:rPr>
          <w:lang w:val="fr-CH"/>
        </w:rPr>
        <w:t>) ou R</w:t>
      </w:r>
      <w:r w:rsidRPr="000F0486">
        <w:rPr>
          <w:vertAlign w:val="subscript"/>
          <w:lang w:val="fr-CH"/>
        </w:rPr>
        <w:t>i</w:t>
      </w:r>
      <w:r w:rsidRPr="000F0486">
        <w:rPr>
          <w:lang w:val="fr-CH"/>
        </w:rPr>
        <w:t xml:space="preserve"> = R</w:t>
      </w:r>
      <w:r w:rsidRPr="000F0486">
        <w:rPr>
          <w:vertAlign w:val="subscript"/>
          <w:lang w:val="fr-CH"/>
        </w:rPr>
        <w:t>o</w:t>
      </w:r>
      <w:r w:rsidRPr="000F0486">
        <w:rPr>
          <w:lang w:val="fr-CH"/>
        </w:rPr>
        <w:t>*V</w:t>
      </w:r>
      <w:r w:rsidRPr="000F0486">
        <w:rPr>
          <w:vertAlign w:val="subscript"/>
          <w:lang w:val="fr-CH"/>
        </w:rPr>
        <w:t>b</w:t>
      </w:r>
      <w:r w:rsidRPr="000F0486">
        <w:rPr>
          <w:lang w:val="fr-CH"/>
        </w:rPr>
        <w:t>*(1/V</w:t>
      </w:r>
      <w:r w:rsidRPr="000F0486">
        <w:rPr>
          <w:vertAlign w:val="subscript"/>
          <w:lang w:val="fr-CH"/>
        </w:rPr>
        <w:t>2</w:t>
      </w:r>
      <w:r w:rsidRPr="000F0486">
        <w:rPr>
          <w:lang w:val="fr-CH"/>
        </w:rPr>
        <w:t>’ – 1/V</w:t>
      </w:r>
      <w:r w:rsidRPr="000F0486">
        <w:rPr>
          <w:vertAlign w:val="subscript"/>
          <w:lang w:val="fr-CH"/>
        </w:rPr>
        <w:t>2</w:t>
      </w:r>
      <w:r w:rsidRPr="000F0486">
        <w:rPr>
          <w:lang w:val="fr-CH"/>
        </w:rPr>
        <w:t>)</w:t>
      </w:r>
    </w:p>
    <w:p w:rsidR="00E87C06" w:rsidRPr="000F0486" w:rsidRDefault="00E87C06" w:rsidP="001E4DAB">
      <w:pPr>
        <w:pStyle w:val="SingleTxt"/>
        <w:ind w:left="2218" w:hanging="951"/>
        <w:rPr>
          <w:lang w:val="fr-CH"/>
        </w:rPr>
      </w:pPr>
      <w:r>
        <w:rPr>
          <w:lang w:val="fr-CH"/>
        </w:rPr>
        <w:tab/>
      </w:r>
      <w:r>
        <w:rPr>
          <w:lang w:val="fr-CH"/>
        </w:rPr>
        <w:tab/>
      </w:r>
      <w:r w:rsidRPr="000F0486">
        <w:rPr>
          <w:lang w:val="fr-CH"/>
        </w:rPr>
        <w:t>Diviser la valeur obtenue (exprimée en ohms) par la tension de fonctionnement du rail haute tension (exprimée en volts).</w:t>
      </w:r>
    </w:p>
    <w:p w:rsidR="00E87C06" w:rsidRDefault="00E87C06" w:rsidP="00E87C06">
      <w:pPr>
        <w:pStyle w:val="SingleTxt"/>
        <w:ind w:left="2218" w:hanging="951"/>
        <w:rPr>
          <w:lang w:val="fr-CH"/>
        </w:rPr>
      </w:pPr>
      <w:r>
        <w:rPr>
          <w:lang w:val="fr-CH"/>
        </w:rPr>
        <w:tab/>
      </w:r>
      <w:r>
        <w:rPr>
          <w:lang w:val="fr-CH"/>
        </w:rPr>
        <w:tab/>
      </w:r>
      <w:r w:rsidRPr="000F0486">
        <w:rPr>
          <w:lang w:val="fr-CH"/>
        </w:rPr>
        <w:t>R</w:t>
      </w:r>
      <w:r w:rsidRPr="000F0486">
        <w:rPr>
          <w:vertAlign w:val="subscript"/>
          <w:lang w:val="fr-CH"/>
        </w:rPr>
        <w:t>i</w:t>
      </w:r>
      <w:r w:rsidRPr="000F0486">
        <w:rPr>
          <w:lang w:val="fr-CH"/>
        </w:rPr>
        <w:t xml:space="preserve"> (Ω / V) = R</w:t>
      </w:r>
      <w:r w:rsidRPr="000F0486">
        <w:rPr>
          <w:vertAlign w:val="subscript"/>
          <w:lang w:val="fr-CH"/>
        </w:rPr>
        <w:t>i</w:t>
      </w:r>
      <w:r w:rsidRPr="000F0486">
        <w:rPr>
          <w:lang w:val="fr-CH"/>
        </w:rPr>
        <w:t xml:space="preserve"> (Ω) / Tension de fonctionnement (V).</w:t>
      </w:r>
    </w:p>
    <w:p w:rsidR="00E87C06" w:rsidRPr="00E87C06" w:rsidRDefault="00E87C06" w:rsidP="00E87C06">
      <w:pPr>
        <w:pStyle w:val="SingleTxt"/>
        <w:spacing w:after="0" w:line="120" w:lineRule="exact"/>
        <w:ind w:left="2218" w:hanging="951"/>
        <w:rPr>
          <w:sz w:val="10"/>
          <w:lang w:val="fr-CH"/>
        </w:rPr>
      </w:pPr>
    </w:p>
    <w:p w:rsidR="00E87C06" w:rsidRDefault="00E87C06" w:rsidP="00E87C0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Pr>
          <w:b w:val="0"/>
          <w:lang w:val="fr-CH"/>
        </w:rPr>
        <w:tab/>
      </w:r>
      <w:r>
        <w:rPr>
          <w:b w:val="0"/>
          <w:lang w:val="fr-CH"/>
        </w:rPr>
        <w:tab/>
      </w:r>
      <w:r w:rsidRPr="00974003">
        <w:rPr>
          <w:b w:val="0"/>
          <w:lang w:val="fr-CH"/>
        </w:rPr>
        <w:t xml:space="preserve">Figure </w:t>
      </w:r>
      <w:r w:rsidRPr="00974003">
        <w:rPr>
          <w:b w:val="0"/>
          <w:bCs/>
          <w:lang w:val="fr-CH"/>
        </w:rPr>
        <w:t>4</w:t>
      </w:r>
      <w:r w:rsidRPr="00974003">
        <w:rPr>
          <w:b w:val="0"/>
          <w:lang w:val="fr-CH"/>
        </w:rPr>
        <w:t xml:space="preserve"> </w:t>
      </w:r>
      <w:r w:rsidRPr="00974003">
        <w:rPr>
          <w:b w:val="0"/>
          <w:lang w:val="fr-CH"/>
        </w:rPr>
        <w:br/>
      </w:r>
      <w:r w:rsidRPr="00974003">
        <w:rPr>
          <w:lang w:val="fr-CH"/>
        </w:rPr>
        <w:t>Mesure de V</w:t>
      </w:r>
      <w:r w:rsidRPr="00974003">
        <w:rPr>
          <w:vertAlign w:val="subscript"/>
          <w:lang w:val="fr-CH"/>
        </w:rPr>
        <w:t>2</w:t>
      </w:r>
      <w:r w:rsidRPr="00974003">
        <w:rPr>
          <w:lang w:val="fr-CH"/>
        </w:rPr>
        <w:t>’</w:t>
      </w:r>
    </w:p>
    <w:p w:rsidR="00E87C06" w:rsidRPr="00974003" w:rsidRDefault="00E87C06" w:rsidP="00E87C06">
      <w:pPr>
        <w:pStyle w:val="SingleTxt"/>
        <w:spacing w:after="0" w:line="120" w:lineRule="exact"/>
        <w:rPr>
          <w:b/>
          <w:sz w:val="10"/>
          <w:lang w:val="fr-CH"/>
        </w:rPr>
      </w:pPr>
    </w:p>
    <w:p w:rsidR="00E87C06" w:rsidRPr="00974003" w:rsidRDefault="00E87C06" w:rsidP="00E87C06">
      <w:pPr>
        <w:pStyle w:val="SingleTxt"/>
        <w:spacing w:after="0" w:line="120" w:lineRule="exact"/>
        <w:rPr>
          <w:sz w:val="10"/>
          <w:lang w:val="fr-CH"/>
        </w:rPr>
      </w:pPr>
    </w:p>
    <w:p w:rsidR="00E87C06" w:rsidRPr="00974003" w:rsidRDefault="00E87C06" w:rsidP="002120E4">
      <w:pPr>
        <w:suppressAutoHyphens/>
        <w:kinsoku w:val="0"/>
        <w:overflowPunct w:val="0"/>
        <w:autoSpaceDE w:val="0"/>
        <w:autoSpaceDN w:val="0"/>
        <w:adjustRightInd w:val="0"/>
        <w:snapToGrid w:val="0"/>
        <w:spacing w:line="240" w:lineRule="atLeast"/>
        <w:ind w:left="1267"/>
        <w:rPr>
          <w:rFonts w:eastAsia="Times New Roman"/>
          <w:spacing w:val="0"/>
          <w:w w:val="100"/>
          <w:kern w:val="0"/>
          <w:szCs w:val="20"/>
          <w:lang w:val="fr-CH"/>
        </w:rPr>
      </w:pPr>
      <w:r w:rsidRPr="00974003">
        <w:rPr>
          <w:rFonts w:eastAsia="Times New Roman"/>
          <w:noProof/>
          <w:spacing w:val="0"/>
          <w:w w:val="100"/>
          <w:kern w:val="0"/>
          <w:szCs w:val="20"/>
          <w:lang w:val="en-GB" w:eastAsia="en-GB"/>
        </w:rPr>
        <w:drawing>
          <wp:inline distT="0" distB="0" distL="0" distR="0" wp14:anchorId="0B7A5B87" wp14:editId="7015F75F">
            <wp:extent cx="3920400" cy="2520000"/>
            <wp:effectExtent l="0" t="0" r="4445" b="0"/>
            <wp:docPr id="1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20400" cy="2520000"/>
                    </a:xfrm>
                    <a:prstGeom prst="rect">
                      <a:avLst/>
                    </a:prstGeom>
                    <a:noFill/>
                    <a:ln>
                      <a:noFill/>
                    </a:ln>
                  </pic:spPr>
                </pic:pic>
              </a:graphicData>
            </a:graphic>
          </wp:inline>
        </w:drawing>
      </w:r>
    </w:p>
    <w:p w:rsidR="004C2956" w:rsidRPr="00F47C9E" w:rsidRDefault="004C2956" w:rsidP="00F47C9E">
      <w:pPr>
        <w:pStyle w:val="SingleTxt"/>
        <w:spacing w:after="0" w:line="120" w:lineRule="exact"/>
        <w:rPr>
          <w:sz w:val="10"/>
          <w:lang w:val="fr-CH"/>
        </w:rPr>
      </w:pPr>
    </w:p>
    <w:p w:rsidR="00F47C9E" w:rsidRPr="00A9610E" w:rsidRDefault="00F47C9E" w:rsidP="00E87C06">
      <w:pPr>
        <w:pStyle w:val="SingleTxt"/>
        <w:spacing w:after="0" w:line="120" w:lineRule="exact"/>
        <w:rPr>
          <w:sz w:val="10"/>
          <w:lang w:val="fr-CH"/>
        </w:rPr>
      </w:pPr>
    </w:p>
    <w:p w:rsidR="00E87C06" w:rsidRDefault="00F47C9E" w:rsidP="00F47C9E">
      <w:pPr>
        <w:pStyle w:val="SingleTxt"/>
        <w:ind w:left="2218" w:hanging="951"/>
        <w:rPr>
          <w:lang w:val="fr-CH"/>
        </w:rPr>
      </w:pPr>
      <w:r>
        <w:rPr>
          <w:i/>
          <w:lang w:val="fr-CH"/>
        </w:rPr>
        <w:tab/>
      </w:r>
      <w:r>
        <w:rPr>
          <w:i/>
          <w:lang w:val="fr-CH"/>
        </w:rPr>
        <w:tab/>
      </w:r>
      <w:r w:rsidR="00E87C06" w:rsidRPr="00A9610E">
        <w:rPr>
          <w:i/>
          <w:lang w:val="fr-CH"/>
        </w:rPr>
        <w:t>Note</w:t>
      </w:r>
      <w:r w:rsidR="00E87C06">
        <w:rPr>
          <w:i/>
          <w:lang w:val="fr-CH"/>
        </w:rPr>
        <w:t> </w:t>
      </w:r>
      <w:r w:rsidR="00E87C06" w:rsidRPr="00A9610E">
        <w:rPr>
          <w:lang w:val="fr-CH"/>
        </w:rPr>
        <w:t>: La résistance normalisée connue de R</w:t>
      </w:r>
      <w:r w:rsidR="00E87C06" w:rsidRPr="00A9610E">
        <w:rPr>
          <w:vertAlign w:val="subscript"/>
          <w:lang w:val="fr-CH"/>
        </w:rPr>
        <w:t>o</w:t>
      </w:r>
      <w:r w:rsidR="00E87C06" w:rsidRPr="00A9610E">
        <w:rPr>
          <w:lang w:val="fr-CH"/>
        </w:rPr>
        <w:t xml:space="preserve"> (Ω) devrait être égale à la valeur de la résistance d’isolement minimale requise (Ω/V) multipliée par la tension de fonctionnement exprimée en volts (V) du véhicule plus/moins 20 %. La</w:t>
      </w:r>
      <w:r w:rsidR="00E87C06">
        <w:rPr>
          <w:lang w:val="fr-CH"/>
        </w:rPr>
        <w:t xml:space="preserve"> </w:t>
      </w:r>
      <w:r w:rsidR="00E87C06" w:rsidRPr="00A9610E">
        <w:rPr>
          <w:lang w:val="fr-CH"/>
        </w:rPr>
        <w:t>valeur de R</w:t>
      </w:r>
      <w:r w:rsidR="00E87C06" w:rsidRPr="00A9610E">
        <w:rPr>
          <w:vertAlign w:val="subscript"/>
          <w:lang w:val="fr-CH"/>
        </w:rPr>
        <w:t>o</w:t>
      </w:r>
      <w:r w:rsidR="00E87C06" w:rsidRPr="00A9610E">
        <w:rPr>
          <w:lang w:val="fr-CH"/>
        </w:rPr>
        <w:t xml:space="preserve"> ne devrait pas nécessairement être égale à cette valeur car les équations restent valables pour toute valeur de R</w:t>
      </w:r>
      <w:r w:rsidR="00E87C06" w:rsidRPr="00A9610E">
        <w:rPr>
          <w:vertAlign w:val="subscript"/>
          <w:lang w:val="fr-CH"/>
        </w:rPr>
        <w:t>o</w:t>
      </w:r>
      <w:r w:rsidR="00E87C06" w:rsidRPr="00A9610E">
        <w:rPr>
          <w:lang w:val="fr-CH"/>
        </w:rPr>
        <w:t>; cependant, une valeur de R</w:t>
      </w:r>
      <w:r w:rsidR="00E87C06" w:rsidRPr="00A9610E">
        <w:rPr>
          <w:vertAlign w:val="subscript"/>
          <w:lang w:val="fr-CH"/>
        </w:rPr>
        <w:t>o</w:t>
      </w:r>
      <w:r w:rsidR="00E87C06" w:rsidRPr="00A9610E">
        <w:rPr>
          <w:lang w:val="fr-CH"/>
        </w:rPr>
        <w:t xml:space="preserve"> de cet ordre devrait permettre de mesurer la tension avec une précision satisfaisante.</w:t>
      </w:r>
    </w:p>
    <w:p w:rsidR="00E87C06" w:rsidRPr="00A9610E" w:rsidRDefault="00E87C06" w:rsidP="00E87C06">
      <w:pPr>
        <w:pStyle w:val="SingleTxt"/>
        <w:rPr>
          <w:lang w:val="fr-CH"/>
        </w:rPr>
      </w:pPr>
      <w:r w:rsidRPr="00A9610E">
        <w:rPr>
          <w:lang w:val="fr-CH"/>
        </w:rPr>
        <w:t>6.</w:t>
      </w:r>
      <w:r w:rsidRPr="00A9610E">
        <w:rPr>
          <w:lang w:val="fr-CH"/>
        </w:rPr>
        <w:tab/>
      </w:r>
      <w:r>
        <w:rPr>
          <w:lang w:val="fr-CH"/>
        </w:rPr>
        <w:tab/>
      </w:r>
      <w:r w:rsidRPr="00A9610E">
        <w:rPr>
          <w:lang w:val="fr-CH"/>
        </w:rPr>
        <w:t>Fuites d’électrolyte</w:t>
      </w:r>
    </w:p>
    <w:p w:rsidR="00E87C06" w:rsidRPr="00A9610E" w:rsidRDefault="00E87C06" w:rsidP="00E87C06">
      <w:pPr>
        <w:pStyle w:val="SingleTxt"/>
        <w:ind w:left="2218" w:hanging="951"/>
        <w:rPr>
          <w:lang w:val="fr-CH"/>
        </w:rPr>
      </w:pPr>
      <w:r>
        <w:rPr>
          <w:lang w:val="fr-CH"/>
        </w:rPr>
        <w:tab/>
      </w:r>
      <w:r w:rsidRPr="00A9610E">
        <w:rPr>
          <w:lang w:val="fr-CH"/>
        </w:rPr>
        <w:tab/>
        <w:t>Si nécessaire, appliquer un revêtement approprié sur la protection physique afin de détecter toute fuite d’électrolyte du SRSEE à la suite de l’essai de</w:t>
      </w:r>
      <w:r>
        <w:rPr>
          <w:lang w:val="fr-CH"/>
        </w:rPr>
        <w:t xml:space="preserve"> </w:t>
      </w:r>
      <w:r w:rsidRPr="00A9610E">
        <w:rPr>
          <w:lang w:val="fr-CH"/>
        </w:rPr>
        <w:t>choc.</w:t>
      </w:r>
    </w:p>
    <w:p w:rsidR="00E87C06" w:rsidRPr="00A9610E" w:rsidRDefault="00E87C06" w:rsidP="00E87C06">
      <w:pPr>
        <w:pStyle w:val="SingleTxt"/>
        <w:ind w:left="2218" w:hanging="951"/>
        <w:rPr>
          <w:lang w:val="fr-CH"/>
        </w:rPr>
      </w:pPr>
      <w:r w:rsidRPr="00A9610E">
        <w:rPr>
          <w:lang w:val="fr-CH"/>
        </w:rPr>
        <w:tab/>
      </w:r>
      <w:r>
        <w:rPr>
          <w:lang w:val="fr-CH"/>
        </w:rPr>
        <w:tab/>
      </w:r>
      <w:r w:rsidRPr="00A9610E">
        <w:rPr>
          <w:lang w:val="fr-CH"/>
        </w:rPr>
        <w:t>À moins que le constructeur ne fournisse les moyens de distinguer l’électrolyte d’autres liquides, toutes les fuites de liquide sont considérées comme des fuites d’électrolyte.</w:t>
      </w:r>
    </w:p>
    <w:p w:rsidR="00E87C06" w:rsidRPr="00A9610E" w:rsidRDefault="00E87C06" w:rsidP="00E87C06">
      <w:pPr>
        <w:pStyle w:val="SingleTxt"/>
        <w:rPr>
          <w:lang w:val="fr-CH"/>
        </w:rPr>
      </w:pPr>
      <w:r w:rsidRPr="00A9610E">
        <w:rPr>
          <w:lang w:val="fr-CH"/>
        </w:rPr>
        <w:t>7.</w:t>
      </w:r>
      <w:r w:rsidRPr="00A9610E">
        <w:rPr>
          <w:lang w:val="fr-CH"/>
        </w:rPr>
        <w:tab/>
      </w:r>
      <w:r>
        <w:rPr>
          <w:lang w:val="fr-CH"/>
        </w:rPr>
        <w:tab/>
      </w:r>
      <w:r w:rsidRPr="00A9610E">
        <w:rPr>
          <w:lang w:val="fr-CH"/>
        </w:rPr>
        <w:t>Maintien en place du SRSEE</w:t>
      </w:r>
    </w:p>
    <w:p w:rsidR="00E87C06" w:rsidRDefault="00E87C06" w:rsidP="00E87C06">
      <w:pPr>
        <w:pStyle w:val="SingleTxt"/>
        <w:rPr>
          <w:lang w:val="fr-CH"/>
        </w:rPr>
      </w:pPr>
      <w:r w:rsidRPr="00A9610E">
        <w:rPr>
          <w:lang w:val="fr-CH"/>
        </w:rPr>
        <w:tab/>
      </w:r>
      <w:r>
        <w:rPr>
          <w:lang w:val="fr-CH"/>
        </w:rPr>
        <w:tab/>
      </w:r>
      <w:r w:rsidRPr="00A9610E">
        <w:rPr>
          <w:lang w:val="fr-CH"/>
        </w:rPr>
        <w:t>La vérification de la conformité s’effectue par inspection visuelle.</w:t>
      </w:r>
    </w:p>
    <w:p w:rsidR="00D234BC" w:rsidRDefault="00D234BC">
      <w:pPr>
        <w:spacing w:line="240" w:lineRule="auto"/>
        <w:rPr>
          <w:lang w:val="fr-CH"/>
        </w:rPr>
        <w:sectPr w:rsidR="00D234BC" w:rsidSect="00D234BC">
          <w:headerReference w:type="even" r:id="rId74"/>
          <w:headerReference w:type="default" r:id="rId75"/>
          <w:footerReference w:type="even" r:id="rId76"/>
          <w:footerReference w:type="default" r:id="rId77"/>
          <w:footnotePr>
            <w:numRestart w:val="eachSect"/>
          </w:footnotePr>
          <w:pgSz w:w="11909" w:h="16834"/>
          <w:pgMar w:top="1742" w:right="936" w:bottom="1898" w:left="936" w:header="576" w:footer="1030" w:gutter="0"/>
          <w:cols w:space="720"/>
          <w:noEndnote/>
          <w:docGrid w:linePitch="360"/>
        </w:sectPr>
      </w:pPr>
    </w:p>
    <w:p w:rsidR="00147008" w:rsidRDefault="00147008" w:rsidP="0014700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Annexe 9 – Appendice</w:t>
      </w:r>
    </w:p>
    <w:p w:rsidR="00147008" w:rsidRPr="002F791E" w:rsidRDefault="00147008" w:rsidP="00147008">
      <w:pPr>
        <w:pStyle w:val="SingleTxt"/>
        <w:spacing w:after="0" w:line="120" w:lineRule="exact"/>
        <w:rPr>
          <w:sz w:val="10"/>
          <w:lang w:val="fr-CH"/>
        </w:rPr>
      </w:pPr>
    </w:p>
    <w:p w:rsidR="00147008" w:rsidRPr="002F791E" w:rsidRDefault="00147008" w:rsidP="00147008">
      <w:pPr>
        <w:pStyle w:val="SingleTxt"/>
        <w:spacing w:after="0" w:line="120" w:lineRule="exact"/>
        <w:rPr>
          <w:sz w:val="10"/>
          <w:lang w:val="fr-CH"/>
        </w:rPr>
      </w:pPr>
    </w:p>
    <w:p w:rsidR="00147008" w:rsidRDefault="00147008" w:rsidP="0014700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2F791E">
        <w:rPr>
          <w:lang w:val="fr-CH"/>
        </w:rPr>
        <w:t>Doigt d’épreuve articulé (IPXXB)</w:t>
      </w:r>
    </w:p>
    <w:p w:rsidR="00147008" w:rsidRPr="002F791E" w:rsidRDefault="00147008" w:rsidP="00147008">
      <w:pPr>
        <w:pStyle w:val="SingleTxt"/>
        <w:spacing w:after="0" w:line="120" w:lineRule="exact"/>
        <w:rPr>
          <w:sz w:val="10"/>
          <w:lang w:val="fr-CH"/>
        </w:rPr>
      </w:pPr>
    </w:p>
    <w:p w:rsidR="00147008" w:rsidRPr="002F791E" w:rsidRDefault="00147008" w:rsidP="00147008">
      <w:pPr>
        <w:pStyle w:val="SingleTxt"/>
        <w:spacing w:after="0" w:line="120" w:lineRule="exact"/>
        <w:rPr>
          <w:sz w:val="10"/>
          <w:lang w:val="fr-CH"/>
        </w:rPr>
      </w:pPr>
    </w:p>
    <w:p w:rsidR="00147008" w:rsidRDefault="00147008" w:rsidP="0014700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2F791E">
        <w:rPr>
          <w:b w:val="0"/>
          <w:lang w:val="fr-CH"/>
        </w:rPr>
        <w:t xml:space="preserve">Figure 1 </w:t>
      </w:r>
      <w:r w:rsidRPr="002F791E">
        <w:rPr>
          <w:lang w:val="fr-CH"/>
        </w:rPr>
        <w:br/>
        <w:t>Doigt d’épreuve articulé</w:t>
      </w:r>
    </w:p>
    <w:p w:rsidR="00147008" w:rsidRPr="002F791E" w:rsidRDefault="00147008" w:rsidP="00147008">
      <w:pPr>
        <w:pStyle w:val="SingleTxt"/>
        <w:spacing w:after="0" w:line="120" w:lineRule="exact"/>
        <w:rPr>
          <w:sz w:val="10"/>
          <w:lang w:val="fr-CH"/>
        </w:rPr>
      </w:pPr>
    </w:p>
    <w:p w:rsidR="00147008" w:rsidRPr="002F791E" w:rsidRDefault="00147008" w:rsidP="00147008">
      <w:pPr>
        <w:pStyle w:val="SingleTxt"/>
        <w:spacing w:after="0" w:line="120" w:lineRule="exact"/>
        <w:rPr>
          <w:sz w:val="10"/>
          <w:lang w:val="fr-CH"/>
        </w:rPr>
      </w:pPr>
    </w:p>
    <w:p w:rsidR="00147008" w:rsidRDefault="00147008" w:rsidP="00147008">
      <w:pPr>
        <w:pStyle w:val="SingleTxt"/>
        <w:spacing w:line="240" w:lineRule="auto"/>
        <w:rPr>
          <w:lang w:val="fr-CH"/>
        </w:rPr>
      </w:pPr>
      <w:r w:rsidRPr="002F791E">
        <w:rPr>
          <w:noProof/>
          <w:lang w:val="en-GB" w:eastAsia="en-GB"/>
        </w:rPr>
        <w:drawing>
          <wp:inline distT="0" distB="0" distL="0" distR="0" wp14:anchorId="556DD4ED" wp14:editId="718E7185">
            <wp:extent cx="3200400" cy="3765600"/>
            <wp:effectExtent l="0" t="0" r="0" b="6350"/>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00400" cy="3765600"/>
                    </a:xfrm>
                    <a:prstGeom prst="rect">
                      <a:avLst/>
                    </a:prstGeom>
                    <a:noFill/>
                    <a:ln>
                      <a:noFill/>
                    </a:ln>
                  </pic:spPr>
                </pic:pic>
              </a:graphicData>
            </a:graphic>
          </wp:inline>
        </w:drawing>
      </w:r>
    </w:p>
    <w:p w:rsidR="001F3256" w:rsidRPr="001F3256" w:rsidRDefault="001F3256" w:rsidP="001F3256">
      <w:pPr>
        <w:pStyle w:val="SingleTxt"/>
        <w:spacing w:after="0" w:line="120" w:lineRule="exact"/>
        <w:rPr>
          <w:sz w:val="10"/>
          <w:lang w:val="fr-CH"/>
        </w:rPr>
      </w:pPr>
    </w:p>
    <w:p w:rsidR="001F3256" w:rsidRPr="001F3256" w:rsidRDefault="001F3256" w:rsidP="001F3256">
      <w:pPr>
        <w:pStyle w:val="SingleTxt"/>
        <w:spacing w:after="0" w:line="120" w:lineRule="exact"/>
        <w:rPr>
          <w:sz w:val="10"/>
          <w:lang w:val="fr-CH"/>
        </w:rPr>
      </w:pPr>
    </w:p>
    <w:p w:rsidR="00147008" w:rsidRPr="002F791E" w:rsidRDefault="00147008" w:rsidP="00147008">
      <w:pPr>
        <w:pStyle w:val="SingleTxt"/>
        <w:rPr>
          <w:lang w:val="fr-CH"/>
        </w:rPr>
      </w:pPr>
      <w:r>
        <w:rPr>
          <w:lang w:val="fr-CH"/>
        </w:rPr>
        <w:tab/>
      </w:r>
      <w:r>
        <w:rPr>
          <w:lang w:val="fr-CH"/>
        </w:rPr>
        <w:tab/>
      </w:r>
      <w:r w:rsidRPr="002F791E">
        <w:rPr>
          <w:lang w:val="fr-CH"/>
        </w:rPr>
        <w:t>Matière</w:t>
      </w:r>
      <w:r>
        <w:rPr>
          <w:lang w:val="fr-CH"/>
        </w:rPr>
        <w:t> </w:t>
      </w:r>
      <w:r w:rsidRPr="002F791E">
        <w:rPr>
          <w:lang w:val="fr-CH"/>
        </w:rPr>
        <w:t>: métal, sauf indication contraire</w:t>
      </w:r>
    </w:p>
    <w:p w:rsidR="00147008" w:rsidRPr="002F791E" w:rsidRDefault="00147008" w:rsidP="00147008">
      <w:pPr>
        <w:pStyle w:val="SingleTxt"/>
        <w:rPr>
          <w:bCs/>
          <w:lang w:val="fr-CH"/>
        </w:rPr>
      </w:pPr>
      <w:r>
        <w:rPr>
          <w:lang w:val="fr-CH"/>
        </w:rPr>
        <w:tab/>
      </w:r>
      <w:r>
        <w:rPr>
          <w:lang w:val="fr-CH"/>
        </w:rPr>
        <w:tab/>
      </w:r>
      <w:r w:rsidRPr="002F791E">
        <w:rPr>
          <w:lang w:val="fr-CH"/>
        </w:rPr>
        <w:t>Dimensions</w:t>
      </w:r>
      <w:r w:rsidRPr="002F791E">
        <w:rPr>
          <w:bCs/>
          <w:lang w:val="fr-CH"/>
        </w:rPr>
        <w:t xml:space="preserve"> linéaires indiquées en millimètres</w:t>
      </w:r>
    </w:p>
    <w:p w:rsidR="00147008" w:rsidRPr="002F791E" w:rsidRDefault="00147008" w:rsidP="00147008">
      <w:pPr>
        <w:pStyle w:val="SingleTxt"/>
        <w:rPr>
          <w:lang w:val="fr-CH"/>
        </w:rPr>
      </w:pPr>
      <w:r>
        <w:rPr>
          <w:bCs/>
          <w:lang w:val="fr-CH"/>
        </w:rPr>
        <w:tab/>
      </w:r>
      <w:r>
        <w:rPr>
          <w:bCs/>
          <w:lang w:val="fr-CH"/>
        </w:rPr>
        <w:tab/>
      </w:r>
      <w:r w:rsidRPr="002F791E">
        <w:rPr>
          <w:bCs/>
          <w:lang w:val="fr-CH"/>
        </w:rPr>
        <w:t>Tolérances pour les dimensions sans indication de tolérance</w:t>
      </w:r>
      <w:r w:rsidR="008B4BCA">
        <w:rPr>
          <w:bCs/>
          <w:lang w:val="fr-CH"/>
        </w:rPr>
        <w:t> </w:t>
      </w:r>
      <w:r w:rsidRPr="002F791E">
        <w:rPr>
          <w:lang w:val="fr-CH"/>
        </w:rPr>
        <w:t>:</w:t>
      </w:r>
    </w:p>
    <w:p w:rsidR="00147008" w:rsidRPr="002F791E" w:rsidRDefault="00147008" w:rsidP="00147008">
      <w:pPr>
        <w:pStyle w:val="SingleTxt"/>
        <w:rPr>
          <w:lang w:val="fr-CH"/>
        </w:rPr>
      </w:pPr>
      <w:r>
        <w:rPr>
          <w:lang w:val="fr-CH"/>
        </w:rPr>
        <w:tab/>
      </w:r>
      <w:r>
        <w:rPr>
          <w:lang w:val="fr-CH"/>
        </w:rPr>
        <w:tab/>
      </w:r>
      <w:r w:rsidRPr="002F791E">
        <w:rPr>
          <w:lang w:val="fr-CH"/>
        </w:rPr>
        <w:t>a)</w:t>
      </w:r>
      <w:r w:rsidRPr="002F791E">
        <w:rPr>
          <w:lang w:val="fr-CH"/>
        </w:rPr>
        <w:tab/>
        <w:t>Sur les angles</w:t>
      </w:r>
      <w:r>
        <w:rPr>
          <w:lang w:val="fr-CH"/>
        </w:rPr>
        <w:t> </w:t>
      </w:r>
      <w:r w:rsidRPr="002F791E">
        <w:rPr>
          <w:lang w:val="fr-CH"/>
        </w:rPr>
        <w:t>: 0/-10°;</w:t>
      </w:r>
    </w:p>
    <w:p w:rsidR="00147008" w:rsidRPr="002F791E" w:rsidRDefault="00147008" w:rsidP="007E44A4">
      <w:pPr>
        <w:pStyle w:val="SingleTxt"/>
        <w:ind w:left="2693" w:hanging="1426"/>
        <w:rPr>
          <w:lang w:val="fr-CH"/>
        </w:rPr>
      </w:pPr>
      <w:r>
        <w:rPr>
          <w:lang w:val="fr-CH"/>
        </w:rPr>
        <w:tab/>
      </w:r>
      <w:r>
        <w:rPr>
          <w:lang w:val="fr-CH"/>
        </w:rPr>
        <w:tab/>
      </w:r>
      <w:r w:rsidRPr="002F791E">
        <w:rPr>
          <w:lang w:val="fr-CH"/>
        </w:rPr>
        <w:t>b)</w:t>
      </w:r>
      <w:r w:rsidRPr="002F791E">
        <w:rPr>
          <w:lang w:val="fr-CH"/>
        </w:rPr>
        <w:tab/>
      </w:r>
      <w:r w:rsidRPr="002F791E">
        <w:rPr>
          <w:bCs/>
          <w:lang w:val="fr-CH"/>
        </w:rPr>
        <w:t>Sur les dimensions linéaires</w:t>
      </w:r>
      <w:r>
        <w:rPr>
          <w:bCs/>
          <w:lang w:val="fr-CH"/>
        </w:rPr>
        <w:t> </w:t>
      </w:r>
      <w:r w:rsidRPr="002F791E">
        <w:rPr>
          <w:bCs/>
          <w:lang w:val="fr-CH"/>
        </w:rPr>
        <w:t>: jusqu’à 25 mm, 0/-0,05 mm; au</w:t>
      </w:r>
      <w:r>
        <w:rPr>
          <w:bCs/>
          <w:lang w:val="fr-CH"/>
        </w:rPr>
        <w:t>-</w:t>
      </w:r>
      <w:r w:rsidRPr="002F791E">
        <w:rPr>
          <w:bCs/>
          <w:lang w:val="fr-CH"/>
        </w:rPr>
        <w:t xml:space="preserve">dessus de 25 mm, </w:t>
      </w:r>
      <w:r w:rsidRPr="002F791E">
        <w:rPr>
          <w:lang w:val="fr-CH"/>
        </w:rPr>
        <w:sym w:font="Symbol" w:char="F0B1"/>
      </w:r>
      <w:r w:rsidRPr="002F791E">
        <w:rPr>
          <w:lang w:val="fr-CH"/>
        </w:rPr>
        <w:t> </w:t>
      </w:r>
      <w:r w:rsidRPr="002F791E">
        <w:rPr>
          <w:bCs/>
          <w:lang w:val="fr-CH"/>
        </w:rPr>
        <w:t>0,2 mm.</w:t>
      </w:r>
    </w:p>
    <w:p w:rsidR="00E87C06" w:rsidRDefault="00147008" w:rsidP="00147008">
      <w:pPr>
        <w:pStyle w:val="SingleTxt"/>
        <w:ind w:left="2218" w:hanging="951"/>
        <w:rPr>
          <w:lang w:val="fr-CH"/>
        </w:rPr>
      </w:pPr>
      <w:r>
        <w:rPr>
          <w:bCs/>
          <w:lang w:val="fr-CH"/>
        </w:rPr>
        <w:tab/>
      </w:r>
      <w:r>
        <w:rPr>
          <w:bCs/>
          <w:lang w:val="fr-CH"/>
        </w:rPr>
        <w:tab/>
      </w:r>
      <w:r w:rsidRPr="002F791E">
        <w:rPr>
          <w:bCs/>
          <w:lang w:val="fr-CH"/>
        </w:rPr>
        <w:t>Les deux articulations doivent permettre un mouvement de 90° dans le même plan et dans la même direction, avec une toléranc</w:t>
      </w:r>
      <w:r w:rsidR="007E44A4">
        <w:rPr>
          <w:bCs/>
          <w:lang w:val="fr-CH"/>
        </w:rPr>
        <w:t>e comprise entre 0 et +</w:t>
      </w:r>
      <w:r w:rsidRPr="002F791E">
        <w:rPr>
          <w:bCs/>
          <w:lang w:val="fr-CH"/>
        </w:rPr>
        <w:t>10°</w:t>
      </w:r>
      <w:r w:rsidRPr="002F791E">
        <w:rPr>
          <w:lang w:val="fr-CH"/>
        </w:rPr>
        <w:t>.</w:t>
      </w:r>
    </w:p>
    <w:p w:rsidR="00147008" w:rsidRPr="00147008" w:rsidRDefault="00147008" w:rsidP="00147008">
      <w:pPr>
        <w:pStyle w:val="SingleTxt"/>
        <w:spacing w:after="0" w:line="240" w:lineRule="auto"/>
        <w:ind w:left="2218" w:hanging="951"/>
        <w:rPr>
          <w:lang w:val="fr-CH"/>
        </w:rPr>
      </w:pPr>
      <w:r>
        <w:rPr>
          <w:noProof/>
          <w:w w:val="100"/>
          <w:lang w:val="en-GB" w:eastAsia="en-GB"/>
        </w:rPr>
        <mc:AlternateContent>
          <mc:Choice Requires="wps">
            <w:drawing>
              <wp:anchor distT="0" distB="0" distL="114300" distR="114300" simplePos="0" relativeHeight="251670528" behindDoc="0" locked="0" layoutInCell="1" allowOverlap="1" wp14:anchorId="00A5EAF7" wp14:editId="7833AB91">
                <wp:simplePos x="0" y="0"/>
                <wp:positionH relativeFrom="page">
                  <wp:posOffset>3429000</wp:posOffset>
                </wp:positionH>
                <wp:positionV relativeFrom="paragraph">
                  <wp:posOffset>304800</wp:posOffset>
                </wp:positionV>
                <wp:extent cx="9144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70528;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" strokecolor="#010000" strokeweight=".25pt">
                <w10:wrap anchorx="page"/>
              </v:line>
            </w:pict>
          </mc:Fallback>
        </mc:AlternateContent>
      </w:r>
    </w:p>
    <w:sectPr w:rsidR="00147008" w:rsidRPr="00147008" w:rsidSect="00CD40BE">
      <w:headerReference w:type="even" r:id="rId79"/>
      <w:footerReference w:type="even" r:id="rId80"/>
      <w:footnotePr>
        <w:numRestart w:val="eachSect"/>
      </w:footnotePr>
      <w:pgSz w:w="11909" w:h="16834"/>
      <w:pgMar w:top="1742" w:right="936" w:bottom="1898" w:left="936" w:header="576" w:footer="1008"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761" w:rsidRDefault="00CC7761" w:rsidP="00F3330B">
      <w:pPr>
        <w:spacing w:line="240" w:lineRule="auto"/>
      </w:pPr>
      <w:r>
        <w:separator/>
      </w:r>
    </w:p>
  </w:endnote>
  <w:endnote w:type="continuationSeparator" w:id="0">
    <w:p w:rsidR="00CC7761" w:rsidRDefault="00CC7761"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rcode 3 of 9 by request">
    <w:altName w:val="Britannic 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C7761" w:rsidTr="008F2548">
      <w:trPr>
        <w:jc w:val="center"/>
      </w:trPr>
      <w:tc>
        <w:tcPr>
          <w:tcW w:w="5126" w:type="dxa"/>
          <w:shd w:val="clear" w:color="auto" w:fill="auto"/>
        </w:tcPr>
        <w:p w:rsidR="00CC7761" w:rsidRPr="008F2548" w:rsidRDefault="00CC7761" w:rsidP="008F2548">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c>
        <w:tcPr>
          <w:tcW w:w="5127" w:type="dxa"/>
          <w:shd w:val="clear" w:color="auto" w:fill="auto"/>
        </w:tcPr>
        <w:p w:rsidR="00CC7761" w:rsidRPr="008F2548" w:rsidRDefault="00CC7761" w:rsidP="008F2548">
          <w:pPr>
            <w:pStyle w:val="Footer"/>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16</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16</w:t>
          </w:r>
          <w:r>
            <w:rPr>
              <w:w w:val="103"/>
            </w:rPr>
            <w:fldChar w:fldCharType="end"/>
          </w:r>
        </w:p>
      </w:tc>
    </w:tr>
  </w:tbl>
  <w:p w:rsidR="00CC7761" w:rsidRPr="008F2548" w:rsidRDefault="00CC7761" w:rsidP="008F254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C7761" w:rsidTr="008F2548">
      <w:trPr>
        <w:jc w:val="center"/>
      </w:trPr>
      <w:tc>
        <w:tcPr>
          <w:tcW w:w="5126" w:type="dxa"/>
          <w:shd w:val="clear" w:color="auto" w:fill="auto"/>
        </w:tcPr>
        <w:p w:rsidR="00CC7761" w:rsidRPr="008F2548" w:rsidRDefault="00CC7761" w:rsidP="008F2548">
          <w:pPr>
            <w:pStyle w:val="Footer"/>
            <w:jc w:val="right"/>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27</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27</w:t>
          </w:r>
          <w:r>
            <w:rPr>
              <w:w w:val="103"/>
            </w:rPr>
            <w:fldChar w:fldCharType="end"/>
          </w:r>
        </w:p>
      </w:tc>
      <w:tc>
        <w:tcPr>
          <w:tcW w:w="5127" w:type="dxa"/>
          <w:shd w:val="clear" w:color="auto" w:fill="auto"/>
        </w:tcPr>
        <w:p w:rsidR="00CC7761" w:rsidRPr="008F2548" w:rsidRDefault="00CC7761" w:rsidP="008F2548">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r>
  </w:tbl>
  <w:p w:rsidR="00CC7761" w:rsidRPr="008F2548" w:rsidRDefault="00CC7761" w:rsidP="008F254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C7761" w:rsidTr="008F2548">
      <w:trPr>
        <w:jc w:val="center"/>
      </w:trPr>
      <w:tc>
        <w:tcPr>
          <w:tcW w:w="5126" w:type="dxa"/>
          <w:shd w:val="clear" w:color="auto" w:fill="auto"/>
        </w:tcPr>
        <w:p w:rsidR="00CC7761" w:rsidRPr="008F2548" w:rsidRDefault="00CC7761" w:rsidP="008F2548">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c>
        <w:tcPr>
          <w:tcW w:w="5127" w:type="dxa"/>
          <w:shd w:val="clear" w:color="auto" w:fill="auto"/>
        </w:tcPr>
        <w:p w:rsidR="00CC7761" w:rsidRPr="008F2548" w:rsidRDefault="00CC7761" w:rsidP="008F2548">
          <w:pPr>
            <w:pStyle w:val="Footer"/>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32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32</w:t>
          </w:r>
          <w:r>
            <w:rPr>
              <w:w w:val="103"/>
            </w:rPr>
            <w:fldChar w:fldCharType="end"/>
          </w:r>
        </w:p>
      </w:tc>
    </w:tr>
  </w:tbl>
  <w:p w:rsidR="00CC7761" w:rsidRPr="008F2548" w:rsidRDefault="00CC7761" w:rsidP="008F254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C7761" w:rsidTr="008F2548">
      <w:trPr>
        <w:jc w:val="center"/>
      </w:trPr>
      <w:tc>
        <w:tcPr>
          <w:tcW w:w="5126" w:type="dxa"/>
          <w:shd w:val="clear" w:color="auto" w:fill="auto"/>
        </w:tcPr>
        <w:p w:rsidR="00CC7761" w:rsidRPr="008F2548" w:rsidRDefault="00CC7761" w:rsidP="008F2548">
          <w:pPr>
            <w:pStyle w:val="Footer"/>
            <w:jc w:val="right"/>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33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33</w:t>
          </w:r>
          <w:r>
            <w:rPr>
              <w:w w:val="103"/>
            </w:rPr>
            <w:fldChar w:fldCharType="end"/>
          </w:r>
        </w:p>
      </w:tc>
      <w:tc>
        <w:tcPr>
          <w:tcW w:w="5127" w:type="dxa"/>
          <w:shd w:val="clear" w:color="auto" w:fill="auto"/>
        </w:tcPr>
        <w:p w:rsidR="00CC7761" w:rsidRPr="008F2548" w:rsidRDefault="00CC7761" w:rsidP="008F2548">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r>
  </w:tbl>
  <w:p w:rsidR="00CC7761" w:rsidRPr="008F2548" w:rsidRDefault="00CC7761" w:rsidP="008F254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C7761" w:rsidTr="008F2548">
      <w:trPr>
        <w:jc w:val="center"/>
      </w:trPr>
      <w:tc>
        <w:tcPr>
          <w:tcW w:w="5126" w:type="dxa"/>
          <w:shd w:val="clear" w:color="auto" w:fill="auto"/>
        </w:tcPr>
        <w:p w:rsidR="00CC7761" w:rsidRPr="008F2548" w:rsidRDefault="00CC7761" w:rsidP="008F2548">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c>
        <w:tcPr>
          <w:tcW w:w="5127" w:type="dxa"/>
          <w:shd w:val="clear" w:color="auto" w:fill="auto"/>
        </w:tcPr>
        <w:p w:rsidR="00CC7761" w:rsidRPr="008F2548" w:rsidRDefault="00CC7761" w:rsidP="008F2548">
          <w:pPr>
            <w:pStyle w:val="Footer"/>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34</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34</w:t>
          </w:r>
          <w:r>
            <w:rPr>
              <w:w w:val="103"/>
            </w:rPr>
            <w:fldChar w:fldCharType="end"/>
          </w:r>
        </w:p>
      </w:tc>
    </w:tr>
  </w:tbl>
  <w:p w:rsidR="00CC7761" w:rsidRPr="008F2548" w:rsidRDefault="00CC7761" w:rsidP="008F254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C7761" w:rsidTr="008F2548">
      <w:trPr>
        <w:jc w:val="center"/>
      </w:trPr>
      <w:tc>
        <w:tcPr>
          <w:tcW w:w="5126" w:type="dxa"/>
          <w:shd w:val="clear" w:color="auto" w:fill="auto"/>
        </w:tcPr>
        <w:p w:rsidR="00CC7761" w:rsidRPr="008F2548" w:rsidRDefault="00CC7761" w:rsidP="008F2548">
          <w:pPr>
            <w:pStyle w:val="Footer"/>
            <w:jc w:val="right"/>
            <w:rPr>
              <w:w w:val="103"/>
            </w:rPr>
          </w:pPr>
          <w:r>
            <w:rPr>
              <w:w w:val="103"/>
            </w:rPr>
            <w:fldChar w:fldCharType="begin"/>
          </w:r>
          <w:r>
            <w:rPr>
              <w:w w:val="103"/>
            </w:rPr>
            <w:instrText xml:space="preserve"> PAGE  \* Arabic  \* MERGEFORMAT </w:instrText>
          </w:r>
          <w:r>
            <w:rPr>
              <w:w w:val="103"/>
            </w:rPr>
            <w:fldChar w:fldCharType="separate"/>
          </w:r>
          <w:r w:rsidR="00D3363B">
            <w:rPr>
              <w:noProof/>
              <w:w w:val="103"/>
            </w:rPr>
            <w:t>48</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D3363B">
            <w:rPr>
              <w:noProof/>
              <w:w w:val="103"/>
            </w:rPr>
            <w:t>48</w:t>
          </w:r>
          <w:r>
            <w:rPr>
              <w:w w:val="103"/>
            </w:rPr>
            <w:fldChar w:fldCharType="end"/>
          </w:r>
        </w:p>
      </w:tc>
      <w:tc>
        <w:tcPr>
          <w:tcW w:w="5127" w:type="dxa"/>
          <w:shd w:val="clear" w:color="auto" w:fill="auto"/>
        </w:tcPr>
        <w:p w:rsidR="00CC7761" w:rsidRPr="008F2548" w:rsidRDefault="00CC7761" w:rsidP="008F2548">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r>
  </w:tbl>
  <w:p w:rsidR="00CC7761" w:rsidRPr="008F2548" w:rsidRDefault="00CC7761" w:rsidP="008F254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D234BC" w:rsidTr="008F2548">
      <w:trPr>
        <w:jc w:val="center"/>
      </w:trPr>
      <w:tc>
        <w:tcPr>
          <w:tcW w:w="5126" w:type="dxa"/>
          <w:shd w:val="clear" w:color="auto" w:fill="auto"/>
        </w:tcPr>
        <w:p w:rsidR="00D234BC" w:rsidRPr="008F2548" w:rsidRDefault="00D234BC" w:rsidP="008F2548">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c>
        <w:tcPr>
          <w:tcW w:w="5127" w:type="dxa"/>
          <w:shd w:val="clear" w:color="auto" w:fill="auto"/>
        </w:tcPr>
        <w:p w:rsidR="00D234BC" w:rsidRPr="008F2548" w:rsidRDefault="00D234BC" w:rsidP="008F2548">
          <w:pPr>
            <w:pStyle w:val="Footer"/>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36</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36</w:t>
          </w:r>
          <w:r>
            <w:rPr>
              <w:w w:val="103"/>
            </w:rPr>
            <w:fldChar w:fldCharType="end"/>
          </w:r>
        </w:p>
      </w:tc>
    </w:tr>
  </w:tbl>
  <w:p w:rsidR="00D234BC" w:rsidRPr="008F2548" w:rsidRDefault="00D234BC" w:rsidP="008F254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D234BC" w:rsidTr="008F2548">
      <w:trPr>
        <w:jc w:val="center"/>
      </w:trPr>
      <w:tc>
        <w:tcPr>
          <w:tcW w:w="5126" w:type="dxa"/>
          <w:shd w:val="clear" w:color="auto" w:fill="auto"/>
        </w:tcPr>
        <w:p w:rsidR="00D234BC" w:rsidRPr="008F2548" w:rsidRDefault="00D234BC" w:rsidP="008F2548">
          <w:pPr>
            <w:pStyle w:val="Footer"/>
            <w:jc w:val="right"/>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35</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35</w:t>
          </w:r>
          <w:r>
            <w:rPr>
              <w:w w:val="103"/>
            </w:rPr>
            <w:fldChar w:fldCharType="end"/>
          </w:r>
        </w:p>
      </w:tc>
      <w:tc>
        <w:tcPr>
          <w:tcW w:w="5127" w:type="dxa"/>
          <w:shd w:val="clear" w:color="auto" w:fill="auto"/>
        </w:tcPr>
        <w:p w:rsidR="00D234BC" w:rsidRPr="008F2548" w:rsidRDefault="00D234BC" w:rsidP="008F2548">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r>
  </w:tbl>
  <w:p w:rsidR="00D234BC" w:rsidRPr="008F2548" w:rsidRDefault="00D234BC" w:rsidP="008F254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D234BC" w:rsidTr="008F2548">
      <w:trPr>
        <w:jc w:val="center"/>
      </w:trPr>
      <w:tc>
        <w:tcPr>
          <w:tcW w:w="5126" w:type="dxa"/>
          <w:shd w:val="clear" w:color="auto" w:fill="auto"/>
        </w:tcPr>
        <w:p w:rsidR="00D234BC" w:rsidRPr="008F2548" w:rsidRDefault="00D234BC" w:rsidP="008F2548">
          <w:pPr>
            <w:pStyle w:val="Footer"/>
            <w:jc w:val="right"/>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37</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37</w:t>
          </w:r>
          <w:r>
            <w:rPr>
              <w:w w:val="103"/>
            </w:rPr>
            <w:fldChar w:fldCharType="end"/>
          </w:r>
        </w:p>
      </w:tc>
      <w:tc>
        <w:tcPr>
          <w:tcW w:w="5127" w:type="dxa"/>
          <w:shd w:val="clear" w:color="auto" w:fill="auto"/>
        </w:tcPr>
        <w:p w:rsidR="00D234BC" w:rsidRPr="008F2548" w:rsidRDefault="00D234BC" w:rsidP="008F2548">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r>
  </w:tbl>
  <w:p w:rsidR="00D234BC" w:rsidRPr="008F2548" w:rsidRDefault="00D234BC" w:rsidP="008F254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D234BC" w:rsidTr="008F2548">
      <w:trPr>
        <w:jc w:val="center"/>
      </w:trPr>
      <w:tc>
        <w:tcPr>
          <w:tcW w:w="5126" w:type="dxa"/>
          <w:shd w:val="clear" w:color="auto" w:fill="auto"/>
        </w:tcPr>
        <w:p w:rsidR="00D234BC" w:rsidRPr="008F2548" w:rsidRDefault="00D234BC" w:rsidP="008F2548">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c>
        <w:tcPr>
          <w:tcW w:w="5127" w:type="dxa"/>
          <w:shd w:val="clear" w:color="auto" w:fill="auto"/>
        </w:tcPr>
        <w:p w:rsidR="00D234BC" w:rsidRPr="008F2548" w:rsidRDefault="00D234BC" w:rsidP="008F2548">
          <w:pPr>
            <w:pStyle w:val="Footer"/>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42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42</w:t>
          </w:r>
          <w:r>
            <w:rPr>
              <w:w w:val="103"/>
            </w:rPr>
            <w:fldChar w:fldCharType="end"/>
          </w:r>
        </w:p>
      </w:tc>
    </w:tr>
  </w:tbl>
  <w:p w:rsidR="00D234BC" w:rsidRPr="008F2548" w:rsidRDefault="00D234BC" w:rsidP="008F254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D234BC" w:rsidTr="008F2548">
      <w:trPr>
        <w:jc w:val="center"/>
      </w:trPr>
      <w:tc>
        <w:tcPr>
          <w:tcW w:w="5126" w:type="dxa"/>
          <w:shd w:val="clear" w:color="auto" w:fill="auto"/>
        </w:tcPr>
        <w:p w:rsidR="00D234BC" w:rsidRPr="008F2548" w:rsidRDefault="00D234BC" w:rsidP="008F2548">
          <w:pPr>
            <w:pStyle w:val="Footer"/>
            <w:jc w:val="right"/>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41</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41</w:t>
          </w:r>
          <w:r>
            <w:rPr>
              <w:w w:val="103"/>
            </w:rPr>
            <w:fldChar w:fldCharType="end"/>
          </w:r>
        </w:p>
      </w:tc>
      <w:tc>
        <w:tcPr>
          <w:tcW w:w="5127" w:type="dxa"/>
          <w:shd w:val="clear" w:color="auto" w:fill="auto"/>
        </w:tcPr>
        <w:p w:rsidR="00D234BC" w:rsidRPr="008F2548" w:rsidRDefault="00D234BC" w:rsidP="008F2548">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r>
  </w:tbl>
  <w:p w:rsidR="00D234BC" w:rsidRPr="008F2548" w:rsidRDefault="00D234BC" w:rsidP="008F25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C7761" w:rsidTr="008F2548">
      <w:trPr>
        <w:jc w:val="center"/>
      </w:trPr>
      <w:tc>
        <w:tcPr>
          <w:tcW w:w="5126" w:type="dxa"/>
          <w:shd w:val="clear" w:color="auto" w:fill="auto"/>
        </w:tcPr>
        <w:p w:rsidR="00CC7761" w:rsidRPr="008F2548" w:rsidRDefault="00CC7761" w:rsidP="008F2548">
          <w:pPr>
            <w:pStyle w:val="Footer"/>
            <w:jc w:val="right"/>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15</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15</w:t>
          </w:r>
          <w:r>
            <w:rPr>
              <w:w w:val="103"/>
            </w:rPr>
            <w:fldChar w:fldCharType="end"/>
          </w:r>
        </w:p>
      </w:tc>
      <w:tc>
        <w:tcPr>
          <w:tcW w:w="5127" w:type="dxa"/>
          <w:shd w:val="clear" w:color="auto" w:fill="auto"/>
        </w:tcPr>
        <w:p w:rsidR="00CC7761" w:rsidRPr="008F2548" w:rsidRDefault="00CC7761" w:rsidP="008F2548">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r>
  </w:tbl>
  <w:p w:rsidR="00CC7761" w:rsidRPr="008F2548" w:rsidRDefault="00CC7761" w:rsidP="008F2548">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D234BC" w:rsidTr="008F2548">
      <w:trPr>
        <w:jc w:val="center"/>
      </w:trPr>
      <w:tc>
        <w:tcPr>
          <w:tcW w:w="5126" w:type="dxa"/>
          <w:shd w:val="clear" w:color="auto" w:fill="auto"/>
        </w:tcPr>
        <w:p w:rsidR="00D234BC" w:rsidRPr="008F2548" w:rsidRDefault="00D234BC" w:rsidP="008F2548">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c>
        <w:tcPr>
          <w:tcW w:w="5127" w:type="dxa"/>
          <w:shd w:val="clear" w:color="auto" w:fill="auto"/>
        </w:tcPr>
        <w:p w:rsidR="00D234BC" w:rsidRPr="008F2548" w:rsidRDefault="00D234BC" w:rsidP="008F2548">
          <w:pPr>
            <w:pStyle w:val="Footer"/>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46</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46</w:t>
          </w:r>
          <w:r>
            <w:rPr>
              <w:w w:val="103"/>
            </w:rPr>
            <w:fldChar w:fldCharType="end"/>
          </w:r>
        </w:p>
      </w:tc>
    </w:tr>
  </w:tbl>
  <w:p w:rsidR="00D234BC" w:rsidRPr="008F2548" w:rsidRDefault="00D234BC" w:rsidP="008F2548">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D234BC" w:rsidTr="008F2548">
      <w:trPr>
        <w:jc w:val="center"/>
      </w:trPr>
      <w:tc>
        <w:tcPr>
          <w:tcW w:w="5126" w:type="dxa"/>
          <w:shd w:val="clear" w:color="auto" w:fill="auto"/>
        </w:tcPr>
        <w:p w:rsidR="00D234BC" w:rsidRPr="008F2548" w:rsidRDefault="00D234BC" w:rsidP="008F2548">
          <w:pPr>
            <w:pStyle w:val="Footer"/>
            <w:jc w:val="right"/>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47</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47</w:t>
          </w:r>
          <w:r>
            <w:rPr>
              <w:w w:val="103"/>
            </w:rPr>
            <w:fldChar w:fldCharType="end"/>
          </w:r>
        </w:p>
      </w:tc>
      <w:tc>
        <w:tcPr>
          <w:tcW w:w="5127" w:type="dxa"/>
          <w:shd w:val="clear" w:color="auto" w:fill="auto"/>
        </w:tcPr>
        <w:p w:rsidR="00D234BC" w:rsidRPr="008F2548" w:rsidRDefault="00D234BC" w:rsidP="008F2548">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r>
  </w:tbl>
  <w:p w:rsidR="00D234BC" w:rsidRPr="008F2548" w:rsidRDefault="00D234BC" w:rsidP="008F2548">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D234BC" w:rsidTr="008F2548">
      <w:trPr>
        <w:jc w:val="center"/>
      </w:trPr>
      <w:tc>
        <w:tcPr>
          <w:tcW w:w="5126" w:type="dxa"/>
          <w:shd w:val="clear" w:color="auto" w:fill="auto"/>
        </w:tcPr>
        <w:p w:rsidR="00D234BC" w:rsidRPr="008F2548" w:rsidRDefault="00D234BC" w:rsidP="008F2548">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c>
        <w:tcPr>
          <w:tcW w:w="5127" w:type="dxa"/>
          <w:shd w:val="clear" w:color="auto" w:fill="auto"/>
        </w:tcPr>
        <w:p w:rsidR="00D234BC" w:rsidRPr="008F2548" w:rsidRDefault="00D234BC" w:rsidP="008F2548">
          <w:pPr>
            <w:pStyle w:val="Footer"/>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48</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48</w:t>
          </w:r>
          <w:r>
            <w:rPr>
              <w:w w:val="103"/>
            </w:rPr>
            <w:fldChar w:fldCharType="end"/>
          </w:r>
        </w:p>
      </w:tc>
    </w:tr>
  </w:tbl>
  <w:p w:rsidR="00D234BC" w:rsidRPr="008F2548" w:rsidRDefault="00D234BC" w:rsidP="008F25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761" w:rsidRDefault="00CC7761">
    <w:pPr>
      <w:pStyle w:val="Footer"/>
    </w:pPr>
    <w:r>
      <w:rPr>
        <w:noProof/>
        <w:lang w:val="en-GB" w:eastAsia="en-GB"/>
      </w:rPr>
      <w:drawing>
        <wp:anchor distT="0" distB="0" distL="114300" distR="114300" simplePos="0" relativeHeight="251658240" behindDoc="0" locked="0" layoutInCell="1" allowOverlap="1" wp14:anchorId="03BCDEB4" wp14:editId="7FB842C1">
          <wp:simplePos x="0" y="0"/>
          <wp:positionH relativeFrom="column">
            <wp:posOffset>5650865</wp:posOffset>
          </wp:positionH>
          <wp:positionV relativeFrom="paragraph">
            <wp:posOffset>-228600</wp:posOffset>
          </wp:positionV>
          <wp:extent cx="694690" cy="694690"/>
          <wp:effectExtent l="0" t="0" r="0" b="0"/>
          <wp:wrapNone/>
          <wp:docPr id="3" name="Picture 3" descr="http://undocs.org/m2/QRCode2.ashx?DS=ECE/TRANS/WP.29/2015/105&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2015/105&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859"/>
      <w:gridCol w:w="5127"/>
    </w:tblGrid>
    <w:tr w:rsidR="00CC7761" w:rsidTr="008F2548">
      <w:tc>
        <w:tcPr>
          <w:tcW w:w="3859" w:type="dxa"/>
        </w:tcPr>
        <w:p w:rsidR="00CC7761" w:rsidRDefault="00CC7761" w:rsidP="008F2548">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D3363B">
            <w:rPr>
              <w:b w:val="0"/>
              <w:sz w:val="20"/>
            </w:rPr>
            <w:t>GE.15-14277 (F)</w:t>
          </w:r>
          <w:r>
            <w:rPr>
              <w:b w:val="0"/>
              <w:sz w:val="20"/>
            </w:rPr>
            <w:fldChar w:fldCharType="end"/>
          </w:r>
          <w:r>
            <w:rPr>
              <w:b w:val="0"/>
              <w:sz w:val="20"/>
            </w:rPr>
            <w:t xml:space="preserve">    101115    131115</w:t>
          </w:r>
        </w:p>
        <w:p w:rsidR="00CC7761" w:rsidRPr="008F2548" w:rsidRDefault="00CC7761" w:rsidP="008F2548">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D3363B">
            <w:rPr>
              <w:rFonts w:ascii="Barcode 3 of 9 by request" w:hAnsi="Barcode 3 of 9 by request"/>
              <w:b w:val="0"/>
              <w:spacing w:val="0"/>
              <w:w w:val="100"/>
              <w:sz w:val="24"/>
            </w:rPr>
            <w:t>*1514277*</w:t>
          </w:r>
          <w:r>
            <w:rPr>
              <w:rFonts w:ascii="Barcode 3 of 9 by request" w:hAnsi="Barcode 3 of 9 by request"/>
              <w:b w:val="0"/>
              <w:spacing w:val="0"/>
              <w:w w:val="100"/>
              <w:sz w:val="24"/>
            </w:rPr>
            <w:fldChar w:fldCharType="end"/>
          </w:r>
        </w:p>
      </w:tc>
      <w:tc>
        <w:tcPr>
          <w:tcW w:w="5127" w:type="dxa"/>
        </w:tcPr>
        <w:p w:rsidR="00CC7761" w:rsidRDefault="00CC7761" w:rsidP="008F2548">
          <w:pPr>
            <w:pStyle w:val="Footer"/>
            <w:spacing w:line="240" w:lineRule="atLeast"/>
            <w:jc w:val="right"/>
            <w:rPr>
              <w:b w:val="0"/>
              <w:sz w:val="20"/>
            </w:rPr>
          </w:pPr>
          <w:r>
            <w:rPr>
              <w:b w:val="0"/>
              <w:noProof/>
              <w:sz w:val="20"/>
              <w:lang w:val="en-GB" w:eastAsia="en-GB"/>
            </w:rPr>
            <w:drawing>
              <wp:inline distT="0" distB="0" distL="0" distR="0" wp14:anchorId="5AE5DC20" wp14:editId="3F3A94C3">
                <wp:extent cx="1109474" cy="2316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CC7761" w:rsidRPr="008F2548" w:rsidRDefault="00CC7761" w:rsidP="008F2548">
    <w:pPr>
      <w:pStyle w:val="Footer"/>
      <w:spacing w:line="56" w:lineRule="exact"/>
      <w:rPr>
        <w:b w:val="0"/>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C7761" w:rsidTr="008F2548">
      <w:trPr>
        <w:jc w:val="center"/>
      </w:trPr>
      <w:tc>
        <w:tcPr>
          <w:tcW w:w="5126" w:type="dxa"/>
          <w:shd w:val="clear" w:color="auto" w:fill="auto"/>
        </w:tcPr>
        <w:p w:rsidR="00CC7761" w:rsidRPr="008F2548" w:rsidRDefault="00CC7761" w:rsidP="008F2548">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c>
        <w:tcPr>
          <w:tcW w:w="5127" w:type="dxa"/>
          <w:shd w:val="clear" w:color="auto" w:fill="auto"/>
        </w:tcPr>
        <w:p w:rsidR="00CC7761" w:rsidRPr="008F2548" w:rsidRDefault="00CC7761" w:rsidP="008F2548">
          <w:pPr>
            <w:pStyle w:val="Footer"/>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18</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18</w:t>
          </w:r>
          <w:r>
            <w:rPr>
              <w:w w:val="103"/>
            </w:rPr>
            <w:fldChar w:fldCharType="end"/>
          </w:r>
        </w:p>
      </w:tc>
    </w:tr>
  </w:tbl>
  <w:p w:rsidR="00CC7761" w:rsidRPr="008F2548" w:rsidRDefault="00CC7761" w:rsidP="008F254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C7761" w:rsidTr="008F2548">
      <w:trPr>
        <w:jc w:val="center"/>
      </w:trPr>
      <w:tc>
        <w:tcPr>
          <w:tcW w:w="5126" w:type="dxa"/>
          <w:shd w:val="clear" w:color="auto" w:fill="auto"/>
        </w:tcPr>
        <w:p w:rsidR="00CC7761" w:rsidRPr="008F2548" w:rsidRDefault="00CC7761" w:rsidP="008F2548">
          <w:pPr>
            <w:pStyle w:val="Footer"/>
            <w:jc w:val="right"/>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17</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17</w:t>
          </w:r>
          <w:r>
            <w:rPr>
              <w:w w:val="103"/>
            </w:rPr>
            <w:fldChar w:fldCharType="end"/>
          </w:r>
        </w:p>
      </w:tc>
      <w:tc>
        <w:tcPr>
          <w:tcW w:w="5127" w:type="dxa"/>
          <w:shd w:val="clear" w:color="auto" w:fill="auto"/>
        </w:tcPr>
        <w:p w:rsidR="00CC7761" w:rsidRPr="008F2548" w:rsidRDefault="00CC7761" w:rsidP="008F2548">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r>
  </w:tbl>
  <w:p w:rsidR="00CC7761" w:rsidRPr="008F2548" w:rsidRDefault="00CC7761" w:rsidP="008F254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C7761" w:rsidTr="008F2548">
      <w:trPr>
        <w:jc w:val="center"/>
      </w:trPr>
      <w:tc>
        <w:tcPr>
          <w:tcW w:w="5126" w:type="dxa"/>
          <w:shd w:val="clear" w:color="auto" w:fill="auto"/>
        </w:tcPr>
        <w:p w:rsidR="00CC7761" w:rsidRPr="008F2548" w:rsidRDefault="00CC7761" w:rsidP="008F2548">
          <w:pPr>
            <w:pStyle w:val="Footer"/>
            <w:jc w:val="right"/>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19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19</w:t>
          </w:r>
          <w:r>
            <w:rPr>
              <w:w w:val="103"/>
            </w:rPr>
            <w:fldChar w:fldCharType="end"/>
          </w:r>
        </w:p>
      </w:tc>
      <w:tc>
        <w:tcPr>
          <w:tcW w:w="5127" w:type="dxa"/>
          <w:shd w:val="clear" w:color="auto" w:fill="auto"/>
        </w:tcPr>
        <w:p w:rsidR="00CC7761" w:rsidRPr="008F2548" w:rsidRDefault="00CC7761" w:rsidP="008F2548">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r>
  </w:tbl>
  <w:p w:rsidR="00CC7761" w:rsidRPr="008F2548" w:rsidRDefault="00CC7761" w:rsidP="008F254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C7761" w:rsidTr="008F2548">
      <w:trPr>
        <w:jc w:val="center"/>
      </w:trPr>
      <w:tc>
        <w:tcPr>
          <w:tcW w:w="5126" w:type="dxa"/>
          <w:shd w:val="clear" w:color="auto" w:fill="auto"/>
        </w:tcPr>
        <w:p w:rsidR="00CC7761" w:rsidRPr="008F2548" w:rsidRDefault="00CC7761" w:rsidP="008F2548">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c>
        <w:tcPr>
          <w:tcW w:w="5127" w:type="dxa"/>
          <w:shd w:val="clear" w:color="auto" w:fill="auto"/>
        </w:tcPr>
        <w:p w:rsidR="00CC7761" w:rsidRPr="008F2548" w:rsidRDefault="00CC7761" w:rsidP="008F2548">
          <w:pPr>
            <w:pStyle w:val="Footer"/>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24</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24</w:t>
          </w:r>
          <w:r>
            <w:rPr>
              <w:w w:val="103"/>
            </w:rPr>
            <w:fldChar w:fldCharType="end"/>
          </w:r>
        </w:p>
      </w:tc>
    </w:tr>
  </w:tbl>
  <w:p w:rsidR="00CC7761" w:rsidRPr="008F2548" w:rsidRDefault="00CC7761" w:rsidP="008F254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C7761" w:rsidTr="008F2548">
      <w:trPr>
        <w:jc w:val="center"/>
      </w:trPr>
      <w:tc>
        <w:tcPr>
          <w:tcW w:w="5126" w:type="dxa"/>
          <w:shd w:val="clear" w:color="auto" w:fill="auto"/>
        </w:tcPr>
        <w:p w:rsidR="00CC7761" w:rsidRPr="008F2548" w:rsidRDefault="00CC7761" w:rsidP="008F2548">
          <w:pPr>
            <w:pStyle w:val="Footer"/>
            <w:jc w:val="right"/>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25</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25</w:t>
          </w:r>
          <w:r>
            <w:rPr>
              <w:w w:val="103"/>
            </w:rPr>
            <w:fldChar w:fldCharType="end"/>
          </w:r>
        </w:p>
      </w:tc>
      <w:tc>
        <w:tcPr>
          <w:tcW w:w="5127" w:type="dxa"/>
          <w:shd w:val="clear" w:color="auto" w:fill="auto"/>
        </w:tcPr>
        <w:p w:rsidR="00CC7761" w:rsidRPr="008F2548" w:rsidRDefault="00CC7761" w:rsidP="008F2548">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r>
  </w:tbl>
  <w:p w:rsidR="00CC7761" w:rsidRPr="008F2548" w:rsidRDefault="00CC7761" w:rsidP="008F254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C7761" w:rsidTr="008F2548">
      <w:trPr>
        <w:jc w:val="center"/>
      </w:trPr>
      <w:tc>
        <w:tcPr>
          <w:tcW w:w="5126" w:type="dxa"/>
          <w:shd w:val="clear" w:color="auto" w:fill="auto"/>
        </w:tcPr>
        <w:p w:rsidR="00CC7761" w:rsidRPr="008F2548" w:rsidRDefault="00CC7761" w:rsidP="008F2548">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D3363B">
            <w:rPr>
              <w:b w:val="0"/>
              <w:w w:val="103"/>
              <w:sz w:val="14"/>
            </w:rPr>
            <w:t>GE.15-14277</w:t>
          </w:r>
          <w:r>
            <w:rPr>
              <w:b w:val="0"/>
              <w:w w:val="103"/>
              <w:sz w:val="14"/>
            </w:rPr>
            <w:fldChar w:fldCharType="end"/>
          </w:r>
        </w:p>
      </w:tc>
      <w:tc>
        <w:tcPr>
          <w:tcW w:w="5127" w:type="dxa"/>
          <w:shd w:val="clear" w:color="auto" w:fill="auto"/>
        </w:tcPr>
        <w:p w:rsidR="00CC7761" w:rsidRPr="008F2548" w:rsidRDefault="00CC7761" w:rsidP="008F2548">
          <w:pPr>
            <w:pStyle w:val="Footer"/>
            <w:rPr>
              <w:w w:val="103"/>
            </w:rPr>
          </w:pPr>
          <w:r>
            <w:rPr>
              <w:w w:val="103"/>
            </w:rPr>
            <w:fldChar w:fldCharType="begin"/>
          </w:r>
          <w:r>
            <w:rPr>
              <w:w w:val="103"/>
            </w:rPr>
            <w:instrText xml:space="preserve"> PAGE  \* Arabic  \* MERGEFORMAT </w:instrText>
          </w:r>
          <w:r>
            <w:rPr>
              <w:w w:val="103"/>
            </w:rPr>
            <w:fldChar w:fldCharType="separate"/>
          </w:r>
          <w:r w:rsidR="00A15774">
            <w:rPr>
              <w:noProof/>
              <w:w w:val="103"/>
            </w:rPr>
            <w:t>26</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A15774">
            <w:rPr>
              <w:noProof/>
              <w:w w:val="103"/>
            </w:rPr>
            <w:t>26</w:t>
          </w:r>
          <w:r>
            <w:rPr>
              <w:w w:val="103"/>
            </w:rPr>
            <w:fldChar w:fldCharType="end"/>
          </w:r>
        </w:p>
      </w:tc>
    </w:tr>
  </w:tbl>
  <w:p w:rsidR="00CC7761" w:rsidRPr="008F2548" w:rsidRDefault="00CC7761" w:rsidP="008F25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761" w:rsidRPr="001F0D2C" w:rsidRDefault="00CC7761" w:rsidP="001F0D2C">
      <w:pPr>
        <w:pStyle w:val="Footer"/>
        <w:spacing w:after="80"/>
        <w:ind w:left="792"/>
        <w:rPr>
          <w:sz w:val="16"/>
        </w:rPr>
      </w:pPr>
      <w:r w:rsidRPr="001F0D2C">
        <w:rPr>
          <w:sz w:val="16"/>
        </w:rPr>
        <w:t>__________________</w:t>
      </w:r>
    </w:p>
  </w:footnote>
  <w:footnote w:type="continuationSeparator" w:id="0">
    <w:p w:rsidR="00CC7761" w:rsidRPr="001F0D2C" w:rsidRDefault="00CC7761" w:rsidP="001F0D2C">
      <w:pPr>
        <w:pStyle w:val="Footer"/>
        <w:spacing w:after="80"/>
        <w:ind w:left="792"/>
        <w:rPr>
          <w:sz w:val="16"/>
        </w:rPr>
      </w:pPr>
      <w:r w:rsidRPr="001F0D2C">
        <w:rPr>
          <w:sz w:val="16"/>
        </w:rPr>
        <w:t>__________________</w:t>
      </w:r>
    </w:p>
  </w:footnote>
  <w:footnote w:id="1">
    <w:p w:rsidR="00CC7761" w:rsidRPr="006C53AB" w:rsidRDefault="00CC7761" w:rsidP="001F0D2C">
      <w:pPr>
        <w:pStyle w:val="FootnoteText"/>
        <w:tabs>
          <w:tab w:val="right" w:pos="1195"/>
          <w:tab w:val="left" w:pos="1267"/>
          <w:tab w:val="left" w:pos="1742"/>
          <w:tab w:val="left" w:pos="2218"/>
          <w:tab w:val="left" w:pos="2693"/>
        </w:tabs>
        <w:ind w:left="1267" w:right="1260" w:hanging="432"/>
        <w:rPr>
          <w:lang w:val="fr-CH"/>
        </w:rPr>
      </w:pPr>
      <w:r>
        <w:tab/>
      </w:r>
      <w:r w:rsidRPr="006C53AB">
        <w:rPr>
          <w:rStyle w:val="FootnoteReference"/>
          <w:vertAlign w:val="baseline"/>
        </w:rPr>
        <w:t>*</w:t>
      </w:r>
      <w:r w:rsidRPr="006C53AB">
        <w:tab/>
      </w:r>
      <w:r w:rsidRPr="00D07662">
        <w:rPr>
          <w:spacing w:val="-2"/>
        </w:rPr>
        <w:t>Conformément au programme de travail du Comité des transports intérieurs pour la période 2012-2016 (ECE/TRANS/224, par. 94, et ECE/TRANS/2012/12, activité 02.4), le Forum mondial a pour mission d’élaborer, d’harmoniser et de mettre à jour les Règlements en vue d’améliorer les caractéristiqu</w:t>
      </w:r>
      <w:r>
        <w:rPr>
          <w:spacing w:val="-2"/>
        </w:rPr>
        <w:t>es fonctionnelles des véhicules</w:t>
      </w:r>
      <w:r w:rsidRPr="00D07662">
        <w:rPr>
          <w:spacing w:val="-2"/>
        </w:rPr>
        <w:t>.</w:t>
      </w:r>
      <w:r>
        <w:rPr>
          <w:spacing w:val="-2"/>
        </w:rPr>
        <w:t xml:space="preserve"> </w:t>
      </w:r>
      <w:r w:rsidRPr="00D07662">
        <w:rPr>
          <w:spacing w:val="-2"/>
        </w:rPr>
        <w:t>Le présent document est soumis en vertu de ce mandat.</w:t>
      </w:r>
    </w:p>
  </w:footnote>
  <w:footnote w:id="2">
    <w:p w:rsidR="00CC7761" w:rsidRPr="00823D2E" w:rsidRDefault="00CC7761" w:rsidP="001F0D2C">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t>Tels que d</w:t>
      </w:r>
      <w:r w:rsidRPr="0039759A">
        <w:rPr>
          <w:szCs w:val="18"/>
        </w:rPr>
        <w:t>éfinis dans la Résolution d</w:t>
      </w:r>
      <w:r>
        <w:rPr>
          <w:szCs w:val="18"/>
        </w:rPr>
        <w:t>’</w:t>
      </w:r>
      <w:r w:rsidRPr="0039759A">
        <w:rPr>
          <w:szCs w:val="18"/>
        </w:rPr>
        <w:t>ensemble sur la construction des véhicules</w:t>
      </w:r>
      <w:r>
        <w:rPr>
          <w:szCs w:val="18"/>
        </w:rPr>
        <w:t xml:space="preserve"> (R.E.3</w:t>
      </w:r>
      <w:r w:rsidRPr="0039759A">
        <w:rPr>
          <w:szCs w:val="18"/>
        </w:rPr>
        <w:t>), document</w:t>
      </w:r>
      <w:r>
        <w:rPr>
          <w:szCs w:val="18"/>
        </w:rPr>
        <w:t> </w:t>
      </w:r>
      <w:r w:rsidRPr="0039759A">
        <w:rPr>
          <w:szCs w:val="18"/>
        </w:rPr>
        <w:t>ECE/TRANS/WP.29/78/Rev.3, par.</w:t>
      </w:r>
      <w:r>
        <w:rPr>
          <w:szCs w:val="18"/>
        </w:rPr>
        <w:t xml:space="preserve"> 2 </w:t>
      </w:r>
      <w:r w:rsidRPr="00823D2E">
        <w:rPr>
          <w:szCs w:val="18"/>
        </w:rPr>
        <w:t>− </w:t>
      </w:r>
      <w:r w:rsidRPr="00823D2E">
        <w:rPr>
          <w:rStyle w:val="Hyperlink"/>
          <w:color w:val="auto"/>
        </w:rPr>
        <w:t>www.unece.org/trans/main/wp29/wp29wgs/</w:t>
      </w:r>
      <w:r>
        <w:rPr>
          <w:rStyle w:val="Hyperlink"/>
          <w:color w:val="auto"/>
        </w:rPr>
        <w:br/>
      </w:r>
      <w:r w:rsidRPr="00823D2E">
        <w:rPr>
          <w:rStyle w:val="Hyperlink"/>
          <w:color w:val="auto"/>
        </w:rPr>
        <w:t>wp29gen/wp29resolutions.html.</w:t>
      </w:r>
    </w:p>
  </w:footnote>
  <w:footnote w:id="3">
    <w:p w:rsidR="00CC7761" w:rsidRPr="007B1CCF" w:rsidRDefault="00CC7761" w:rsidP="001F0D2C">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r>
      <w:r w:rsidRPr="009F319C">
        <w:rPr>
          <w:szCs w:val="18"/>
        </w:rPr>
        <w:t>Le numéro distinctif des Parties contractantes à l</w:t>
      </w:r>
      <w:r>
        <w:rPr>
          <w:szCs w:val="18"/>
        </w:rPr>
        <w:t>’</w:t>
      </w:r>
      <w:r w:rsidRPr="009F319C">
        <w:rPr>
          <w:szCs w:val="18"/>
        </w:rPr>
        <w:t>Accord de 1958 est reproduit à l</w:t>
      </w:r>
      <w:r>
        <w:rPr>
          <w:szCs w:val="18"/>
        </w:rPr>
        <w:t>’</w:t>
      </w:r>
      <w:r w:rsidRPr="009F319C">
        <w:rPr>
          <w:szCs w:val="18"/>
        </w:rPr>
        <w:t>annexe</w:t>
      </w:r>
      <w:r>
        <w:rPr>
          <w:szCs w:val="18"/>
        </w:rPr>
        <w:t> </w:t>
      </w:r>
      <w:r w:rsidRPr="009F319C">
        <w:rPr>
          <w:szCs w:val="18"/>
        </w:rPr>
        <w:t>3 de</w:t>
      </w:r>
      <w:r>
        <w:rPr>
          <w:szCs w:val="18"/>
        </w:rPr>
        <w:t> </w:t>
      </w:r>
      <w:r w:rsidRPr="009F319C">
        <w:rPr>
          <w:szCs w:val="18"/>
        </w:rPr>
        <w:t>la</w:t>
      </w:r>
      <w:r>
        <w:rPr>
          <w:szCs w:val="18"/>
        </w:rPr>
        <w:t> </w:t>
      </w:r>
      <w:r w:rsidRPr="009F319C">
        <w:rPr>
          <w:szCs w:val="18"/>
        </w:rPr>
        <w:t>Résolution d</w:t>
      </w:r>
      <w:r>
        <w:rPr>
          <w:szCs w:val="18"/>
        </w:rPr>
        <w:t>’</w:t>
      </w:r>
      <w:r w:rsidRPr="009F319C">
        <w:rPr>
          <w:szCs w:val="18"/>
        </w:rPr>
        <w:t xml:space="preserve">ensemble sur la construction des véhicules (R.E.3), </w:t>
      </w:r>
      <w:r w:rsidRPr="009F319C">
        <w:t>document</w:t>
      </w:r>
      <w:r>
        <w:t> </w:t>
      </w:r>
      <w:r w:rsidRPr="009F319C">
        <w:rPr>
          <w:szCs w:val="18"/>
        </w:rPr>
        <w:t>ECE/</w:t>
      </w:r>
      <w:r w:rsidRPr="009F319C">
        <w:t>TRANS/</w:t>
      </w:r>
      <w:r>
        <w:br/>
      </w:r>
      <w:r w:rsidRPr="009F319C">
        <w:t>WP.29/78/Rev</w:t>
      </w:r>
      <w:r>
        <w:t>.3 − </w:t>
      </w:r>
      <w:r w:rsidRPr="007B1CCF">
        <w:rPr>
          <w:rStyle w:val="FollowedHyperlink"/>
          <w:color w:val="auto"/>
        </w:rPr>
        <w:t>www.unece.org/trans/main/wp29/wp29wgs/wp29gen/wp29resolutions.html</w:t>
      </w:r>
      <w:r w:rsidRPr="007B1CCF">
        <w:t>.</w:t>
      </w:r>
    </w:p>
  </w:footnote>
  <w:footnote w:id="4">
    <w:p w:rsidR="00CC7761" w:rsidRPr="00B66265" w:rsidRDefault="00CC7761" w:rsidP="001F0D2C">
      <w:pPr>
        <w:pStyle w:val="FootnoteText"/>
        <w:tabs>
          <w:tab w:val="right" w:pos="1195"/>
          <w:tab w:val="left" w:pos="1267"/>
          <w:tab w:val="left" w:pos="1742"/>
          <w:tab w:val="left" w:pos="2218"/>
          <w:tab w:val="left" w:pos="2693"/>
        </w:tabs>
        <w:ind w:left="1267" w:right="1260" w:hanging="432"/>
        <w:rPr>
          <w:spacing w:val="5"/>
          <w:w w:val="104"/>
          <w:lang w:val="fr-CH"/>
        </w:rPr>
      </w:pPr>
      <w:r>
        <w:tab/>
      </w:r>
      <w:r>
        <w:rPr>
          <w:rStyle w:val="FootnoteReference"/>
        </w:rPr>
        <w:footnoteRef/>
      </w:r>
      <w:r>
        <w:t xml:space="preserve"> </w:t>
      </w:r>
      <w:r>
        <w:tab/>
        <w:t>Numéro distincif du pays qui a délivré/étendu/refusé/retiré l’homologation (voir les dispositions du Règlement relatives à l’homologation).</w:t>
      </w:r>
    </w:p>
  </w:footnote>
  <w:footnote w:id="5">
    <w:p w:rsidR="00CC7761" w:rsidRDefault="00CC7761" w:rsidP="001F0D2C">
      <w:pPr>
        <w:pStyle w:val="FootnoteText"/>
        <w:tabs>
          <w:tab w:val="right" w:pos="1195"/>
          <w:tab w:val="left" w:pos="1267"/>
          <w:tab w:val="left" w:pos="1742"/>
          <w:tab w:val="left" w:pos="2218"/>
          <w:tab w:val="left" w:pos="2693"/>
        </w:tabs>
        <w:ind w:left="1267" w:right="1260" w:hanging="432"/>
      </w:pPr>
      <w:r>
        <w:tab/>
      </w:r>
      <w:r>
        <w:rPr>
          <w:rStyle w:val="FootnoteReference"/>
        </w:rPr>
        <w:footnoteRef/>
      </w:r>
      <w:r>
        <w:tab/>
      </w:r>
      <w:r w:rsidRPr="005A48EA">
        <w:rPr>
          <w:lang w:val="fr-FR"/>
        </w:rPr>
        <w:t>Biffer les mentions inutiles</w:t>
      </w:r>
      <w:r>
        <w:rPr>
          <w:lang w:val="fr-FR"/>
        </w:rPr>
        <w:t>.</w:t>
      </w:r>
    </w:p>
  </w:footnote>
  <w:footnote w:id="6">
    <w:p w:rsidR="00CC7761" w:rsidRDefault="00CC7761" w:rsidP="001F0D2C">
      <w:pPr>
        <w:pStyle w:val="FootnoteText"/>
        <w:tabs>
          <w:tab w:val="right" w:pos="1195"/>
          <w:tab w:val="left" w:pos="1267"/>
          <w:tab w:val="left" w:pos="1742"/>
          <w:tab w:val="left" w:pos="2218"/>
          <w:tab w:val="left" w:pos="2693"/>
        </w:tabs>
        <w:ind w:left="1267" w:right="1260" w:hanging="432"/>
      </w:pPr>
      <w:r>
        <w:tab/>
      </w:r>
      <w:r>
        <w:rPr>
          <w:rStyle w:val="FootnoteReference"/>
        </w:rPr>
        <w:footnoteRef/>
      </w:r>
      <w:r>
        <w:tab/>
      </w:r>
      <w:r w:rsidRPr="00A34807">
        <w:t>Le second numéro n</w:t>
      </w:r>
      <w:r>
        <w:t>’</w:t>
      </w:r>
      <w:r w:rsidRPr="00A34807">
        <w:t>est donné qu</w:t>
      </w:r>
      <w:r>
        <w:t>’</w:t>
      </w:r>
      <w:r w:rsidRPr="00A34807">
        <w:t>à titre d</w:t>
      </w:r>
      <w:r>
        <w:t>’</w:t>
      </w:r>
      <w:r w:rsidRPr="00A34807">
        <w:t>exemple</w:t>
      </w:r>
      <w:r>
        <w:t>.</w:t>
      </w:r>
    </w:p>
  </w:footnote>
  <w:footnote w:id="7">
    <w:p w:rsidR="00CC7761" w:rsidRPr="00621EA4" w:rsidRDefault="00CC7761" w:rsidP="001F0D2C">
      <w:pPr>
        <w:pStyle w:val="FootnoteText"/>
        <w:tabs>
          <w:tab w:val="right" w:pos="1195"/>
          <w:tab w:val="left" w:pos="1267"/>
          <w:tab w:val="left" w:pos="1742"/>
          <w:tab w:val="left" w:pos="2218"/>
          <w:tab w:val="left" w:pos="2693"/>
        </w:tabs>
        <w:ind w:left="1267" w:right="1260" w:hanging="432"/>
      </w:pPr>
      <w:r>
        <w:tab/>
      </w:r>
      <w:r>
        <w:rPr>
          <w:rStyle w:val="FootnoteReference"/>
        </w:rPr>
        <w:footnoteRef/>
      </w:r>
      <w:r>
        <w:tab/>
      </w:r>
      <w:r w:rsidRPr="00621EA4">
        <w:rPr>
          <w:szCs w:val="18"/>
        </w:rPr>
        <w:t>Le</w:t>
      </w:r>
      <w:r>
        <w:rPr>
          <w:szCs w:val="18"/>
        </w:rPr>
        <w:t xml:space="preserve"> Groupe de travail de la sécurité passive (GRSP) a l’intention d’élaborer un additif à la Résolution mutuelle R.M.1 sur les mannequins pour essais de choc avant. En attendant l’additif en question, les </w:t>
      </w:r>
      <w:r w:rsidRPr="00621EA4">
        <w:rPr>
          <w:szCs w:val="18"/>
        </w:rPr>
        <w:t>spécifications techniques et les schémas dé</w:t>
      </w:r>
      <w:r>
        <w:rPr>
          <w:szCs w:val="18"/>
        </w:rPr>
        <w:t>taillés du mannequin Hybrid III</w:t>
      </w:r>
      <w:r w:rsidRPr="00621EA4">
        <w:rPr>
          <w:szCs w:val="18"/>
        </w:rPr>
        <w:t>, présentant les</w:t>
      </w:r>
      <w:r>
        <w:rPr>
          <w:szCs w:val="18"/>
        </w:rPr>
        <w:t xml:space="preserve"> </w:t>
      </w:r>
      <w:r w:rsidRPr="00621EA4">
        <w:rPr>
          <w:szCs w:val="18"/>
        </w:rPr>
        <w:t>principales dimensions d’un homme du cinquantième centile et d’une femme du cinquième centile</w:t>
      </w:r>
      <w:r>
        <w:rPr>
          <w:szCs w:val="18"/>
        </w:rPr>
        <w:t xml:space="preserve"> </w:t>
      </w:r>
      <w:r w:rsidRPr="00621EA4">
        <w:rPr>
          <w:szCs w:val="18"/>
        </w:rPr>
        <w:t>et les spécifications de réglage pour cet essai ont été déposés auprès du Secrétaire général de</w:t>
      </w:r>
      <w:r>
        <w:rPr>
          <w:szCs w:val="18"/>
        </w:rPr>
        <w:t xml:space="preserve"> </w:t>
      </w:r>
      <w:r w:rsidRPr="00621EA4">
        <w:rPr>
          <w:szCs w:val="18"/>
        </w:rPr>
        <w:t>l’Organisation des Nations Unies et peuvent être consultés sur demande au secrétariat de la Commission économique pour l’Europe, Palais des</w:t>
      </w:r>
      <w:r>
        <w:rPr>
          <w:szCs w:val="18"/>
        </w:rPr>
        <w:t xml:space="preserve"> </w:t>
      </w:r>
      <w:r w:rsidRPr="00621EA4">
        <w:rPr>
          <w:szCs w:val="18"/>
        </w:rPr>
        <w:t>Nations, Genève, Suisse.</w:t>
      </w:r>
    </w:p>
  </w:footnote>
  <w:footnote w:id="8">
    <w:p w:rsidR="00CC7761" w:rsidRDefault="00CC7761" w:rsidP="001F0D2C">
      <w:pPr>
        <w:pStyle w:val="FootnoteText"/>
        <w:tabs>
          <w:tab w:val="right" w:pos="1195"/>
          <w:tab w:val="left" w:pos="1267"/>
          <w:tab w:val="left" w:pos="1742"/>
          <w:tab w:val="left" w:pos="2218"/>
          <w:tab w:val="left" w:pos="2693"/>
        </w:tabs>
        <w:ind w:left="1267" w:right="1260" w:hanging="432"/>
      </w:pPr>
      <w:r>
        <w:tab/>
      </w:r>
      <w:r>
        <w:rPr>
          <w:rStyle w:val="FootnoteReference"/>
        </w:rPr>
        <w:footnoteRef/>
      </w:r>
      <w:r>
        <w:tab/>
      </w:r>
      <w:r w:rsidRPr="00AD7E54">
        <w:t>La procédure est décrite dans l</w:t>
      </w:r>
      <w:r>
        <w:t>’</w:t>
      </w:r>
      <w:r w:rsidRPr="00AD7E54">
        <w:t>annexe 1 de la Résolution d</w:t>
      </w:r>
      <w:r>
        <w:t>’</w:t>
      </w:r>
      <w:r w:rsidRPr="00AD7E54">
        <w:t>ensemble sur la construction des</w:t>
      </w:r>
      <w:r>
        <w:t xml:space="preserve"> </w:t>
      </w:r>
      <w:r w:rsidRPr="00AD7E54">
        <w:t xml:space="preserve">véhicules (RE.3) (document ECE/TRANS/WP.29/78/Rev.3). </w:t>
      </w:r>
      <w:r w:rsidRPr="00AA39B3">
        <w:t>www.unece.org/trans/main/wp29/</w:t>
      </w:r>
      <w:r>
        <w:br/>
      </w:r>
      <w:r w:rsidRPr="00AA39B3">
        <w:t>wp29wgs/wp29gen/wp29resolutions.html</w:t>
      </w:r>
      <w:r w:rsidRPr="00AA39B3">
        <w:rPr>
          <w:rStyle w:val="Hyperlink"/>
          <w:color w:val="auto"/>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C7761" w:rsidTr="008F2548">
      <w:trPr>
        <w:trHeight w:hRule="exact" w:val="864"/>
        <w:jc w:val="center"/>
      </w:trPr>
      <w:tc>
        <w:tcPr>
          <w:tcW w:w="4882" w:type="dxa"/>
          <w:shd w:val="clear" w:color="auto" w:fill="auto"/>
          <w:vAlign w:val="bottom"/>
        </w:tcPr>
        <w:p w:rsidR="00CC7761" w:rsidRPr="008F2548" w:rsidRDefault="00CC7761" w:rsidP="008F2548">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p>
      </w:tc>
      <w:tc>
        <w:tcPr>
          <w:tcW w:w="5127" w:type="dxa"/>
          <w:shd w:val="clear" w:color="auto" w:fill="auto"/>
          <w:vAlign w:val="bottom"/>
        </w:tcPr>
        <w:p w:rsidR="00CC7761" w:rsidRDefault="00CC7761" w:rsidP="008F2548">
          <w:pPr>
            <w:pStyle w:val="Header"/>
          </w:pPr>
        </w:p>
      </w:tc>
    </w:tr>
  </w:tbl>
  <w:p w:rsidR="00CC7761" w:rsidRPr="008F2548" w:rsidRDefault="00CC7761" w:rsidP="008F2548">
    <w:pPr>
      <w:pStyle w:val="Header"/>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C7761" w:rsidTr="008F2548">
      <w:trPr>
        <w:trHeight w:hRule="exact" w:val="864"/>
        <w:jc w:val="center"/>
      </w:trPr>
      <w:tc>
        <w:tcPr>
          <w:tcW w:w="4882" w:type="dxa"/>
          <w:shd w:val="clear" w:color="auto" w:fill="auto"/>
          <w:vAlign w:val="bottom"/>
        </w:tcPr>
        <w:p w:rsidR="00CC7761" w:rsidRDefault="00CC7761" w:rsidP="008F2548">
          <w:pPr>
            <w:pStyle w:val="Header"/>
          </w:pPr>
        </w:p>
      </w:tc>
      <w:tc>
        <w:tcPr>
          <w:tcW w:w="5127" w:type="dxa"/>
          <w:shd w:val="clear" w:color="auto" w:fill="auto"/>
          <w:vAlign w:val="bottom"/>
        </w:tcPr>
        <w:p w:rsidR="00CC7761" w:rsidRPr="008F2548" w:rsidRDefault="00CC7761" w:rsidP="00CC7761">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Annexe 4</w:t>
          </w:r>
        </w:p>
      </w:tc>
    </w:tr>
  </w:tbl>
  <w:p w:rsidR="00CC7761" w:rsidRPr="008F2548" w:rsidRDefault="00CC7761" w:rsidP="008F2548">
    <w:pPr>
      <w:pStyle w:val="Header"/>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C7761" w:rsidTr="008F2548">
      <w:trPr>
        <w:trHeight w:hRule="exact" w:val="864"/>
        <w:jc w:val="center"/>
      </w:trPr>
      <w:tc>
        <w:tcPr>
          <w:tcW w:w="4882" w:type="dxa"/>
          <w:shd w:val="clear" w:color="auto" w:fill="auto"/>
          <w:vAlign w:val="bottom"/>
        </w:tcPr>
        <w:p w:rsidR="00CC7761" w:rsidRPr="008F2548" w:rsidRDefault="00CC7761" w:rsidP="008F2548">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Annexe 5</w:t>
          </w:r>
        </w:p>
      </w:tc>
      <w:tc>
        <w:tcPr>
          <w:tcW w:w="5127" w:type="dxa"/>
          <w:shd w:val="clear" w:color="auto" w:fill="auto"/>
          <w:vAlign w:val="bottom"/>
        </w:tcPr>
        <w:p w:rsidR="00CC7761" w:rsidRDefault="00CC7761" w:rsidP="008F2548">
          <w:pPr>
            <w:pStyle w:val="Header"/>
          </w:pPr>
        </w:p>
      </w:tc>
    </w:tr>
  </w:tbl>
  <w:p w:rsidR="00CC7761" w:rsidRPr="008F2548" w:rsidRDefault="00CC7761" w:rsidP="008F2548">
    <w:pPr>
      <w:pStyle w:val="Header"/>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C7761" w:rsidTr="008F2548">
      <w:trPr>
        <w:trHeight w:hRule="exact" w:val="864"/>
        <w:jc w:val="center"/>
      </w:trPr>
      <w:tc>
        <w:tcPr>
          <w:tcW w:w="4882" w:type="dxa"/>
          <w:shd w:val="clear" w:color="auto" w:fill="auto"/>
          <w:vAlign w:val="bottom"/>
        </w:tcPr>
        <w:p w:rsidR="00CC7761" w:rsidRDefault="00CC7761" w:rsidP="008F2548">
          <w:pPr>
            <w:pStyle w:val="Header"/>
          </w:pPr>
        </w:p>
      </w:tc>
      <w:tc>
        <w:tcPr>
          <w:tcW w:w="5127" w:type="dxa"/>
          <w:shd w:val="clear" w:color="auto" w:fill="auto"/>
          <w:vAlign w:val="bottom"/>
        </w:tcPr>
        <w:p w:rsidR="00CC7761" w:rsidRPr="008F2548" w:rsidRDefault="00CC7761" w:rsidP="00CC7761">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Annexe 5</w:t>
          </w:r>
        </w:p>
      </w:tc>
    </w:tr>
  </w:tbl>
  <w:p w:rsidR="00CC7761" w:rsidRPr="008F2548" w:rsidRDefault="00CC7761" w:rsidP="008F2548">
    <w:pPr>
      <w:pStyle w:val="Header"/>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C7761" w:rsidTr="008F2548">
      <w:trPr>
        <w:trHeight w:hRule="exact" w:val="864"/>
        <w:jc w:val="center"/>
      </w:trPr>
      <w:tc>
        <w:tcPr>
          <w:tcW w:w="4882" w:type="dxa"/>
          <w:shd w:val="clear" w:color="auto" w:fill="auto"/>
          <w:vAlign w:val="bottom"/>
        </w:tcPr>
        <w:p w:rsidR="00CC7761" w:rsidRPr="008F2548" w:rsidRDefault="00CC7761" w:rsidP="00D234BC">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 xml:space="preserve">Annexe </w:t>
          </w:r>
          <w:r w:rsidR="00D234BC">
            <w:rPr>
              <w:b/>
              <w:color w:val="000000"/>
            </w:rPr>
            <w:t>6</w:t>
          </w:r>
        </w:p>
      </w:tc>
      <w:tc>
        <w:tcPr>
          <w:tcW w:w="5127" w:type="dxa"/>
          <w:shd w:val="clear" w:color="auto" w:fill="auto"/>
          <w:vAlign w:val="bottom"/>
        </w:tcPr>
        <w:p w:rsidR="00CC7761" w:rsidRDefault="00CC7761" w:rsidP="008F2548">
          <w:pPr>
            <w:pStyle w:val="Header"/>
          </w:pPr>
        </w:p>
      </w:tc>
    </w:tr>
  </w:tbl>
  <w:p w:rsidR="00CC7761" w:rsidRPr="008F2548" w:rsidRDefault="00CC7761" w:rsidP="008F2548">
    <w:pPr>
      <w:pStyle w:val="Header"/>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C7761" w:rsidTr="008F2548">
      <w:trPr>
        <w:trHeight w:hRule="exact" w:val="864"/>
        <w:jc w:val="center"/>
      </w:trPr>
      <w:tc>
        <w:tcPr>
          <w:tcW w:w="4882" w:type="dxa"/>
          <w:shd w:val="clear" w:color="auto" w:fill="auto"/>
          <w:vAlign w:val="bottom"/>
        </w:tcPr>
        <w:p w:rsidR="00CC7761" w:rsidRDefault="00CC7761" w:rsidP="008F2548">
          <w:pPr>
            <w:pStyle w:val="Header"/>
          </w:pPr>
        </w:p>
      </w:tc>
      <w:tc>
        <w:tcPr>
          <w:tcW w:w="5127" w:type="dxa"/>
          <w:shd w:val="clear" w:color="auto" w:fill="auto"/>
          <w:vAlign w:val="bottom"/>
        </w:tcPr>
        <w:p w:rsidR="00CC7761" w:rsidRPr="008F2548" w:rsidRDefault="00CC7761" w:rsidP="00CC7761">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Annexe 7 - Appendice</w:t>
          </w:r>
        </w:p>
      </w:tc>
    </w:tr>
  </w:tbl>
  <w:p w:rsidR="00CC7761" w:rsidRPr="008F2548" w:rsidRDefault="00CC7761" w:rsidP="008F2548">
    <w:pPr>
      <w:pStyle w:val="Header"/>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D234BC" w:rsidTr="008F2548">
      <w:trPr>
        <w:trHeight w:hRule="exact" w:val="864"/>
        <w:jc w:val="center"/>
      </w:trPr>
      <w:tc>
        <w:tcPr>
          <w:tcW w:w="4882" w:type="dxa"/>
          <w:shd w:val="clear" w:color="auto" w:fill="auto"/>
          <w:vAlign w:val="bottom"/>
        </w:tcPr>
        <w:p w:rsidR="00D234BC" w:rsidRPr="008F2548" w:rsidRDefault="00D234BC" w:rsidP="00D234BC">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Annexe 7</w:t>
          </w:r>
        </w:p>
      </w:tc>
      <w:tc>
        <w:tcPr>
          <w:tcW w:w="5127" w:type="dxa"/>
          <w:shd w:val="clear" w:color="auto" w:fill="auto"/>
          <w:vAlign w:val="bottom"/>
        </w:tcPr>
        <w:p w:rsidR="00D234BC" w:rsidRDefault="00D234BC" w:rsidP="008F2548">
          <w:pPr>
            <w:pStyle w:val="Header"/>
          </w:pPr>
        </w:p>
      </w:tc>
    </w:tr>
  </w:tbl>
  <w:p w:rsidR="00D234BC" w:rsidRPr="008F2548" w:rsidRDefault="00D234BC" w:rsidP="008F2548">
    <w:pPr>
      <w:pStyle w:val="Header"/>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D234BC" w:rsidTr="008F2548">
      <w:trPr>
        <w:trHeight w:hRule="exact" w:val="864"/>
        <w:jc w:val="center"/>
      </w:trPr>
      <w:tc>
        <w:tcPr>
          <w:tcW w:w="4882" w:type="dxa"/>
          <w:shd w:val="clear" w:color="auto" w:fill="auto"/>
          <w:vAlign w:val="bottom"/>
        </w:tcPr>
        <w:p w:rsidR="00D234BC" w:rsidRDefault="00D234BC" w:rsidP="008F2548">
          <w:pPr>
            <w:pStyle w:val="Header"/>
          </w:pPr>
        </w:p>
      </w:tc>
      <w:tc>
        <w:tcPr>
          <w:tcW w:w="5127" w:type="dxa"/>
          <w:shd w:val="clear" w:color="auto" w:fill="auto"/>
          <w:vAlign w:val="bottom"/>
        </w:tcPr>
        <w:p w:rsidR="00D234BC" w:rsidRPr="008F2548" w:rsidRDefault="00D234BC" w:rsidP="00D234BC">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 xml:space="preserve">Annexe 7 </w:t>
          </w:r>
        </w:p>
      </w:tc>
    </w:tr>
  </w:tbl>
  <w:p w:rsidR="00D234BC" w:rsidRPr="008F2548" w:rsidRDefault="00D234BC" w:rsidP="008F2548">
    <w:pPr>
      <w:pStyle w:val="Header"/>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D234BC" w:rsidTr="008F2548">
      <w:trPr>
        <w:trHeight w:hRule="exact" w:val="864"/>
        <w:jc w:val="center"/>
      </w:trPr>
      <w:tc>
        <w:tcPr>
          <w:tcW w:w="4882" w:type="dxa"/>
          <w:shd w:val="clear" w:color="auto" w:fill="auto"/>
          <w:vAlign w:val="bottom"/>
        </w:tcPr>
        <w:p w:rsidR="00D234BC" w:rsidRDefault="00D234BC" w:rsidP="008F2548">
          <w:pPr>
            <w:pStyle w:val="Header"/>
          </w:pPr>
        </w:p>
      </w:tc>
      <w:tc>
        <w:tcPr>
          <w:tcW w:w="5127" w:type="dxa"/>
          <w:shd w:val="clear" w:color="auto" w:fill="auto"/>
          <w:vAlign w:val="bottom"/>
        </w:tcPr>
        <w:p w:rsidR="00D234BC" w:rsidRPr="008F2548" w:rsidRDefault="00D234BC" w:rsidP="00D234BC">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 xml:space="preserve">Annexe 7 </w:t>
          </w:r>
          <w:r w:rsidRPr="00D234BC">
            <w:rPr>
              <w:b/>
              <w:bCs/>
              <w:lang w:val="fr-CH"/>
            </w:rPr>
            <w:t>– Appendice</w:t>
          </w:r>
          <w:r>
            <w:rPr>
              <w:b/>
              <w:color w:val="000000"/>
            </w:rPr>
            <w:t xml:space="preserve"> </w:t>
          </w:r>
        </w:p>
      </w:tc>
    </w:tr>
  </w:tbl>
  <w:p w:rsidR="00D234BC" w:rsidRPr="008F2548" w:rsidRDefault="00D234BC" w:rsidP="008F2548">
    <w:pPr>
      <w:pStyle w:val="Header"/>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D234BC" w:rsidTr="008F2548">
      <w:trPr>
        <w:trHeight w:hRule="exact" w:val="864"/>
        <w:jc w:val="center"/>
      </w:trPr>
      <w:tc>
        <w:tcPr>
          <w:tcW w:w="4882" w:type="dxa"/>
          <w:shd w:val="clear" w:color="auto" w:fill="auto"/>
          <w:vAlign w:val="bottom"/>
        </w:tcPr>
        <w:p w:rsidR="00D234BC" w:rsidRPr="008F2548" w:rsidRDefault="00D234BC" w:rsidP="00D234BC">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Annexe 8</w:t>
          </w:r>
        </w:p>
      </w:tc>
      <w:tc>
        <w:tcPr>
          <w:tcW w:w="5127" w:type="dxa"/>
          <w:shd w:val="clear" w:color="auto" w:fill="auto"/>
          <w:vAlign w:val="bottom"/>
        </w:tcPr>
        <w:p w:rsidR="00D234BC" w:rsidRDefault="00D234BC" w:rsidP="008F2548">
          <w:pPr>
            <w:pStyle w:val="Header"/>
          </w:pPr>
        </w:p>
      </w:tc>
    </w:tr>
  </w:tbl>
  <w:p w:rsidR="00D234BC" w:rsidRPr="008F2548" w:rsidRDefault="00D234BC" w:rsidP="008F2548">
    <w:pPr>
      <w:pStyle w:val="Header"/>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D234BC" w:rsidTr="008F2548">
      <w:trPr>
        <w:trHeight w:hRule="exact" w:val="864"/>
        <w:jc w:val="center"/>
      </w:trPr>
      <w:tc>
        <w:tcPr>
          <w:tcW w:w="4882" w:type="dxa"/>
          <w:shd w:val="clear" w:color="auto" w:fill="auto"/>
          <w:vAlign w:val="bottom"/>
        </w:tcPr>
        <w:p w:rsidR="00D234BC" w:rsidRDefault="00D234BC" w:rsidP="008F2548">
          <w:pPr>
            <w:pStyle w:val="Header"/>
          </w:pPr>
        </w:p>
      </w:tc>
      <w:tc>
        <w:tcPr>
          <w:tcW w:w="5127" w:type="dxa"/>
          <w:shd w:val="clear" w:color="auto" w:fill="auto"/>
          <w:vAlign w:val="bottom"/>
        </w:tcPr>
        <w:p w:rsidR="00D234BC" w:rsidRPr="008F2548" w:rsidRDefault="00D234BC" w:rsidP="00D234BC">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 xml:space="preserve">Annexe 8 </w:t>
          </w:r>
        </w:p>
      </w:tc>
    </w:tr>
  </w:tbl>
  <w:p w:rsidR="00D234BC" w:rsidRPr="008F2548" w:rsidRDefault="00D234BC" w:rsidP="008F2548">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C7761" w:rsidTr="008F2548">
      <w:trPr>
        <w:trHeight w:hRule="exact" w:val="864"/>
        <w:jc w:val="center"/>
      </w:trPr>
      <w:tc>
        <w:tcPr>
          <w:tcW w:w="4882" w:type="dxa"/>
          <w:shd w:val="clear" w:color="auto" w:fill="auto"/>
          <w:vAlign w:val="bottom"/>
        </w:tcPr>
        <w:p w:rsidR="00CC7761" w:rsidRDefault="00CC7761" w:rsidP="008F2548">
          <w:pPr>
            <w:pStyle w:val="Header"/>
          </w:pPr>
        </w:p>
      </w:tc>
      <w:tc>
        <w:tcPr>
          <w:tcW w:w="5127" w:type="dxa"/>
          <w:shd w:val="clear" w:color="auto" w:fill="auto"/>
          <w:vAlign w:val="bottom"/>
        </w:tcPr>
        <w:p w:rsidR="00CC7761" w:rsidRPr="008F2548" w:rsidRDefault="00CC7761" w:rsidP="008F2548">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p>
      </w:tc>
    </w:tr>
  </w:tbl>
  <w:p w:rsidR="00CC7761" w:rsidRPr="008F2548" w:rsidRDefault="00CC7761" w:rsidP="008F2548">
    <w:pPr>
      <w:pStyle w:val="Header"/>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D234BC" w:rsidTr="008F2548">
      <w:trPr>
        <w:trHeight w:hRule="exact" w:val="864"/>
        <w:jc w:val="center"/>
      </w:trPr>
      <w:tc>
        <w:tcPr>
          <w:tcW w:w="4882" w:type="dxa"/>
          <w:shd w:val="clear" w:color="auto" w:fill="auto"/>
          <w:vAlign w:val="bottom"/>
        </w:tcPr>
        <w:p w:rsidR="00D234BC" w:rsidRPr="008F2548" w:rsidRDefault="00D234BC" w:rsidP="00D234BC">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Annexe 9</w:t>
          </w:r>
        </w:p>
      </w:tc>
      <w:tc>
        <w:tcPr>
          <w:tcW w:w="5127" w:type="dxa"/>
          <w:shd w:val="clear" w:color="auto" w:fill="auto"/>
          <w:vAlign w:val="bottom"/>
        </w:tcPr>
        <w:p w:rsidR="00D234BC" w:rsidRDefault="00D234BC" w:rsidP="008F2548">
          <w:pPr>
            <w:pStyle w:val="Header"/>
          </w:pPr>
        </w:p>
      </w:tc>
    </w:tr>
  </w:tbl>
  <w:p w:rsidR="00D234BC" w:rsidRPr="008F2548" w:rsidRDefault="00D234BC" w:rsidP="008F2548">
    <w:pPr>
      <w:pStyle w:val="Header"/>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D234BC" w:rsidTr="008F2548">
      <w:trPr>
        <w:trHeight w:hRule="exact" w:val="864"/>
        <w:jc w:val="center"/>
      </w:trPr>
      <w:tc>
        <w:tcPr>
          <w:tcW w:w="4882" w:type="dxa"/>
          <w:shd w:val="clear" w:color="auto" w:fill="auto"/>
          <w:vAlign w:val="bottom"/>
        </w:tcPr>
        <w:p w:rsidR="00D234BC" w:rsidRDefault="00D234BC" w:rsidP="008F2548">
          <w:pPr>
            <w:pStyle w:val="Header"/>
          </w:pPr>
        </w:p>
      </w:tc>
      <w:tc>
        <w:tcPr>
          <w:tcW w:w="5127" w:type="dxa"/>
          <w:shd w:val="clear" w:color="auto" w:fill="auto"/>
          <w:vAlign w:val="bottom"/>
        </w:tcPr>
        <w:p w:rsidR="00D234BC" w:rsidRPr="008F2548" w:rsidRDefault="00D234BC" w:rsidP="00D234BC">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 xml:space="preserve">Annexe 9 </w:t>
          </w:r>
        </w:p>
      </w:tc>
    </w:tr>
  </w:tbl>
  <w:p w:rsidR="00D234BC" w:rsidRPr="008F2548" w:rsidRDefault="00D234BC" w:rsidP="008F2548">
    <w:pPr>
      <w:pStyle w:val="Header"/>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D234BC" w:rsidTr="008F2548">
      <w:trPr>
        <w:trHeight w:hRule="exact" w:val="864"/>
        <w:jc w:val="center"/>
      </w:trPr>
      <w:tc>
        <w:tcPr>
          <w:tcW w:w="4882" w:type="dxa"/>
          <w:shd w:val="clear" w:color="auto" w:fill="auto"/>
          <w:vAlign w:val="bottom"/>
        </w:tcPr>
        <w:p w:rsidR="00D234BC" w:rsidRPr="008F2548" w:rsidRDefault="00D234BC" w:rsidP="00D234BC">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 xml:space="preserve">Annexe 9 </w:t>
          </w:r>
          <w:r w:rsidRPr="00D234BC">
            <w:rPr>
              <w:b/>
              <w:bCs/>
              <w:lang w:val="fr-CH"/>
            </w:rPr>
            <w:t>– Appendice</w:t>
          </w:r>
        </w:p>
      </w:tc>
      <w:tc>
        <w:tcPr>
          <w:tcW w:w="5127" w:type="dxa"/>
          <w:shd w:val="clear" w:color="auto" w:fill="auto"/>
          <w:vAlign w:val="bottom"/>
        </w:tcPr>
        <w:p w:rsidR="00D234BC" w:rsidRDefault="00D234BC" w:rsidP="008F2548">
          <w:pPr>
            <w:pStyle w:val="Header"/>
          </w:pPr>
        </w:p>
      </w:tc>
    </w:tr>
  </w:tbl>
  <w:p w:rsidR="00D234BC" w:rsidRPr="008F2548" w:rsidRDefault="00D234BC" w:rsidP="008F2548">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CC7761" w:rsidTr="008F2548">
      <w:trPr>
        <w:trHeight w:hRule="exact" w:val="864"/>
      </w:trPr>
      <w:tc>
        <w:tcPr>
          <w:tcW w:w="1267" w:type="dxa"/>
          <w:tcBorders>
            <w:bottom w:val="single" w:sz="4" w:space="0" w:color="auto"/>
          </w:tcBorders>
          <w:shd w:val="clear" w:color="auto" w:fill="auto"/>
          <w:vAlign w:val="bottom"/>
        </w:tcPr>
        <w:p w:rsidR="00CC7761" w:rsidRDefault="00CC7761" w:rsidP="008F2548">
          <w:pPr>
            <w:pStyle w:val="Header"/>
            <w:spacing w:after="120"/>
          </w:pPr>
        </w:p>
      </w:tc>
      <w:tc>
        <w:tcPr>
          <w:tcW w:w="2059" w:type="dxa"/>
          <w:tcBorders>
            <w:bottom w:val="single" w:sz="4" w:space="0" w:color="auto"/>
          </w:tcBorders>
          <w:shd w:val="clear" w:color="auto" w:fill="auto"/>
          <w:vAlign w:val="bottom"/>
        </w:tcPr>
        <w:p w:rsidR="00CC7761" w:rsidRPr="008F2548" w:rsidRDefault="00CC7761" w:rsidP="008F2548">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rsidR="00CC7761" w:rsidRDefault="00CC7761" w:rsidP="008F2548">
          <w:pPr>
            <w:pStyle w:val="Header"/>
            <w:spacing w:after="120"/>
          </w:pPr>
        </w:p>
      </w:tc>
      <w:tc>
        <w:tcPr>
          <w:tcW w:w="6653" w:type="dxa"/>
          <w:gridSpan w:val="4"/>
          <w:tcBorders>
            <w:bottom w:val="single" w:sz="4" w:space="0" w:color="auto"/>
          </w:tcBorders>
          <w:shd w:val="clear" w:color="auto" w:fill="auto"/>
          <w:vAlign w:val="bottom"/>
        </w:tcPr>
        <w:p w:rsidR="00CC7761" w:rsidRPr="008F2548" w:rsidRDefault="00CC7761" w:rsidP="008F2548">
          <w:pPr>
            <w:spacing w:after="80" w:line="240" w:lineRule="auto"/>
            <w:jc w:val="right"/>
            <w:rPr>
              <w:position w:val="-4"/>
            </w:rPr>
          </w:pPr>
          <w:r>
            <w:rPr>
              <w:position w:val="-4"/>
              <w:sz w:val="40"/>
            </w:rPr>
            <w:t>ECE</w:t>
          </w:r>
          <w:r>
            <w:rPr>
              <w:position w:val="-4"/>
            </w:rPr>
            <w:t>/TRANS/WP.29/2015/105</w:t>
          </w:r>
        </w:p>
      </w:tc>
    </w:tr>
    <w:tr w:rsidR="00CC7761" w:rsidRPr="008F2548" w:rsidTr="008F2548">
      <w:trPr>
        <w:gridAfter w:val="1"/>
        <w:wAfter w:w="18" w:type="dxa"/>
        <w:trHeight w:hRule="exact" w:val="2880"/>
      </w:trPr>
      <w:tc>
        <w:tcPr>
          <w:tcW w:w="1267" w:type="dxa"/>
          <w:tcBorders>
            <w:top w:val="single" w:sz="4" w:space="0" w:color="auto"/>
            <w:bottom w:val="single" w:sz="12" w:space="0" w:color="auto"/>
          </w:tcBorders>
          <w:shd w:val="clear" w:color="auto" w:fill="auto"/>
        </w:tcPr>
        <w:p w:rsidR="00CC7761" w:rsidRPr="008F2548" w:rsidRDefault="00CC7761" w:rsidP="008F2548">
          <w:pPr>
            <w:pStyle w:val="Header"/>
            <w:spacing w:before="120" w:line="240" w:lineRule="auto"/>
            <w:ind w:left="-72"/>
            <w:jc w:val="center"/>
          </w:pPr>
          <w:r>
            <w:rPr>
              <w:noProof/>
              <w:lang w:val="en-GB" w:eastAsia="en-GB"/>
            </w:rPr>
            <w:drawing>
              <wp:inline distT="0" distB="0" distL="0" distR="0" wp14:anchorId="7B560904" wp14:editId="2EA4CF99">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CC7761" w:rsidRPr="008F2548" w:rsidRDefault="00CC7761" w:rsidP="008F2548">
          <w:pPr>
            <w:pStyle w:val="XLarge"/>
            <w:spacing w:before="109"/>
          </w:pPr>
          <w:r>
            <w:t>Conseil économique et social</w:t>
          </w:r>
        </w:p>
      </w:tc>
      <w:tc>
        <w:tcPr>
          <w:tcW w:w="245" w:type="dxa"/>
          <w:tcBorders>
            <w:top w:val="single" w:sz="4" w:space="0" w:color="auto"/>
            <w:bottom w:val="single" w:sz="12" w:space="0" w:color="auto"/>
          </w:tcBorders>
          <w:shd w:val="clear" w:color="auto" w:fill="auto"/>
        </w:tcPr>
        <w:p w:rsidR="00CC7761" w:rsidRPr="008F2548" w:rsidRDefault="00CC7761" w:rsidP="008F2548">
          <w:pPr>
            <w:pStyle w:val="Header"/>
            <w:spacing w:before="109"/>
          </w:pPr>
        </w:p>
      </w:tc>
      <w:tc>
        <w:tcPr>
          <w:tcW w:w="3280" w:type="dxa"/>
          <w:tcBorders>
            <w:top w:val="single" w:sz="4" w:space="0" w:color="auto"/>
            <w:bottom w:val="single" w:sz="12" w:space="0" w:color="auto"/>
          </w:tcBorders>
          <w:shd w:val="clear" w:color="auto" w:fill="auto"/>
        </w:tcPr>
        <w:p w:rsidR="00CC7761" w:rsidRPr="00CC7761" w:rsidRDefault="00CC7761" w:rsidP="008F2548">
          <w:pPr>
            <w:pStyle w:val="Distribution"/>
            <w:rPr>
              <w:color w:val="000000"/>
              <w:lang w:val="fr-CH"/>
            </w:rPr>
          </w:pPr>
          <w:r w:rsidRPr="00CC7761">
            <w:rPr>
              <w:color w:val="000000"/>
              <w:lang w:val="fr-CH"/>
            </w:rPr>
            <w:t>Distr. générale</w:t>
          </w:r>
        </w:p>
        <w:p w:rsidR="00CC7761" w:rsidRPr="00CC7761" w:rsidRDefault="00CC7761" w:rsidP="008F2548">
          <w:pPr>
            <w:pStyle w:val="Publication"/>
            <w:rPr>
              <w:color w:val="000000"/>
              <w:lang w:val="fr-CH"/>
            </w:rPr>
          </w:pPr>
          <w:r w:rsidRPr="00CC7761">
            <w:rPr>
              <w:color w:val="000000"/>
              <w:lang w:val="fr-CH"/>
            </w:rPr>
            <w:t>24 août 2015</w:t>
          </w:r>
        </w:p>
        <w:p w:rsidR="00CC7761" w:rsidRPr="00CC7761" w:rsidRDefault="00CC7761" w:rsidP="008F2548">
          <w:pPr>
            <w:rPr>
              <w:lang w:val="fr-CH"/>
            </w:rPr>
          </w:pPr>
          <w:r w:rsidRPr="00CC7761">
            <w:rPr>
              <w:lang w:val="fr-CH"/>
            </w:rPr>
            <w:t>Français</w:t>
          </w:r>
        </w:p>
        <w:p w:rsidR="00CC7761" w:rsidRPr="00CC7761" w:rsidRDefault="00CC7761" w:rsidP="008F2548">
          <w:pPr>
            <w:pStyle w:val="Original"/>
            <w:rPr>
              <w:color w:val="000000"/>
              <w:lang w:val="fr-CH"/>
            </w:rPr>
          </w:pPr>
          <w:r w:rsidRPr="00CC7761">
            <w:rPr>
              <w:color w:val="000000"/>
              <w:lang w:val="fr-CH"/>
            </w:rPr>
            <w:t>Original : anglais</w:t>
          </w:r>
        </w:p>
      </w:tc>
    </w:tr>
  </w:tbl>
  <w:p w:rsidR="00CC7761" w:rsidRPr="00CC7761" w:rsidRDefault="00CC7761" w:rsidP="008F2548">
    <w:pPr>
      <w:pStyle w:val="Header"/>
      <w:spacing w:line="240" w:lineRule="auto"/>
      <w:rPr>
        <w:sz w:val="2"/>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C7761" w:rsidTr="008F2548">
      <w:trPr>
        <w:trHeight w:hRule="exact" w:val="864"/>
        <w:jc w:val="center"/>
      </w:trPr>
      <w:tc>
        <w:tcPr>
          <w:tcW w:w="4882" w:type="dxa"/>
          <w:shd w:val="clear" w:color="auto" w:fill="auto"/>
          <w:vAlign w:val="bottom"/>
        </w:tcPr>
        <w:p w:rsidR="00CC7761" w:rsidRPr="008F2548" w:rsidRDefault="00CC7761" w:rsidP="008F2548">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Annexe 1</w:t>
          </w:r>
        </w:p>
      </w:tc>
      <w:tc>
        <w:tcPr>
          <w:tcW w:w="5127" w:type="dxa"/>
          <w:shd w:val="clear" w:color="auto" w:fill="auto"/>
          <w:vAlign w:val="bottom"/>
        </w:tcPr>
        <w:p w:rsidR="00CC7761" w:rsidRDefault="00CC7761" w:rsidP="008F2548">
          <w:pPr>
            <w:pStyle w:val="Header"/>
          </w:pPr>
        </w:p>
      </w:tc>
    </w:tr>
  </w:tbl>
  <w:p w:rsidR="00CC7761" w:rsidRPr="008F2548" w:rsidRDefault="00CC7761" w:rsidP="008F2548">
    <w:pPr>
      <w:pStyle w:val="Header"/>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C7761" w:rsidTr="008F2548">
      <w:trPr>
        <w:trHeight w:hRule="exact" w:val="864"/>
        <w:jc w:val="center"/>
      </w:trPr>
      <w:tc>
        <w:tcPr>
          <w:tcW w:w="4882" w:type="dxa"/>
          <w:shd w:val="clear" w:color="auto" w:fill="auto"/>
          <w:vAlign w:val="bottom"/>
        </w:tcPr>
        <w:p w:rsidR="00CC7761" w:rsidRDefault="00CC7761" w:rsidP="008F2548">
          <w:pPr>
            <w:pStyle w:val="Header"/>
          </w:pPr>
        </w:p>
      </w:tc>
      <w:tc>
        <w:tcPr>
          <w:tcW w:w="5127" w:type="dxa"/>
          <w:shd w:val="clear" w:color="auto" w:fill="auto"/>
          <w:vAlign w:val="bottom"/>
        </w:tcPr>
        <w:p w:rsidR="00CC7761" w:rsidRPr="008F2548" w:rsidRDefault="00CC7761" w:rsidP="008F2548">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Annexe 1</w:t>
          </w:r>
        </w:p>
      </w:tc>
    </w:tr>
  </w:tbl>
  <w:p w:rsidR="00CC7761" w:rsidRPr="008F2548" w:rsidRDefault="00CC7761" w:rsidP="008F2548">
    <w:pPr>
      <w:pStyle w:val="Header"/>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C7761" w:rsidTr="008F2548">
      <w:trPr>
        <w:trHeight w:hRule="exact" w:val="864"/>
        <w:jc w:val="center"/>
      </w:trPr>
      <w:tc>
        <w:tcPr>
          <w:tcW w:w="4882" w:type="dxa"/>
          <w:shd w:val="clear" w:color="auto" w:fill="auto"/>
          <w:vAlign w:val="bottom"/>
        </w:tcPr>
        <w:p w:rsidR="00CC7761" w:rsidRDefault="00CC7761" w:rsidP="008F2548">
          <w:pPr>
            <w:pStyle w:val="Header"/>
          </w:pPr>
        </w:p>
      </w:tc>
      <w:tc>
        <w:tcPr>
          <w:tcW w:w="5127" w:type="dxa"/>
          <w:shd w:val="clear" w:color="auto" w:fill="auto"/>
          <w:vAlign w:val="bottom"/>
        </w:tcPr>
        <w:p w:rsidR="00CC7761" w:rsidRPr="008F2548" w:rsidRDefault="00CC7761" w:rsidP="00CC7761">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Annexe 2</w:t>
          </w:r>
        </w:p>
      </w:tc>
    </w:tr>
  </w:tbl>
  <w:p w:rsidR="00CC7761" w:rsidRPr="008F2548" w:rsidRDefault="00CC7761" w:rsidP="008F2548">
    <w:pPr>
      <w:pStyle w:val="Header"/>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C7761" w:rsidTr="008F2548">
      <w:trPr>
        <w:trHeight w:hRule="exact" w:val="864"/>
        <w:jc w:val="center"/>
      </w:trPr>
      <w:tc>
        <w:tcPr>
          <w:tcW w:w="4882" w:type="dxa"/>
          <w:shd w:val="clear" w:color="auto" w:fill="auto"/>
          <w:vAlign w:val="bottom"/>
        </w:tcPr>
        <w:p w:rsidR="00CC7761" w:rsidRPr="008F2548" w:rsidRDefault="00CC7761" w:rsidP="008F2548">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Annexe 3</w:t>
          </w:r>
        </w:p>
      </w:tc>
      <w:tc>
        <w:tcPr>
          <w:tcW w:w="5127" w:type="dxa"/>
          <w:shd w:val="clear" w:color="auto" w:fill="auto"/>
          <w:vAlign w:val="bottom"/>
        </w:tcPr>
        <w:p w:rsidR="00CC7761" w:rsidRDefault="00CC7761" w:rsidP="008F2548">
          <w:pPr>
            <w:pStyle w:val="Header"/>
          </w:pPr>
        </w:p>
      </w:tc>
    </w:tr>
  </w:tbl>
  <w:p w:rsidR="00CC7761" w:rsidRPr="008F2548" w:rsidRDefault="00CC7761" w:rsidP="008F2548">
    <w:pPr>
      <w:pStyle w:val="Header"/>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C7761" w:rsidTr="008F2548">
      <w:trPr>
        <w:trHeight w:hRule="exact" w:val="864"/>
        <w:jc w:val="center"/>
      </w:trPr>
      <w:tc>
        <w:tcPr>
          <w:tcW w:w="4882" w:type="dxa"/>
          <w:shd w:val="clear" w:color="auto" w:fill="auto"/>
          <w:vAlign w:val="bottom"/>
        </w:tcPr>
        <w:p w:rsidR="00CC7761" w:rsidRDefault="00CC7761" w:rsidP="008F2548">
          <w:pPr>
            <w:pStyle w:val="Header"/>
          </w:pPr>
        </w:p>
      </w:tc>
      <w:tc>
        <w:tcPr>
          <w:tcW w:w="5127" w:type="dxa"/>
          <w:shd w:val="clear" w:color="auto" w:fill="auto"/>
          <w:vAlign w:val="bottom"/>
        </w:tcPr>
        <w:p w:rsidR="00CC7761" w:rsidRPr="008F2548" w:rsidRDefault="00CC7761" w:rsidP="00CC7761">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Annexe 3</w:t>
          </w:r>
        </w:p>
      </w:tc>
    </w:tr>
  </w:tbl>
  <w:p w:rsidR="00CC7761" w:rsidRPr="008F2548" w:rsidRDefault="00CC7761" w:rsidP="008F2548">
    <w:pPr>
      <w:pStyle w:val="Header"/>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C7761" w:rsidTr="008F2548">
      <w:trPr>
        <w:trHeight w:hRule="exact" w:val="864"/>
        <w:jc w:val="center"/>
      </w:trPr>
      <w:tc>
        <w:tcPr>
          <w:tcW w:w="4882" w:type="dxa"/>
          <w:shd w:val="clear" w:color="auto" w:fill="auto"/>
          <w:vAlign w:val="bottom"/>
        </w:tcPr>
        <w:p w:rsidR="00CC7761" w:rsidRPr="008F2548" w:rsidRDefault="00CC7761" w:rsidP="008F2548">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3363B">
            <w:rPr>
              <w:b/>
              <w:color w:val="000000"/>
            </w:rPr>
            <w:t>ECE/TRANS/WP.29/2015/105</w:t>
          </w:r>
          <w:r>
            <w:rPr>
              <w:b/>
              <w:color w:val="000000"/>
            </w:rPr>
            <w:fldChar w:fldCharType="end"/>
          </w:r>
          <w:r>
            <w:rPr>
              <w:b/>
              <w:color w:val="000000"/>
            </w:rPr>
            <w:br/>
            <w:t>Annexe 4</w:t>
          </w:r>
        </w:p>
      </w:tc>
      <w:tc>
        <w:tcPr>
          <w:tcW w:w="5127" w:type="dxa"/>
          <w:shd w:val="clear" w:color="auto" w:fill="auto"/>
          <w:vAlign w:val="bottom"/>
        </w:tcPr>
        <w:p w:rsidR="00CC7761" w:rsidRDefault="00CC7761" w:rsidP="008F2548">
          <w:pPr>
            <w:pStyle w:val="Header"/>
          </w:pPr>
        </w:p>
      </w:tc>
    </w:tr>
  </w:tbl>
  <w:p w:rsidR="00CC7761" w:rsidRPr="008F2548" w:rsidRDefault="00CC7761" w:rsidP="008F2548">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0516FC"/>
    <w:multiLevelType w:val="multilevel"/>
    <w:tmpl w:val="19FC37AE"/>
    <w:name w:val="TOC3"/>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685E2418"/>
    <w:multiLevelType w:val="multilevel"/>
    <w:tmpl w:val="8A1E27DE"/>
    <w:name w:val="TOC4"/>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70EB3486"/>
    <w:multiLevelType w:val="multilevel"/>
    <w:tmpl w:val="DC205456"/>
    <w:name w:val="TOC"/>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rPr>
        <w:rFonts w:hint="default"/>
      </w:rPr>
    </w:lvl>
    <w:lvl w:ilvl="2">
      <w:start w:val="1"/>
      <w:numFmt w:val="decimal"/>
      <w:lvlText w:val="%3."/>
      <w:lvlJc w:val="left"/>
      <w:pPr>
        <w:tabs>
          <w:tab w:val="num" w:pos="2160"/>
        </w:tabs>
        <w:ind w:left="2160" w:hanging="432"/>
      </w:pPr>
      <w:rPr>
        <w:rFonts w:hint="default"/>
      </w:rPr>
    </w:lvl>
    <w:lvl w:ilvl="3">
      <w:start w:val="1"/>
      <w:numFmt w:val="lowerLetter"/>
      <w:lvlText w:val="%4)"/>
      <w:lvlJc w:val="left"/>
      <w:pPr>
        <w:tabs>
          <w:tab w:val="num" w:pos="2592"/>
        </w:tabs>
        <w:ind w:left="2592" w:hanging="432"/>
      </w:pPr>
      <w:rPr>
        <w:rFonts w:hint="default"/>
      </w:rPr>
    </w:lvl>
    <w:lvl w:ilvl="4">
      <w:start w:val="1"/>
      <w:numFmt w:val="lowerRoman"/>
      <w:lvlText w:val="%5)"/>
      <w:lvlJc w:val="left"/>
      <w:pPr>
        <w:tabs>
          <w:tab w:val="num" w:pos="3024"/>
        </w:tabs>
        <w:ind w:left="3024" w:hanging="432"/>
      </w:pPr>
      <w:rPr>
        <w:rFonts w:hint="default"/>
      </w:rPr>
    </w:lvl>
    <w:lvl w:ilvl="5">
      <w:start w:val="1"/>
      <w:numFmt w:val="lowerLetter"/>
      <w:lvlText w:val="%6."/>
      <w:lvlJc w:val="left"/>
      <w:pPr>
        <w:tabs>
          <w:tab w:val="num" w:pos="3456"/>
        </w:tabs>
        <w:ind w:left="3456" w:hanging="432"/>
      </w:pPr>
      <w:rPr>
        <w:rFonts w:hint="default"/>
      </w:rPr>
    </w:lvl>
    <w:lvl w:ilvl="6">
      <w:start w:val="1"/>
      <w:numFmt w:val="lowerRoman"/>
      <w:lvlText w:val="%7."/>
      <w:lvlJc w:val="left"/>
      <w:pPr>
        <w:tabs>
          <w:tab w:val="num" w:pos="3888"/>
        </w:tabs>
        <w:ind w:left="3888" w:hanging="432"/>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7B1C229A"/>
    <w:multiLevelType w:val="multilevel"/>
    <w:tmpl w:val="403A5A3A"/>
    <w:name w:val="TOC2"/>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7C8259FC"/>
    <w:multiLevelType w:val="multilevel"/>
    <w:tmpl w:val="DC205456"/>
    <w:name w:val="TOC"/>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rPr>
        <w:rFonts w:hint="default"/>
      </w:rPr>
    </w:lvl>
    <w:lvl w:ilvl="2">
      <w:start w:val="1"/>
      <w:numFmt w:val="decimal"/>
      <w:lvlText w:val="%3."/>
      <w:lvlJc w:val="left"/>
      <w:pPr>
        <w:tabs>
          <w:tab w:val="num" w:pos="2160"/>
        </w:tabs>
        <w:ind w:left="2160" w:hanging="432"/>
      </w:pPr>
      <w:rPr>
        <w:rFonts w:hint="default"/>
      </w:rPr>
    </w:lvl>
    <w:lvl w:ilvl="3">
      <w:start w:val="1"/>
      <w:numFmt w:val="lowerLetter"/>
      <w:lvlText w:val="%4)"/>
      <w:lvlJc w:val="left"/>
      <w:pPr>
        <w:tabs>
          <w:tab w:val="num" w:pos="2592"/>
        </w:tabs>
        <w:ind w:left="2592" w:hanging="432"/>
      </w:pPr>
      <w:rPr>
        <w:rFonts w:hint="default"/>
      </w:rPr>
    </w:lvl>
    <w:lvl w:ilvl="4">
      <w:start w:val="1"/>
      <w:numFmt w:val="lowerRoman"/>
      <w:lvlText w:val="%5)"/>
      <w:lvlJc w:val="left"/>
      <w:pPr>
        <w:tabs>
          <w:tab w:val="num" w:pos="3024"/>
        </w:tabs>
        <w:ind w:left="3024" w:hanging="432"/>
      </w:pPr>
      <w:rPr>
        <w:rFonts w:hint="default"/>
      </w:rPr>
    </w:lvl>
    <w:lvl w:ilvl="5">
      <w:start w:val="1"/>
      <w:numFmt w:val="lowerLetter"/>
      <w:lvlText w:val="%6."/>
      <w:lvlJc w:val="left"/>
      <w:pPr>
        <w:tabs>
          <w:tab w:val="num" w:pos="3456"/>
        </w:tabs>
        <w:ind w:left="3456" w:hanging="432"/>
      </w:pPr>
      <w:rPr>
        <w:rFonts w:hint="default"/>
      </w:rPr>
    </w:lvl>
    <w:lvl w:ilvl="6">
      <w:start w:val="1"/>
      <w:numFmt w:val="lowerRoman"/>
      <w:lvlText w:val="%7."/>
      <w:lvlJc w:val="left"/>
      <w:pPr>
        <w:tabs>
          <w:tab w:val="num" w:pos="3888"/>
        </w:tabs>
        <w:ind w:left="3888" w:hanging="432"/>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
  </w:num>
  <w:num w:numId="2">
    <w:abstractNumId w:val="1"/>
  </w:num>
  <w:num w:numId="3">
    <w:abstractNumId w:val="3"/>
  </w:num>
  <w:num w:numId="4">
    <w:abstractNumId w:val="4"/>
  </w:num>
  <w:num w:numId="5">
    <w:abstractNumId w:val="0"/>
  </w:num>
  <w:num w:numId="6">
    <w:abstractNumId w:val="9"/>
  </w:num>
  <w:num w:numId="7">
    <w:abstractNumId w:val="8"/>
  </w:num>
  <w:num w:numId="8">
    <w:abstractNumId w:val="5"/>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SortMethod w:val="0003"/>
  <w:defaultTabStop w:val="475"/>
  <w:doNotHyphenateCaps/>
  <w:evenAndOddHeaders/>
  <w:characterSpacingControl w:val="doNotCompress"/>
  <w:hdrShapeDefaults>
    <o:shapedefaults v:ext="edit" spidmax="8193"/>
  </w:hdrShapeDefaults>
  <w:footnotePr>
    <w:footnote w:id="-1"/>
    <w:footnote w:id="0"/>
  </w:footnotePr>
  <w:endnotePr>
    <w:pos w:val="sectEnd"/>
    <w:endnote w:id="-1"/>
    <w:endnote w:id="0"/>
  </w:endnotePr>
  <w:compat>
    <w:noColumnBalance/>
    <w:printColBlack/>
    <w:showBreaksInFrames/>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14277*"/>
    <w:docVar w:name="CreationDt" w:val="11/11/2015 1:53: PM"/>
    <w:docVar w:name="DocCategory" w:val="Doc"/>
    <w:docVar w:name="DocType" w:val="Final"/>
    <w:docVar w:name="DutyStation" w:val="Geneva"/>
    <w:docVar w:name="FooterJN" w:val="GE.15-14277"/>
    <w:docVar w:name="jobn" w:val="GE.15-14277 (F)"/>
    <w:docVar w:name="jobnDT" w:val="GE.15-14277 (F)   111115"/>
    <w:docVar w:name="jobnDTDT" w:val="GE.15-14277 (F)   111115   111115"/>
    <w:docVar w:name="JobNo" w:val="GE.1514277F"/>
    <w:docVar w:name="JobNo2" w:val="GE.1519044F"/>
    <w:docVar w:name="LocalDrive" w:val="0"/>
    <w:docVar w:name="OandT" w:val="M. Deschamps"/>
    <w:docVar w:name="PaperSize" w:val="A4"/>
    <w:docVar w:name="sss1" w:val="ECE/TRANS/WP.29/2015/105"/>
    <w:docVar w:name="sss2" w:val="-"/>
    <w:docVar w:name="Symbol1" w:val="ECE/TRANS/WP.29/2015/105"/>
    <w:docVar w:name="Symbol2" w:val="-"/>
  </w:docVars>
  <w:rsids>
    <w:rsidRoot w:val="00636875"/>
    <w:rsid w:val="000015B8"/>
    <w:rsid w:val="000046A5"/>
    <w:rsid w:val="000055FB"/>
    <w:rsid w:val="00010C97"/>
    <w:rsid w:val="00016483"/>
    <w:rsid w:val="00022173"/>
    <w:rsid w:val="0002226F"/>
    <w:rsid w:val="00022B4A"/>
    <w:rsid w:val="00023E37"/>
    <w:rsid w:val="000249FF"/>
    <w:rsid w:val="00025DE5"/>
    <w:rsid w:val="000274C2"/>
    <w:rsid w:val="00030F6F"/>
    <w:rsid w:val="00033DC9"/>
    <w:rsid w:val="000378DE"/>
    <w:rsid w:val="00040497"/>
    <w:rsid w:val="00041ABD"/>
    <w:rsid w:val="00046145"/>
    <w:rsid w:val="00050D9C"/>
    <w:rsid w:val="00054246"/>
    <w:rsid w:val="00054482"/>
    <w:rsid w:val="0005669A"/>
    <w:rsid w:val="00057151"/>
    <w:rsid w:val="000571B5"/>
    <w:rsid w:val="000616D7"/>
    <w:rsid w:val="000636D2"/>
    <w:rsid w:val="00063B2D"/>
    <w:rsid w:val="000643C1"/>
    <w:rsid w:val="000658A4"/>
    <w:rsid w:val="00065BD4"/>
    <w:rsid w:val="000675CF"/>
    <w:rsid w:val="00071173"/>
    <w:rsid w:val="0007246F"/>
    <w:rsid w:val="000746A5"/>
    <w:rsid w:val="00074EA0"/>
    <w:rsid w:val="000776CA"/>
    <w:rsid w:val="00077CC4"/>
    <w:rsid w:val="00083717"/>
    <w:rsid w:val="00083D89"/>
    <w:rsid w:val="00085112"/>
    <w:rsid w:val="0008708F"/>
    <w:rsid w:val="00091BC1"/>
    <w:rsid w:val="00091DBD"/>
    <w:rsid w:val="00095EE6"/>
    <w:rsid w:val="00096038"/>
    <w:rsid w:val="00096B3C"/>
    <w:rsid w:val="000A18B6"/>
    <w:rsid w:val="000A24DE"/>
    <w:rsid w:val="000A2612"/>
    <w:rsid w:val="000A2DFB"/>
    <w:rsid w:val="000A3AB1"/>
    <w:rsid w:val="000A4A47"/>
    <w:rsid w:val="000A5290"/>
    <w:rsid w:val="000A74D1"/>
    <w:rsid w:val="000B0E9A"/>
    <w:rsid w:val="000B1A18"/>
    <w:rsid w:val="000B2CD0"/>
    <w:rsid w:val="000B3ED4"/>
    <w:rsid w:val="000B5AF0"/>
    <w:rsid w:val="000B6B84"/>
    <w:rsid w:val="000B7004"/>
    <w:rsid w:val="000C085A"/>
    <w:rsid w:val="000C349B"/>
    <w:rsid w:val="000C683C"/>
    <w:rsid w:val="000C75DE"/>
    <w:rsid w:val="000D44E3"/>
    <w:rsid w:val="000D495C"/>
    <w:rsid w:val="000D5D82"/>
    <w:rsid w:val="000D66AC"/>
    <w:rsid w:val="000D7ED4"/>
    <w:rsid w:val="000E1550"/>
    <w:rsid w:val="000E1ABE"/>
    <w:rsid w:val="000F04A8"/>
    <w:rsid w:val="000F1B8A"/>
    <w:rsid w:val="000F299A"/>
    <w:rsid w:val="000F36A0"/>
    <w:rsid w:val="000F53E9"/>
    <w:rsid w:val="000F6A05"/>
    <w:rsid w:val="000F6E7D"/>
    <w:rsid w:val="001027E2"/>
    <w:rsid w:val="0010575E"/>
    <w:rsid w:val="00106549"/>
    <w:rsid w:val="00107710"/>
    <w:rsid w:val="00107C97"/>
    <w:rsid w:val="00110242"/>
    <w:rsid w:val="00111C85"/>
    <w:rsid w:val="0011255C"/>
    <w:rsid w:val="001126A7"/>
    <w:rsid w:val="00112FE9"/>
    <w:rsid w:val="0011497A"/>
    <w:rsid w:val="00114B31"/>
    <w:rsid w:val="001156F7"/>
    <w:rsid w:val="00116149"/>
    <w:rsid w:val="00123812"/>
    <w:rsid w:val="001256F6"/>
    <w:rsid w:val="001262BA"/>
    <w:rsid w:val="00126FB2"/>
    <w:rsid w:val="00127266"/>
    <w:rsid w:val="0013186C"/>
    <w:rsid w:val="00132A45"/>
    <w:rsid w:val="001359FA"/>
    <w:rsid w:val="0013714F"/>
    <w:rsid w:val="00140666"/>
    <w:rsid w:val="0014233F"/>
    <w:rsid w:val="00143703"/>
    <w:rsid w:val="00144DE1"/>
    <w:rsid w:val="00145A1F"/>
    <w:rsid w:val="001466A3"/>
    <w:rsid w:val="00147008"/>
    <w:rsid w:val="00147051"/>
    <w:rsid w:val="001471CF"/>
    <w:rsid w:val="0015168F"/>
    <w:rsid w:val="00151710"/>
    <w:rsid w:val="00151AC8"/>
    <w:rsid w:val="00155B70"/>
    <w:rsid w:val="00160E65"/>
    <w:rsid w:val="00161368"/>
    <w:rsid w:val="0016199B"/>
    <w:rsid w:val="00162C83"/>
    <w:rsid w:val="001639FC"/>
    <w:rsid w:val="00163D26"/>
    <w:rsid w:val="00164BB5"/>
    <w:rsid w:val="00166384"/>
    <w:rsid w:val="001709F1"/>
    <w:rsid w:val="00172B64"/>
    <w:rsid w:val="00177D83"/>
    <w:rsid w:val="00180387"/>
    <w:rsid w:val="001818CC"/>
    <w:rsid w:val="00183EBF"/>
    <w:rsid w:val="00186793"/>
    <w:rsid w:val="0019082C"/>
    <w:rsid w:val="00192D05"/>
    <w:rsid w:val="00193A8C"/>
    <w:rsid w:val="001A2E2D"/>
    <w:rsid w:val="001A4BAA"/>
    <w:rsid w:val="001A4DC2"/>
    <w:rsid w:val="001A4F4E"/>
    <w:rsid w:val="001A56C9"/>
    <w:rsid w:val="001A5D31"/>
    <w:rsid w:val="001A76F3"/>
    <w:rsid w:val="001B5583"/>
    <w:rsid w:val="001B5A24"/>
    <w:rsid w:val="001C0599"/>
    <w:rsid w:val="001C0DAE"/>
    <w:rsid w:val="001C3C57"/>
    <w:rsid w:val="001C4664"/>
    <w:rsid w:val="001C4EBE"/>
    <w:rsid w:val="001C5B90"/>
    <w:rsid w:val="001D0E60"/>
    <w:rsid w:val="001D272D"/>
    <w:rsid w:val="001D280C"/>
    <w:rsid w:val="001D294E"/>
    <w:rsid w:val="001D688B"/>
    <w:rsid w:val="001E200F"/>
    <w:rsid w:val="001E2D50"/>
    <w:rsid w:val="001E44F3"/>
    <w:rsid w:val="001E4DAB"/>
    <w:rsid w:val="001E6EC8"/>
    <w:rsid w:val="001F053A"/>
    <w:rsid w:val="001F0D2C"/>
    <w:rsid w:val="001F2DA6"/>
    <w:rsid w:val="001F3256"/>
    <w:rsid w:val="001F46DC"/>
    <w:rsid w:val="001F4DBE"/>
    <w:rsid w:val="001F62AF"/>
    <w:rsid w:val="001F793D"/>
    <w:rsid w:val="001F7E9D"/>
    <w:rsid w:val="002021E9"/>
    <w:rsid w:val="00202789"/>
    <w:rsid w:val="00202F1F"/>
    <w:rsid w:val="00205199"/>
    <w:rsid w:val="0020521E"/>
    <w:rsid w:val="00206598"/>
    <w:rsid w:val="00207655"/>
    <w:rsid w:val="00207CAA"/>
    <w:rsid w:val="0021168F"/>
    <w:rsid w:val="002120E4"/>
    <w:rsid w:val="002148A6"/>
    <w:rsid w:val="00214F62"/>
    <w:rsid w:val="002178A7"/>
    <w:rsid w:val="002220FF"/>
    <w:rsid w:val="00237D01"/>
    <w:rsid w:val="00240F64"/>
    <w:rsid w:val="002410E3"/>
    <w:rsid w:val="00241F29"/>
    <w:rsid w:val="00243D1C"/>
    <w:rsid w:val="00245B48"/>
    <w:rsid w:val="00246425"/>
    <w:rsid w:val="002515C7"/>
    <w:rsid w:val="002523F6"/>
    <w:rsid w:val="00252402"/>
    <w:rsid w:val="00254656"/>
    <w:rsid w:val="0025545A"/>
    <w:rsid w:val="00261E82"/>
    <w:rsid w:val="0026204E"/>
    <w:rsid w:val="0026332C"/>
    <w:rsid w:val="00263C1F"/>
    <w:rsid w:val="0026552F"/>
    <w:rsid w:val="0026565F"/>
    <w:rsid w:val="00266AFD"/>
    <w:rsid w:val="00270780"/>
    <w:rsid w:val="002730C7"/>
    <w:rsid w:val="0027435B"/>
    <w:rsid w:val="00276E85"/>
    <w:rsid w:val="00280143"/>
    <w:rsid w:val="00280E2F"/>
    <w:rsid w:val="002810F0"/>
    <w:rsid w:val="00281BC7"/>
    <w:rsid w:val="00285DC4"/>
    <w:rsid w:val="00286531"/>
    <w:rsid w:val="002867C7"/>
    <w:rsid w:val="0029018C"/>
    <w:rsid w:val="00294514"/>
    <w:rsid w:val="002A07EF"/>
    <w:rsid w:val="002A2122"/>
    <w:rsid w:val="002A27E5"/>
    <w:rsid w:val="002A530D"/>
    <w:rsid w:val="002A69DB"/>
    <w:rsid w:val="002B037D"/>
    <w:rsid w:val="002B1D15"/>
    <w:rsid w:val="002B4A7F"/>
    <w:rsid w:val="002B5449"/>
    <w:rsid w:val="002B5928"/>
    <w:rsid w:val="002C3640"/>
    <w:rsid w:val="002C3FD3"/>
    <w:rsid w:val="002C419A"/>
    <w:rsid w:val="002C472D"/>
    <w:rsid w:val="002C77CF"/>
    <w:rsid w:val="002D45C0"/>
    <w:rsid w:val="002D5981"/>
    <w:rsid w:val="002D7EC0"/>
    <w:rsid w:val="002D7EFC"/>
    <w:rsid w:val="002E11E9"/>
    <w:rsid w:val="002E1745"/>
    <w:rsid w:val="002E20E0"/>
    <w:rsid w:val="002E2420"/>
    <w:rsid w:val="002E2E27"/>
    <w:rsid w:val="002E3850"/>
    <w:rsid w:val="002E3856"/>
    <w:rsid w:val="002E420C"/>
    <w:rsid w:val="002E56C8"/>
    <w:rsid w:val="002E76EC"/>
    <w:rsid w:val="002E79AF"/>
    <w:rsid w:val="002F048A"/>
    <w:rsid w:val="002F0E01"/>
    <w:rsid w:val="002F18EE"/>
    <w:rsid w:val="002F1E33"/>
    <w:rsid w:val="002F5482"/>
    <w:rsid w:val="002F5972"/>
    <w:rsid w:val="00303A3C"/>
    <w:rsid w:val="00303D82"/>
    <w:rsid w:val="00303E4E"/>
    <w:rsid w:val="003047D2"/>
    <w:rsid w:val="00306DE1"/>
    <w:rsid w:val="0030788D"/>
    <w:rsid w:val="00316628"/>
    <w:rsid w:val="00316B58"/>
    <w:rsid w:val="003235C7"/>
    <w:rsid w:val="00326270"/>
    <w:rsid w:val="0032685C"/>
    <w:rsid w:val="0032728E"/>
    <w:rsid w:val="00332A87"/>
    <w:rsid w:val="00333703"/>
    <w:rsid w:val="003342DF"/>
    <w:rsid w:val="00334FEB"/>
    <w:rsid w:val="00337015"/>
    <w:rsid w:val="003406CA"/>
    <w:rsid w:val="00340736"/>
    <w:rsid w:val="00341417"/>
    <w:rsid w:val="00343F8A"/>
    <w:rsid w:val="003441A5"/>
    <w:rsid w:val="00344969"/>
    <w:rsid w:val="00347E5F"/>
    <w:rsid w:val="003506F1"/>
    <w:rsid w:val="003555DE"/>
    <w:rsid w:val="00355810"/>
    <w:rsid w:val="003559A7"/>
    <w:rsid w:val="0035691F"/>
    <w:rsid w:val="00356B67"/>
    <w:rsid w:val="00360ADF"/>
    <w:rsid w:val="003616BD"/>
    <w:rsid w:val="00362737"/>
    <w:rsid w:val="00362F57"/>
    <w:rsid w:val="003640A0"/>
    <w:rsid w:val="00365932"/>
    <w:rsid w:val="003738C0"/>
    <w:rsid w:val="003810FF"/>
    <w:rsid w:val="003824F9"/>
    <w:rsid w:val="00384511"/>
    <w:rsid w:val="00385D78"/>
    <w:rsid w:val="003864EE"/>
    <w:rsid w:val="00386953"/>
    <w:rsid w:val="003909DD"/>
    <w:rsid w:val="00391295"/>
    <w:rsid w:val="00391342"/>
    <w:rsid w:val="00392934"/>
    <w:rsid w:val="00393A67"/>
    <w:rsid w:val="00393C9F"/>
    <w:rsid w:val="003942F1"/>
    <w:rsid w:val="00395031"/>
    <w:rsid w:val="00395EB8"/>
    <w:rsid w:val="003968AB"/>
    <w:rsid w:val="00396ABF"/>
    <w:rsid w:val="00397343"/>
    <w:rsid w:val="003A2037"/>
    <w:rsid w:val="003A4ED6"/>
    <w:rsid w:val="003A56DC"/>
    <w:rsid w:val="003B3553"/>
    <w:rsid w:val="003B411E"/>
    <w:rsid w:val="003B445F"/>
    <w:rsid w:val="003B49BF"/>
    <w:rsid w:val="003B60DA"/>
    <w:rsid w:val="003B60EE"/>
    <w:rsid w:val="003B668A"/>
    <w:rsid w:val="003C012D"/>
    <w:rsid w:val="003C16E3"/>
    <w:rsid w:val="003C222D"/>
    <w:rsid w:val="003C252F"/>
    <w:rsid w:val="003C59BD"/>
    <w:rsid w:val="003C627D"/>
    <w:rsid w:val="003C6DDA"/>
    <w:rsid w:val="003C7AEA"/>
    <w:rsid w:val="003C7D21"/>
    <w:rsid w:val="003D15A3"/>
    <w:rsid w:val="003D35C1"/>
    <w:rsid w:val="003D635C"/>
    <w:rsid w:val="003D7BC4"/>
    <w:rsid w:val="003E1642"/>
    <w:rsid w:val="003E3E2D"/>
    <w:rsid w:val="003E3E48"/>
    <w:rsid w:val="003E47D8"/>
    <w:rsid w:val="003E4E03"/>
    <w:rsid w:val="003F108A"/>
    <w:rsid w:val="003F11A9"/>
    <w:rsid w:val="003F1243"/>
    <w:rsid w:val="003F27A0"/>
    <w:rsid w:val="003F34C6"/>
    <w:rsid w:val="003F4367"/>
    <w:rsid w:val="003F57D1"/>
    <w:rsid w:val="00401219"/>
    <w:rsid w:val="004039C7"/>
    <w:rsid w:val="004065B7"/>
    <w:rsid w:val="004066EB"/>
    <w:rsid w:val="00406E1E"/>
    <w:rsid w:val="00414C9D"/>
    <w:rsid w:val="00415A2B"/>
    <w:rsid w:val="00416293"/>
    <w:rsid w:val="004204AE"/>
    <w:rsid w:val="004216F7"/>
    <w:rsid w:val="0042753D"/>
    <w:rsid w:val="004309B5"/>
    <w:rsid w:val="0043103D"/>
    <w:rsid w:val="00432662"/>
    <w:rsid w:val="00433AB0"/>
    <w:rsid w:val="004342B2"/>
    <w:rsid w:val="00441593"/>
    <w:rsid w:val="00443A00"/>
    <w:rsid w:val="00444609"/>
    <w:rsid w:val="004448E6"/>
    <w:rsid w:val="0044581B"/>
    <w:rsid w:val="00450D24"/>
    <w:rsid w:val="00452DA5"/>
    <w:rsid w:val="00453DAB"/>
    <w:rsid w:val="0045423E"/>
    <w:rsid w:val="004548AC"/>
    <w:rsid w:val="00455176"/>
    <w:rsid w:val="00455E42"/>
    <w:rsid w:val="00457D04"/>
    <w:rsid w:val="00460112"/>
    <w:rsid w:val="00461788"/>
    <w:rsid w:val="004624C8"/>
    <w:rsid w:val="004627F7"/>
    <w:rsid w:val="00462B00"/>
    <w:rsid w:val="00462FE3"/>
    <w:rsid w:val="004638A8"/>
    <w:rsid w:val="00464787"/>
    <w:rsid w:val="004669E9"/>
    <w:rsid w:val="00467EB7"/>
    <w:rsid w:val="00472794"/>
    <w:rsid w:val="00475F9F"/>
    <w:rsid w:val="00476698"/>
    <w:rsid w:val="00477592"/>
    <w:rsid w:val="00477931"/>
    <w:rsid w:val="004814BB"/>
    <w:rsid w:val="00481634"/>
    <w:rsid w:val="00487428"/>
    <w:rsid w:val="00491CD5"/>
    <w:rsid w:val="00492510"/>
    <w:rsid w:val="00492DC3"/>
    <w:rsid w:val="004973EC"/>
    <w:rsid w:val="004A0AA6"/>
    <w:rsid w:val="004A1763"/>
    <w:rsid w:val="004A186E"/>
    <w:rsid w:val="004A2319"/>
    <w:rsid w:val="004A2455"/>
    <w:rsid w:val="004A698E"/>
    <w:rsid w:val="004A7606"/>
    <w:rsid w:val="004B1DBB"/>
    <w:rsid w:val="004B56C6"/>
    <w:rsid w:val="004B7E99"/>
    <w:rsid w:val="004C1A6A"/>
    <w:rsid w:val="004C2956"/>
    <w:rsid w:val="004C304C"/>
    <w:rsid w:val="004C38FF"/>
    <w:rsid w:val="004C4436"/>
    <w:rsid w:val="004C5C41"/>
    <w:rsid w:val="004D13C8"/>
    <w:rsid w:val="004D4F44"/>
    <w:rsid w:val="004D5D20"/>
    <w:rsid w:val="004D6212"/>
    <w:rsid w:val="004D789D"/>
    <w:rsid w:val="004E0FB8"/>
    <w:rsid w:val="004E272F"/>
    <w:rsid w:val="004E2B64"/>
    <w:rsid w:val="004E31C5"/>
    <w:rsid w:val="004E4258"/>
    <w:rsid w:val="004E47A4"/>
    <w:rsid w:val="004F1F9F"/>
    <w:rsid w:val="004F2765"/>
    <w:rsid w:val="004F5238"/>
    <w:rsid w:val="004F53F0"/>
    <w:rsid w:val="004F69D3"/>
    <w:rsid w:val="004F6B7C"/>
    <w:rsid w:val="005049A9"/>
    <w:rsid w:val="00505F1C"/>
    <w:rsid w:val="0050603C"/>
    <w:rsid w:val="00506B44"/>
    <w:rsid w:val="005100BC"/>
    <w:rsid w:val="0051451F"/>
    <w:rsid w:val="0051666F"/>
    <w:rsid w:val="0051772A"/>
    <w:rsid w:val="00517E8B"/>
    <w:rsid w:val="00520271"/>
    <w:rsid w:val="00520B7B"/>
    <w:rsid w:val="00522110"/>
    <w:rsid w:val="00522657"/>
    <w:rsid w:val="00523069"/>
    <w:rsid w:val="00523378"/>
    <w:rsid w:val="0052413A"/>
    <w:rsid w:val="00525A3D"/>
    <w:rsid w:val="00527615"/>
    <w:rsid w:val="00527DD0"/>
    <w:rsid w:val="00533905"/>
    <w:rsid w:val="005372C0"/>
    <w:rsid w:val="00541630"/>
    <w:rsid w:val="0054168D"/>
    <w:rsid w:val="00542357"/>
    <w:rsid w:val="0055074C"/>
    <w:rsid w:val="00551176"/>
    <w:rsid w:val="00551EAE"/>
    <w:rsid w:val="00552150"/>
    <w:rsid w:val="005522D6"/>
    <w:rsid w:val="005536AE"/>
    <w:rsid w:val="00554B37"/>
    <w:rsid w:val="0055536F"/>
    <w:rsid w:val="005669CA"/>
    <w:rsid w:val="00575199"/>
    <w:rsid w:val="005770F6"/>
    <w:rsid w:val="00577899"/>
    <w:rsid w:val="00577BDD"/>
    <w:rsid w:val="005811A3"/>
    <w:rsid w:val="00583566"/>
    <w:rsid w:val="00584E7A"/>
    <w:rsid w:val="00585CA8"/>
    <w:rsid w:val="00585DEA"/>
    <w:rsid w:val="0058795C"/>
    <w:rsid w:val="00590A88"/>
    <w:rsid w:val="00591AA0"/>
    <w:rsid w:val="0059357F"/>
    <w:rsid w:val="00593781"/>
    <w:rsid w:val="00594AE2"/>
    <w:rsid w:val="005958B3"/>
    <w:rsid w:val="00596647"/>
    <w:rsid w:val="00597A85"/>
    <w:rsid w:val="005A037D"/>
    <w:rsid w:val="005A0DEC"/>
    <w:rsid w:val="005A1E12"/>
    <w:rsid w:val="005A305D"/>
    <w:rsid w:val="005A6A6E"/>
    <w:rsid w:val="005A6D92"/>
    <w:rsid w:val="005A6DD6"/>
    <w:rsid w:val="005A7976"/>
    <w:rsid w:val="005B33A4"/>
    <w:rsid w:val="005B3C4C"/>
    <w:rsid w:val="005B5D99"/>
    <w:rsid w:val="005B74B8"/>
    <w:rsid w:val="005C1353"/>
    <w:rsid w:val="005C1587"/>
    <w:rsid w:val="005C3A63"/>
    <w:rsid w:val="005C65C2"/>
    <w:rsid w:val="005C765D"/>
    <w:rsid w:val="005C7B4D"/>
    <w:rsid w:val="005D2926"/>
    <w:rsid w:val="005D7CA9"/>
    <w:rsid w:val="005E0F5F"/>
    <w:rsid w:val="005F0A44"/>
    <w:rsid w:val="005F12E0"/>
    <w:rsid w:val="005F2726"/>
    <w:rsid w:val="005F2A30"/>
    <w:rsid w:val="005F2FA6"/>
    <w:rsid w:val="005F34E5"/>
    <w:rsid w:val="005F35C5"/>
    <w:rsid w:val="005F43E1"/>
    <w:rsid w:val="005F47D4"/>
    <w:rsid w:val="005F6A9F"/>
    <w:rsid w:val="005F6E3F"/>
    <w:rsid w:val="0060033F"/>
    <w:rsid w:val="006014AC"/>
    <w:rsid w:val="00603211"/>
    <w:rsid w:val="0060375B"/>
    <w:rsid w:val="00606A0C"/>
    <w:rsid w:val="00607448"/>
    <w:rsid w:val="0060792E"/>
    <w:rsid w:val="0061148F"/>
    <w:rsid w:val="00611860"/>
    <w:rsid w:val="00611DA0"/>
    <w:rsid w:val="00612407"/>
    <w:rsid w:val="006125AC"/>
    <w:rsid w:val="00616984"/>
    <w:rsid w:val="00616E84"/>
    <w:rsid w:val="00617EBE"/>
    <w:rsid w:val="0062117B"/>
    <w:rsid w:val="00622055"/>
    <w:rsid w:val="00632332"/>
    <w:rsid w:val="00633E85"/>
    <w:rsid w:val="006361EE"/>
    <w:rsid w:val="0063657E"/>
    <w:rsid w:val="00636875"/>
    <w:rsid w:val="00636EB6"/>
    <w:rsid w:val="006407EF"/>
    <w:rsid w:val="0064115E"/>
    <w:rsid w:val="006423E0"/>
    <w:rsid w:val="00646F60"/>
    <w:rsid w:val="0064762B"/>
    <w:rsid w:val="00650623"/>
    <w:rsid w:val="0065129E"/>
    <w:rsid w:val="006512C8"/>
    <w:rsid w:val="00653CD3"/>
    <w:rsid w:val="00656E62"/>
    <w:rsid w:val="006573FC"/>
    <w:rsid w:val="00660D00"/>
    <w:rsid w:val="00662686"/>
    <w:rsid w:val="00665605"/>
    <w:rsid w:val="00665692"/>
    <w:rsid w:val="006660B5"/>
    <w:rsid w:val="00671687"/>
    <w:rsid w:val="00673F2C"/>
    <w:rsid w:val="00675A53"/>
    <w:rsid w:val="006770E8"/>
    <w:rsid w:val="006803F5"/>
    <w:rsid w:val="006817AB"/>
    <w:rsid w:val="00683C7E"/>
    <w:rsid w:val="006853D8"/>
    <w:rsid w:val="006866E8"/>
    <w:rsid w:val="00687FB1"/>
    <w:rsid w:val="00693FF1"/>
    <w:rsid w:val="0069608C"/>
    <w:rsid w:val="00697952"/>
    <w:rsid w:val="006A04E6"/>
    <w:rsid w:val="006A0B3D"/>
    <w:rsid w:val="006A2F71"/>
    <w:rsid w:val="006A5910"/>
    <w:rsid w:val="006B1ABC"/>
    <w:rsid w:val="006B2CC8"/>
    <w:rsid w:val="006B64BE"/>
    <w:rsid w:val="006B6669"/>
    <w:rsid w:val="006B7774"/>
    <w:rsid w:val="006C1A92"/>
    <w:rsid w:val="006C1E33"/>
    <w:rsid w:val="006C3BDD"/>
    <w:rsid w:val="006C449D"/>
    <w:rsid w:val="006D0C9B"/>
    <w:rsid w:val="006D1115"/>
    <w:rsid w:val="006D138E"/>
    <w:rsid w:val="006D1B76"/>
    <w:rsid w:val="006D5832"/>
    <w:rsid w:val="006E215F"/>
    <w:rsid w:val="006E3D5C"/>
    <w:rsid w:val="006E4078"/>
    <w:rsid w:val="006E4E12"/>
    <w:rsid w:val="006E4EFA"/>
    <w:rsid w:val="006E5649"/>
    <w:rsid w:val="006F41DD"/>
    <w:rsid w:val="006F5A33"/>
    <w:rsid w:val="006F6787"/>
    <w:rsid w:val="006F6EDD"/>
    <w:rsid w:val="006F79A5"/>
    <w:rsid w:val="007033D2"/>
    <w:rsid w:val="00704AF5"/>
    <w:rsid w:val="0070555E"/>
    <w:rsid w:val="00707DF8"/>
    <w:rsid w:val="00711F00"/>
    <w:rsid w:val="0071328D"/>
    <w:rsid w:val="007146FA"/>
    <w:rsid w:val="00717865"/>
    <w:rsid w:val="00721866"/>
    <w:rsid w:val="0072436A"/>
    <w:rsid w:val="00735F3A"/>
    <w:rsid w:val="00735FB1"/>
    <w:rsid w:val="007360C7"/>
    <w:rsid w:val="007367E1"/>
    <w:rsid w:val="007379A0"/>
    <w:rsid w:val="00743131"/>
    <w:rsid w:val="0074339E"/>
    <w:rsid w:val="00744BE5"/>
    <w:rsid w:val="00744D58"/>
    <w:rsid w:val="00745376"/>
    <w:rsid w:val="0074587F"/>
    <w:rsid w:val="007476BA"/>
    <w:rsid w:val="00750C8F"/>
    <w:rsid w:val="0075110B"/>
    <w:rsid w:val="007517F6"/>
    <w:rsid w:val="007531C9"/>
    <w:rsid w:val="007537B8"/>
    <w:rsid w:val="00754913"/>
    <w:rsid w:val="00755393"/>
    <w:rsid w:val="007553FC"/>
    <w:rsid w:val="007559F1"/>
    <w:rsid w:val="00756346"/>
    <w:rsid w:val="007609C3"/>
    <w:rsid w:val="00760F66"/>
    <w:rsid w:val="00761561"/>
    <w:rsid w:val="00762F97"/>
    <w:rsid w:val="0076382E"/>
    <w:rsid w:val="00763AE4"/>
    <w:rsid w:val="00765152"/>
    <w:rsid w:val="00767FBE"/>
    <w:rsid w:val="00770DEF"/>
    <w:rsid w:val="00770EB4"/>
    <w:rsid w:val="00772106"/>
    <w:rsid w:val="0077228A"/>
    <w:rsid w:val="00772CF6"/>
    <w:rsid w:val="00772EB1"/>
    <w:rsid w:val="00774368"/>
    <w:rsid w:val="0077589C"/>
    <w:rsid w:val="00775BFD"/>
    <w:rsid w:val="007769D2"/>
    <w:rsid w:val="00780058"/>
    <w:rsid w:val="007804F4"/>
    <w:rsid w:val="00781004"/>
    <w:rsid w:val="00781F43"/>
    <w:rsid w:val="0078227E"/>
    <w:rsid w:val="0078267A"/>
    <w:rsid w:val="00783270"/>
    <w:rsid w:val="0078374C"/>
    <w:rsid w:val="007842C1"/>
    <w:rsid w:val="00786271"/>
    <w:rsid w:val="007867FB"/>
    <w:rsid w:val="00790459"/>
    <w:rsid w:val="00790682"/>
    <w:rsid w:val="00790789"/>
    <w:rsid w:val="00791633"/>
    <w:rsid w:val="00792100"/>
    <w:rsid w:val="0079292B"/>
    <w:rsid w:val="0079302E"/>
    <w:rsid w:val="0079379B"/>
    <w:rsid w:val="0079452A"/>
    <w:rsid w:val="00794EC6"/>
    <w:rsid w:val="00794FED"/>
    <w:rsid w:val="00795AD7"/>
    <w:rsid w:val="007961E2"/>
    <w:rsid w:val="007A345A"/>
    <w:rsid w:val="007A3D35"/>
    <w:rsid w:val="007A78C2"/>
    <w:rsid w:val="007B05E9"/>
    <w:rsid w:val="007B148E"/>
    <w:rsid w:val="007B1E17"/>
    <w:rsid w:val="007B4C73"/>
    <w:rsid w:val="007C0C1F"/>
    <w:rsid w:val="007C206E"/>
    <w:rsid w:val="007C2936"/>
    <w:rsid w:val="007C442E"/>
    <w:rsid w:val="007C662A"/>
    <w:rsid w:val="007C7D7F"/>
    <w:rsid w:val="007D33BA"/>
    <w:rsid w:val="007D385A"/>
    <w:rsid w:val="007D6FCB"/>
    <w:rsid w:val="007D7FD4"/>
    <w:rsid w:val="007E2FEB"/>
    <w:rsid w:val="007E3CF9"/>
    <w:rsid w:val="007E44A4"/>
    <w:rsid w:val="007E74E9"/>
    <w:rsid w:val="007F0ED6"/>
    <w:rsid w:val="007F1AB9"/>
    <w:rsid w:val="007F1BB3"/>
    <w:rsid w:val="007F3DCC"/>
    <w:rsid w:val="007F49BD"/>
    <w:rsid w:val="007F6F95"/>
    <w:rsid w:val="007F77CB"/>
    <w:rsid w:val="00800903"/>
    <w:rsid w:val="008040BA"/>
    <w:rsid w:val="00804131"/>
    <w:rsid w:val="00804565"/>
    <w:rsid w:val="00806A3B"/>
    <w:rsid w:val="00806D8E"/>
    <w:rsid w:val="00807CA4"/>
    <w:rsid w:val="008100FD"/>
    <w:rsid w:val="008114C3"/>
    <w:rsid w:val="00814C2A"/>
    <w:rsid w:val="00816ECE"/>
    <w:rsid w:val="008173CF"/>
    <w:rsid w:val="00817884"/>
    <w:rsid w:val="0082537E"/>
    <w:rsid w:val="00825C31"/>
    <w:rsid w:val="00831BD0"/>
    <w:rsid w:val="00833A79"/>
    <w:rsid w:val="00833BFF"/>
    <w:rsid w:val="0083677A"/>
    <w:rsid w:val="00837284"/>
    <w:rsid w:val="0083731D"/>
    <w:rsid w:val="00837549"/>
    <w:rsid w:val="0083790B"/>
    <w:rsid w:val="008415FE"/>
    <w:rsid w:val="00842319"/>
    <w:rsid w:val="008435C2"/>
    <w:rsid w:val="00844B5C"/>
    <w:rsid w:val="00845C9F"/>
    <w:rsid w:val="00846431"/>
    <w:rsid w:val="00850A6F"/>
    <w:rsid w:val="00851353"/>
    <w:rsid w:val="00853253"/>
    <w:rsid w:val="008555BA"/>
    <w:rsid w:val="00856155"/>
    <w:rsid w:val="00856CD0"/>
    <w:rsid w:val="008579A6"/>
    <w:rsid w:val="00860226"/>
    <w:rsid w:val="00861D7A"/>
    <w:rsid w:val="00862E29"/>
    <w:rsid w:val="00863E44"/>
    <w:rsid w:val="0086499F"/>
    <w:rsid w:val="00865A5F"/>
    <w:rsid w:val="00867D33"/>
    <w:rsid w:val="00867F04"/>
    <w:rsid w:val="008703DB"/>
    <w:rsid w:val="008710A1"/>
    <w:rsid w:val="0087489F"/>
    <w:rsid w:val="00875E49"/>
    <w:rsid w:val="0088158E"/>
    <w:rsid w:val="0088258D"/>
    <w:rsid w:val="008829F3"/>
    <w:rsid w:val="00882D4B"/>
    <w:rsid w:val="00884A12"/>
    <w:rsid w:val="00887256"/>
    <w:rsid w:val="00890BEA"/>
    <w:rsid w:val="00890EF0"/>
    <w:rsid w:val="0089184F"/>
    <w:rsid w:val="00891ADA"/>
    <w:rsid w:val="008962D4"/>
    <w:rsid w:val="008A0932"/>
    <w:rsid w:val="008A391B"/>
    <w:rsid w:val="008A3ABC"/>
    <w:rsid w:val="008A4C0E"/>
    <w:rsid w:val="008A5334"/>
    <w:rsid w:val="008A630B"/>
    <w:rsid w:val="008A734B"/>
    <w:rsid w:val="008B24ED"/>
    <w:rsid w:val="008B4BCA"/>
    <w:rsid w:val="008B5932"/>
    <w:rsid w:val="008C1225"/>
    <w:rsid w:val="008C1646"/>
    <w:rsid w:val="008C189A"/>
    <w:rsid w:val="008C1E51"/>
    <w:rsid w:val="008C2C0E"/>
    <w:rsid w:val="008C5E6B"/>
    <w:rsid w:val="008C6672"/>
    <w:rsid w:val="008D2DCF"/>
    <w:rsid w:val="008D3043"/>
    <w:rsid w:val="008D3318"/>
    <w:rsid w:val="008D4C00"/>
    <w:rsid w:val="008D52CD"/>
    <w:rsid w:val="008D5C5F"/>
    <w:rsid w:val="008D613D"/>
    <w:rsid w:val="008D756B"/>
    <w:rsid w:val="008E07B5"/>
    <w:rsid w:val="008E1E88"/>
    <w:rsid w:val="008E4FFA"/>
    <w:rsid w:val="008E5CC1"/>
    <w:rsid w:val="008E6532"/>
    <w:rsid w:val="008E7FF5"/>
    <w:rsid w:val="008F125F"/>
    <w:rsid w:val="008F2548"/>
    <w:rsid w:val="008F2C00"/>
    <w:rsid w:val="008F3DAE"/>
    <w:rsid w:val="008F6630"/>
    <w:rsid w:val="008F7622"/>
    <w:rsid w:val="0090311E"/>
    <w:rsid w:val="0090438E"/>
    <w:rsid w:val="00904A61"/>
    <w:rsid w:val="00906110"/>
    <w:rsid w:val="0090704E"/>
    <w:rsid w:val="00910892"/>
    <w:rsid w:val="0091108F"/>
    <w:rsid w:val="009133F5"/>
    <w:rsid w:val="00914786"/>
    <w:rsid w:val="00914F8F"/>
    <w:rsid w:val="00915680"/>
    <w:rsid w:val="00915FB9"/>
    <w:rsid w:val="0091610E"/>
    <w:rsid w:val="00916373"/>
    <w:rsid w:val="00916548"/>
    <w:rsid w:val="00916A77"/>
    <w:rsid w:val="009206C7"/>
    <w:rsid w:val="00921BE8"/>
    <w:rsid w:val="00922E3D"/>
    <w:rsid w:val="009316DC"/>
    <w:rsid w:val="00931752"/>
    <w:rsid w:val="00932FDF"/>
    <w:rsid w:val="00936529"/>
    <w:rsid w:val="00940B65"/>
    <w:rsid w:val="0094133A"/>
    <w:rsid w:val="0094148D"/>
    <w:rsid w:val="009419AD"/>
    <w:rsid w:val="0095064A"/>
    <w:rsid w:val="00951A0B"/>
    <w:rsid w:val="009535B3"/>
    <w:rsid w:val="00953A36"/>
    <w:rsid w:val="00953F33"/>
    <w:rsid w:val="00955DBA"/>
    <w:rsid w:val="00957244"/>
    <w:rsid w:val="00957DA3"/>
    <w:rsid w:val="00962CAC"/>
    <w:rsid w:val="00964BDE"/>
    <w:rsid w:val="009676D3"/>
    <w:rsid w:val="00970A5C"/>
    <w:rsid w:val="00971E24"/>
    <w:rsid w:val="0097600E"/>
    <w:rsid w:val="0098128C"/>
    <w:rsid w:val="009813FE"/>
    <w:rsid w:val="00983DD0"/>
    <w:rsid w:val="0098506E"/>
    <w:rsid w:val="0098670F"/>
    <w:rsid w:val="00986E56"/>
    <w:rsid w:val="00990AFB"/>
    <w:rsid w:val="00991387"/>
    <w:rsid w:val="00992A5D"/>
    <w:rsid w:val="00993B88"/>
    <w:rsid w:val="00993D02"/>
    <w:rsid w:val="009943AB"/>
    <w:rsid w:val="00994740"/>
    <w:rsid w:val="00995515"/>
    <w:rsid w:val="009966F8"/>
    <w:rsid w:val="009A10C4"/>
    <w:rsid w:val="009A142A"/>
    <w:rsid w:val="009A17F4"/>
    <w:rsid w:val="009A193C"/>
    <w:rsid w:val="009A325B"/>
    <w:rsid w:val="009A3FE3"/>
    <w:rsid w:val="009A4787"/>
    <w:rsid w:val="009A7090"/>
    <w:rsid w:val="009A7DEC"/>
    <w:rsid w:val="009B0AF7"/>
    <w:rsid w:val="009B0BFB"/>
    <w:rsid w:val="009B4398"/>
    <w:rsid w:val="009B4EEC"/>
    <w:rsid w:val="009B5369"/>
    <w:rsid w:val="009C1815"/>
    <w:rsid w:val="009C5249"/>
    <w:rsid w:val="009C70D0"/>
    <w:rsid w:val="009C7F1B"/>
    <w:rsid w:val="009D1029"/>
    <w:rsid w:val="009D5A2E"/>
    <w:rsid w:val="009D702B"/>
    <w:rsid w:val="009E0573"/>
    <w:rsid w:val="009E06DE"/>
    <w:rsid w:val="009E09FA"/>
    <w:rsid w:val="009E246F"/>
    <w:rsid w:val="009E76A1"/>
    <w:rsid w:val="009F004A"/>
    <w:rsid w:val="009F235E"/>
    <w:rsid w:val="009F29EB"/>
    <w:rsid w:val="009F2D3B"/>
    <w:rsid w:val="009F3C78"/>
    <w:rsid w:val="009F5ACE"/>
    <w:rsid w:val="009F7FE9"/>
    <w:rsid w:val="00A00A92"/>
    <w:rsid w:val="00A016BF"/>
    <w:rsid w:val="00A02426"/>
    <w:rsid w:val="00A02950"/>
    <w:rsid w:val="00A0589C"/>
    <w:rsid w:val="00A06CAB"/>
    <w:rsid w:val="00A12A69"/>
    <w:rsid w:val="00A12DBB"/>
    <w:rsid w:val="00A1488D"/>
    <w:rsid w:val="00A150A7"/>
    <w:rsid w:val="00A151B8"/>
    <w:rsid w:val="00A15774"/>
    <w:rsid w:val="00A157E7"/>
    <w:rsid w:val="00A210DD"/>
    <w:rsid w:val="00A21443"/>
    <w:rsid w:val="00A22ED0"/>
    <w:rsid w:val="00A23006"/>
    <w:rsid w:val="00A24099"/>
    <w:rsid w:val="00A264B0"/>
    <w:rsid w:val="00A2768E"/>
    <w:rsid w:val="00A329BC"/>
    <w:rsid w:val="00A33E3C"/>
    <w:rsid w:val="00A3426E"/>
    <w:rsid w:val="00A353ED"/>
    <w:rsid w:val="00A375D9"/>
    <w:rsid w:val="00A37FBB"/>
    <w:rsid w:val="00A4236C"/>
    <w:rsid w:val="00A43CAC"/>
    <w:rsid w:val="00A44E7D"/>
    <w:rsid w:val="00A45E20"/>
    <w:rsid w:val="00A46DB8"/>
    <w:rsid w:val="00A52DF2"/>
    <w:rsid w:val="00A54A5E"/>
    <w:rsid w:val="00A55810"/>
    <w:rsid w:val="00A55B73"/>
    <w:rsid w:val="00A56CDD"/>
    <w:rsid w:val="00A56E3B"/>
    <w:rsid w:val="00A57C5A"/>
    <w:rsid w:val="00A64AD2"/>
    <w:rsid w:val="00A72C1F"/>
    <w:rsid w:val="00A72F5E"/>
    <w:rsid w:val="00A75482"/>
    <w:rsid w:val="00A761B5"/>
    <w:rsid w:val="00A83E5E"/>
    <w:rsid w:val="00A84C12"/>
    <w:rsid w:val="00A85CA4"/>
    <w:rsid w:val="00A85D04"/>
    <w:rsid w:val="00A85DB4"/>
    <w:rsid w:val="00A86044"/>
    <w:rsid w:val="00A90002"/>
    <w:rsid w:val="00A96709"/>
    <w:rsid w:val="00A97EBD"/>
    <w:rsid w:val="00AA260F"/>
    <w:rsid w:val="00AA5F19"/>
    <w:rsid w:val="00AA750A"/>
    <w:rsid w:val="00AB001C"/>
    <w:rsid w:val="00AB37EB"/>
    <w:rsid w:val="00AB39C5"/>
    <w:rsid w:val="00AB4438"/>
    <w:rsid w:val="00AB4466"/>
    <w:rsid w:val="00AB50E6"/>
    <w:rsid w:val="00AB6814"/>
    <w:rsid w:val="00AB6863"/>
    <w:rsid w:val="00AB6BE3"/>
    <w:rsid w:val="00AB71F3"/>
    <w:rsid w:val="00AC0555"/>
    <w:rsid w:val="00AC625F"/>
    <w:rsid w:val="00AC67C3"/>
    <w:rsid w:val="00AC6CA3"/>
    <w:rsid w:val="00AC6DB5"/>
    <w:rsid w:val="00AD3D04"/>
    <w:rsid w:val="00AD500D"/>
    <w:rsid w:val="00AD7C27"/>
    <w:rsid w:val="00AE0DF0"/>
    <w:rsid w:val="00AE10E9"/>
    <w:rsid w:val="00AE11C7"/>
    <w:rsid w:val="00AE164F"/>
    <w:rsid w:val="00AE2D40"/>
    <w:rsid w:val="00AE73A1"/>
    <w:rsid w:val="00AE7F88"/>
    <w:rsid w:val="00AF4648"/>
    <w:rsid w:val="00AF4DD3"/>
    <w:rsid w:val="00AF6B78"/>
    <w:rsid w:val="00B01631"/>
    <w:rsid w:val="00B01D80"/>
    <w:rsid w:val="00B05198"/>
    <w:rsid w:val="00B0544B"/>
    <w:rsid w:val="00B06C4C"/>
    <w:rsid w:val="00B078C6"/>
    <w:rsid w:val="00B10BF5"/>
    <w:rsid w:val="00B145B5"/>
    <w:rsid w:val="00B152AC"/>
    <w:rsid w:val="00B16C8B"/>
    <w:rsid w:val="00B20969"/>
    <w:rsid w:val="00B22BE8"/>
    <w:rsid w:val="00B2331A"/>
    <w:rsid w:val="00B2356B"/>
    <w:rsid w:val="00B249F3"/>
    <w:rsid w:val="00B25B74"/>
    <w:rsid w:val="00B26B93"/>
    <w:rsid w:val="00B26C0B"/>
    <w:rsid w:val="00B27126"/>
    <w:rsid w:val="00B32CDE"/>
    <w:rsid w:val="00B34479"/>
    <w:rsid w:val="00B34D72"/>
    <w:rsid w:val="00B362BE"/>
    <w:rsid w:val="00B363A2"/>
    <w:rsid w:val="00B37213"/>
    <w:rsid w:val="00B41711"/>
    <w:rsid w:val="00B44EB6"/>
    <w:rsid w:val="00B46E2D"/>
    <w:rsid w:val="00B503F3"/>
    <w:rsid w:val="00B504C9"/>
    <w:rsid w:val="00B52A47"/>
    <w:rsid w:val="00B53FB4"/>
    <w:rsid w:val="00B541C6"/>
    <w:rsid w:val="00B556DD"/>
    <w:rsid w:val="00B5798F"/>
    <w:rsid w:val="00B57EB0"/>
    <w:rsid w:val="00B61107"/>
    <w:rsid w:val="00B61CB4"/>
    <w:rsid w:val="00B65DB9"/>
    <w:rsid w:val="00B66265"/>
    <w:rsid w:val="00B66644"/>
    <w:rsid w:val="00B67756"/>
    <w:rsid w:val="00B70DA9"/>
    <w:rsid w:val="00B712B0"/>
    <w:rsid w:val="00B71478"/>
    <w:rsid w:val="00B71802"/>
    <w:rsid w:val="00B7200B"/>
    <w:rsid w:val="00B76414"/>
    <w:rsid w:val="00B77EB8"/>
    <w:rsid w:val="00B81A2A"/>
    <w:rsid w:val="00B84109"/>
    <w:rsid w:val="00B85BDA"/>
    <w:rsid w:val="00B870D6"/>
    <w:rsid w:val="00B874A9"/>
    <w:rsid w:val="00B932C8"/>
    <w:rsid w:val="00B93B31"/>
    <w:rsid w:val="00B9457F"/>
    <w:rsid w:val="00B965BF"/>
    <w:rsid w:val="00BA06B1"/>
    <w:rsid w:val="00BA3125"/>
    <w:rsid w:val="00BA3654"/>
    <w:rsid w:val="00BA3EB9"/>
    <w:rsid w:val="00BA600B"/>
    <w:rsid w:val="00BB3FBD"/>
    <w:rsid w:val="00BB5CC9"/>
    <w:rsid w:val="00BC05C8"/>
    <w:rsid w:val="00BC0F9A"/>
    <w:rsid w:val="00BC3D5F"/>
    <w:rsid w:val="00BC43E2"/>
    <w:rsid w:val="00BD0917"/>
    <w:rsid w:val="00BD1607"/>
    <w:rsid w:val="00BD45A0"/>
    <w:rsid w:val="00BD45BA"/>
    <w:rsid w:val="00BE1156"/>
    <w:rsid w:val="00BE1D55"/>
    <w:rsid w:val="00BE2F51"/>
    <w:rsid w:val="00BE3214"/>
    <w:rsid w:val="00BE5325"/>
    <w:rsid w:val="00BE5439"/>
    <w:rsid w:val="00BE62DB"/>
    <w:rsid w:val="00BE7E1A"/>
    <w:rsid w:val="00BF041C"/>
    <w:rsid w:val="00BF055A"/>
    <w:rsid w:val="00BF0B13"/>
    <w:rsid w:val="00BF4E69"/>
    <w:rsid w:val="00BF651C"/>
    <w:rsid w:val="00BF734B"/>
    <w:rsid w:val="00BF7BD3"/>
    <w:rsid w:val="00C01B04"/>
    <w:rsid w:val="00C01B3A"/>
    <w:rsid w:val="00C03721"/>
    <w:rsid w:val="00C05291"/>
    <w:rsid w:val="00C06025"/>
    <w:rsid w:val="00C067A3"/>
    <w:rsid w:val="00C115C1"/>
    <w:rsid w:val="00C118DD"/>
    <w:rsid w:val="00C13C81"/>
    <w:rsid w:val="00C14A5C"/>
    <w:rsid w:val="00C14B0A"/>
    <w:rsid w:val="00C23EFE"/>
    <w:rsid w:val="00C26CD3"/>
    <w:rsid w:val="00C3047B"/>
    <w:rsid w:val="00C30749"/>
    <w:rsid w:val="00C3163F"/>
    <w:rsid w:val="00C35E4D"/>
    <w:rsid w:val="00C436F7"/>
    <w:rsid w:val="00C45692"/>
    <w:rsid w:val="00C46175"/>
    <w:rsid w:val="00C472E3"/>
    <w:rsid w:val="00C47E57"/>
    <w:rsid w:val="00C55B02"/>
    <w:rsid w:val="00C56142"/>
    <w:rsid w:val="00C56B3A"/>
    <w:rsid w:val="00C56EFE"/>
    <w:rsid w:val="00C57F00"/>
    <w:rsid w:val="00C60C0B"/>
    <w:rsid w:val="00C66382"/>
    <w:rsid w:val="00C67F09"/>
    <w:rsid w:val="00C72788"/>
    <w:rsid w:val="00C75F9C"/>
    <w:rsid w:val="00C76A5E"/>
    <w:rsid w:val="00C770FD"/>
    <w:rsid w:val="00C83335"/>
    <w:rsid w:val="00C84809"/>
    <w:rsid w:val="00C865D9"/>
    <w:rsid w:val="00C87110"/>
    <w:rsid w:val="00C90813"/>
    <w:rsid w:val="00C90C2B"/>
    <w:rsid w:val="00C90E36"/>
    <w:rsid w:val="00C9582B"/>
    <w:rsid w:val="00C978FA"/>
    <w:rsid w:val="00CA13F9"/>
    <w:rsid w:val="00CA2B14"/>
    <w:rsid w:val="00CA2D2A"/>
    <w:rsid w:val="00CA40E0"/>
    <w:rsid w:val="00CA4C49"/>
    <w:rsid w:val="00CA67AB"/>
    <w:rsid w:val="00CA789C"/>
    <w:rsid w:val="00CB016F"/>
    <w:rsid w:val="00CB0CBE"/>
    <w:rsid w:val="00CB1C6D"/>
    <w:rsid w:val="00CB2393"/>
    <w:rsid w:val="00CB5956"/>
    <w:rsid w:val="00CB60A9"/>
    <w:rsid w:val="00CC3EAA"/>
    <w:rsid w:val="00CC7761"/>
    <w:rsid w:val="00CD1098"/>
    <w:rsid w:val="00CD40BE"/>
    <w:rsid w:val="00CD4A8B"/>
    <w:rsid w:val="00CE1548"/>
    <w:rsid w:val="00CE3799"/>
    <w:rsid w:val="00CE4AA9"/>
    <w:rsid w:val="00CE5477"/>
    <w:rsid w:val="00CE7ADD"/>
    <w:rsid w:val="00CF5E7B"/>
    <w:rsid w:val="00CF77C6"/>
    <w:rsid w:val="00CF7A75"/>
    <w:rsid w:val="00D00362"/>
    <w:rsid w:val="00D01153"/>
    <w:rsid w:val="00D02293"/>
    <w:rsid w:val="00D026B6"/>
    <w:rsid w:val="00D03953"/>
    <w:rsid w:val="00D03F61"/>
    <w:rsid w:val="00D047D6"/>
    <w:rsid w:val="00D047EE"/>
    <w:rsid w:val="00D10339"/>
    <w:rsid w:val="00D11FE5"/>
    <w:rsid w:val="00D12150"/>
    <w:rsid w:val="00D12CFB"/>
    <w:rsid w:val="00D1326C"/>
    <w:rsid w:val="00D1431B"/>
    <w:rsid w:val="00D14690"/>
    <w:rsid w:val="00D15BBA"/>
    <w:rsid w:val="00D16823"/>
    <w:rsid w:val="00D16F48"/>
    <w:rsid w:val="00D17215"/>
    <w:rsid w:val="00D21119"/>
    <w:rsid w:val="00D21315"/>
    <w:rsid w:val="00D234BC"/>
    <w:rsid w:val="00D250AB"/>
    <w:rsid w:val="00D265B2"/>
    <w:rsid w:val="00D26BA6"/>
    <w:rsid w:val="00D27D4B"/>
    <w:rsid w:val="00D301BE"/>
    <w:rsid w:val="00D320C3"/>
    <w:rsid w:val="00D3363B"/>
    <w:rsid w:val="00D33B40"/>
    <w:rsid w:val="00D35146"/>
    <w:rsid w:val="00D3596F"/>
    <w:rsid w:val="00D42F04"/>
    <w:rsid w:val="00D447E5"/>
    <w:rsid w:val="00D45688"/>
    <w:rsid w:val="00D457D0"/>
    <w:rsid w:val="00D46365"/>
    <w:rsid w:val="00D463A4"/>
    <w:rsid w:val="00D4699C"/>
    <w:rsid w:val="00D47877"/>
    <w:rsid w:val="00D513A1"/>
    <w:rsid w:val="00D57D07"/>
    <w:rsid w:val="00D618E7"/>
    <w:rsid w:val="00D619A2"/>
    <w:rsid w:val="00D6375A"/>
    <w:rsid w:val="00D64A77"/>
    <w:rsid w:val="00D66AB5"/>
    <w:rsid w:val="00D67265"/>
    <w:rsid w:val="00D676A0"/>
    <w:rsid w:val="00D70856"/>
    <w:rsid w:val="00D73117"/>
    <w:rsid w:val="00D73D86"/>
    <w:rsid w:val="00D8335C"/>
    <w:rsid w:val="00D9068D"/>
    <w:rsid w:val="00D92B16"/>
    <w:rsid w:val="00D93862"/>
    <w:rsid w:val="00D93CC2"/>
    <w:rsid w:val="00D9629E"/>
    <w:rsid w:val="00D97633"/>
    <w:rsid w:val="00DA2106"/>
    <w:rsid w:val="00DA23EB"/>
    <w:rsid w:val="00DA4ECD"/>
    <w:rsid w:val="00DA6548"/>
    <w:rsid w:val="00DB02EF"/>
    <w:rsid w:val="00DB0A56"/>
    <w:rsid w:val="00DB1007"/>
    <w:rsid w:val="00DB1699"/>
    <w:rsid w:val="00DB3DC8"/>
    <w:rsid w:val="00DB5115"/>
    <w:rsid w:val="00DB5177"/>
    <w:rsid w:val="00DB5C75"/>
    <w:rsid w:val="00DB66E6"/>
    <w:rsid w:val="00DC23FE"/>
    <w:rsid w:val="00DC38B9"/>
    <w:rsid w:val="00DC4263"/>
    <w:rsid w:val="00DC5B37"/>
    <w:rsid w:val="00DC5DDD"/>
    <w:rsid w:val="00DD309E"/>
    <w:rsid w:val="00DD7C73"/>
    <w:rsid w:val="00DE01B6"/>
    <w:rsid w:val="00DE1304"/>
    <w:rsid w:val="00DE1DD3"/>
    <w:rsid w:val="00DE1FBD"/>
    <w:rsid w:val="00DE4677"/>
    <w:rsid w:val="00DE64ED"/>
    <w:rsid w:val="00DF064D"/>
    <w:rsid w:val="00DF0CBF"/>
    <w:rsid w:val="00DF5407"/>
    <w:rsid w:val="00E00127"/>
    <w:rsid w:val="00E003D9"/>
    <w:rsid w:val="00E00C20"/>
    <w:rsid w:val="00E028F6"/>
    <w:rsid w:val="00E036CD"/>
    <w:rsid w:val="00E0543E"/>
    <w:rsid w:val="00E0753F"/>
    <w:rsid w:val="00E10BF1"/>
    <w:rsid w:val="00E11B5C"/>
    <w:rsid w:val="00E13E2B"/>
    <w:rsid w:val="00E22DB7"/>
    <w:rsid w:val="00E23C1B"/>
    <w:rsid w:val="00E24D2B"/>
    <w:rsid w:val="00E25DDC"/>
    <w:rsid w:val="00E345BF"/>
    <w:rsid w:val="00E34A2D"/>
    <w:rsid w:val="00E34D59"/>
    <w:rsid w:val="00E35C78"/>
    <w:rsid w:val="00E405EA"/>
    <w:rsid w:val="00E40877"/>
    <w:rsid w:val="00E474F9"/>
    <w:rsid w:val="00E51F8B"/>
    <w:rsid w:val="00E51FCF"/>
    <w:rsid w:val="00E529D4"/>
    <w:rsid w:val="00E53839"/>
    <w:rsid w:val="00E53C18"/>
    <w:rsid w:val="00E53F41"/>
    <w:rsid w:val="00E54488"/>
    <w:rsid w:val="00E5638A"/>
    <w:rsid w:val="00E56D2F"/>
    <w:rsid w:val="00E635B9"/>
    <w:rsid w:val="00E6363C"/>
    <w:rsid w:val="00E66700"/>
    <w:rsid w:val="00E66AD7"/>
    <w:rsid w:val="00E67B0A"/>
    <w:rsid w:val="00E71BAD"/>
    <w:rsid w:val="00E733FF"/>
    <w:rsid w:val="00E74106"/>
    <w:rsid w:val="00E74864"/>
    <w:rsid w:val="00E754E8"/>
    <w:rsid w:val="00E75EF4"/>
    <w:rsid w:val="00E82FD8"/>
    <w:rsid w:val="00E834E7"/>
    <w:rsid w:val="00E83ABA"/>
    <w:rsid w:val="00E83E70"/>
    <w:rsid w:val="00E86286"/>
    <w:rsid w:val="00E878FF"/>
    <w:rsid w:val="00E87C06"/>
    <w:rsid w:val="00E91E16"/>
    <w:rsid w:val="00E93842"/>
    <w:rsid w:val="00E952EF"/>
    <w:rsid w:val="00E96437"/>
    <w:rsid w:val="00E968A0"/>
    <w:rsid w:val="00E97145"/>
    <w:rsid w:val="00EA4196"/>
    <w:rsid w:val="00EB0BAE"/>
    <w:rsid w:val="00EB0F20"/>
    <w:rsid w:val="00EB1632"/>
    <w:rsid w:val="00EB377B"/>
    <w:rsid w:val="00EB4086"/>
    <w:rsid w:val="00EB4EB6"/>
    <w:rsid w:val="00EB535D"/>
    <w:rsid w:val="00EC34E0"/>
    <w:rsid w:val="00EC5385"/>
    <w:rsid w:val="00EC5430"/>
    <w:rsid w:val="00EC60B6"/>
    <w:rsid w:val="00EC6373"/>
    <w:rsid w:val="00EC7853"/>
    <w:rsid w:val="00ED047D"/>
    <w:rsid w:val="00ED0A59"/>
    <w:rsid w:val="00ED297E"/>
    <w:rsid w:val="00ED4626"/>
    <w:rsid w:val="00ED5B3C"/>
    <w:rsid w:val="00ED732D"/>
    <w:rsid w:val="00ED7BC4"/>
    <w:rsid w:val="00EE104D"/>
    <w:rsid w:val="00EE5F6D"/>
    <w:rsid w:val="00EF0701"/>
    <w:rsid w:val="00EF11F2"/>
    <w:rsid w:val="00EF236F"/>
    <w:rsid w:val="00EF25ED"/>
    <w:rsid w:val="00EF3067"/>
    <w:rsid w:val="00EF56EB"/>
    <w:rsid w:val="00F03AFB"/>
    <w:rsid w:val="00F03CB2"/>
    <w:rsid w:val="00F0605B"/>
    <w:rsid w:val="00F13DC7"/>
    <w:rsid w:val="00F14729"/>
    <w:rsid w:val="00F14ED7"/>
    <w:rsid w:val="00F150D6"/>
    <w:rsid w:val="00F17670"/>
    <w:rsid w:val="00F17A90"/>
    <w:rsid w:val="00F2031D"/>
    <w:rsid w:val="00F227A4"/>
    <w:rsid w:val="00F2622B"/>
    <w:rsid w:val="00F26369"/>
    <w:rsid w:val="00F31671"/>
    <w:rsid w:val="00F31DC3"/>
    <w:rsid w:val="00F3240D"/>
    <w:rsid w:val="00F328DE"/>
    <w:rsid w:val="00F3330B"/>
    <w:rsid w:val="00F357CB"/>
    <w:rsid w:val="00F35CA0"/>
    <w:rsid w:val="00F36A57"/>
    <w:rsid w:val="00F4019F"/>
    <w:rsid w:val="00F405BB"/>
    <w:rsid w:val="00F4328A"/>
    <w:rsid w:val="00F44706"/>
    <w:rsid w:val="00F44A91"/>
    <w:rsid w:val="00F45420"/>
    <w:rsid w:val="00F47C9E"/>
    <w:rsid w:val="00F51EF7"/>
    <w:rsid w:val="00F5253C"/>
    <w:rsid w:val="00F52A72"/>
    <w:rsid w:val="00F52EDF"/>
    <w:rsid w:val="00F54C59"/>
    <w:rsid w:val="00F6067A"/>
    <w:rsid w:val="00F609CB"/>
    <w:rsid w:val="00F60FB9"/>
    <w:rsid w:val="00F64004"/>
    <w:rsid w:val="00F642D3"/>
    <w:rsid w:val="00F64DDA"/>
    <w:rsid w:val="00F65142"/>
    <w:rsid w:val="00F65F73"/>
    <w:rsid w:val="00F6631A"/>
    <w:rsid w:val="00F66E3F"/>
    <w:rsid w:val="00F70436"/>
    <w:rsid w:val="00F713DB"/>
    <w:rsid w:val="00F72007"/>
    <w:rsid w:val="00F730A9"/>
    <w:rsid w:val="00F735FC"/>
    <w:rsid w:val="00F738D2"/>
    <w:rsid w:val="00F73A7C"/>
    <w:rsid w:val="00F75F3B"/>
    <w:rsid w:val="00F774A9"/>
    <w:rsid w:val="00F77CB4"/>
    <w:rsid w:val="00F83763"/>
    <w:rsid w:val="00F83C6C"/>
    <w:rsid w:val="00F84AD9"/>
    <w:rsid w:val="00F84EA3"/>
    <w:rsid w:val="00F85513"/>
    <w:rsid w:val="00F86D76"/>
    <w:rsid w:val="00F877CE"/>
    <w:rsid w:val="00F90614"/>
    <w:rsid w:val="00F90A2F"/>
    <w:rsid w:val="00F91BD0"/>
    <w:rsid w:val="00F9239B"/>
    <w:rsid w:val="00F92E85"/>
    <w:rsid w:val="00F9336C"/>
    <w:rsid w:val="00F93BDC"/>
    <w:rsid w:val="00F94512"/>
    <w:rsid w:val="00F95080"/>
    <w:rsid w:val="00F9544F"/>
    <w:rsid w:val="00F9741A"/>
    <w:rsid w:val="00FA2589"/>
    <w:rsid w:val="00FA34DF"/>
    <w:rsid w:val="00FA3F4D"/>
    <w:rsid w:val="00FA3FBD"/>
    <w:rsid w:val="00FA62B4"/>
    <w:rsid w:val="00FA70CF"/>
    <w:rsid w:val="00FA71DD"/>
    <w:rsid w:val="00FB3AA4"/>
    <w:rsid w:val="00FB3C35"/>
    <w:rsid w:val="00FB4627"/>
    <w:rsid w:val="00FC0F57"/>
    <w:rsid w:val="00FC1BC9"/>
    <w:rsid w:val="00FC4133"/>
    <w:rsid w:val="00FC41DA"/>
    <w:rsid w:val="00FC5C65"/>
    <w:rsid w:val="00FC75B8"/>
    <w:rsid w:val="00FC75D3"/>
    <w:rsid w:val="00FD1BF7"/>
    <w:rsid w:val="00FD318F"/>
    <w:rsid w:val="00FD427E"/>
    <w:rsid w:val="00FD54BE"/>
    <w:rsid w:val="00FD7CD4"/>
    <w:rsid w:val="00FE2498"/>
    <w:rsid w:val="00FE3548"/>
    <w:rsid w:val="00FE3F2D"/>
    <w:rsid w:val="00FE6556"/>
    <w:rsid w:val="00FF09A4"/>
    <w:rsid w:val="00FF204B"/>
    <w:rsid w:val="00FF2151"/>
    <w:rsid w:val="00FF2899"/>
    <w:rsid w:val="00FF28A0"/>
    <w:rsid w:val="00FF3067"/>
    <w:rsid w:val="00FF30B7"/>
    <w:rsid w:val="00FF4236"/>
    <w:rsid w:val="00FF5A88"/>
    <w:rsid w:val="00FF6271"/>
    <w:rsid w:val="00FF6C87"/>
    <w:rsid w:val="00FF7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semiHidden="0" w:unhideWhenUsed="0"/>
    <w:lsdException w:name="footer" w:semiHidden="0" w:unhideWhenUsed="0" w:qFormat="1"/>
    <w:lsdException w:name="caption" w:uiPriority="35" w:qFormat="1"/>
    <w:lsdException w:name="footnote reference" w:uiPriority="0" w:qFormat="1"/>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Hyperlink" w:uiPriority="0"/>
    <w:lsdException w:name="FollowedHyperlink" w:uiPriority="0"/>
    <w:lsdException w:name="Strong" w:semiHidden="0" w:uiPriority="22" w:unhideWhenUsed="0"/>
    <w:lsdException w:name="Emphasis"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DD7C73"/>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aliases w:val="5_G,PP"/>
    <w:basedOn w:val="Normal"/>
    <w:link w:val="FootnoteTextChar"/>
    <w:qFormat/>
    <w:rsid w:val="00611DA0"/>
    <w:pPr>
      <w:spacing w:line="210" w:lineRule="exact"/>
    </w:pPr>
    <w:rPr>
      <w:sz w:val="17"/>
      <w:szCs w:val="20"/>
    </w:rPr>
  </w:style>
  <w:style w:type="character" w:customStyle="1" w:styleId="FootnoteTextChar">
    <w:name w:val="Footnote Text Char"/>
    <w:aliases w:val="5_G Char,PP Char"/>
    <w:link w:val="FootnoteText"/>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aliases w:val="4_G,(Footnote Reference),-E Fußnotenzeichen,BVI fnr, BVI fnr,Footnote symbol,Footnote,Footnote Reference Superscript,SUPERS"/>
    <w:qFormat/>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9C524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8F2548"/>
    <w:rPr>
      <w:sz w:val="16"/>
      <w:szCs w:val="16"/>
    </w:rPr>
  </w:style>
  <w:style w:type="paragraph" w:styleId="CommentText">
    <w:name w:val="annotation text"/>
    <w:basedOn w:val="Normal"/>
    <w:link w:val="CommentTextChar"/>
    <w:uiPriority w:val="99"/>
    <w:semiHidden/>
    <w:unhideWhenUsed/>
    <w:rsid w:val="008F2548"/>
    <w:pPr>
      <w:spacing w:line="240" w:lineRule="auto"/>
    </w:pPr>
    <w:rPr>
      <w:szCs w:val="20"/>
    </w:rPr>
  </w:style>
  <w:style w:type="character" w:customStyle="1" w:styleId="CommentTextChar">
    <w:name w:val="Comment Text Char"/>
    <w:basedOn w:val="DefaultParagraphFont"/>
    <w:link w:val="CommentText"/>
    <w:uiPriority w:val="99"/>
    <w:semiHidden/>
    <w:rsid w:val="008F2548"/>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8F2548"/>
    <w:rPr>
      <w:b/>
      <w:bCs/>
    </w:rPr>
  </w:style>
  <w:style w:type="character" w:customStyle="1" w:styleId="CommentSubjectChar">
    <w:name w:val="Comment Subject Char"/>
    <w:basedOn w:val="CommentTextChar"/>
    <w:link w:val="CommentSubject"/>
    <w:uiPriority w:val="99"/>
    <w:semiHidden/>
    <w:rsid w:val="008F2548"/>
    <w:rPr>
      <w:rFonts w:ascii="Times New Roman" w:hAnsi="Times New Roman"/>
      <w:b/>
      <w:bCs/>
      <w:spacing w:val="4"/>
      <w:w w:val="103"/>
      <w:kern w:val="14"/>
      <w:lang w:val="fr-CA"/>
    </w:rPr>
  </w:style>
  <w:style w:type="character" w:styleId="Hyperlink">
    <w:name w:val="Hyperlink"/>
    <w:basedOn w:val="DefaultParagraphFont"/>
    <w:unhideWhenUsed/>
    <w:rsid w:val="007360C7"/>
    <w:rPr>
      <w:color w:val="0000FF"/>
      <w:u w:val="none"/>
    </w:rPr>
  </w:style>
  <w:style w:type="character" w:styleId="FollowedHyperlink">
    <w:name w:val="FollowedHyperlink"/>
    <w:basedOn w:val="DefaultParagraphFont"/>
    <w:unhideWhenUsed/>
    <w:rsid w:val="007360C7"/>
    <w:rPr>
      <w:color w:val="0000FF"/>
      <w:u w:val="none"/>
    </w:rPr>
  </w:style>
  <w:style w:type="table" w:customStyle="1" w:styleId="TableGrid1">
    <w:name w:val="Table Grid1"/>
    <w:basedOn w:val="TableNormal"/>
    <w:next w:val="TableGrid"/>
    <w:rsid w:val="007360C7"/>
    <w:pPr>
      <w:suppressAutoHyphens/>
      <w:spacing w:line="240" w:lineRule="atLeast"/>
    </w:pPr>
    <w:rPr>
      <w:rFonts w:ascii="Times New Roman" w:eastAsia="Times New Roman" w:hAnsi="Times New Roman"/>
      <w:lang w:val="fr-CH"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
    <w:name w:val="Table Grid"/>
    <w:basedOn w:val="TableNormal"/>
    <w:rsid w:val="007360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gleTxtG">
    <w:name w:val="_ Single Txt_G"/>
    <w:basedOn w:val="Normal"/>
    <w:link w:val="SingleTxtGChar"/>
    <w:qFormat/>
    <w:rsid w:val="00F774A9"/>
    <w:pPr>
      <w:suppressAutoHyphens/>
      <w:kinsoku w:val="0"/>
      <w:overflowPunct w:val="0"/>
      <w:autoSpaceDE w:val="0"/>
      <w:autoSpaceDN w:val="0"/>
      <w:adjustRightInd w:val="0"/>
      <w:snapToGrid w:val="0"/>
      <w:spacing w:after="120" w:line="240" w:lineRule="atLeast"/>
      <w:ind w:left="1134" w:right="1134"/>
      <w:jc w:val="both"/>
    </w:pPr>
    <w:rPr>
      <w:rFonts w:eastAsia="Times New Roman"/>
      <w:spacing w:val="0"/>
      <w:w w:val="100"/>
      <w:kern w:val="0"/>
      <w:szCs w:val="20"/>
      <w:lang w:val="fr-CH"/>
    </w:rPr>
  </w:style>
  <w:style w:type="character" w:customStyle="1" w:styleId="SingleTxtGChar">
    <w:name w:val="_ Single Txt_G Char"/>
    <w:link w:val="SingleTxtG"/>
    <w:rsid w:val="00F774A9"/>
    <w:rPr>
      <w:rFonts w:ascii="Times New Roman" w:eastAsia="Times New Roman" w:hAnsi="Times New Roman"/>
      <w:lang w:val="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semiHidden="0" w:unhideWhenUsed="0"/>
    <w:lsdException w:name="footer" w:semiHidden="0" w:unhideWhenUsed="0" w:qFormat="1"/>
    <w:lsdException w:name="caption" w:uiPriority="35" w:qFormat="1"/>
    <w:lsdException w:name="footnote reference" w:uiPriority="0" w:qFormat="1"/>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Hyperlink" w:uiPriority="0"/>
    <w:lsdException w:name="FollowedHyperlink" w:uiPriority="0"/>
    <w:lsdException w:name="Strong" w:semiHidden="0" w:uiPriority="22" w:unhideWhenUsed="0"/>
    <w:lsdException w:name="Emphasis"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DD7C73"/>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aliases w:val="5_G,PP"/>
    <w:basedOn w:val="Normal"/>
    <w:link w:val="FootnoteTextChar"/>
    <w:qFormat/>
    <w:rsid w:val="00611DA0"/>
    <w:pPr>
      <w:spacing w:line="210" w:lineRule="exact"/>
    </w:pPr>
    <w:rPr>
      <w:sz w:val="17"/>
      <w:szCs w:val="20"/>
    </w:rPr>
  </w:style>
  <w:style w:type="character" w:customStyle="1" w:styleId="FootnoteTextChar">
    <w:name w:val="Footnote Text Char"/>
    <w:aliases w:val="5_G Char,PP Char"/>
    <w:link w:val="FootnoteText"/>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aliases w:val="4_G,(Footnote Reference),-E Fußnotenzeichen,BVI fnr, BVI fnr,Footnote symbol,Footnote,Footnote Reference Superscript,SUPERS"/>
    <w:qFormat/>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9C524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8F2548"/>
    <w:rPr>
      <w:sz w:val="16"/>
      <w:szCs w:val="16"/>
    </w:rPr>
  </w:style>
  <w:style w:type="paragraph" w:styleId="CommentText">
    <w:name w:val="annotation text"/>
    <w:basedOn w:val="Normal"/>
    <w:link w:val="CommentTextChar"/>
    <w:uiPriority w:val="99"/>
    <w:semiHidden/>
    <w:unhideWhenUsed/>
    <w:rsid w:val="008F2548"/>
    <w:pPr>
      <w:spacing w:line="240" w:lineRule="auto"/>
    </w:pPr>
    <w:rPr>
      <w:szCs w:val="20"/>
    </w:rPr>
  </w:style>
  <w:style w:type="character" w:customStyle="1" w:styleId="CommentTextChar">
    <w:name w:val="Comment Text Char"/>
    <w:basedOn w:val="DefaultParagraphFont"/>
    <w:link w:val="CommentText"/>
    <w:uiPriority w:val="99"/>
    <w:semiHidden/>
    <w:rsid w:val="008F2548"/>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8F2548"/>
    <w:rPr>
      <w:b/>
      <w:bCs/>
    </w:rPr>
  </w:style>
  <w:style w:type="character" w:customStyle="1" w:styleId="CommentSubjectChar">
    <w:name w:val="Comment Subject Char"/>
    <w:basedOn w:val="CommentTextChar"/>
    <w:link w:val="CommentSubject"/>
    <w:uiPriority w:val="99"/>
    <w:semiHidden/>
    <w:rsid w:val="008F2548"/>
    <w:rPr>
      <w:rFonts w:ascii="Times New Roman" w:hAnsi="Times New Roman"/>
      <w:b/>
      <w:bCs/>
      <w:spacing w:val="4"/>
      <w:w w:val="103"/>
      <w:kern w:val="14"/>
      <w:lang w:val="fr-CA"/>
    </w:rPr>
  </w:style>
  <w:style w:type="character" w:styleId="Hyperlink">
    <w:name w:val="Hyperlink"/>
    <w:basedOn w:val="DefaultParagraphFont"/>
    <w:unhideWhenUsed/>
    <w:rsid w:val="007360C7"/>
    <w:rPr>
      <w:color w:val="0000FF"/>
      <w:u w:val="none"/>
    </w:rPr>
  </w:style>
  <w:style w:type="character" w:styleId="FollowedHyperlink">
    <w:name w:val="FollowedHyperlink"/>
    <w:basedOn w:val="DefaultParagraphFont"/>
    <w:unhideWhenUsed/>
    <w:rsid w:val="007360C7"/>
    <w:rPr>
      <w:color w:val="0000FF"/>
      <w:u w:val="none"/>
    </w:rPr>
  </w:style>
  <w:style w:type="table" w:customStyle="1" w:styleId="TableGrid1">
    <w:name w:val="Table Grid1"/>
    <w:basedOn w:val="TableNormal"/>
    <w:next w:val="TableGrid"/>
    <w:rsid w:val="007360C7"/>
    <w:pPr>
      <w:suppressAutoHyphens/>
      <w:spacing w:line="240" w:lineRule="atLeast"/>
    </w:pPr>
    <w:rPr>
      <w:rFonts w:ascii="Times New Roman" w:eastAsia="Times New Roman" w:hAnsi="Times New Roman"/>
      <w:lang w:val="fr-CH"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
    <w:name w:val="Table Grid"/>
    <w:basedOn w:val="TableNormal"/>
    <w:rsid w:val="007360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gleTxtG">
    <w:name w:val="_ Single Txt_G"/>
    <w:basedOn w:val="Normal"/>
    <w:link w:val="SingleTxtGChar"/>
    <w:qFormat/>
    <w:rsid w:val="00F774A9"/>
    <w:pPr>
      <w:suppressAutoHyphens/>
      <w:kinsoku w:val="0"/>
      <w:overflowPunct w:val="0"/>
      <w:autoSpaceDE w:val="0"/>
      <w:autoSpaceDN w:val="0"/>
      <w:adjustRightInd w:val="0"/>
      <w:snapToGrid w:val="0"/>
      <w:spacing w:after="120" w:line="240" w:lineRule="atLeast"/>
      <w:ind w:left="1134" w:right="1134"/>
      <w:jc w:val="both"/>
    </w:pPr>
    <w:rPr>
      <w:rFonts w:eastAsia="Times New Roman"/>
      <w:spacing w:val="0"/>
      <w:w w:val="100"/>
      <w:kern w:val="0"/>
      <w:szCs w:val="20"/>
      <w:lang w:val="fr-CH"/>
    </w:rPr>
  </w:style>
  <w:style w:type="character" w:customStyle="1" w:styleId="SingleTxtGChar">
    <w:name w:val="_ Single Txt_G Char"/>
    <w:link w:val="SingleTxtG"/>
    <w:rsid w:val="00F774A9"/>
    <w:rPr>
      <w:rFonts w:ascii="Times New Roman" w:eastAsia="Times New Roman" w:hAnsi="Times New Roman"/>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5.xml"/><Relationship Id="rId42" Type="http://schemas.openxmlformats.org/officeDocument/2006/relationships/image" Target="media/image16.emf"/><Relationship Id="rId47" Type="http://schemas.openxmlformats.org/officeDocument/2006/relationships/header" Target="header13.xml"/><Relationship Id="rId63" Type="http://schemas.openxmlformats.org/officeDocument/2006/relationships/image" Target="media/image20.emf"/><Relationship Id="rId68" Type="http://schemas.openxmlformats.org/officeDocument/2006/relationships/footer" Target="footer19.xml"/><Relationship Id="rId16" Type="http://schemas.openxmlformats.org/officeDocument/2006/relationships/image" Target="media/image5.emf"/><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image" Target="media/image11.png"/><Relationship Id="rId53" Type="http://schemas.openxmlformats.org/officeDocument/2006/relationships/footer" Target="footer15.xml"/><Relationship Id="rId58" Type="http://schemas.openxmlformats.org/officeDocument/2006/relationships/footer" Target="footer17.xml"/><Relationship Id="rId74" Type="http://schemas.openxmlformats.org/officeDocument/2006/relationships/header" Target="header20.xml"/><Relationship Id="rId79" Type="http://schemas.openxmlformats.org/officeDocument/2006/relationships/header" Target="header22.xml"/><Relationship Id="rId5" Type="http://schemas.openxmlformats.org/officeDocument/2006/relationships/settings" Target="settings.xml"/><Relationship Id="rId61" Type="http://schemas.openxmlformats.org/officeDocument/2006/relationships/image" Target="media/image19.wmf"/><Relationship Id="rId82"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8.xml"/><Relationship Id="rId30" Type="http://schemas.openxmlformats.org/officeDocument/2006/relationships/image" Target="media/image8.wmf"/><Relationship Id="rId35" Type="http://schemas.openxmlformats.org/officeDocument/2006/relationships/footer" Target="footer9.xml"/><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oleObject" Target="embeddings/oleObject2.bin"/><Relationship Id="rId64" Type="http://schemas.openxmlformats.org/officeDocument/2006/relationships/oleObject" Target="embeddings/oleObject5.bin"/><Relationship Id="rId69" Type="http://schemas.openxmlformats.org/officeDocument/2006/relationships/image" Target="media/image21.png"/><Relationship Id="rId77"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image" Target="media/image24.png"/><Relationship Id="rId80" Type="http://schemas.openxmlformats.org/officeDocument/2006/relationships/footer" Target="footer2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footer" Target="footer6.xml"/><Relationship Id="rId33" Type="http://schemas.openxmlformats.org/officeDocument/2006/relationships/header" Target="header9.xml"/><Relationship Id="rId38" Type="http://schemas.openxmlformats.org/officeDocument/2006/relationships/image" Target="media/image12.png"/><Relationship Id="rId46" Type="http://schemas.openxmlformats.org/officeDocument/2006/relationships/footer" Target="footer12.xml"/><Relationship Id="rId59" Type="http://schemas.openxmlformats.org/officeDocument/2006/relationships/image" Target="media/image18.wmf"/><Relationship Id="rId67" Type="http://schemas.openxmlformats.org/officeDocument/2006/relationships/footer" Target="footer18.xml"/><Relationship Id="rId20" Type="http://schemas.openxmlformats.org/officeDocument/2006/relationships/footer" Target="footer4.xml"/><Relationship Id="rId41" Type="http://schemas.openxmlformats.org/officeDocument/2006/relationships/image" Target="media/image15.emf"/><Relationship Id="rId54" Type="http://schemas.openxmlformats.org/officeDocument/2006/relationships/footer" Target="footer16.xml"/><Relationship Id="rId62" Type="http://schemas.openxmlformats.org/officeDocument/2006/relationships/oleObject" Target="embeddings/oleObject4.bin"/><Relationship Id="rId70" Type="http://schemas.openxmlformats.org/officeDocument/2006/relationships/image" Target="media/image22.wmf"/><Relationship Id="rId7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footer" Target="footer13.xml"/><Relationship Id="rId57" Type="http://schemas.openxmlformats.org/officeDocument/2006/relationships/header" Target="header17.xml"/><Relationship Id="rId10" Type="http://schemas.openxmlformats.org/officeDocument/2006/relationships/header" Target="header2.xml"/><Relationship Id="rId31" Type="http://schemas.openxmlformats.org/officeDocument/2006/relationships/image" Target="media/image9.wmf"/><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oleObject" Target="embeddings/oleObject3.bin"/><Relationship Id="rId65" Type="http://schemas.openxmlformats.org/officeDocument/2006/relationships/header" Target="header18.xml"/><Relationship Id="rId73" Type="http://schemas.openxmlformats.org/officeDocument/2006/relationships/image" Target="media/image25.png"/><Relationship Id="rId78" Type="http://schemas.openxmlformats.org/officeDocument/2006/relationships/image" Target="media/image26.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13.emf"/><Relationship Id="rId34" Type="http://schemas.openxmlformats.org/officeDocument/2006/relationships/header" Target="header10.xml"/><Relationship Id="rId50" Type="http://schemas.openxmlformats.org/officeDocument/2006/relationships/footer" Target="footer14.xml"/><Relationship Id="rId55" Type="http://schemas.openxmlformats.org/officeDocument/2006/relationships/image" Target="media/image17.emf"/><Relationship Id="rId76" Type="http://schemas.openxmlformats.org/officeDocument/2006/relationships/footer" Target="footer20.xml"/><Relationship Id="rId7" Type="http://schemas.openxmlformats.org/officeDocument/2006/relationships/footnotes" Target="footnotes.xml"/><Relationship Id="rId71"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image" Target="media/image14.emf"/><Relationship Id="rId45" Type="http://schemas.openxmlformats.org/officeDocument/2006/relationships/footer" Target="footer11.xml"/><Relationship Id="rId66" Type="http://schemas.openxmlformats.org/officeDocument/2006/relationships/header" Target="header19.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16232-696A-4E1B-827E-A68572FF0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14423</Words>
  <Characters>82215</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FTPU - Office 2010</vt:lpstr>
    </vt:vector>
  </TitlesOfParts>
  <Company>DCM</Company>
  <LinksUpToDate>false</LinksUpToDate>
  <CharactersWithSpaces>96446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Temporaire</dc:creator>
  <cp:lastModifiedBy>CRP.5/Add.4</cp:lastModifiedBy>
  <cp:revision>2</cp:revision>
  <cp:lastPrinted>2015-11-13T09:31:00Z</cp:lastPrinted>
  <dcterms:created xsi:type="dcterms:W3CDTF">2015-11-17T15:47:00Z</dcterms:created>
  <dcterms:modified xsi:type="dcterms:W3CDTF">2015-11-17T15:47:00Z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1514277F</vt:lpwstr>
  </property>
  <property fmtid="{D5CDD505-2E9C-101B-9397-08002B2CF9AE}" pid="3" name="ODSRefJobNo">
    <vt:lpwstr>1519044F</vt:lpwstr>
  </property>
  <property fmtid="{D5CDD505-2E9C-101B-9397-08002B2CF9AE}" pid="4" name="Symbol1">
    <vt:lpwstr>ECE/TRANS/WP.29/2015/105</vt:lpwstr>
  </property>
  <property fmtid="{D5CDD505-2E9C-101B-9397-08002B2CF9AE}" pid="5" name="Symbol2">
    <vt:lpwstr/>
  </property>
  <property fmtid="{D5CDD505-2E9C-101B-9397-08002B2CF9AE}" pid="6" name="Translator">
    <vt:lpwstr/>
  </property>
  <property fmtid="{D5CDD505-2E9C-101B-9397-08002B2CF9AE}" pid="7" name="Operator">
    <vt:lpwstr>M. Deschamps</vt:lpwstr>
  </property>
  <property fmtid="{D5CDD505-2E9C-101B-9397-08002B2CF9AE}" pid="8" name="DraftPages">
    <vt:lpwstr> </vt:lpwstr>
  </property>
  <property fmtid="{D5CDD505-2E9C-101B-9397-08002B2CF9AE}" pid="9" name="Comment">
    <vt:lpwstr/>
  </property>
  <property fmtid="{D5CDD505-2E9C-101B-9397-08002B2CF9AE}" pid="10" name="Distribution">
    <vt:lpwstr>générale</vt:lpwstr>
  </property>
  <property fmtid="{D5CDD505-2E9C-101B-9397-08002B2CF9AE}" pid="11" name="Publication Date">
    <vt:lpwstr>24 août 2015</vt:lpwstr>
  </property>
  <property fmtid="{D5CDD505-2E9C-101B-9397-08002B2CF9AE}" pid="12" name="Original">
    <vt:lpwstr>anglais</vt:lpwstr>
  </property>
  <property fmtid="{D5CDD505-2E9C-101B-9397-08002B2CF9AE}" pid="13" name="Release Date">
    <vt:lpwstr>111115</vt:lpwstr>
  </property>
</Properties>
</file>