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54D">
        <w:trPr>
          <w:cantSplit/>
          <w:trHeight w:hRule="exact" w:val="851"/>
        </w:trPr>
        <w:tc>
          <w:tcPr>
            <w:tcW w:w="1276" w:type="dxa"/>
            <w:tcBorders>
              <w:bottom w:val="single" w:sz="4" w:space="0" w:color="auto"/>
            </w:tcBorders>
            <w:shd w:val="clear" w:color="auto" w:fill="auto"/>
            <w:vAlign w:val="bottom"/>
          </w:tcPr>
          <w:p w:rsidR="00B56E9C" w:rsidRDefault="00B56E9C" w:rsidP="00C0554D">
            <w:pPr>
              <w:spacing w:after="80"/>
            </w:pPr>
          </w:p>
        </w:tc>
        <w:tc>
          <w:tcPr>
            <w:tcW w:w="2268" w:type="dxa"/>
            <w:tcBorders>
              <w:bottom w:val="single" w:sz="4" w:space="0" w:color="auto"/>
            </w:tcBorders>
            <w:shd w:val="clear" w:color="auto" w:fill="auto"/>
            <w:vAlign w:val="bottom"/>
          </w:tcPr>
          <w:p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616E0" w:rsidP="000D646D">
            <w:pPr>
              <w:jc w:val="right"/>
            </w:pPr>
            <w:r w:rsidRPr="00C0554D">
              <w:rPr>
                <w:sz w:val="40"/>
              </w:rPr>
              <w:t>ECE</w:t>
            </w:r>
            <w:r>
              <w:t>/TRANS/WP.11/201</w:t>
            </w:r>
            <w:r w:rsidR="009F6FA2">
              <w:t>5</w:t>
            </w:r>
            <w:r>
              <w:t>/</w:t>
            </w:r>
            <w:r w:rsidR="000D646D">
              <w:t>20</w:t>
            </w:r>
          </w:p>
        </w:tc>
      </w:tr>
      <w:tr w:rsidR="00B56E9C" w:rsidTr="00D31A7D">
        <w:trPr>
          <w:cantSplit/>
          <w:trHeight w:hRule="exact" w:val="2697"/>
        </w:trPr>
        <w:tc>
          <w:tcPr>
            <w:tcW w:w="1276" w:type="dxa"/>
            <w:tcBorders>
              <w:top w:val="single" w:sz="4" w:space="0" w:color="auto"/>
              <w:bottom w:val="single" w:sz="12" w:space="0" w:color="auto"/>
            </w:tcBorders>
            <w:shd w:val="clear" w:color="auto" w:fill="auto"/>
          </w:tcPr>
          <w:p w:rsidR="00B56E9C" w:rsidRDefault="00DF1FB9" w:rsidP="00C0554D">
            <w:pPr>
              <w:spacing w:before="120"/>
            </w:pPr>
            <w:r>
              <w:rPr>
                <w:noProof/>
                <w:lang w:eastAsia="en-GB"/>
              </w:rPr>
              <w:drawing>
                <wp:inline distT="0" distB="0" distL="0" distR="0" wp14:anchorId="5A639875" wp14:editId="39DCA2E3">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rsidR="00F616E0" w:rsidRDefault="00F616E0" w:rsidP="00C0554D">
            <w:pPr>
              <w:spacing w:before="240" w:line="240" w:lineRule="exact"/>
            </w:pPr>
            <w:r>
              <w:t>Distr.: General</w:t>
            </w:r>
          </w:p>
          <w:p w:rsidR="00F616E0" w:rsidRDefault="00660601" w:rsidP="00C0554D">
            <w:pPr>
              <w:spacing w:line="240" w:lineRule="exact"/>
            </w:pPr>
            <w:r>
              <w:t>20</w:t>
            </w:r>
            <w:r w:rsidR="007B2CC7">
              <w:t xml:space="preserve"> </w:t>
            </w:r>
            <w:r w:rsidR="00E61CAE">
              <w:t>August</w:t>
            </w:r>
            <w:r w:rsidR="00F616E0">
              <w:t xml:space="preserve"> 201</w:t>
            </w:r>
            <w:r w:rsidR="009F6FA2">
              <w:t>5</w:t>
            </w:r>
          </w:p>
          <w:p w:rsidR="00F616E0" w:rsidRDefault="009D12F0" w:rsidP="00C0554D">
            <w:pPr>
              <w:spacing w:line="240" w:lineRule="exact"/>
            </w:pPr>
            <w:r>
              <w:t>English</w:t>
            </w:r>
          </w:p>
          <w:p w:rsidR="00B56E9C" w:rsidRDefault="00F616E0" w:rsidP="00C0554D">
            <w:pPr>
              <w:spacing w:line="240" w:lineRule="exact"/>
            </w:pPr>
            <w:r>
              <w:t xml:space="preserve">Original: </w:t>
            </w:r>
            <w:r w:rsidR="00D31A7D">
              <w:t xml:space="preserve">English and </w:t>
            </w:r>
            <w:r w:rsidR="006F3E7F">
              <w:t>Russian</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F616E0" w:rsidP="00C96DF2">
      <w:pPr>
        <w:spacing w:before="120"/>
        <w:rPr>
          <w:b/>
        </w:rPr>
      </w:pPr>
      <w:r>
        <w:rPr>
          <w:b/>
        </w:rPr>
        <w:t>S</w:t>
      </w:r>
      <w:r w:rsidR="00917E37">
        <w:rPr>
          <w:b/>
        </w:rPr>
        <w:t>event</w:t>
      </w:r>
      <w:r w:rsidR="009F6FA2">
        <w:rPr>
          <w:b/>
        </w:rPr>
        <w:t>y-first</w:t>
      </w:r>
      <w:r w:rsidR="00C96DF2">
        <w:rPr>
          <w:b/>
        </w:rPr>
        <w:t xml:space="preserve"> session</w:t>
      </w:r>
    </w:p>
    <w:p w:rsidR="00C96DF2" w:rsidRDefault="00FE2FEF" w:rsidP="00C96DF2">
      <w:r>
        <w:t>Geneva</w:t>
      </w:r>
      <w:r w:rsidR="00F616E0">
        <w:t xml:space="preserve">, </w:t>
      </w:r>
      <w:r w:rsidR="009F6FA2">
        <w:t>6</w:t>
      </w:r>
      <w:r w:rsidR="00413616">
        <w:t>-</w:t>
      </w:r>
      <w:r w:rsidR="009F6FA2">
        <w:t>9</w:t>
      </w:r>
      <w:r w:rsidR="00F616E0">
        <w:t xml:space="preserve"> </w:t>
      </w:r>
      <w:r w:rsidR="00413616">
        <w:t xml:space="preserve">October </w:t>
      </w:r>
      <w:r w:rsidR="00CB487E">
        <w:t>201</w:t>
      </w:r>
      <w:r w:rsidR="009F6FA2">
        <w:t>5</w:t>
      </w:r>
    </w:p>
    <w:p w:rsidR="00C96DF2" w:rsidRDefault="00FA7D6D" w:rsidP="00C96DF2">
      <w:r>
        <w:t>I</w:t>
      </w:r>
      <w:r w:rsidR="00F616E0">
        <w:t>tem</w:t>
      </w:r>
      <w:r w:rsidR="00917E37">
        <w:t xml:space="preserve"> </w:t>
      </w:r>
      <w:r w:rsidR="00DC222F">
        <w:t>5 (a</w:t>
      </w:r>
      <w:r w:rsidR="000D646D">
        <w:t>)</w:t>
      </w:r>
      <w:r w:rsidR="00917E37">
        <w:t xml:space="preserve"> of t</w:t>
      </w:r>
      <w:r w:rsidR="0024772E">
        <w:t>he provisional agenda</w:t>
      </w:r>
    </w:p>
    <w:p w:rsidR="000D646D" w:rsidRDefault="000D646D" w:rsidP="000D646D">
      <w:pPr>
        <w:rPr>
          <w:b/>
        </w:rPr>
      </w:pPr>
      <w:r>
        <w:rPr>
          <w:b/>
        </w:rPr>
        <w:t>Proposals of amendments to ATP: Pending proposals</w:t>
      </w:r>
    </w:p>
    <w:p w:rsidR="000D646D" w:rsidRPr="000D646D" w:rsidRDefault="00446BA7" w:rsidP="00660601">
      <w:pPr>
        <w:pStyle w:val="HChG"/>
      </w:pPr>
      <w:r>
        <w:rPr>
          <w:lang w:eastAsia="ar-SA"/>
        </w:rPr>
        <w:tab/>
      </w:r>
      <w:r w:rsidR="000D646D">
        <w:rPr>
          <w:lang w:eastAsia="ar-SA"/>
        </w:rPr>
        <w:tab/>
      </w:r>
      <w:r w:rsidR="000D646D" w:rsidRPr="000D646D">
        <w:t xml:space="preserve">Proposal to change references to standards </w:t>
      </w:r>
      <w:r w:rsidR="000D646D" w:rsidRPr="00F14BCB">
        <w:t>in</w:t>
      </w:r>
      <w:r w:rsidR="000D646D" w:rsidRPr="000D646D">
        <w:t xml:space="preserve"> the ATP</w:t>
      </w:r>
      <w:r w:rsidR="00660601" w:rsidRPr="00660601">
        <w:rPr>
          <w:vertAlign w:val="superscript"/>
        </w:rPr>
        <w:footnoteReference w:id="2"/>
      </w:r>
      <w:r w:rsidR="00660601" w:rsidRPr="00660601">
        <w:rPr>
          <w:vertAlign w:val="superscript"/>
        </w:rPr>
        <w:t>,</w:t>
      </w:r>
      <w:r w:rsidR="00545161">
        <w:rPr>
          <w:vertAlign w:val="superscript"/>
        </w:rPr>
        <w:t xml:space="preserve"> </w:t>
      </w:r>
      <w:r w:rsidR="00660601" w:rsidRPr="00660601">
        <w:rPr>
          <w:vertAlign w:val="superscript"/>
        </w:rPr>
        <w:footnoteReference w:id="3"/>
      </w:r>
    </w:p>
    <w:p w:rsidR="000D646D" w:rsidRPr="000D646D" w:rsidRDefault="000D646D" w:rsidP="00D31A7D">
      <w:pPr>
        <w:pStyle w:val="H1G"/>
        <w:spacing w:before="240"/>
      </w:pPr>
      <w:r>
        <w:tab/>
      </w:r>
      <w:r>
        <w:tab/>
      </w:r>
      <w:r w:rsidRPr="000D646D">
        <w:t xml:space="preserve">Transmitted by the </w:t>
      </w:r>
      <w:r w:rsidR="003E302B">
        <w:t xml:space="preserve">Government of the </w:t>
      </w:r>
      <w:r w:rsidRPr="000D646D">
        <w:t xml:space="preserve">Russian </w:t>
      </w:r>
      <w:r w:rsidRPr="00F14BCB">
        <w:t>Federation</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02"/>
        <w:gridCol w:w="6769"/>
      </w:tblGrid>
      <w:tr w:rsidR="000D646D" w:rsidRPr="000D646D" w:rsidTr="00B03BA6">
        <w:tc>
          <w:tcPr>
            <w:tcW w:w="9571" w:type="dxa"/>
            <w:gridSpan w:val="2"/>
            <w:tcBorders>
              <w:top w:val="single" w:sz="4" w:space="0" w:color="auto"/>
            </w:tcBorders>
          </w:tcPr>
          <w:p w:rsidR="000D646D" w:rsidRPr="000D646D" w:rsidRDefault="009F00F7" w:rsidP="009F00F7">
            <w:pPr>
              <w:suppressAutoHyphens w:val="0"/>
              <w:spacing w:line="240" w:lineRule="auto"/>
              <w:rPr>
                <w:b/>
                <w:sz w:val="24"/>
                <w:szCs w:val="24"/>
              </w:rPr>
            </w:pPr>
            <w:r w:rsidRPr="00A10A42">
              <w:rPr>
                <w:i/>
                <w:sz w:val="24"/>
              </w:rPr>
              <w:t>Summary</w:t>
            </w:r>
          </w:p>
        </w:tc>
      </w:tr>
      <w:tr w:rsidR="000D646D" w:rsidRPr="000D646D" w:rsidTr="00B558DA">
        <w:tc>
          <w:tcPr>
            <w:tcW w:w="2802" w:type="dxa"/>
          </w:tcPr>
          <w:p w:rsidR="000D646D" w:rsidRPr="000D646D" w:rsidRDefault="000D646D" w:rsidP="000D646D">
            <w:pPr>
              <w:suppressAutoHyphens w:val="0"/>
              <w:spacing w:line="240" w:lineRule="auto"/>
              <w:jc w:val="both"/>
              <w:rPr>
                <w:b/>
                <w:sz w:val="24"/>
                <w:szCs w:val="24"/>
              </w:rPr>
            </w:pPr>
            <w:r w:rsidRPr="009F00F7">
              <w:rPr>
                <w:b/>
              </w:rPr>
              <w:t>Executive summary</w:t>
            </w:r>
            <w:r w:rsidRPr="000D646D">
              <w:rPr>
                <w:b/>
                <w:sz w:val="24"/>
                <w:szCs w:val="24"/>
              </w:rPr>
              <w:t>:</w:t>
            </w:r>
          </w:p>
        </w:tc>
        <w:tc>
          <w:tcPr>
            <w:tcW w:w="6769" w:type="dxa"/>
          </w:tcPr>
          <w:p w:rsidR="000D646D" w:rsidRPr="000D646D" w:rsidRDefault="000D646D" w:rsidP="000D646D">
            <w:pPr>
              <w:suppressAutoHyphens w:val="0"/>
              <w:spacing w:line="276" w:lineRule="auto"/>
              <w:jc w:val="both"/>
            </w:pPr>
            <w:r w:rsidRPr="000D646D">
              <w:t xml:space="preserve">References to standards in the ATP are necessary as they contain detailed information that might </w:t>
            </w:r>
            <w:r w:rsidR="00677D98">
              <w:t>not be reflected in the ATP</w:t>
            </w:r>
            <w:r w:rsidRPr="000D646D">
              <w:t>.</w:t>
            </w:r>
          </w:p>
          <w:p w:rsidR="000D646D" w:rsidRPr="000D646D" w:rsidRDefault="000D646D" w:rsidP="000D646D">
            <w:pPr>
              <w:suppressAutoHyphens w:val="0"/>
              <w:spacing w:line="276" w:lineRule="auto"/>
              <w:jc w:val="both"/>
            </w:pPr>
            <w:r w:rsidRPr="000D646D">
              <w:t xml:space="preserve">However, the ATP must include references only to standards applicable in all countries that are Contracting Parties to the ATP. </w:t>
            </w:r>
          </w:p>
          <w:p w:rsidR="000D646D" w:rsidRPr="000D646D" w:rsidRDefault="000D646D" w:rsidP="000D646D">
            <w:pPr>
              <w:suppressAutoHyphens w:val="0"/>
              <w:spacing w:line="276" w:lineRule="auto"/>
              <w:jc w:val="both"/>
            </w:pPr>
            <w:r w:rsidRPr="000D646D">
              <w:t>Annexes to the ATP include references to international (ISO, AMCA), as well as regional (EN) and national (BS – Great Britain; DIN – Germany; NEN –Netherlands; NF – France) standards.</w:t>
            </w:r>
          </w:p>
          <w:p w:rsidR="000D646D" w:rsidRPr="00B558DA" w:rsidRDefault="000D646D" w:rsidP="000D646D">
            <w:pPr>
              <w:suppressAutoHyphens w:val="0"/>
              <w:spacing w:line="276" w:lineRule="auto"/>
              <w:jc w:val="both"/>
              <w:rPr>
                <w:spacing w:val="-2"/>
              </w:rPr>
            </w:pPr>
            <w:r w:rsidRPr="00B558DA">
              <w:rPr>
                <w:spacing w:val="-2"/>
              </w:rPr>
              <w:t>At the same time, regional and national standards can only be used in the countries where they apply and do not extend to all the Contracting Parties to the ATP.</w:t>
            </w:r>
          </w:p>
          <w:p w:rsidR="000D646D" w:rsidRPr="000D646D" w:rsidRDefault="000D646D" w:rsidP="000D646D">
            <w:pPr>
              <w:suppressAutoHyphens w:val="0"/>
              <w:spacing w:line="276" w:lineRule="auto"/>
              <w:jc w:val="both"/>
            </w:pPr>
            <w:r w:rsidRPr="000D646D">
              <w:t>In addition, many standards referred to in the annexes to the ATP are outdated, wrongly marked or cannot be found in public information resources on standardisation.</w:t>
            </w:r>
          </w:p>
          <w:p w:rsidR="000D646D" w:rsidRPr="000D646D" w:rsidRDefault="000D646D" w:rsidP="003E302B">
            <w:pPr>
              <w:suppressAutoHyphens w:val="0"/>
              <w:spacing w:line="276" w:lineRule="auto"/>
              <w:jc w:val="both"/>
              <w:rPr>
                <w:sz w:val="24"/>
                <w:szCs w:val="24"/>
              </w:rPr>
            </w:pPr>
            <w:r w:rsidRPr="000D646D">
              <w:t xml:space="preserve">The approach to </w:t>
            </w:r>
            <w:r w:rsidR="003E302B">
              <w:t>making</w:t>
            </w:r>
            <w:r w:rsidRPr="000D646D">
              <w:t xml:space="preserve"> references to standards needs to be revised, and compliance with the relevant requirements of the</w:t>
            </w:r>
            <w:r w:rsidRPr="000D646D">
              <w:rPr>
                <w:sz w:val="24"/>
                <w:szCs w:val="24"/>
              </w:rPr>
              <w:t xml:space="preserve"> </w:t>
            </w:r>
            <w:r w:rsidRPr="00477F32">
              <w:t>ATP needs to be ensured.</w:t>
            </w:r>
          </w:p>
        </w:tc>
      </w:tr>
      <w:tr w:rsidR="000D646D" w:rsidRPr="000D646D" w:rsidTr="00B558DA">
        <w:tc>
          <w:tcPr>
            <w:tcW w:w="2802" w:type="dxa"/>
          </w:tcPr>
          <w:p w:rsidR="000D646D" w:rsidRPr="009F00F7" w:rsidRDefault="000D646D" w:rsidP="000D646D">
            <w:pPr>
              <w:suppressAutoHyphens w:val="0"/>
              <w:spacing w:line="240" w:lineRule="auto"/>
              <w:jc w:val="both"/>
              <w:rPr>
                <w:b/>
              </w:rPr>
            </w:pPr>
            <w:r w:rsidRPr="009F00F7">
              <w:rPr>
                <w:b/>
              </w:rPr>
              <w:t>Action to be taken:</w:t>
            </w:r>
          </w:p>
        </w:tc>
        <w:tc>
          <w:tcPr>
            <w:tcW w:w="6769" w:type="dxa"/>
          </w:tcPr>
          <w:p w:rsidR="000D646D" w:rsidRPr="000D646D" w:rsidRDefault="000D646D" w:rsidP="000D646D">
            <w:pPr>
              <w:suppressAutoHyphens w:val="0"/>
              <w:spacing w:line="276" w:lineRule="auto"/>
              <w:jc w:val="both"/>
            </w:pPr>
            <w:r w:rsidRPr="000D646D">
              <w:t>Include in the ATP references to existing international ISO and AMCA and regional (European) EN standards, with the possibility of replacing them with similar international standards.</w:t>
            </w:r>
          </w:p>
          <w:p w:rsidR="000D646D" w:rsidRPr="000D646D" w:rsidRDefault="000D646D" w:rsidP="000D646D">
            <w:pPr>
              <w:suppressAutoHyphens w:val="0"/>
              <w:spacing w:line="276" w:lineRule="auto"/>
              <w:jc w:val="both"/>
            </w:pPr>
            <w:r w:rsidRPr="000D646D">
              <w:t>Remove references to national and outdated standards from the ATP.</w:t>
            </w:r>
          </w:p>
        </w:tc>
      </w:tr>
      <w:tr w:rsidR="000D646D" w:rsidRPr="000D646D" w:rsidTr="00B558DA">
        <w:tc>
          <w:tcPr>
            <w:tcW w:w="2802" w:type="dxa"/>
            <w:tcBorders>
              <w:bottom w:val="single" w:sz="4" w:space="0" w:color="auto"/>
            </w:tcBorders>
          </w:tcPr>
          <w:p w:rsidR="000D646D" w:rsidRPr="009F00F7" w:rsidRDefault="000D646D" w:rsidP="000D646D">
            <w:pPr>
              <w:suppressAutoHyphens w:val="0"/>
              <w:spacing w:line="240" w:lineRule="auto"/>
              <w:jc w:val="both"/>
              <w:rPr>
                <w:b/>
              </w:rPr>
            </w:pPr>
            <w:r w:rsidRPr="009F00F7">
              <w:rPr>
                <w:b/>
              </w:rPr>
              <w:t>Related documents:</w:t>
            </w:r>
          </w:p>
        </w:tc>
        <w:tc>
          <w:tcPr>
            <w:tcW w:w="6769" w:type="dxa"/>
            <w:tcBorders>
              <w:bottom w:val="single" w:sz="4" w:space="0" w:color="auto"/>
            </w:tcBorders>
          </w:tcPr>
          <w:p w:rsidR="000D646D" w:rsidRPr="000D646D" w:rsidRDefault="000D646D" w:rsidP="000D646D">
            <w:pPr>
              <w:suppressAutoHyphens w:val="0"/>
              <w:spacing w:line="276" w:lineRule="auto"/>
              <w:jc w:val="both"/>
            </w:pPr>
            <w:r w:rsidRPr="000D646D">
              <w:t>None</w:t>
            </w:r>
            <w:r w:rsidR="003E302B">
              <w:t>.</w:t>
            </w:r>
          </w:p>
        </w:tc>
      </w:tr>
    </w:tbl>
    <w:p w:rsidR="000D646D" w:rsidRPr="000D646D" w:rsidRDefault="009F00F7" w:rsidP="000D646D">
      <w:pPr>
        <w:pStyle w:val="HChG"/>
      </w:pPr>
      <w:r>
        <w:lastRenderedPageBreak/>
        <w:tab/>
      </w:r>
      <w:r>
        <w:tab/>
      </w:r>
      <w:r w:rsidR="000D646D" w:rsidRPr="000D646D">
        <w:t>Introduction</w:t>
      </w:r>
    </w:p>
    <w:p w:rsidR="000D646D" w:rsidRPr="000D646D" w:rsidRDefault="000D646D" w:rsidP="000D646D">
      <w:pPr>
        <w:pStyle w:val="SingleTxtG"/>
      </w:pPr>
      <w:r w:rsidRPr="000D646D">
        <w:t xml:space="preserve">1. </w:t>
      </w:r>
      <w:r w:rsidRPr="000D646D">
        <w:tab/>
        <w:t>At the 70</w:t>
      </w:r>
      <w:r w:rsidRPr="000D646D">
        <w:rPr>
          <w:vertAlign w:val="superscript"/>
        </w:rPr>
        <w:t>th</w:t>
      </w:r>
      <w:r w:rsidRPr="000D646D">
        <w:t xml:space="preserve"> session of the Working Party on the Transport of Perishable Foodstuffs,  documents pertaining to changes in references to standards available in the ATP were presented and considered (working documents: ECE/TRANS/WP.11/2014/18, Netherlands; ECE/TRANS/WP.11/2014/20, France; ECE/TRANS/WP.11/2014/15, part B, United Kingdom; informal documents – INF.3, Russian Federation).</w:t>
      </w:r>
    </w:p>
    <w:p w:rsidR="000D646D" w:rsidRPr="000D646D" w:rsidRDefault="000D646D" w:rsidP="000D646D">
      <w:pPr>
        <w:pStyle w:val="SingleTxtG"/>
      </w:pPr>
      <w:r w:rsidRPr="000D646D">
        <w:t xml:space="preserve">2. </w:t>
      </w:r>
      <w:r w:rsidR="009F00F7">
        <w:tab/>
      </w:r>
      <w:r w:rsidRPr="000D646D">
        <w:t>Despite the fact that not all Contracting Parties to the ATP are members of the Air Movement and Control Association International (AMCA), or even the International Organization for Standardization (ISO), a decision to replace national standards in the ATP with ISO standards and keep AMCA standards until they can be replaced was passed as a compromise.</w:t>
      </w:r>
    </w:p>
    <w:p w:rsidR="000D646D" w:rsidRPr="000D646D" w:rsidRDefault="000D646D" w:rsidP="000D646D">
      <w:pPr>
        <w:pStyle w:val="SingleTxtG"/>
        <w:rPr>
          <w:szCs w:val="22"/>
        </w:rPr>
      </w:pPr>
      <w:r w:rsidRPr="000D646D">
        <w:rPr>
          <w:szCs w:val="22"/>
        </w:rPr>
        <w:t>It was also decided that the relevant dates should be mentioned when using standards. However, as standards are regularly reviewed for different reasons, and their dates subsequently change, we find it unreasonable to make relevant changes in references to standards in the ATP every time.</w:t>
      </w:r>
    </w:p>
    <w:p w:rsidR="000D646D" w:rsidRPr="000D646D" w:rsidRDefault="000D646D" w:rsidP="000D646D">
      <w:pPr>
        <w:pStyle w:val="SingleTxtG"/>
      </w:pPr>
      <w:r w:rsidRPr="000D646D">
        <w:t xml:space="preserve">3. </w:t>
      </w:r>
      <w:r w:rsidR="009F00F7">
        <w:tab/>
      </w:r>
      <w:r w:rsidRPr="000D646D">
        <w:t xml:space="preserve">It is currently impossible to find on the ISO website international counterparts of regional (European) standards EN 13486, referred to in </w:t>
      </w:r>
      <w:r w:rsidR="003E302B">
        <w:t>p</w:t>
      </w:r>
      <w:r w:rsidRPr="000D646D">
        <w:t xml:space="preserve">aragraph 2 of Annex 2, </w:t>
      </w:r>
      <w:r w:rsidR="003E302B">
        <w:br/>
      </w:r>
      <w:r w:rsidRPr="000D646D">
        <w:t xml:space="preserve">Appendix 1 </w:t>
      </w:r>
      <w:r w:rsidR="00677D98">
        <w:t>of</w:t>
      </w:r>
      <w:r w:rsidRPr="000D646D">
        <w:t xml:space="preserve"> the </w:t>
      </w:r>
      <w:r w:rsidR="003E302B">
        <w:t>current</w:t>
      </w:r>
      <w:r w:rsidRPr="000D646D">
        <w:t xml:space="preserve"> ATP and EN 12830 referred to in </w:t>
      </w:r>
      <w:r w:rsidR="003E302B">
        <w:t>p</w:t>
      </w:r>
      <w:r w:rsidRPr="000D646D">
        <w:t xml:space="preserve">aragraph 3 of Annex 2, Appendix 1 </w:t>
      </w:r>
      <w:r w:rsidR="00677D98">
        <w:t>of</w:t>
      </w:r>
      <w:r w:rsidRPr="000D646D">
        <w:t xml:space="preserve"> the </w:t>
      </w:r>
      <w:r w:rsidR="003E302B">
        <w:t>current</w:t>
      </w:r>
      <w:r w:rsidRPr="000D646D">
        <w:t xml:space="preserve"> ATP.</w:t>
      </w:r>
    </w:p>
    <w:p w:rsidR="000D646D" w:rsidRPr="000D646D" w:rsidRDefault="000D646D" w:rsidP="000D646D">
      <w:pPr>
        <w:pStyle w:val="SingleTxtG"/>
      </w:pPr>
      <w:r w:rsidRPr="000D646D">
        <w:t>Th</w:t>
      </w:r>
      <w:r w:rsidR="00677D98">
        <w:t xml:space="preserve">ere are about 10 ISO standards </w:t>
      </w:r>
      <w:r w:rsidRPr="000D646D">
        <w:t>f</w:t>
      </w:r>
      <w:r w:rsidR="00677D98">
        <w:t>rom</w:t>
      </w:r>
      <w:r w:rsidRPr="000D646D">
        <w:t xml:space="preserve"> the 1970–80s regarding different types of thermometers (household, laboratory, etc.), but they are irrelevant to the topic of standards EN 13486 and EN 12830.</w:t>
      </w:r>
    </w:p>
    <w:p w:rsidR="000D646D" w:rsidRPr="000D646D" w:rsidRDefault="000D646D" w:rsidP="000D646D">
      <w:pPr>
        <w:pStyle w:val="SingleTxtG"/>
      </w:pPr>
      <w:r w:rsidRPr="000D646D">
        <w:t>For this reason, we propose to leave existing references to standards EN 13486 and EN</w:t>
      </w:r>
      <w:r w:rsidR="003E302B">
        <w:t> </w:t>
      </w:r>
      <w:r w:rsidRPr="000D646D">
        <w:t xml:space="preserve">12830 in their current status in paragraphs 2 and 3 of Annex 2, Appendix 1 to the ATP until they can be replaced with similar international standards. And we find it necessary to </w:t>
      </w:r>
      <w:r w:rsidR="003E302B">
        <w:t>correct</w:t>
      </w:r>
      <w:r w:rsidRPr="000D646D">
        <w:t xml:space="preserve"> the Russian-language translation of standards EN 13486 and EN 12830 in the second and third paragraphs of Annex 2, Appendix 1 to the Russian-language version of the ATP.</w:t>
      </w:r>
    </w:p>
    <w:p w:rsidR="000D646D" w:rsidRPr="000D646D" w:rsidRDefault="009F00F7" w:rsidP="009F00F7">
      <w:pPr>
        <w:pStyle w:val="HChG"/>
      </w:pPr>
      <w:r>
        <w:tab/>
      </w:r>
      <w:r>
        <w:tab/>
      </w:r>
      <w:r w:rsidR="000D646D" w:rsidRPr="009F00F7">
        <w:t>Purpose</w:t>
      </w:r>
    </w:p>
    <w:p w:rsidR="000D646D" w:rsidRPr="000D646D" w:rsidRDefault="000D646D" w:rsidP="000D646D">
      <w:pPr>
        <w:pStyle w:val="SingleTxtG"/>
      </w:pPr>
      <w:r w:rsidRPr="000D646D">
        <w:t xml:space="preserve">4. </w:t>
      </w:r>
      <w:r w:rsidR="009F00F7">
        <w:tab/>
      </w:r>
      <w:r w:rsidRPr="000D646D">
        <w:t>The purpose is to update the ATP by including references to existing international ISO and AMCA standards, as well as to regional (European) EN standards, until they can be replaced with similar international standards and remove references to outdated and national standards, which will help improve commerce between the Contracting Parties to the Agreement.</w:t>
      </w:r>
    </w:p>
    <w:p w:rsidR="000D646D" w:rsidRPr="000D646D" w:rsidRDefault="000D646D" w:rsidP="000D646D">
      <w:pPr>
        <w:pStyle w:val="HChG"/>
      </w:pPr>
      <w:r w:rsidRPr="000D646D">
        <w:tab/>
      </w:r>
      <w:r w:rsidR="009F00F7">
        <w:tab/>
      </w:r>
      <w:r w:rsidRPr="000D646D">
        <w:t>Proposals</w:t>
      </w:r>
    </w:p>
    <w:p w:rsidR="000D646D" w:rsidRPr="000D646D" w:rsidRDefault="000D646D" w:rsidP="000D646D">
      <w:pPr>
        <w:pStyle w:val="SingleTxtG"/>
      </w:pPr>
      <w:r w:rsidRPr="000D646D">
        <w:t xml:space="preserve">5. </w:t>
      </w:r>
      <w:r w:rsidRPr="000D646D">
        <w:tab/>
        <w:t>Remove the last paragraph 4.3.2 of Annex l, Appendix 2 to the ATP:</w:t>
      </w:r>
    </w:p>
    <w:p w:rsidR="000D646D" w:rsidRPr="000D646D" w:rsidRDefault="000D646D" w:rsidP="000D646D">
      <w:pPr>
        <w:pStyle w:val="SingleTxtG"/>
      </w:pPr>
      <w:r w:rsidRPr="000D646D">
        <w:t xml:space="preserve">“4.3.2. The same procedure shall be followed for the enthalpy method… </w:t>
      </w:r>
    </w:p>
    <w:p w:rsidR="000D646D" w:rsidRPr="000D646D" w:rsidRDefault="000D646D" w:rsidP="000D646D">
      <w:pPr>
        <w:pStyle w:val="SingleTxtG"/>
        <w:rPr>
          <w:b/>
          <w:strike/>
        </w:rPr>
      </w:pPr>
      <w:r w:rsidRPr="000D646D">
        <w:rPr>
          <w:b/>
          <w:strike/>
        </w:rPr>
        <w:t>Appropriate methods are described in standards ISO 971, BS 3122, DIN, NEN, etc</w:t>
      </w:r>
      <w:r w:rsidRPr="00677D98">
        <w:rPr>
          <w:b/>
          <w:strike/>
        </w:rPr>
        <w:t xml:space="preserve">. </w:t>
      </w:r>
      <w:r w:rsidRPr="00677D98">
        <w:rPr>
          <w:strike/>
        </w:rPr>
        <w:t>An electric heater is placed inside the equipment in order to obtain the thermal equilibrium.”</w:t>
      </w:r>
    </w:p>
    <w:p w:rsidR="000D646D" w:rsidRPr="000D646D" w:rsidRDefault="000D646D" w:rsidP="000D646D">
      <w:pPr>
        <w:pStyle w:val="SingleTxtG"/>
      </w:pPr>
      <w:r w:rsidRPr="000D646D">
        <w:t xml:space="preserve">6. </w:t>
      </w:r>
      <w:r w:rsidR="009F00F7">
        <w:tab/>
      </w:r>
      <w:r w:rsidRPr="000D646D">
        <w:t>The last sente</w:t>
      </w:r>
      <w:r w:rsidR="00677D98">
        <w:t>nce of the second paragraph of s</w:t>
      </w:r>
      <w:r w:rsidRPr="000D646D">
        <w:t>ubparagraph ii) of 4.3.4</w:t>
      </w:r>
      <w:r w:rsidR="000523D5">
        <w:t xml:space="preserve"> of</w:t>
      </w:r>
      <w:r w:rsidRPr="000D646D">
        <w:t xml:space="preserve"> Annex l, Appendix 2 to the ATP is to be </w:t>
      </w:r>
      <w:r w:rsidR="00677D98">
        <w:t>amended</w:t>
      </w:r>
      <w:r w:rsidRPr="000D646D">
        <w:t xml:space="preserve"> as follows:</w:t>
      </w:r>
    </w:p>
    <w:p w:rsidR="000D646D" w:rsidRPr="000D646D" w:rsidRDefault="000D646D" w:rsidP="000D646D">
      <w:pPr>
        <w:pStyle w:val="SingleTxtG"/>
      </w:pPr>
      <w:r w:rsidRPr="000D646D">
        <w:t>“4.3.4 ….</w:t>
      </w:r>
    </w:p>
    <w:p w:rsidR="000D646D" w:rsidRPr="000D646D" w:rsidRDefault="000D646D" w:rsidP="000D646D">
      <w:pPr>
        <w:pStyle w:val="SingleTxtG"/>
      </w:pPr>
      <w:r w:rsidRPr="000D646D">
        <w:lastRenderedPageBreak/>
        <w:t>ii) …</w:t>
      </w:r>
    </w:p>
    <w:p w:rsidR="000D646D" w:rsidRPr="000D646D" w:rsidRDefault="000D646D" w:rsidP="000D646D">
      <w:pPr>
        <w:pStyle w:val="SingleTxtG"/>
      </w:pPr>
      <w:r w:rsidRPr="000D646D">
        <w:t xml:space="preserve">… Use of one of </w:t>
      </w:r>
      <w:r w:rsidR="003C1902">
        <w:t xml:space="preserve">the relevant </w:t>
      </w:r>
      <w:bookmarkStart w:id="0" w:name="_GoBack"/>
      <w:bookmarkEnd w:id="0"/>
      <w:r w:rsidRPr="000D646D">
        <w:t xml:space="preserve">existing standards, i.e. </w:t>
      </w:r>
      <w:r w:rsidRPr="000D646D">
        <w:rPr>
          <w:strike/>
        </w:rPr>
        <w:t>BS 848,</w:t>
      </w:r>
      <w:r w:rsidRPr="000D646D">
        <w:t xml:space="preserve"> </w:t>
      </w:r>
      <w:r w:rsidRPr="000D646D">
        <w:rPr>
          <w:b/>
        </w:rPr>
        <w:t>ISO 5801</w:t>
      </w:r>
      <w:r w:rsidRPr="000D646D">
        <w:t xml:space="preserve">, </w:t>
      </w:r>
      <w:r w:rsidRPr="000D646D">
        <w:rPr>
          <w:b/>
        </w:rPr>
        <w:t>AMCA 210</w:t>
      </w:r>
      <w:r w:rsidRPr="000D646D">
        <w:rPr>
          <w:strike/>
        </w:rPr>
        <w:t>-85</w:t>
      </w:r>
      <w:r w:rsidRPr="000D646D">
        <w:t xml:space="preserve">, </w:t>
      </w:r>
      <w:r w:rsidRPr="000D646D">
        <w:rPr>
          <w:strike/>
        </w:rPr>
        <w:t xml:space="preserve">AMCA 210-07, DIN 24163, NFE 36101, NF X10.102, DIN </w:t>
      </w:r>
      <w:r w:rsidRPr="003C1902">
        <w:rPr>
          <w:strike/>
        </w:rPr>
        <w:t>4796</w:t>
      </w:r>
      <w:r w:rsidRPr="000D646D">
        <w:t xml:space="preserve"> is recommended;”</w:t>
      </w:r>
    </w:p>
    <w:p w:rsidR="000D646D" w:rsidRDefault="000D646D" w:rsidP="000D646D">
      <w:pPr>
        <w:pStyle w:val="SingleTxtG"/>
      </w:pPr>
      <w:r w:rsidRPr="000D646D">
        <w:t xml:space="preserve">7. </w:t>
      </w:r>
      <w:r w:rsidR="009F00F7">
        <w:tab/>
      </w:r>
      <w:r w:rsidRPr="000D646D">
        <w:t xml:space="preserve">In the second paragraph of Annex 2, Appendix 1 to the Russian-language version of the ATP, the translation of the standard EN 13486 in Russian should be </w:t>
      </w:r>
      <w:r w:rsidR="000523D5">
        <w:t>corrected</w:t>
      </w:r>
      <w:r w:rsidR="00677D98">
        <w:t xml:space="preserve"> as follows</w:t>
      </w:r>
      <w:r w:rsidRPr="000D646D">
        <w:t>:</w:t>
      </w:r>
    </w:p>
    <w:p w:rsidR="00AB0C3B" w:rsidRPr="00660601" w:rsidRDefault="00AB0C3B" w:rsidP="00AB0C3B">
      <w:pPr>
        <w:pStyle w:val="SingleTxtG"/>
        <w:rPr>
          <w:lang w:val="ru-RU"/>
        </w:rPr>
      </w:pPr>
      <w:r w:rsidRPr="00AB0C3B">
        <w:rPr>
          <w:lang w:val="ru-RU"/>
        </w:rPr>
        <w:t>“Прибор проверяется уполномоченной организацией в соответствии со стандартом EN 13486 (</w:t>
      </w:r>
      <w:r w:rsidRPr="00AB0C3B">
        <w:rPr>
          <w:strike/>
          <w:lang w:val="ru-RU"/>
        </w:rPr>
        <w:t>Датчики температуры</w:t>
      </w:r>
      <w:r w:rsidRPr="00AB0C3B">
        <w:rPr>
          <w:b/>
          <w:lang w:val="ru-RU"/>
        </w:rPr>
        <w:t xml:space="preserve"> </w:t>
      </w:r>
      <w:r w:rsidRPr="00AB0C3B">
        <w:rPr>
          <w:b/>
          <w:i/>
          <w:lang w:val="ru-RU"/>
        </w:rPr>
        <w:t>Термографы</w:t>
      </w:r>
      <w:r w:rsidRPr="00AB0C3B">
        <w:rPr>
          <w:b/>
          <w:lang w:val="ru-RU"/>
        </w:rPr>
        <w:t xml:space="preserve"> </w:t>
      </w:r>
      <w:r w:rsidRPr="00AB0C3B">
        <w:rPr>
          <w:lang w:val="ru-RU"/>
        </w:rPr>
        <w:t>и термометры</w:t>
      </w:r>
      <w:r w:rsidRPr="00AB0C3B">
        <w:rPr>
          <w:strike/>
          <w:lang w:val="ru-RU"/>
        </w:rPr>
        <w:t>,</w:t>
      </w:r>
      <w:r w:rsidRPr="00AB0C3B">
        <w:rPr>
          <w:b/>
          <w:strike/>
          <w:lang w:val="ru-RU"/>
        </w:rPr>
        <w:t xml:space="preserve"> </w:t>
      </w:r>
      <w:r w:rsidRPr="00AB0C3B">
        <w:rPr>
          <w:strike/>
          <w:lang w:val="ru-RU"/>
        </w:rPr>
        <w:t>используемые в процессе</w:t>
      </w:r>
      <w:r w:rsidRPr="00AB0C3B">
        <w:rPr>
          <w:b/>
          <w:lang w:val="ru-RU"/>
        </w:rPr>
        <w:t xml:space="preserve"> </w:t>
      </w:r>
      <w:r w:rsidRPr="00AB0C3B">
        <w:rPr>
          <w:b/>
          <w:i/>
          <w:lang w:val="ru-RU"/>
        </w:rPr>
        <w:t xml:space="preserve">для </w:t>
      </w:r>
      <w:r w:rsidRPr="00AB0C3B">
        <w:rPr>
          <w:strike/>
          <w:lang w:val="ru-RU"/>
        </w:rPr>
        <w:t>перевозки</w:t>
      </w:r>
      <w:r w:rsidRPr="00AB0C3B">
        <w:rPr>
          <w:b/>
          <w:lang w:val="ru-RU"/>
        </w:rPr>
        <w:t xml:space="preserve"> </w:t>
      </w:r>
      <w:r w:rsidRPr="00AB0C3B">
        <w:rPr>
          <w:b/>
          <w:i/>
          <w:lang w:val="ru-RU"/>
        </w:rPr>
        <w:t>транспортировки</w:t>
      </w:r>
      <w:r w:rsidRPr="00AB0C3B">
        <w:rPr>
          <w:b/>
          <w:lang w:val="ru-RU"/>
        </w:rPr>
        <w:t xml:space="preserve">, </w:t>
      </w:r>
      <w:r w:rsidRPr="00AB0C3B">
        <w:rPr>
          <w:strike/>
          <w:lang w:val="ru-RU"/>
        </w:rPr>
        <w:t>складирования</w:t>
      </w:r>
      <w:r w:rsidRPr="00AB0C3B">
        <w:rPr>
          <w:lang w:val="ru-RU"/>
        </w:rPr>
        <w:t xml:space="preserve"> </w:t>
      </w:r>
      <w:r w:rsidRPr="00AB0C3B">
        <w:rPr>
          <w:b/>
          <w:i/>
          <w:lang w:val="ru-RU"/>
        </w:rPr>
        <w:t>хранения</w:t>
      </w:r>
      <w:r w:rsidRPr="00AB0C3B">
        <w:rPr>
          <w:b/>
          <w:lang w:val="ru-RU"/>
        </w:rPr>
        <w:t xml:space="preserve"> </w:t>
      </w:r>
      <w:r w:rsidRPr="00AB0C3B">
        <w:rPr>
          <w:lang w:val="ru-RU"/>
        </w:rPr>
        <w:t>и</w:t>
      </w:r>
      <w:r w:rsidRPr="00AB0C3B">
        <w:rPr>
          <w:b/>
          <w:lang w:val="ru-RU"/>
        </w:rPr>
        <w:t xml:space="preserve"> </w:t>
      </w:r>
      <w:r w:rsidRPr="00AB0C3B">
        <w:rPr>
          <w:strike/>
          <w:lang w:val="ru-RU"/>
        </w:rPr>
        <w:t>доставки</w:t>
      </w:r>
      <w:r w:rsidRPr="00AB0C3B">
        <w:rPr>
          <w:b/>
          <w:lang w:val="ru-RU"/>
        </w:rPr>
        <w:t xml:space="preserve"> </w:t>
      </w:r>
      <w:r w:rsidRPr="00AB0C3B">
        <w:rPr>
          <w:b/>
          <w:i/>
          <w:lang w:val="ru-RU"/>
        </w:rPr>
        <w:t xml:space="preserve">распределения </w:t>
      </w:r>
      <w:r w:rsidRPr="00AB0C3B">
        <w:rPr>
          <w:lang w:val="ru-RU"/>
        </w:rPr>
        <w:t>охлажденных, замороженных</w:t>
      </w:r>
      <w:r w:rsidRPr="00AB0C3B">
        <w:rPr>
          <w:strike/>
          <w:lang w:val="ru-RU"/>
        </w:rPr>
        <w:t>,</w:t>
      </w:r>
      <w:r w:rsidRPr="00AB0C3B">
        <w:rPr>
          <w:lang w:val="ru-RU"/>
        </w:rPr>
        <w:t xml:space="preserve"> </w:t>
      </w:r>
      <w:r w:rsidRPr="00AB0C3B">
        <w:rPr>
          <w:strike/>
          <w:lang w:val="ru-RU"/>
        </w:rPr>
        <w:t>глубокозамороженных/быстрозамороженных</w:t>
      </w:r>
      <w:r w:rsidRPr="00AB0C3B">
        <w:rPr>
          <w:lang w:val="ru-RU"/>
        </w:rPr>
        <w:t xml:space="preserve"> </w:t>
      </w:r>
      <w:r w:rsidRPr="00AB0C3B">
        <w:rPr>
          <w:strike/>
          <w:lang w:val="ru-RU"/>
        </w:rPr>
        <w:t>пищевых</w:t>
      </w:r>
      <w:r w:rsidRPr="00AB0C3B">
        <w:rPr>
          <w:lang w:val="ru-RU"/>
        </w:rPr>
        <w:t xml:space="preserve"> </w:t>
      </w:r>
      <w:r w:rsidRPr="00AB0C3B">
        <w:rPr>
          <w:b/>
          <w:i/>
          <w:lang w:val="ru-RU"/>
        </w:rPr>
        <w:t>и глубокой заморозки</w:t>
      </w:r>
      <w:r w:rsidRPr="00AB0C3B">
        <w:rPr>
          <w:lang w:val="ru-RU"/>
        </w:rPr>
        <w:t xml:space="preserve"> продуктов </w:t>
      </w:r>
      <w:r w:rsidRPr="00AB0C3B">
        <w:rPr>
          <w:b/>
          <w:i/>
          <w:lang w:val="ru-RU"/>
        </w:rPr>
        <w:t xml:space="preserve">питания </w:t>
      </w:r>
      <w:r w:rsidRPr="00AB0C3B">
        <w:rPr>
          <w:lang w:val="ru-RU"/>
        </w:rPr>
        <w:t>и мороженого – Периодическ</w:t>
      </w:r>
      <w:r w:rsidRPr="00AB0C3B">
        <w:rPr>
          <w:strike/>
          <w:lang w:val="ru-RU"/>
        </w:rPr>
        <w:t>ая</w:t>
      </w:r>
      <w:r w:rsidRPr="00AB0C3B">
        <w:rPr>
          <w:b/>
          <w:i/>
          <w:lang w:val="ru-RU"/>
        </w:rPr>
        <w:t>ие</w:t>
      </w:r>
      <w:r w:rsidRPr="00AB0C3B">
        <w:rPr>
          <w:lang w:val="ru-RU"/>
        </w:rPr>
        <w:t xml:space="preserve"> поверк</w:t>
      </w:r>
      <w:r w:rsidRPr="00AB0C3B">
        <w:rPr>
          <w:b/>
          <w:lang w:val="ru-RU"/>
        </w:rPr>
        <w:t>а</w:t>
      </w:r>
      <w:r w:rsidRPr="00AB0C3B">
        <w:rPr>
          <w:b/>
          <w:i/>
          <w:lang w:val="ru-RU"/>
        </w:rPr>
        <w:t>и</w:t>
      </w:r>
      <w:r w:rsidRPr="00AB0C3B">
        <w:rPr>
          <w:lang w:val="ru-RU"/>
        </w:rPr>
        <w:t xml:space="preserve">).” </w:t>
      </w:r>
    </w:p>
    <w:p w:rsidR="000D646D" w:rsidRPr="009F00F7" w:rsidRDefault="000D646D" w:rsidP="009F00F7">
      <w:pPr>
        <w:pStyle w:val="SingleTxtG"/>
      </w:pPr>
      <w:r w:rsidRPr="000D646D">
        <w:t xml:space="preserve">8. </w:t>
      </w:r>
      <w:r w:rsidR="009F00F7">
        <w:tab/>
      </w:r>
      <w:r w:rsidRPr="000D646D">
        <w:t xml:space="preserve">In the third paragraph of Annex 2, Appendix 1 to the Russian-language </w:t>
      </w:r>
      <w:r w:rsidRPr="009F00F7">
        <w:t>version</w:t>
      </w:r>
      <w:r w:rsidRPr="000D646D">
        <w:t xml:space="preserve"> of the ATP, the translation of the standard EN 12830 in Russian </w:t>
      </w:r>
      <w:r w:rsidR="00677D98">
        <w:t>should</w:t>
      </w:r>
      <w:r w:rsidRPr="000D646D">
        <w:t xml:space="preserve"> be </w:t>
      </w:r>
      <w:r w:rsidR="000B32E8">
        <w:t>corrected</w:t>
      </w:r>
      <w:r w:rsidR="00677D98">
        <w:t xml:space="preserve"> as follows</w:t>
      </w:r>
      <w:r w:rsidRPr="000D646D">
        <w:t>:</w:t>
      </w:r>
    </w:p>
    <w:p w:rsidR="000D646D" w:rsidRPr="00660601" w:rsidRDefault="000D646D" w:rsidP="009F00F7">
      <w:pPr>
        <w:pStyle w:val="SingleTxtG"/>
        <w:rPr>
          <w:lang w:val="ru-RU"/>
        </w:rPr>
      </w:pPr>
      <w:r w:rsidRPr="000D646D">
        <w:rPr>
          <w:lang w:val="ru-RU"/>
        </w:rPr>
        <w:t xml:space="preserve">“Прибор должен соответствовать стандарту </w:t>
      </w:r>
      <w:r w:rsidRPr="000D646D">
        <w:t>EN</w:t>
      </w:r>
      <w:r w:rsidRPr="000D646D">
        <w:rPr>
          <w:lang w:val="ru-RU"/>
        </w:rPr>
        <w:t xml:space="preserve"> 12830 (</w:t>
      </w:r>
      <w:r w:rsidRPr="000D646D">
        <w:rPr>
          <w:strike/>
          <w:lang w:val="ru-RU"/>
        </w:rPr>
        <w:t>Датчики температуры, используемые в процессе перевозки, складирования и доставки</w:t>
      </w:r>
      <w:r w:rsidRPr="000D646D">
        <w:rPr>
          <w:lang w:val="ru-RU"/>
        </w:rPr>
        <w:t xml:space="preserve">  </w:t>
      </w:r>
      <w:r w:rsidRPr="000D646D">
        <w:rPr>
          <w:b/>
          <w:i/>
          <w:lang w:val="ru-RU"/>
        </w:rPr>
        <w:t xml:space="preserve">Регистраторы температурные для транспортировки, хранения и распределения </w:t>
      </w:r>
      <w:r w:rsidRPr="000D646D">
        <w:rPr>
          <w:lang w:val="ru-RU"/>
        </w:rPr>
        <w:t xml:space="preserve">охлажденных, замороженных, глубокозамороженных/быстрозамороженных пищевых продуктов и мороженого – Испытания, </w:t>
      </w:r>
      <w:r w:rsidRPr="000D646D">
        <w:rPr>
          <w:strike/>
          <w:lang w:val="ru-RU"/>
        </w:rPr>
        <w:t>рабочие</w:t>
      </w:r>
      <w:r w:rsidRPr="000D646D">
        <w:rPr>
          <w:lang w:val="ru-RU"/>
        </w:rPr>
        <w:t xml:space="preserve"> </w:t>
      </w:r>
      <w:r w:rsidRPr="000D646D">
        <w:rPr>
          <w:b/>
          <w:i/>
          <w:lang w:val="ru-RU"/>
        </w:rPr>
        <w:t>эксплуатационные</w:t>
      </w:r>
      <w:r w:rsidRPr="000D646D">
        <w:rPr>
          <w:lang w:val="ru-RU"/>
        </w:rPr>
        <w:t xml:space="preserve"> характеристики</w:t>
      </w:r>
      <w:r w:rsidRPr="000D646D">
        <w:rPr>
          <w:strike/>
          <w:lang w:val="ru-RU"/>
        </w:rPr>
        <w:t>,</w:t>
      </w:r>
      <w:r w:rsidRPr="000D646D">
        <w:rPr>
          <w:lang w:val="ru-RU"/>
        </w:rPr>
        <w:t xml:space="preserve">  </w:t>
      </w:r>
      <w:r w:rsidRPr="000D646D">
        <w:rPr>
          <w:b/>
          <w:i/>
          <w:lang w:val="ru-RU"/>
        </w:rPr>
        <w:t>и</w:t>
      </w:r>
      <w:r w:rsidRPr="000D646D">
        <w:rPr>
          <w:lang w:val="ru-RU"/>
        </w:rPr>
        <w:t xml:space="preserve"> пригодность </w:t>
      </w:r>
      <w:r w:rsidRPr="000D646D">
        <w:rPr>
          <w:b/>
          <w:i/>
          <w:lang w:val="ru-RU"/>
        </w:rPr>
        <w:t>к применению</w:t>
      </w:r>
      <w:r w:rsidRPr="000D646D">
        <w:rPr>
          <w:lang w:val="ru-RU"/>
        </w:rPr>
        <w:t>).”</w:t>
      </w:r>
    </w:p>
    <w:p w:rsidR="000D646D" w:rsidRPr="000D646D" w:rsidRDefault="009F00F7" w:rsidP="000D646D">
      <w:pPr>
        <w:pStyle w:val="HChG"/>
      </w:pPr>
      <w:r w:rsidRPr="00660601">
        <w:rPr>
          <w:lang w:val="ru-RU"/>
        </w:rPr>
        <w:tab/>
      </w:r>
      <w:r w:rsidRPr="00660601">
        <w:rPr>
          <w:lang w:val="ru-RU"/>
        </w:rPr>
        <w:tab/>
      </w:r>
      <w:r w:rsidR="000D646D" w:rsidRPr="000D646D">
        <w:t>Costs</w:t>
      </w:r>
    </w:p>
    <w:p w:rsidR="000D646D" w:rsidRPr="000D646D" w:rsidRDefault="000D646D" w:rsidP="000D646D">
      <w:pPr>
        <w:pStyle w:val="SingleTxtG"/>
      </w:pPr>
      <w:r w:rsidRPr="000D646D">
        <w:t xml:space="preserve">9. </w:t>
      </w:r>
      <w:r w:rsidRPr="000D646D">
        <w:tab/>
        <w:t xml:space="preserve">No additional costs are </w:t>
      </w:r>
      <w:r w:rsidR="000B32E8">
        <w:t>foreseen</w:t>
      </w:r>
      <w:r w:rsidRPr="000D646D">
        <w:t>, as at present all the Contracting Parties to the ATP and the WP.11 secretariat exchange documents electronically.</w:t>
      </w:r>
    </w:p>
    <w:p w:rsidR="000D646D" w:rsidRPr="000D646D" w:rsidRDefault="000D646D" w:rsidP="000D646D">
      <w:pPr>
        <w:pStyle w:val="HChG"/>
      </w:pPr>
      <w:r w:rsidRPr="000D646D">
        <w:tab/>
      </w:r>
      <w:r w:rsidR="009F00F7">
        <w:tab/>
      </w:r>
      <w:r w:rsidRPr="000D646D">
        <w:t>Enforceability</w:t>
      </w:r>
    </w:p>
    <w:p w:rsidR="00E1255D" w:rsidRPr="00E1255D" w:rsidRDefault="000D646D" w:rsidP="000D646D">
      <w:pPr>
        <w:pStyle w:val="SingleTxtG"/>
        <w:rPr>
          <w:rFonts w:eastAsia="Calibri"/>
        </w:rPr>
      </w:pPr>
      <w:r w:rsidRPr="000D646D">
        <w:t xml:space="preserve">10. </w:t>
      </w:r>
      <w:r w:rsidR="009F00F7">
        <w:tab/>
      </w:r>
      <w:r w:rsidRPr="000D646D">
        <w:t>No problems are foreseen.</w:t>
      </w:r>
    </w:p>
    <w:p w:rsidR="00E041BF" w:rsidRPr="00E041BF" w:rsidRDefault="00E041BF" w:rsidP="00E041BF">
      <w:pPr>
        <w:pStyle w:val="SingleTxtG"/>
        <w:spacing w:before="240" w:after="0"/>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p>
    <w:sectPr w:rsidR="00E041BF" w:rsidRPr="00E041BF" w:rsidSect="00F14BC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08" w:rsidRDefault="00275608"/>
  </w:endnote>
  <w:endnote w:type="continuationSeparator" w:id="0">
    <w:p w:rsidR="00275608" w:rsidRDefault="00275608"/>
  </w:endnote>
  <w:endnote w:type="continuationNotice" w:id="1">
    <w:p w:rsidR="00275608" w:rsidRDefault="00275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9" w:rsidRPr="00F616E0" w:rsidRDefault="00404D39"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3C1902">
      <w:rPr>
        <w:b/>
        <w:noProof/>
        <w:sz w:val="18"/>
      </w:rPr>
      <w:t>2</w:t>
    </w:r>
    <w:r w:rsidRPr="00F616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9" w:rsidRPr="00F616E0" w:rsidRDefault="00404D39"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3C1902">
      <w:rPr>
        <w:b/>
        <w:noProof/>
        <w:sz w:val="18"/>
      </w:rPr>
      <w:t>3</w:t>
    </w:r>
    <w:r w:rsidRPr="00F616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9" w:rsidRPr="00F616E0" w:rsidRDefault="00DF1FB9">
    <w:pPr>
      <w:pStyle w:val="Footer"/>
      <w:rPr>
        <w:sz w:val="20"/>
      </w:rPr>
    </w:pPr>
    <w:r>
      <w:rPr>
        <w:noProof/>
        <w:sz w:val="20"/>
        <w:lang w:eastAsia="en-GB"/>
      </w:rPr>
      <w:drawing>
        <wp:anchor distT="0" distB="0" distL="114300" distR="114300" simplePos="0" relativeHeight="251657728" behindDoc="0" locked="1" layoutInCell="1" allowOverlap="1" wp14:anchorId="365DCC53" wp14:editId="47744FD0">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F0">
      <w:rPr>
        <w:sz w:val="20"/>
      </w:rPr>
      <w:t>GE.15</w:t>
    </w:r>
    <w:r w:rsidR="00404D3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08" w:rsidRPr="000B175B" w:rsidRDefault="00275608" w:rsidP="000B175B">
      <w:pPr>
        <w:tabs>
          <w:tab w:val="right" w:pos="2155"/>
        </w:tabs>
        <w:spacing w:after="80"/>
        <w:ind w:left="680"/>
        <w:rPr>
          <w:u w:val="single"/>
        </w:rPr>
      </w:pPr>
      <w:r>
        <w:rPr>
          <w:u w:val="single"/>
        </w:rPr>
        <w:tab/>
      </w:r>
    </w:p>
  </w:footnote>
  <w:footnote w:type="continuationSeparator" w:id="0">
    <w:p w:rsidR="00275608" w:rsidRPr="00FC68B7" w:rsidRDefault="00275608" w:rsidP="00FC68B7">
      <w:pPr>
        <w:tabs>
          <w:tab w:val="left" w:pos="2155"/>
        </w:tabs>
        <w:spacing w:after="80"/>
        <w:ind w:left="680"/>
        <w:rPr>
          <w:u w:val="single"/>
        </w:rPr>
      </w:pPr>
      <w:r>
        <w:rPr>
          <w:u w:val="single"/>
        </w:rPr>
        <w:tab/>
      </w:r>
    </w:p>
  </w:footnote>
  <w:footnote w:type="continuationNotice" w:id="1">
    <w:p w:rsidR="00275608" w:rsidRDefault="00275608"/>
  </w:footnote>
  <w:footnote w:id="2">
    <w:p w:rsidR="00660601" w:rsidRDefault="00ED4909" w:rsidP="00ED4909">
      <w:pPr>
        <w:pStyle w:val="FootnoteText"/>
      </w:pPr>
      <w:r>
        <w:tab/>
      </w:r>
      <w:r w:rsidR="00660601">
        <w:rPr>
          <w:rStyle w:val="FootnoteReference"/>
        </w:rPr>
        <w:footnoteRef/>
      </w:r>
      <w:r w:rsidR="00660601">
        <w:t xml:space="preserve"> </w:t>
      </w:r>
      <w:r>
        <w:tab/>
      </w:r>
      <w:r w:rsidR="00660601">
        <w:t>This document was submitted late for document processing as clearances from relevant parties were received late.</w:t>
      </w:r>
    </w:p>
  </w:footnote>
  <w:footnote w:id="3">
    <w:p w:rsidR="00660601" w:rsidRDefault="00ED4909" w:rsidP="00660601">
      <w:pPr>
        <w:pStyle w:val="FootnoteText"/>
      </w:pPr>
      <w:r>
        <w:tab/>
      </w:r>
      <w:r w:rsidR="00660601">
        <w:rPr>
          <w:rStyle w:val="FootnoteReference"/>
        </w:rPr>
        <w:footnoteRef/>
      </w:r>
      <w:r w:rsidR="00660601">
        <w:t xml:space="preserve"> </w:t>
      </w:r>
      <w:r>
        <w:tab/>
      </w:r>
      <w:r w:rsidR="00D31A7D">
        <w:t>The</w:t>
      </w:r>
      <w:r w:rsidR="00477F32" w:rsidRPr="00477F32">
        <w:t xml:space="preserve"> English translation of this document was supplied by the Russian Federation.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9" w:rsidRPr="00F616E0" w:rsidRDefault="009F6FA2" w:rsidP="003C4BB1">
    <w:pPr>
      <w:pStyle w:val="Header"/>
    </w:pPr>
    <w:r>
      <w:t>ECE/TRANS/WP.11/2015</w:t>
    </w:r>
    <w:r w:rsidR="00404D39">
      <w:t>/</w:t>
    </w:r>
    <w:r w:rsidR="000D646D">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39" w:rsidRPr="00F616E0" w:rsidRDefault="00404D39" w:rsidP="00F616E0">
    <w:pPr>
      <w:pStyle w:val="Header"/>
      <w:jc w:val="right"/>
    </w:pPr>
    <w:r>
      <w:t>ECE/TRANS/WP.11/201</w:t>
    </w:r>
    <w:r w:rsidR="000D646D">
      <w:t>5/20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7F" w:rsidRDefault="006F3E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475C3"/>
    <w:multiLevelType w:val="hybridMultilevel"/>
    <w:tmpl w:val="E37CC7FA"/>
    <w:lvl w:ilvl="0" w:tplc="03D41FEC">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9B6BB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397FDC"/>
    <w:multiLevelType w:val="multilevel"/>
    <w:tmpl w:val="2D0C849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18C0B7E"/>
    <w:multiLevelType w:val="hybridMultilevel"/>
    <w:tmpl w:val="C3E6F9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C7E12A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0"/>
  </w:num>
  <w:num w:numId="16">
    <w:abstractNumId w:val="15"/>
  </w:num>
  <w:num w:numId="17">
    <w:abstractNumId w:val="12"/>
  </w:num>
  <w:num w:numId="18">
    <w:abstractNumId w:val="17"/>
  </w:num>
  <w:num w:numId="19">
    <w:abstractNumId w:val="1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3E"/>
    <w:rsid w:val="000036AF"/>
    <w:rsid w:val="00021E79"/>
    <w:rsid w:val="000253BC"/>
    <w:rsid w:val="00026B0C"/>
    <w:rsid w:val="000433C5"/>
    <w:rsid w:val="00046B1F"/>
    <w:rsid w:val="00050F6B"/>
    <w:rsid w:val="000513C9"/>
    <w:rsid w:val="000523D5"/>
    <w:rsid w:val="00057CAB"/>
    <w:rsid w:val="00057E97"/>
    <w:rsid w:val="00062906"/>
    <w:rsid w:val="000646F4"/>
    <w:rsid w:val="0006528F"/>
    <w:rsid w:val="00072A11"/>
    <w:rsid w:val="00072C8C"/>
    <w:rsid w:val="000733B5"/>
    <w:rsid w:val="00081815"/>
    <w:rsid w:val="00082F1C"/>
    <w:rsid w:val="0009238E"/>
    <w:rsid w:val="000931C0"/>
    <w:rsid w:val="000A2D79"/>
    <w:rsid w:val="000B0595"/>
    <w:rsid w:val="000B175B"/>
    <w:rsid w:val="000B32E8"/>
    <w:rsid w:val="000B3A0F"/>
    <w:rsid w:val="000B4EF7"/>
    <w:rsid w:val="000C2C03"/>
    <w:rsid w:val="000C2D2E"/>
    <w:rsid w:val="000C703E"/>
    <w:rsid w:val="000D646D"/>
    <w:rsid w:val="000E0415"/>
    <w:rsid w:val="000F66F7"/>
    <w:rsid w:val="001073A9"/>
    <w:rsid w:val="001103AA"/>
    <w:rsid w:val="0011666B"/>
    <w:rsid w:val="00143BD5"/>
    <w:rsid w:val="001450FD"/>
    <w:rsid w:val="00156F6B"/>
    <w:rsid w:val="00165F3A"/>
    <w:rsid w:val="00187A6E"/>
    <w:rsid w:val="001A65D6"/>
    <w:rsid w:val="001B4B04"/>
    <w:rsid w:val="001B7022"/>
    <w:rsid w:val="001C0665"/>
    <w:rsid w:val="001C12E3"/>
    <w:rsid w:val="001C6663"/>
    <w:rsid w:val="001C7895"/>
    <w:rsid w:val="001C7AEB"/>
    <w:rsid w:val="001D0C8C"/>
    <w:rsid w:val="001D1419"/>
    <w:rsid w:val="001D26DF"/>
    <w:rsid w:val="001D31B0"/>
    <w:rsid w:val="001D3A03"/>
    <w:rsid w:val="001D6208"/>
    <w:rsid w:val="001E7B67"/>
    <w:rsid w:val="001F6C6A"/>
    <w:rsid w:val="00202DA8"/>
    <w:rsid w:val="00211132"/>
    <w:rsid w:val="00211E0B"/>
    <w:rsid w:val="0023604B"/>
    <w:rsid w:val="0024772E"/>
    <w:rsid w:val="00267F5F"/>
    <w:rsid w:val="00274058"/>
    <w:rsid w:val="00275608"/>
    <w:rsid w:val="00286B4D"/>
    <w:rsid w:val="00286C00"/>
    <w:rsid w:val="002C103C"/>
    <w:rsid w:val="002D4643"/>
    <w:rsid w:val="002D54AF"/>
    <w:rsid w:val="002D6171"/>
    <w:rsid w:val="002E5BFC"/>
    <w:rsid w:val="002E7FEA"/>
    <w:rsid w:val="002F175C"/>
    <w:rsid w:val="002F7481"/>
    <w:rsid w:val="00302E18"/>
    <w:rsid w:val="00305E87"/>
    <w:rsid w:val="003229D8"/>
    <w:rsid w:val="0033606C"/>
    <w:rsid w:val="00343104"/>
    <w:rsid w:val="00350EE7"/>
    <w:rsid w:val="00352709"/>
    <w:rsid w:val="003619B5"/>
    <w:rsid w:val="00364DF6"/>
    <w:rsid w:val="00365763"/>
    <w:rsid w:val="00371178"/>
    <w:rsid w:val="00387AC1"/>
    <w:rsid w:val="00392E47"/>
    <w:rsid w:val="00397B90"/>
    <w:rsid w:val="003A443C"/>
    <w:rsid w:val="003A6810"/>
    <w:rsid w:val="003B2F18"/>
    <w:rsid w:val="003C1902"/>
    <w:rsid w:val="003C2CC4"/>
    <w:rsid w:val="003C4BB1"/>
    <w:rsid w:val="003D1847"/>
    <w:rsid w:val="003D4B23"/>
    <w:rsid w:val="003D5CF9"/>
    <w:rsid w:val="003E130E"/>
    <w:rsid w:val="003E302B"/>
    <w:rsid w:val="003F176C"/>
    <w:rsid w:val="00404D39"/>
    <w:rsid w:val="00410C89"/>
    <w:rsid w:val="00413616"/>
    <w:rsid w:val="00422E03"/>
    <w:rsid w:val="00426B9B"/>
    <w:rsid w:val="004325CB"/>
    <w:rsid w:val="00434CE9"/>
    <w:rsid w:val="00442A83"/>
    <w:rsid w:val="00446BA7"/>
    <w:rsid w:val="0045495B"/>
    <w:rsid w:val="00455AF8"/>
    <w:rsid w:val="004561E5"/>
    <w:rsid w:val="00464B22"/>
    <w:rsid w:val="00476114"/>
    <w:rsid w:val="00477F32"/>
    <w:rsid w:val="0048397A"/>
    <w:rsid w:val="00485CBB"/>
    <w:rsid w:val="004866B7"/>
    <w:rsid w:val="00491DBA"/>
    <w:rsid w:val="00495FCD"/>
    <w:rsid w:val="00496046"/>
    <w:rsid w:val="004A1DB7"/>
    <w:rsid w:val="004C2461"/>
    <w:rsid w:val="004C7462"/>
    <w:rsid w:val="004D472E"/>
    <w:rsid w:val="004E49FA"/>
    <w:rsid w:val="004E64F0"/>
    <w:rsid w:val="004E77B2"/>
    <w:rsid w:val="00502E91"/>
    <w:rsid w:val="00504B2D"/>
    <w:rsid w:val="00510129"/>
    <w:rsid w:val="00511C9C"/>
    <w:rsid w:val="00514FB7"/>
    <w:rsid w:val="0051536F"/>
    <w:rsid w:val="0052136D"/>
    <w:rsid w:val="0052775E"/>
    <w:rsid w:val="005420F2"/>
    <w:rsid w:val="00545161"/>
    <w:rsid w:val="00554E53"/>
    <w:rsid w:val="00562612"/>
    <w:rsid w:val="005628B6"/>
    <w:rsid w:val="005669C5"/>
    <w:rsid w:val="005826B9"/>
    <w:rsid w:val="005829AB"/>
    <w:rsid w:val="0059170E"/>
    <w:rsid w:val="00592FF1"/>
    <w:rsid w:val="005941EC"/>
    <w:rsid w:val="00595DC2"/>
    <w:rsid w:val="0059724D"/>
    <w:rsid w:val="005B29FC"/>
    <w:rsid w:val="005B3DB3"/>
    <w:rsid w:val="005B4E13"/>
    <w:rsid w:val="005B6BEE"/>
    <w:rsid w:val="005C342F"/>
    <w:rsid w:val="005D6907"/>
    <w:rsid w:val="005D7AAE"/>
    <w:rsid w:val="005E7AB8"/>
    <w:rsid w:val="005F3FB8"/>
    <w:rsid w:val="005F7B75"/>
    <w:rsid w:val="006001EE"/>
    <w:rsid w:val="00600B94"/>
    <w:rsid w:val="00605042"/>
    <w:rsid w:val="00611FC4"/>
    <w:rsid w:val="0061498D"/>
    <w:rsid w:val="006176FB"/>
    <w:rsid w:val="006179CB"/>
    <w:rsid w:val="00635554"/>
    <w:rsid w:val="00640B26"/>
    <w:rsid w:val="00651E1A"/>
    <w:rsid w:val="00652D0A"/>
    <w:rsid w:val="006573AB"/>
    <w:rsid w:val="00660162"/>
    <w:rsid w:val="00660601"/>
    <w:rsid w:val="00662BB6"/>
    <w:rsid w:val="00676606"/>
    <w:rsid w:val="00677D98"/>
    <w:rsid w:val="00681EDD"/>
    <w:rsid w:val="00684C21"/>
    <w:rsid w:val="00692E29"/>
    <w:rsid w:val="0069490A"/>
    <w:rsid w:val="006A1A4A"/>
    <w:rsid w:val="006A2530"/>
    <w:rsid w:val="006A3207"/>
    <w:rsid w:val="006B4C53"/>
    <w:rsid w:val="006B6A4C"/>
    <w:rsid w:val="006C240E"/>
    <w:rsid w:val="006C3589"/>
    <w:rsid w:val="006D37AF"/>
    <w:rsid w:val="006D51D0"/>
    <w:rsid w:val="006D5FB9"/>
    <w:rsid w:val="006D78DF"/>
    <w:rsid w:val="006E564B"/>
    <w:rsid w:val="006E7191"/>
    <w:rsid w:val="006F3E7F"/>
    <w:rsid w:val="006F47C8"/>
    <w:rsid w:val="00703577"/>
    <w:rsid w:val="007048FD"/>
    <w:rsid w:val="00705894"/>
    <w:rsid w:val="0072090B"/>
    <w:rsid w:val="00723123"/>
    <w:rsid w:val="0072632A"/>
    <w:rsid w:val="00726728"/>
    <w:rsid w:val="007327D5"/>
    <w:rsid w:val="00751386"/>
    <w:rsid w:val="00753DA3"/>
    <w:rsid w:val="007629C8"/>
    <w:rsid w:val="0077047D"/>
    <w:rsid w:val="00781CCE"/>
    <w:rsid w:val="007973F8"/>
    <w:rsid w:val="007A4E46"/>
    <w:rsid w:val="007B2258"/>
    <w:rsid w:val="007B2CC7"/>
    <w:rsid w:val="007B6BA5"/>
    <w:rsid w:val="007C3390"/>
    <w:rsid w:val="007C4F4B"/>
    <w:rsid w:val="007C5E9F"/>
    <w:rsid w:val="007C6402"/>
    <w:rsid w:val="007E01E9"/>
    <w:rsid w:val="007E63F3"/>
    <w:rsid w:val="007F224B"/>
    <w:rsid w:val="007F2F6A"/>
    <w:rsid w:val="007F4DB3"/>
    <w:rsid w:val="007F6611"/>
    <w:rsid w:val="007F7AAB"/>
    <w:rsid w:val="00811920"/>
    <w:rsid w:val="00815AD0"/>
    <w:rsid w:val="00821246"/>
    <w:rsid w:val="008242D7"/>
    <w:rsid w:val="008257B1"/>
    <w:rsid w:val="00832334"/>
    <w:rsid w:val="00834B87"/>
    <w:rsid w:val="00843767"/>
    <w:rsid w:val="00845693"/>
    <w:rsid w:val="008679D9"/>
    <w:rsid w:val="00875ECE"/>
    <w:rsid w:val="00880784"/>
    <w:rsid w:val="00881CEE"/>
    <w:rsid w:val="00884CBC"/>
    <w:rsid w:val="008878DE"/>
    <w:rsid w:val="008979B1"/>
    <w:rsid w:val="008A4E53"/>
    <w:rsid w:val="008A6B25"/>
    <w:rsid w:val="008A6C4F"/>
    <w:rsid w:val="008B2335"/>
    <w:rsid w:val="008C1437"/>
    <w:rsid w:val="008C207A"/>
    <w:rsid w:val="008D54C6"/>
    <w:rsid w:val="008D5D0E"/>
    <w:rsid w:val="008D7DED"/>
    <w:rsid w:val="008E0678"/>
    <w:rsid w:val="008E14C2"/>
    <w:rsid w:val="008E7AEC"/>
    <w:rsid w:val="008F31D2"/>
    <w:rsid w:val="009050CA"/>
    <w:rsid w:val="00906FB4"/>
    <w:rsid w:val="00917E37"/>
    <w:rsid w:val="00917FDE"/>
    <w:rsid w:val="00920451"/>
    <w:rsid w:val="009223CA"/>
    <w:rsid w:val="00924D0F"/>
    <w:rsid w:val="00924E71"/>
    <w:rsid w:val="009315A2"/>
    <w:rsid w:val="00940F93"/>
    <w:rsid w:val="009609A1"/>
    <w:rsid w:val="009713D5"/>
    <w:rsid w:val="009760F3"/>
    <w:rsid w:val="00976463"/>
    <w:rsid w:val="00976CFB"/>
    <w:rsid w:val="0099507D"/>
    <w:rsid w:val="009A0830"/>
    <w:rsid w:val="009A0E8D"/>
    <w:rsid w:val="009B26E7"/>
    <w:rsid w:val="009B7F91"/>
    <w:rsid w:val="009D12F0"/>
    <w:rsid w:val="009E1B4E"/>
    <w:rsid w:val="009E24F3"/>
    <w:rsid w:val="009E6518"/>
    <w:rsid w:val="009F00F7"/>
    <w:rsid w:val="009F4C64"/>
    <w:rsid w:val="009F6FA2"/>
    <w:rsid w:val="00A00697"/>
    <w:rsid w:val="00A00A3F"/>
    <w:rsid w:val="00A01489"/>
    <w:rsid w:val="00A047B6"/>
    <w:rsid w:val="00A10A42"/>
    <w:rsid w:val="00A22880"/>
    <w:rsid w:val="00A3026E"/>
    <w:rsid w:val="00A338F1"/>
    <w:rsid w:val="00A35BE0"/>
    <w:rsid w:val="00A5552C"/>
    <w:rsid w:val="00A55883"/>
    <w:rsid w:val="00A6129C"/>
    <w:rsid w:val="00A626FF"/>
    <w:rsid w:val="00A643DB"/>
    <w:rsid w:val="00A72F22"/>
    <w:rsid w:val="00A7360F"/>
    <w:rsid w:val="00A748A6"/>
    <w:rsid w:val="00A7633F"/>
    <w:rsid w:val="00A769F4"/>
    <w:rsid w:val="00A776B4"/>
    <w:rsid w:val="00A90D71"/>
    <w:rsid w:val="00A94361"/>
    <w:rsid w:val="00AA1348"/>
    <w:rsid w:val="00AA293C"/>
    <w:rsid w:val="00AA5957"/>
    <w:rsid w:val="00AA6D10"/>
    <w:rsid w:val="00AB0752"/>
    <w:rsid w:val="00AB0C3B"/>
    <w:rsid w:val="00AC7F27"/>
    <w:rsid w:val="00AD55B1"/>
    <w:rsid w:val="00AD57F5"/>
    <w:rsid w:val="00AE3AEE"/>
    <w:rsid w:val="00AF1EF6"/>
    <w:rsid w:val="00AF4248"/>
    <w:rsid w:val="00B01C44"/>
    <w:rsid w:val="00B03BA6"/>
    <w:rsid w:val="00B046C2"/>
    <w:rsid w:val="00B10009"/>
    <w:rsid w:val="00B25706"/>
    <w:rsid w:val="00B30179"/>
    <w:rsid w:val="00B3192C"/>
    <w:rsid w:val="00B41B3A"/>
    <w:rsid w:val="00B421C1"/>
    <w:rsid w:val="00B537FB"/>
    <w:rsid w:val="00B553E0"/>
    <w:rsid w:val="00B558DA"/>
    <w:rsid w:val="00B55C71"/>
    <w:rsid w:val="00B56E4A"/>
    <w:rsid w:val="00B56E9C"/>
    <w:rsid w:val="00B64B1F"/>
    <w:rsid w:val="00B6553F"/>
    <w:rsid w:val="00B72D26"/>
    <w:rsid w:val="00B77D05"/>
    <w:rsid w:val="00B81206"/>
    <w:rsid w:val="00B81E12"/>
    <w:rsid w:val="00B85AFD"/>
    <w:rsid w:val="00B87FF3"/>
    <w:rsid w:val="00BB044E"/>
    <w:rsid w:val="00BC3FA0"/>
    <w:rsid w:val="00BC6C4A"/>
    <w:rsid w:val="00BC74E9"/>
    <w:rsid w:val="00BF0F1B"/>
    <w:rsid w:val="00BF68A8"/>
    <w:rsid w:val="00C0554D"/>
    <w:rsid w:val="00C11A03"/>
    <w:rsid w:val="00C13EB1"/>
    <w:rsid w:val="00C20417"/>
    <w:rsid w:val="00C21749"/>
    <w:rsid w:val="00C22C0C"/>
    <w:rsid w:val="00C2543E"/>
    <w:rsid w:val="00C4527F"/>
    <w:rsid w:val="00C463DD"/>
    <w:rsid w:val="00C4724C"/>
    <w:rsid w:val="00C629A0"/>
    <w:rsid w:val="00C64629"/>
    <w:rsid w:val="00C6575C"/>
    <w:rsid w:val="00C745C3"/>
    <w:rsid w:val="00C94EF8"/>
    <w:rsid w:val="00C96A10"/>
    <w:rsid w:val="00C96DF2"/>
    <w:rsid w:val="00CA3B1C"/>
    <w:rsid w:val="00CB3E03"/>
    <w:rsid w:val="00CB487E"/>
    <w:rsid w:val="00CD4AA6"/>
    <w:rsid w:val="00CE4A8F"/>
    <w:rsid w:val="00D17C38"/>
    <w:rsid w:val="00D2031B"/>
    <w:rsid w:val="00D2338F"/>
    <w:rsid w:val="00D248B6"/>
    <w:rsid w:val="00D25FE2"/>
    <w:rsid w:val="00D31A7D"/>
    <w:rsid w:val="00D43252"/>
    <w:rsid w:val="00D439FC"/>
    <w:rsid w:val="00D47EEA"/>
    <w:rsid w:val="00D508D7"/>
    <w:rsid w:val="00D57D44"/>
    <w:rsid w:val="00D773DF"/>
    <w:rsid w:val="00D85943"/>
    <w:rsid w:val="00D95303"/>
    <w:rsid w:val="00D978C6"/>
    <w:rsid w:val="00DA3C1C"/>
    <w:rsid w:val="00DA5A9B"/>
    <w:rsid w:val="00DB2292"/>
    <w:rsid w:val="00DC222F"/>
    <w:rsid w:val="00DC7EE7"/>
    <w:rsid w:val="00DD62F6"/>
    <w:rsid w:val="00DF084F"/>
    <w:rsid w:val="00DF1FB9"/>
    <w:rsid w:val="00E041BF"/>
    <w:rsid w:val="00E046DF"/>
    <w:rsid w:val="00E06812"/>
    <w:rsid w:val="00E068F2"/>
    <w:rsid w:val="00E06F4C"/>
    <w:rsid w:val="00E1255D"/>
    <w:rsid w:val="00E17F99"/>
    <w:rsid w:val="00E27346"/>
    <w:rsid w:val="00E54D3E"/>
    <w:rsid w:val="00E61CAE"/>
    <w:rsid w:val="00E71BC8"/>
    <w:rsid w:val="00E7260F"/>
    <w:rsid w:val="00E73F5D"/>
    <w:rsid w:val="00E77E4E"/>
    <w:rsid w:val="00E77FC0"/>
    <w:rsid w:val="00E95700"/>
    <w:rsid w:val="00E96630"/>
    <w:rsid w:val="00EA3D6E"/>
    <w:rsid w:val="00EB483D"/>
    <w:rsid w:val="00EC3350"/>
    <w:rsid w:val="00EC4060"/>
    <w:rsid w:val="00EC6AF9"/>
    <w:rsid w:val="00ED4909"/>
    <w:rsid w:val="00ED72AA"/>
    <w:rsid w:val="00ED7A2A"/>
    <w:rsid w:val="00EF1D7F"/>
    <w:rsid w:val="00F03965"/>
    <w:rsid w:val="00F04C81"/>
    <w:rsid w:val="00F06B8C"/>
    <w:rsid w:val="00F14BCB"/>
    <w:rsid w:val="00F219F7"/>
    <w:rsid w:val="00F225FB"/>
    <w:rsid w:val="00F275DB"/>
    <w:rsid w:val="00F27E0B"/>
    <w:rsid w:val="00F31E5F"/>
    <w:rsid w:val="00F52778"/>
    <w:rsid w:val="00F5495C"/>
    <w:rsid w:val="00F6100A"/>
    <w:rsid w:val="00F616E0"/>
    <w:rsid w:val="00F7257B"/>
    <w:rsid w:val="00F81228"/>
    <w:rsid w:val="00F827A7"/>
    <w:rsid w:val="00F83639"/>
    <w:rsid w:val="00F87837"/>
    <w:rsid w:val="00F93781"/>
    <w:rsid w:val="00F93F94"/>
    <w:rsid w:val="00FA4130"/>
    <w:rsid w:val="00FA7D6D"/>
    <w:rsid w:val="00FB613B"/>
    <w:rsid w:val="00FC68B7"/>
    <w:rsid w:val="00FC6E86"/>
    <w:rsid w:val="00FD133E"/>
    <w:rsid w:val="00FD3F98"/>
    <w:rsid w:val="00FE106A"/>
    <w:rsid w:val="00FE2FEF"/>
    <w:rsid w:val="00FE3525"/>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character" w:customStyle="1" w:styleId="SingleTxtGChar">
    <w:name w:val="_ Single Txt_G Char"/>
    <w:link w:val="SingleTxtG"/>
    <w:rsid w:val="009F6FA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character" w:customStyle="1" w:styleId="SingleTxtGChar">
    <w:name w:val="_ Single Txt_G Char"/>
    <w:link w:val="SingleTxtG"/>
    <w:rsid w:val="009F6FA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426">
      <w:bodyDiv w:val="1"/>
      <w:marLeft w:val="0"/>
      <w:marRight w:val="0"/>
      <w:marTop w:val="0"/>
      <w:marBottom w:val="0"/>
      <w:divBdr>
        <w:top w:val="none" w:sz="0" w:space="0" w:color="auto"/>
        <w:left w:val="none" w:sz="0" w:space="0" w:color="auto"/>
        <w:bottom w:val="none" w:sz="0" w:space="0" w:color="auto"/>
        <w:right w:val="none" w:sz="0" w:space="0" w:color="auto"/>
      </w:divBdr>
      <w:divsChild>
        <w:div w:id="1883784280">
          <w:marLeft w:val="0"/>
          <w:marRight w:val="0"/>
          <w:marTop w:val="0"/>
          <w:marBottom w:val="0"/>
          <w:divBdr>
            <w:top w:val="none" w:sz="0" w:space="0" w:color="auto"/>
            <w:left w:val="none" w:sz="0" w:space="0" w:color="auto"/>
            <w:bottom w:val="none" w:sz="0" w:space="0" w:color="auto"/>
            <w:right w:val="none" w:sz="0" w:space="0" w:color="auto"/>
          </w:divBdr>
        </w:div>
      </w:divsChild>
    </w:div>
    <w:div w:id="487786820">
      <w:bodyDiv w:val="1"/>
      <w:marLeft w:val="0"/>
      <w:marRight w:val="0"/>
      <w:marTop w:val="0"/>
      <w:marBottom w:val="0"/>
      <w:divBdr>
        <w:top w:val="none" w:sz="0" w:space="0" w:color="auto"/>
        <w:left w:val="none" w:sz="0" w:space="0" w:color="auto"/>
        <w:bottom w:val="none" w:sz="0" w:space="0" w:color="auto"/>
        <w:right w:val="none" w:sz="0" w:space="0" w:color="auto"/>
      </w:divBdr>
    </w:div>
    <w:div w:id="1589534690">
      <w:bodyDiv w:val="1"/>
      <w:marLeft w:val="0"/>
      <w:marRight w:val="0"/>
      <w:marTop w:val="0"/>
      <w:marBottom w:val="0"/>
      <w:divBdr>
        <w:top w:val="none" w:sz="0" w:space="0" w:color="auto"/>
        <w:left w:val="none" w:sz="0" w:space="0" w:color="auto"/>
        <w:bottom w:val="none" w:sz="0" w:space="0" w:color="auto"/>
        <w:right w:val="none" w:sz="0" w:space="0" w:color="auto"/>
      </w:divBdr>
      <w:divsChild>
        <w:div w:id="164365076">
          <w:marLeft w:val="0"/>
          <w:marRight w:val="0"/>
          <w:marTop w:val="0"/>
          <w:marBottom w:val="0"/>
          <w:divBdr>
            <w:top w:val="none" w:sz="0" w:space="0" w:color="auto"/>
            <w:left w:val="none" w:sz="0" w:space="0" w:color="auto"/>
            <w:bottom w:val="none" w:sz="0" w:space="0" w:color="auto"/>
            <w:right w:val="none" w:sz="0" w:space="0" w:color="auto"/>
          </w:divBdr>
        </w:div>
        <w:div w:id="177543325">
          <w:marLeft w:val="0"/>
          <w:marRight w:val="0"/>
          <w:marTop w:val="0"/>
          <w:marBottom w:val="0"/>
          <w:divBdr>
            <w:top w:val="none" w:sz="0" w:space="0" w:color="auto"/>
            <w:left w:val="none" w:sz="0" w:space="0" w:color="auto"/>
            <w:bottom w:val="none" w:sz="0" w:space="0" w:color="auto"/>
            <w:right w:val="none" w:sz="0" w:space="0" w:color="auto"/>
          </w:divBdr>
        </w:div>
        <w:div w:id="476454492">
          <w:marLeft w:val="0"/>
          <w:marRight w:val="0"/>
          <w:marTop w:val="0"/>
          <w:marBottom w:val="0"/>
          <w:divBdr>
            <w:top w:val="none" w:sz="0" w:space="0" w:color="auto"/>
            <w:left w:val="none" w:sz="0" w:space="0" w:color="auto"/>
            <w:bottom w:val="none" w:sz="0" w:space="0" w:color="auto"/>
            <w:right w:val="none" w:sz="0" w:space="0" w:color="auto"/>
          </w:divBdr>
        </w:div>
        <w:div w:id="700087930">
          <w:marLeft w:val="0"/>
          <w:marRight w:val="0"/>
          <w:marTop w:val="0"/>
          <w:marBottom w:val="0"/>
          <w:divBdr>
            <w:top w:val="none" w:sz="0" w:space="0" w:color="auto"/>
            <w:left w:val="none" w:sz="0" w:space="0" w:color="auto"/>
            <w:bottom w:val="none" w:sz="0" w:space="0" w:color="auto"/>
            <w:right w:val="none" w:sz="0" w:space="0" w:color="auto"/>
          </w:divBdr>
        </w:div>
        <w:div w:id="765080302">
          <w:marLeft w:val="0"/>
          <w:marRight w:val="0"/>
          <w:marTop w:val="0"/>
          <w:marBottom w:val="0"/>
          <w:divBdr>
            <w:top w:val="none" w:sz="0" w:space="0" w:color="auto"/>
            <w:left w:val="none" w:sz="0" w:space="0" w:color="auto"/>
            <w:bottom w:val="none" w:sz="0" w:space="0" w:color="auto"/>
            <w:right w:val="none" w:sz="0" w:space="0" w:color="auto"/>
          </w:divBdr>
        </w:div>
        <w:div w:id="831067937">
          <w:marLeft w:val="0"/>
          <w:marRight w:val="0"/>
          <w:marTop w:val="0"/>
          <w:marBottom w:val="0"/>
          <w:divBdr>
            <w:top w:val="none" w:sz="0" w:space="0" w:color="auto"/>
            <w:left w:val="none" w:sz="0" w:space="0" w:color="auto"/>
            <w:bottom w:val="none" w:sz="0" w:space="0" w:color="auto"/>
            <w:right w:val="none" w:sz="0" w:space="0" w:color="auto"/>
          </w:divBdr>
        </w:div>
        <w:div w:id="1020205270">
          <w:marLeft w:val="0"/>
          <w:marRight w:val="0"/>
          <w:marTop w:val="0"/>
          <w:marBottom w:val="0"/>
          <w:divBdr>
            <w:top w:val="none" w:sz="0" w:space="0" w:color="auto"/>
            <w:left w:val="none" w:sz="0" w:space="0" w:color="auto"/>
            <w:bottom w:val="none" w:sz="0" w:space="0" w:color="auto"/>
            <w:right w:val="none" w:sz="0" w:space="0" w:color="auto"/>
          </w:divBdr>
        </w:div>
        <w:div w:id="1096360554">
          <w:marLeft w:val="0"/>
          <w:marRight w:val="0"/>
          <w:marTop w:val="0"/>
          <w:marBottom w:val="0"/>
          <w:divBdr>
            <w:top w:val="none" w:sz="0" w:space="0" w:color="auto"/>
            <w:left w:val="none" w:sz="0" w:space="0" w:color="auto"/>
            <w:bottom w:val="none" w:sz="0" w:space="0" w:color="auto"/>
            <w:right w:val="none" w:sz="0" w:space="0" w:color="auto"/>
          </w:divBdr>
        </w:div>
        <w:div w:id="1157960608">
          <w:marLeft w:val="0"/>
          <w:marRight w:val="0"/>
          <w:marTop w:val="0"/>
          <w:marBottom w:val="0"/>
          <w:divBdr>
            <w:top w:val="none" w:sz="0" w:space="0" w:color="auto"/>
            <w:left w:val="none" w:sz="0" w:space="0" w:color="auto"/>
            <w:bottom w:val="none" w:sz="0" w:space="0" w:color="auto"/>
            <w:right w:val="none" w:sz="0" w:space="0" w:color="auto"/>
          </w:divBdr>
        </w:div>
        <w:div w:id="1242980565">
          <w:marLeft w:val="0"/>
          <w:marRight w:val="0"/>
          <w:marTop w:val="0"/>
          <w:marBottom w:val="0"/>
          <w:divBdr>
            <w:top w:val="none" w:sz="0" w:space="0" w:color="auto"/>
            <w:left w:val="none" w:sz="0" w:space="0" w:color="auto"/>
            <w:bottom w:val="none" w:sz="0" w:space="0" w:color="auto"/>
            <w:right w:val="none" w:sz="0" w:space="0" w:color="auto"/>
          </w:divBdr>
        </w:div>
        <w:div w:id="1277447245">
          <w:marLeft w:val="0"/>
          <w:marRight w:val="0"/>
          <w:marTop w:val="0"/>
          <w:marBottom w:val="0"/>
          <w:divBdr>
            <w:top w:val="none" w:sz="0" w:space="0" w:color="auto"/>
            <w:left w:val="none" w:sz="0" w:space="0" w:color="auto"/>
            <w:bottom w:val="none" w:sz="0" w:space="0" w:color="auto"/>
            <w:right w:val="none" w:sz="0" w:space="0" w:color="auto"/>
          </w:divBdr>
        </w:div>
        <w:div w:id="1377587344">
          <w:marLeft w:val="0"/>
          <w:marRight w:val="0"/>
          <w:marTop w:val="0"/>
          <w:marBottom w:val="0"/>
          <w:divBdr>
            <w:top w:val="none" w:sz="0" w:space="0" w:color="auto"/>
            <w:left w:val="none" w:sz="0" w:space="0" w:color="auto"/>
            <w:bottom w:val="none" w:sz="0" w:space="0" w:color="auto"/>
            <w:right w:val="none" w:sz="0" w:space="0" w:color="auto"/>
          </w:divBdr>
        </w:div>
        <w:div w:id="1725636909">
          <w:marLeft w:val="0"/>
          <w:marRight w:val="0"/>
          <w:marTop w:val="0"/>
          <w:marBottom w:val="0"/>
          <w:divBdr>
            <w:top w:val="none" w:sz="0" w:space="0" w:color="auto"/>
            <w:left w:val="none" w:sz="0" w:space="0" w:color="auto"/>
            <w:bottom w:val="none" w:sz="0" w:space="0" w:color="auto"/>
            <w:right w:val="none" w:sz="0" w:space="0" w:color="auto"/>
          </w:divBdr>
        </w:div>
        <w:div w:id="1753963355">
          <w:marLeft w:val="0"/>
          <w:marRight w:val="0"/>
          <w:marTop w:val="0"/>
          <w:marBottom w:val="0"/>
          <w:divBdr>
            <w:top w:val="none" w:sz="0" w:space="0" w:color="auto"/>
            <w:left w:val="none" w:sz="0" w:space="0" w:color="auto"/>
            <w:bottom w:val="none" w:sz="0" w:space="0" w:color="auto"/>
            <w:right w:val="none" w:sz="0" w:space="0" w:color="auto"/>
          </w:divBdr>
        </w:div>
        <w:div w:id="1776091526">
          <w:marLeft w:val="0"/>
          <w:marRight w:val="0"/>
          <w:marTop w:val="0"/>
          <w:marBottom w:val="0"/>
          <w:divBdr>
            <w:top w:val="none" w:sz="0" w:space="0" w:color="auto"/>
            <w:left w:val="none" w:sz="0" w:space="0" w:color="auto"/>
            <w:bottom w:val="none" w:sz="0" w:space="0" w:color="auto"/>
            <w:right w:val="none" w:sz="0" w:space="0" w:color="auto"/>
          </w:divBdr>
        </w:div>
        <w:div w:id="1837763745">
          <w:marLeft w:val="0"/>
          <w:marRight w:val="0"/>
          <w:marTop w:val="0"/>
          <w:marBottom w:val="0"/>
          <w:divBdr>
            <w:top w:val="none" w:sz="0" w:space="0" w:color="auto"/>
            <w:left w:val="none" w:sz="0" w:space="0" w:color="auto"/>
            <w:bottom w:val="none" w:sz="0" w:space="0" w:color="auto"/>
            <w:right w:val="none" w:sz="0" w:space="0" w:color="auto"/>
          </w:divBdr>
        </w:div>
        <w:div w:id="1848519500">
          <w:marLeft w:val="0"/>
          <w:marRight w:val="0"/>
          <w:marTop w:val="0"/>
          <w:marBottom w:val="0"/>
          <w:divBdr>
            <w:top w:val="none" w:sz="0" w:space="0" w:color="auto"/>
            <w:left w:val="none" w:sz="0" w:space="0" w:color="auto"/>
            <w:bottom w:val="none" w:sz="0" w:space="0" w:color="auto"/>
            <w:right w:val="none" w:sz="0" w:space="0" w:color="auto"/>
          </w:divBdr>
        </w:div>
        <w:div w:id="2118283570">
          <w:marLeft w:val="0"/>
          <w:marRight w:val="0"/>
          <w:marTop w:val="0"/>
          <w:marBottom w:val="0"/>
          <w:divBdr>
            <w:top w:val="none" w:sz="0" w:space="0" w:color="auto"/>
            <w:left w:val="none" w:sz="0" w:space="0" w:color="auto"/>
            <w:bottom w:val="none" w:sz="0" w:space="0" w:color="auto"/>
            <w:right w:val="none" w:sz="0" w:space="0" w:color="auto"/>
          </w:divBdr>
        </w:div>
      </w:divsChild>
    </w:div>
    <w:div w:id="203635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Template>
  <TotalTime>2</TotalTime>
  <Pages>3</Pages>
  <Words>908</Words>
  <Characters>5176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Christopher Smith</cp:lastModifiedBy>
  <cp:revision>4</cp:revision>
  <cp:lastPrinted>2015-08-19T12:48:00Z</cp:lastPrinted>
  <dcterms:created xsi:type="dcterms:W3CDTF">2015-09-25T09:20:00Z</dcterms:created>
  <dcterms:modified xsi:type="dcterms:W3CDTF">2015-09-30T14:29:00Z</dcterms:modified>
</cp:coreProperties>
</file>