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8" w:rsidRPr="00702A43" w:rsidRDefault="00775288" w:rsidP="00775288">
      <w:pPr>
        <w:spacing w:line="60" w:lineRule="exact"/>
        <w:rPr>
          <w:color w:val="010000"/>
          <w:sz w:val="6"/>
        </w:rPr>
        <w:sectPr w:rsidR="00775288" w:rsidRPr="00702A43" w:rsidSect="00775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02A43" w:rsidRPr="00702A43" w:rsidRDefault="00702A43" w:rsidP="00702A43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702A43">
        <w:rPr>
          <w:b/>
          <w:sz w:val="28"/>
          <w:szCs w:val="28"/>
        </w:rPr>
        <w:lastRenderedPageBreak/>
        <w:t>Европейская экономическая комиссия</w:t>
      </w:r>
    </w:p>
    <w:p w:rsidR="00702A43" w:rsidRPr="00702A43" w:rsidRDefault="00702A43" w:rsidP="00702A43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702A43" w:rsidRPr="00702A43" w:rsidRDefault="00702A43" w:rsidP="00702A43">
      <w:pPr>
        <w:pStyle w:val="SingleTxt"/>
        <w:spacing w:after="0"/>
        <w:ind w:left="0"/>
        <w:jc w:val="left"/>
        <w:rPr>
          <w:sz w:val="28"/>
          <w:szCs w:val="28"/>
        </w:rPr>
      </w:pPr>
      <w:r w:rsidRPr="00702A43">
        <w:rPr>
          <w:sz w:val="28"/>
          <w:szCs w:val="28"/>
        </w:rPr>
        <w:t>Комитет по внутреннему транспорту</w:t>
      </w:r>
    </w:p>
    <w:p w:rsidR="00702A43" w:rsidRPr="00702A43" w:rsidRDefault="00702A43" w:rsidP="00702A43">
      <w:pPr>
        <w:pStyle w:val="SingleTxt"/>
        <w:spacing w:after="0" w:line="120" w:lineRule="exact"/>
        <w:ind w:left="0"/>
        <w:jc w:val="left"/>
        <w:rPr>
          <w:sz w:val="10"/>
        </w:rPr>
      </w:pPr>
    </w:p>
    <w:p w:rsidR="00702A43" w:rsidRPr="00702A43" w:rsidRDefault="00702A43" w:rsidP="00702A43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702A43">
        <w:rPr>
          <w:b/>
          <w:sz w:val="24"/>
          <w:szCs w:val="24"/>
        </w:rPr>
        <w:t xml:space="preserve">Рабочая группа по перевозкам </w:t>
      </w:r>
      <w:r w:rsidRPr="00702A43">
        <w:rPr>
          <w:b/>
          <w:sz w:val="24"/>
          <w:szCs w:val="24"/>
        </w:rPr>
        <w:br/>
        <w:t>скоропортящихся пищевых продуктов</w:t>
      </w:r>
    </w:p>
    <w:p w:rsidR="00702A43" w:rsidRPr="00702A43" w:rsidRDefault="00702A43" w:rsidP="00702A43">
      <w:pPr>
        <w:pStyle w:val="SingleTxt"/>
        <w:spacing w:after="0" w:line="120" w:lineRule="exact"/>
        <w:ind w:left="0"/>
        <w:jc w:val="left"/>
        <w:rPr>
          <w:sz w:val="10"/>
        </w:rPr>
      </w:pPr>
    </w:p>
    <w:p w:rsidR="00702A43" w:rsidRPr="00702A43" w:rsidRDefault="00702A43" w:rsidP="00702A43">
      <w:pPr>
        <w:pStyle w:val="SingleTxt"/>
        <w:spacing w:after="0"/>
        <w:ind w:left="0"/>
        <w:jc w:val="left"/>
        <w:rPr>
          <w:b/>
        </w:rPr>
      </w:pPr>
      <w:r w:rsidRPr="00702A43">
        <w:rPr>
          <w:b/>
        </w:rPr>
        <w:t>Семьдесят первая сессия</w:t>
      </w:r>
    </w:p>
    <w:p w:rsidR="00702A43" w:rsidRPr="00702A43" w:rsidRDefault="00702A43" w:rsidP="00702A43">
      <w:pPr>
        <w:pStyle w:val="SingleTxt"/>
        <w:spacing w:after="0"/>
        <w:ind w:left="0"/>
        <w:jc w:val="left"/>
      </w:pPr>
      <w:r w:rsidRPr="00702A43">
        <w:t>Женева, 6–9 октября 2015 года</w:t>
      </w:r>
    </w:p>
    <w:p w:rsidR="00702A43" w:rsidRPr="00702A43" w:rsidRDefault="00702A43" w:rsidP="00702A43">
      <w:pPr>
        <w:pStyle w:val="SingleTxt"/>
        <w:spacing w:after="0"/>
        <w:ind w:left="0"/>
        <w:jc w:val="left"/>
      </w:pPr>
      <w:r w:rsidRPr="00702A43">
        <w:t xml:space="preserve">Пункт 5 </w:t>
      </w:r>
      <w:r w:rsidRPr="00702A43">
        <w:rPr>
          <w:lang w:val="fr-CH"/>
        </w:rPr>
        <w:t>a</w:t>
      </w:r>
      <w:r w:rsidRPr="00702A43">
        <w:t>) предварительной повестки дня</w:t>
      </w:r>
    </w:p>
    <w:p w:rsidR="00702A43" w:rsidRPr="00702A43" w:rsidRDefault="00702A43" w:rsidP="00702A43">
      <w:pPr>
        <w:pStyle w:val="SingleTxt"/>
        <w:spacing w:after="0"/>
        <w:ind w:left="0"/>
        <w:jc w:val="left"/>
        <w:rPr>
          <w:b/>
        </w:rPr>
      </w:pPr>
      <w:r w:rsidRPr="00702A43">
        <w:rPr>
          <w:b/>
          <w:bCs/>
        </w:rPr>
        <w:t>Предложения по поправкам к СПС</w:t>
      </w:r>
      <w:r w:rsidRPr="00702A43">
        <w:rPr>
          <w:b/>
        </w:rPr>
        <w:t xml:space="preserve">: предложения, </w:t>
      </w:r>
      <w:r w:rsidRPr="00702A43">
        <w:rPr>
          <w:b/>
        </w:rPr>
        <w:br/>
        <w:t>по которым еще не приняты решения</w:t>
      </w: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2A43">
        <w:tab/>
      </w:r>
      <w:r w:rsidRPr="00702A43">
        <w:tab/>
        <w:t xml:space="preserve">Маркировка транспортных средств </w:t>
      </w:r>
      <w:r w:rsidR="00491D56">
        <w:br/>
      </w:r>
      <w:r w:rsidRPr="00702A43">
        <w:t xml:space="preserve">с </w:t>
      </w:r>
      <w:proofErr w:type="spellStart"/>
      <w:r w:rsidRPr="00702A43">
        <w:t>мультитемпературным</w:t>
      </w:r>
      <w:proofErr w:type="spellEnd"/>
      <w:r w:rsidRPr="00702A43">
        <w:t xml:space="preserve"> режимом</w:t>
      </w:r>
    </w:p>
    <w:p w:rsidR="00702A43" w:rsidRPr="00702A43" w:rsidRDefault="00702A43" w:rsidP="00702A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2A43">
        <w:tab/>
      </w:r>
      <w:r w:rsidRPr="00702A43">
        <w:tab/>
        <w:t>Передано правительством Франции</w:t>
      </w: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2A43">
        <w:tab/>
      </w:r>
      <w:r w:rsidRPr="00702A43">
        <w:tab/>
        <w:t>Контекст</w:t>
      </w:r>
    </w:p>
    <w:p w:rsidR="00702A43" w:rsidRPr="00702A43" w:rsidRDefault="00702A43" w:rsidP="00702A43">
      <w:pPr>
        <w:pStyle w:val="SingleTxt"/>
        <w:spacing w:after="0" w:line="120" w:lineRule="exact"/>
        <w:rPr>
          <w:sz w:val="10"/>
        </w:rPr>
      </w:pPr>
    </w:p>
    <w:p w:rsidR="00702A43" w:rsidRPr="00702A43" w:rsidRDefault="00702A43" w:rsidP="00702A43">
      <w:pPr>
        <w:pStyle w:val="SingleTxt"/>
        <w:spacing w:after="0" w:line="120" w:lineRule="exact"/>
        <w:rPr>
          <w:sz w:val="10"/>
        </w:rPr>
      </w:pPr>
    </w:p>
    <w:p w:rsidR="00702A43" w:rsidRPr="00702A43" w:rsidRDefault="00702A43" w:rsidP="00702A43">
      <w:pPr>
        <w:pStyle w:val="SingleTxt"/>
      </w:pPr>
      <w:r w:rsidRPr="00702A43">
        <w:t>1.</w:t>
      </w:r>
      <w:r w:rsidRPr="00702A43">
        <w:tab/>
        <w:t>В 2013 году в СПС были внесены изменения для включения в его текст п</w:t>
      </w:r>
      <w:r w:rsidRPr="00702A43">
        <w:t>о</w:t>
      </w:r>
      <w:r w:rsidRPr="00702A43">
        <w:t xml:space="preserve">ложений о многокамерных транспортных средствах с </w:t>
      </w:r>
      <w:proofErr w:type="spellStart"/>
      <w:r w:rsidRPr="00702A43">
        <w:t>мультитемпературными</w:t>
      </w:r>
      <w:proofErr w:type="spellEnd"/>
      <w:r w:rsidRPr="00702A43">
        <w:t xml:space="preserve"> режимами. В Соглашении разъясняется порядок проведения испытаний и изм</w:t>
      </w:r>
      <w:r w:rsidRPr="00702A43">
        <w:t>е</w:t>
      </w:r>
      <w:r w:rsidRPr="00702A43">
        <w:t xml:space="preserve">рения параметров транспортных средств с </w:t>
      </w:r>
      <w:proofErr w:type="spellStart"/>
      <w:r w:rsidRPr="00702A43">
        <w:t>м</w:t>
      </w:r>
      <w:r w:rsidR="001E3B17">
        <w:t>ультитемпературными</w:t>
      </w:r>
      <w:proofErr w:type="spellEnd"/>
      <w:r w:rsidR="001E3B17">
        <w:t xml:space="preserve"> режимами. В </w:t>
      </w:r>
      <w:r w:rsidRPr="00702A43">
        <w:t>нем содержатся также образцы протоколов испытаний и свидетельств СПС для этих транспортных средств, но не предусматривается никаких положений отн</w:t>
      </w:r>
      <w:r w:rsidRPr="00702A43">
        <w:t>о</w:t>
      </w:r>
      <w:r w:rsidRPr="00702A43">
        <w:t>сительно маркировки соответствующих транспортных средств.</w:t>
      </w:r>
    </w:p>
    <w:p w:rsidR="00702A43" w:rsidRPr="00702A43" w:rsidRDefault="00702A43" w:rsidP="00702A43">
      <w:pPr>
        <w:pStyle w:val="SingleTxt"/>
      </w:pPr>
      <w:r w:rsidRPr="00702A43">
        <w:t>2.</w:t>
      </w:r>
      <w:r w:rsidRPr="00702A43">
        <w:tab/>
        <w:t xml:space="preserve">В этой связи необходимы четкие правила маркировки этих транспортных средств, с </w:t>
      </w:r>
      <w:proofErr w:type="gramStart"/>
      <w:r w:rsidRPr="00702A43">
        <w:t>тем</w:t>
      </w:r>
      <w:proofErr w:type="gramEnd"/>
      <w:r w:rsidRPr="00702A43">
        <w:t xml:space="preserve"> чтобы их можно было без труда идентифицировать снаружи.</w:t>
      </w:r>
    </w:p>
    <w:p w:rsidR="00702A43" w:rsidRPr="00702A43" w:rsidRDefault="00702A43" w:rsidP="00702A43">
      <w:pPr>
        <w:pStyle w:val="SingleTxt"/>
      </w:pPr>
      <w:r w:rsidRPr="00702A43">
        <w:t>3.</w:t>
      </w:r>
      <w:r w:rsidRPr="00702A43">
        <w:tab/>
        <w:t>Эта маркировка должна позволять контролирующим органам без труда осуществлять проверку на предмет соответствия транспортного средства перев</w:t>
      </w:r>
      <w:r w:rsidRPr="00702A43">
        <w:t>о</w:t>
      </w:r>
      <w:r w:rsidRPr="00702A43">
        <w:t>зимым пищевым продуктам. В частности, она должна содействовать определ</w:t>
      </w:r>
      <w:r w:rsidRPr="00702A43">
        <w:t>е</w:t>
      </w:r>
      <w:r w:rsidRPr="00702A43">
        <w:t xml:space="preserve">нию числа камер в транспортных средствах и их соответствующих классов, с </w:t>
      </w:r>
      <w:proofErr w:type="gramStart"/>
      <w:r w:rsidRPr="00702A43">
        <w:t>тем</w:t>
      </w:r>
      <w:proofErr w:type="gramEnd"/>
      <w:r w:rsidRPr="00702A43">
        <w:t xml:space="preserve"> чтобы можно было сделать вывод о том, могут ли транспортируемые пищевые продукты находиться в данной камере.</w:t>
      </w:r>
    </w:p>
    <w:p w:rsidR="00702A43" w:rsidRPr="00702A43" w:rsidRDefault="00702A43" w:rsidP="00702A43">
      <w:pPr>
        <w:pStyle w:val="SingleTxt"/>
      </w:pPr>
      <w:r w:rsidRPr="00702A43">
        <w:t>4.</w:t>
      </w:r>
      <w:r w:rsidRPr="00702A43">
        <w:tab/>
        <w:t>С учетом отсутствия консенсуса в отношении детальной формы маркировки предлагается принять минимальные предписания, которые, как представляется, получили положительный отклик со стороны участников совещания Подкоми</w:t>
      </w:r>
      <w:r w:rsidRPr="00702A43">
        <w:t>с</w:t>
      </w:r>
      <w:r w:rsidRPr="00702A43">
        <w:t xml:space="preserve">сии </w:t>
      </w:r>
      <w:r w:rsidRPr="00702A43">
        <w:rPr>
          <w:lang w:val="fr-FR"/>
        </w:rPr>
        <w:t>CERTE</w:t>
      </w:r>
      <w:r w:rsidRPr="00702A43">
        <w:t>.</w:t>
      </w: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02A43" w:rsidRPr="00702A43" w:rsidRDefault="00702A43" w:rsidP="00702A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702A43">
        <w:lastRenderedPageBreak/>
        <w:tab/>
      </w:r>
      <w:r w:rsidRPr="00702A43">
        <w:tab/>
        <w:t xml:space="preserve">Предложение </w:t>
      </w:r>
    </w:p>
    <w:p w:rsidR="00702A43" w:rsidRPr="00702A43" w:rsidRDefault="00702A43" w:rsidP="00702A43">
      <w:pPr>
        <w:pStyle w:val="SingleTxt"/>
        <w:spacing w:after="0" w:line="120" w:lineRule="exact"/>
        <w:rPr>
          <w:sz w:val="10"/>
        </w:rPr>
      </w:pPr>
    </w:p>
    <w:p w:rsidR="00702A43" w:rsidRPr="00702A43" w:rsidRDefault="00702A43" w:rsidP="00702A43">
      <w:pPr>
        <w:pStyle w:val="SingleTxt"/>
        <w:spacing w:after="0" w:line="120" w:lineRule="exact"/>
        <w:rPr>
          <w:sz w:val="10"/>
        </w:rPr>
      </w:pPr>
    </w:p>
    <w:p w:rsidR="00702A43" w:rsidRPr="00702A43" w:rsidRDefault="00702A43" w:rsidP="00702A43">
      <w:pPr>
        <w:pStyle w:val="SingleTxt"/>
      </w:pPr>
      <w:r w:rsidRPr="00702A43">
        <w:t>5.</w:t>
      </w:r>
      <w:r w:rsidRPr="00702A43">
        <w:tab/>
        <w:t>Настоящее предложение имеет целью ввести в действие правила маркиро</w:t>
      </w:r>
      <w:r w:rsidRPr="00702A43">
        <w:t>в</w:t>
      </w:r>
      <w:r w:rsidRPr="00702A43">
        <w:t xml:space="preserve">ки многокамерных транспортных средств с </w:t>
      </w:r>
      <w:proofErr w:type="spellStart"/>
      <w:r w:rsidRPr="00702A43">
        <w:t>мультитемпературными</w:t>
      </w:r>
      <w:proofErr w:type="spellEnd"/>
      <w:r w:rsidRPr="00702A43">
        <w:t xml:space="preserve"> режимами.</w:t>
      </w:r>
    </w:p>
    <w:p w:rsidR="00702A43" w:rsidRPr="00702A43" w:rsidRDefault="00702A43" w:rsidP="00702A43">
      <w:pPr>
        <w:pStyle w:val="SingleTxt"/>
      </w:pPr>
      <w:r w:rsidRPr="00702A43">
        <w:t>6.</w:t>
      </w:r>
      <w:r w:rsidRPr="00702A43">
        <w:tab/>
        <w:t>В этой связи в добавление 4 к приложению 1 предлагается включить указ</w:t>
      </w:r>
      <w:r w:rsidRPr="00702A43">
        <w:t>а</w:t>
      </w:r>
      <w:r w:rsidRPr="00702A43">
        <w:t xml:space="preserve">ния, выделенные </w:t>
      </w:r>
      <w:r w:rsidRPr="00702A43">
        <w:rPr>
          <w:b/>
          <w:bCs/>
        </w:rPr>
        <w:t>жирным шрифтом</w:t>
      </w:r>
      <w:r w:rsidRPr="00702A43">
        <w:t xml:space="preserve"> в нижеследующем тексте:</w:t>
      </w:r>
    </w:p>
    <w:p w:rsidR="00702A43" w:rsidRPr="00702A43" w:rsidRDefault="00702A43" w:rsidP="00702A43">
      <w:pPr>
        <w:pStyle w:val="SingleTxt"/>
      </w:pPr>
      <w:r>
        <w:t>«</w:t>
      </w:r>
      <w:r w:rsidRPr="00702A43">
        <w:t>ОПОЗНАВАТЕЛЬНЫЕ БУКВЕННЫЕ ОБОЗНАЧЕНИЯ НА СПЕЦИАЛЬНЫХ ТРАНСПОРТНЫХ СРЕДСТВАХ</w:t>
      </w:r>
    </w:p>
    <w:p w:rsidR="00702A43" w:rsidRPr="00702A43" w:rsidRDefault="00702A43" w:rsidP="00702A43">
      <w:pPr>
        <w:pStyle w:val="SingleTxt"/>
      </w:pPr>
      <w:r w:rsidRPr="00702A43">
        <w:t>Предписанные в пункте 4 добавления 1 к настоящему приложению опознав</w:t>
      </w:r>
      <w:r w:rsidRPr="00702A43">
        <w:t>а</w:t>
      </w:r>
      <w:r w:rsidRPr="00702A43">
        <w:t>тельные буквенные обозначения представляют собой заглавные латинские буквы темно-синего цвета на белом фоне. Высота букв должна быть не менее 100 мм для классификационных обозначений и не менее 50 мм</w:t>
      </w:r>
      <w:r>
        <w:t xml:space="preserve"> – </w:t>
      </w:r>
      <w:r w:rsidRPr="00702A43">
        <w:t>для дат истечения срока действия. В случае специальных транспортных средств, нагруженная масса кот</w:t>
      </w:r>
      <w:r w:rsidRPr="00702A43">
        <w:t>о</w:t>
      </w:r>
      <w:r w:rsidRPr="00702A43">
        <w:t>рых не превышает 3,5 тонны, минимальная высота букв может составлять 50 мм для классификационных обозначений и 25 мм для даты истечения срока де</w:t>
      </w:r>
      <w:r w:rsidRPr="00702A43">
        <w:t>й</w:t>
      </w:r>
      <w:r w:rsidRPr="00702A43">
        <w:t>ствия.</w:t>
      </w:r>
    </w:p>
    <w:p w:rsidR="00702A43" w:rsidRPr="00702A43" w:rsidRDefault="00702A43" w:rsidP="00702A43">
      <w:pPr>
        <w:pStyle w:val="SingleTxt"/>
      </w:pPr>
      <w:r w:rsidRPr="00702A43">
        <w:t xml:space="preserve">Классификационные обозначения и обозначения даты истечения срока действия наносятся с внешней </w:t>
      </w:r>
      <w:proofErr w:type="gramStart"/>
      <w:r w:rsidRPr="00702A43">
        <w:t>стороны</w:t>
      </w:r>
      <w:proofErr w:type="gramEnd"/>
      <w:r w:rsidRPr="00702A43">
        <w:t xml:space="preserve"> по крайней мере на обеих сторонах в верхних у</w:t>
      </w:r>
      <w:r w:rsidRPr="00702A43">
        <w:t>г</w:t>
      </w:r>
      <w:r w:rsidRPr="00702A43">
        <w:t>лах вблизи передней части.</w:t>
      </w:r>
    </w:p>
    <w:p w:rsidR="00702A43" w:rsidRPr="00702A43" w:rsidRDefault="00702A43" w:rsidP="00702A43">
      <w:pPr>
        <w:pStyle w:val="SingleTxt"/>
        <w:rPr>
          <w:b/>
        </w:rPr>
      </w:pPr>
      <w:r w:rsidRPr="00702A43">
        <w:rPr>
          <w:b/>
        </w:rPr>
        <w:t xml:space="preserve">В случае многокамерных транспортных средств с </w:t>
      </w:r>
      <w:proofErr w:type="spellStart"/>
      <w:r w:rsidRPr="00702A43">
        <w:rPr>
          <w:b/>
        </w:rPr>
        <w:t>мультитемпературным</w:t>
      </w:r>
      <w:proofErr w:type="spellEnd"/>
      <w:r w:rsidRPr="00702A43">
        <w:rPr>
          <w:b/>
        </w:rPr>
        <w:t xml:space="preserve"> режимом каждая камера классифицируется в качестве транспортного сре</w:t>
      </w:r>
      <w:r w:rsidRPr="00702A43">
        <w:rPr>
          <w:b/>
        </w:rPr>
        <w:t>д</w:t>
      </w:r>
      <w:r w:rsidRPr="00702A43">
        <w:rPr>
          <w:b/>
        </w:rPr>
        <w:t xml:space="preserve">ства с </w:t>
      </w:r>
      <w:proofErr w:type="spellStart"/>
      <w:r w:rsidRPr="00702A43">
        <w:rPr>
          <w:b/>
        </w:rPr>
        <w:t>монотемпературным</w:t>
      </w:r>
      <w:proofErr w:type="spellEnd"/>
      <w:r w:rsidRPr="00702A43">
        <w:rPr>
          <w:b/>
        </w:rPr>
        <w:t xml:space="preserve"> режимом.  Маркировка включает класс всех к</w:t>
      </w:r>
      <w:r w:rsidRPr="00702A43">
        <w:rPr>
          <w:b/>
        </w:rPr>
        <w:t>а</w:t>
      </w:r>
      <w:r w:rsidRPr="00702A43">
        <w:rPr>
          <w:b/>
        </w:rPr>
        <w:t xml:space="preserve">мер. </w:t>
      </w:r>
    </w:p>
    <w:p w:rsidR="00702A43" w:rsidRPr="00702A43" w:rsidRDefault="00702A43" w:rsidP="00702A43">
      <w:pPr>
        <w:pStyle w:val="SingleTxt"/>
      </w:pPr>
      <w:r w:rsidRPr="00702A43">
        <w:t xml:space="preserve">Буквенные обозначения </w:t>
      </w:r>
      <w:r w:rsidRPr="00702A43">
        <w:rPr>
          <w:b/>
          <w:bCs/>
        </w:rPr>
        <w:t xml:space="preserve">каждой камеры </w:t>
      </w:r>
      <w:r w:rsidRPr="00702A43">
        <w:t xml:space="preserve">являются следующими: </w:t>
      </w:r>
    </w:p>
    <w:p w:rsidR="00702A43" w:rsidRPr="00702A43" w:rsidRDefault="00702A43" w:rsidP="00702A43">
      <w:pPr>
        <w:pStyle w:val="SingleTxt"/>
      </w:pPr>
      <w:r w:rsidRPr="00702A43">
        <w:t>[…]</w:t>
      </w:r>
    </w:p>
    <w:p w:rsidR="00702A43" w:rsidRPr="00702A43" w:rsidRDefault="00702A43" w:rsidP="00702A43">
      <w:pPr>
        <w:pStyle w:val="SingleTxt"/>
      </w:pPr>
      <w:r w:rsidRPr="00702A43">
        <w:t>Если транспортное средство оснащено съемным или неавтономным термическим оборудованием либо если для термического оборудования предусмотрены ос</w:t>
      </w:r>
      <w:r w:rsidRPr="00702A43">
        <w:t>о</w:t>
      </w:r>
      <w:r w:rsidRPr="00702A43">
        <w:t>бые условия эксплуатации, то соответствующее или соответствующие опознав</w:t>
      </w:r>
      <w:r w:rsidRPr="00702A43">
        <w:t>а</w:t>
      </w:r>
      <w:r w:rsidRPr="00702A43">
        <w:t>тельные буквенные обозначения должны быть дополнены буквой "Х" в следу</w:t>
      </w:r>
      <w:r w:rsidRPr="00702A43">
        <w:t>ю</w:t>
      </w:r>
      <w:r w:rsidRPr="00702A43">
        <w:t>щих случаях:</w:t>
      </w:r>
    </w:p>
    <w:p w:rsidR="00702A43" w:rsidRPr="00702A43" w:rsidRDefault="00702A43" w:rsidP="00702A43">
      <w:pPr>
        <w:pStyle w:val="SingleTxt"/>
      </w:pPr>
      <w:r w:rsidRPr="00702A43">
        <w:t>1.</w:t>
      </w:r>
      <w:r w:rsidRPr="00702A43">
        <w:tab/>
        <w:t>ДЛЯ ТРАНСПОРТНОГО СРЕДСТВ</w:t>
      </w:r>
      <w:proofErr w:type="gramStart"/>
      <w:r w:rsidRPr="00702A43">
        <w:t>А-</w:t>
      </w:r>
      <w:proofErr w:type="gramEnd"/>
      <w:r w:rsidRPr="00702A43">
        <w:t xml:space="preserve"> </w:t>
      </w:r>
      <w:r w:rsidRPr="00702A43">
        <w:rPr>
          <w:b/>
          <w:bCs/>
        </w:rPr>
        <w:t>ИЛИ КАМЕРЫ-</w:t>
      </w:r>
      <w:r w:rsidRPr="00702A43">
        <w:t>ЛЕДНИКА:</w:t>
      </w:r>
    </w:p>
    <w:p w:rsidR="00702A43" w:rsidRPr="00702A43" w:rsidRDefault="00702A43" w:rsidP="00702A43">
      <w:pPr>
        <w:pStyle w:val="SingleTxt"/>
      </w:pPr>
      <w:r w:rsidRPr="00702A43">
        <w:t>Когда для замораживания эвтектических плит их требуется поместить в другую емкость;</w:t>
      </w:r>
    </w:p>
    <w:p w:rsidR="00702A43" w:rsidRPr="00702A43" w:rsidRDefault="00702A43" w:rsidP="00702A43">
      <w:pPr>
        <w:pStyle w:val="SingleTxt"/>
      </w:pPr>
      <w:r w:rsidRPr="00702A43">
        <w:t>2.</w:t>
      </w:r>
      <w:r w:rsidRPr="00702A43">
        <w:tab/>
        <w:t xml:space="preserve">ДЛЯ ТРАНСПОРТНОГО СРЕДСТВА- </w:t>
      </w:r>
      <w:r w:rsidRPr="00702A43">
        <w:rPr>
          <w:b/>
          <w:bCs/>
        </w:rPr>
        <w:t>ИЛИ КАМЕРЫ-</w:t>
      </w:r>
      <w:r w:rsidRPr="00702A43">
        <w:t>РЕФРИЖЕРАТОРА:</w:t>
      </w:r>
    </w:p>
    <w:p w:rsidR="00702A43" w:rsidRPr="00702A43" w:rsidRDefault="00702A43" w:rsidP="001E3B17">
      <w:pPr>
        <w:pStyle w:val="SingleTxt"/>
        <w:ind w:left="2218" w:hanging="951"/>
      </w:pPr>
      <w:r w:rsidRPr="002933A7">
        <w:tab/>
      </w:r>
      <w:r w:rsidRPr="00702A43">
        <w:t>2.1</w:t>
      </w:r>
      <w:proofErr w:type="gramStart"/>
      <w:r w:rsidRPr="00702A43">
        <w:tab/>
        <w:t>К</w:t>
      </w:r>
      <w:proofErr w:type="gramEnd"/>
      <w:r w:rsidRPr="00702A43">
        <w:t>огда компрессор приводится в действие двигателем транспортного средства;</w:t>
      </w:r>
    </w:p>
    <w:p w:rsidR="00702A43" w:rsidRPr="00702A43" w:rsidRDefault="00702A43" w:rsidP="00702A43">
      <w:pPr>
        <w:pStyle w:val="SingleTxt"/>
        <w:ind w:left="2218" w:hanging="951"/>
      </w:pPr>
      <w:r w:rsidRPr="001E3B17">
        <w:tab/>
      </w:r>
      <w:r w:rsidRPr="00702A43">
        <w:t>2.2</w:t>
      </w:r>
      <w:proofErr w:type="gramStart"/>
      <w:r w:rsidRPr="00702A43">
        <w:tab/>
        <w:t>К</w:t>
      </w:r>
      <w:proofErr w:type="gramEnd"/>
      <w:r w:rsidRPr="00702A43">
        <w:t>огда сама холодильная установка или ее часть, которая предотвращ</w:t>
      </w:r>
      <w:r w:rsidRPr="00702A43">
        <w:t>а</w:t>
      </w:r>
      <w:r w:rsidRPr="00702A43">
        <w:t>ет ее функционирование, являются съемными.</w:t>
      </w:r>
    </w:p>
    <w:p w:rsidR="00702A43" w:rsidRPr="00702A43" w:rsidRDefault="00702A43" w:rsidP="00702A43">
      <w:pPr>
        <w:pStyle w:val="SingleTxt"/>
      </w:pPr>
      <w:r w:rsidRPr="00702A43">
        <w:t>Под вышеуказанными опознавательными буквенными обозначениями приводи</w:t>
      </w:r>
      <w:r w:rsidRPr="00702A43">
        <w:t>т</w:t>
      </w:r>
      <w:r w:rsidRPr="00702A43">
        <w:t>ся дата истечения срока действия свидетельства, выданного на транспортное средство (месяц, год), которая указана в разделе</w:t>
      </w:r>
      <w:proofErr w:type="gramStart"/>
      <w:r w:rsidRPr="00702A43">
        <w:t xml:space="preserve"> А</w:t>
      </w:r>
      <w:proofErr w:type="gramEnd"/>
      <w:r w:rsidRPr="00702A43">
        <w:t xml:space="preserve"> рубрики 8 добавления 3 к настоящему приложению.</w:t>
      </w:r>
    </w:p>
    <w:p w:rsidR="00702A43" w:rsidRPr="00702A43" w:rsidRDefault="00702A43" w:rsidP="00702A43">
      <w:pPr>
        <w:pStyle w:val="SingleTxt"/>
      </w:pPr>
      <w:r w:rsidRPr="00702A43">
        <w:rPr>
          <w:lang w:val="fr-FR"/>
        </w:rPr>
        <w:t>[…]</w:t>
      </w:r>
      <w:r>
        <w:t>».</w:t>
      </w:r>
    </w:p>
    <w:p w:rsidR="00775288" w:rsidRPr="00702A43" w:rsidRDefault="00702A43" w:rsidP="00702A4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75288" w:rsidRPr="00702A43" w:rsidSect="0077528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B3" w:rsidRDefault="00DA22B3" w:rsidP="008A1A7A">
      <w:pPr>
        <w:spacing w:line="240" w:lineRule="auto"/>
      </w:pPr>
      <w:r>
        <w:separator/>
      </w:r>
    </w:p>
  </w:endnote>
  <w:endnote w:type="continuationSeparator" w:id="0">
    <w:p w:rsidR="00DA22B3" w:rsidRDefault="00DA22B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75288" w:rsidTr="0077528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47B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547B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14C77">
            <w:rPr>
              <w:b w:val="0"/>
              <w:color w:val="000000"/>
              <w:sz w:val="14"/>
            </w:rPr>
            <w:t>GE.15-11642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75288" w:rsidRPr="00775288" w:rsidRDefault="00775288" w:rsidP="00775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75288" w:rsidTr="0077528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14C77">
            <w:rPr>
              <w:b w:val="0"/>
              <w:color w:val="000000"/>
              <w:sz w:val="14"/>
            </w:rPr>
            <w:t>GE.15-11642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14C7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14C77">
              <w:rPr>
                <w:noProof/>
              </w:rPr>
              <w:t>2</w:t>
            </w:r>
          </w:fldSimple>
        </w:p>
      </w:tc>
    </w:tr>
  </w:tbl>
  <w:p w:rsidR="00775288" w:rsidRPr="00775288" w:rsidRDefault="00775288" w:rsidP="00775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75288" w:rsidTr="00775288">
      <w:tc>
        <w:tcPr>
          <w:tcW w:w="3873" w:type="dxa"/>
        </w:tcPr>
        <w:p w:rsidR="00775288" w:rsidRDefault="00775288" w:rsidP="0077528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7FA11D5" wp14:editId="4F8AFF5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GE.15-11642 (R)</w:t>
          </w:r>
          <w:r>
            <w:rPr>
              <w:color w:val="010000"/>
            </w:rPr>
            <w:t xml:space="preserve">    </w:t>
          </w:r>
          <w:r w:rsidR="001E3B17">
            <w:rPr>
              <w:color w:val="010000"/>
            </w:rPr>
            <w:t>07</w:t>
          </w:r>
          <w:r>
            <w:rPr>
              <w:color w:val="010000"/>
            </w:rPr>
            <w:t>0815    110815</w:t>
          </w:r>
        </w:p>
        <w:p w:rsidR="00775288" w:rsidRPr="00775288" w:rsidRDefault="00775288" w:rsidP="0077528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*1511642*</w:t>
          </w:r>
        </w:p>
      </w:tc>
      <w:tc>
        <w:tcPr>
          <w:tcW w:w="5127" w:type="dxa"/>
        </w:tcPr>
        <w:p w:rsidR="00775288" w:rsidRDefault="00775288" w:rsidP="0077528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2722963" wp14:editId="10AA75B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5288" w:rsidRPr="00775288" w:rsidRDefault="00775288" w:rsidP="0077528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B3" w:rsidRDefault="00DA22B3" w:rsidP="008A1A7A">
      <w:pPr>
        <w:spacing w:line="240" w:lineRule="auto"/>
      </w:pPr>
      <w:r>
        <w:separator/>
      </w:r>
    </w:p>
  </w:footnote>
  <w:footnote w:type="continuationSeparator" w:id="0">
    <w:p w:rsidR="00DA22B3" w:rsidRDefault="00DA22B3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75288" w:rsidTr="0077528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4C77">
            <w:rPr>
              <w:b/>
            </w:rPr>
            <w:t>ECE/TRANS/WP.11/2015/15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75288" w:rsidRDefault="00775288" w:rsidP="00775288">
          <w:pPr>
            <w:pStyle w:val="Header"/>
          </w:pPr>
        </w:p>
      </w:tc>
    </w:tr>
  </w:tbl>
  <w:p w:rsidR="00775288" w:rsidRPr="00775288" w:rsidRDefault="00775288" w:rsidP="00775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75288" w:rsidTr="0077528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75288" w:rsidRDefault="00775288" w:rsidP="0077528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75288" w:rsidRPr="00775288" w:rsidRDefault="00775288" w:rsidP="0077528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4C77">
            <w:rPr>
              <w:b/>
            </w:rPr>
            <w:t>ECE/TRANS/WP.11/2015/15</w:t>
          </w:r>
          <w:r>
            <w:rPr>
              <w:b/>
            </w:rPr>
            <w:fldChar w:fldCharType="end"/>
          </w:r>
        </w:p>
      </w:tc>
    </w:tr>
  </w:tbl>
  <w:p w:rsidR="00775288" w:rsidRPr="00775288" w:rsidRDefault="00775288" w:rsidP="00775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75288" w:rsidTr="0077528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75288" w:rsidRPr="00775288" w:rsidRDefault="00775288" w:rsidP="0077528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75288" w:rsidRDefault="00775288" w:rsidP="0077528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75288" w:rsidRPr="00775288" w:rsidRDefault="00775288" w:rsidP="0077528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/TRANS/WP.11/2015/15</w:t>
          </w:r>
        </w:p>
      </w:tc>
    </w:tr>
    <w:tr w:rsidR="00775288" w:rsidRPr="002933A7" w:rsidTr="0077528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75288" w:rsidRPr="00775288" w:rsidRDefault="00775288" w:rsidP="0077528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E840E37" wp14:editId="4B22253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75288" w:rsidRPr="00775288" w:rsidRDefault="00775288" w:rsidP="0077528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75288" w:rsidRPr="00775288" w:rsidRDefault="00775288" w:rsidP="0077528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75288" w:rsidRPr="00702A43" w:rsidRDefault="00775288" w:rsidP="00775288">
          <w:pPr>
            <w:pStyle w:val="Distribution"/>
            <w:rPr>
              <w:color w:val="000000"/>
              <w:lang w:val="en-US"/>
            </w:rPr>
          </w:pPr>
          <w:r w:rsidRPr="00702A43">
            <w:rPr>
              <w:color w:val="000000"/>
              <w:lang w:val="en-US"/>
            </w:rPr>
            <w:t>Distr.: General</w:t>
          </w:r>
        </w:p>
        <w:p w:rsidR="00775288" w:rsidRPr="00702A43" w:rsidRDefault="00775288" w:rsidP="00775288">
          <w:pPr>
            <w:pStyle w:val="Publication"/>
            <w:rPr>
              <w:color w:val="000000"/>
              <w:lang w:val="en-US"/>
            </w:rPr>
          </w:pPr>
          <w:r w:rsidRPr="00702A43">
            <w:rPr>
              <w:color w:val="000000"/>
              <w:lang w:val="en-US"/>
            </w:rPr>
            <w:t>9 July 2015</w:t>
          </w:r>
        </w:p>
        <w:p w:rsidR="00775288" w:rsidRPr="00702A43" w:rsidRDefault="00775288" w:rsidP="00775288">
          <w:pPr>
            <w:rPr>
              <w:color w:val="000000"/>
              <w:lang w:val="en-US"/>
            </w:rPr>
          </w:pPr>
          <w:r w:rsidRPr="00702A43">
            <w:rPr>
              <w:color w:val="000000"/>
              <w:lang w:val="en-US"/>
            </w:rPr>
            <w:t>Russian</w:t>
          </w:r>
        </w:p>
        <w:p w:rsidR="00775288" w:rsidRPr="00702A43" w:rsidRDefault="00775288" w:rsidP="00775288">
          <w:pPr>
            <w:pStyle w:val="Original"/>
            <w:rPr>
              <w:color w:val="000000"/>
              <w:lang w:val="en-US"/>
            </w:rPr>
          </w:pPr>
          <w:r w:rsidRPr="00702A43">
            <w:rPr>
              <w:color w:val="000000"/>
              <w:lang w:val="en-US"/>
            </w:rPr>
            <w:t>Original: French</w:t>
          </w:r>
        </w:p>
        <w:p w:rsidR="00775288" w:rsidRPr="00702A43" w:rsidRDefault="00775288" w:rsidP="00775288">
          <w:pPr>
            <w:rPr>
              <w:lang w:val="en-US"/>
            </w:rPr>
          </w:pPr>
        </w:p>
      </w:tc>
    </w:tr>
  </w:tbl>
  <w:p w:rsidR="00775288" w:rsidRPr="00702A43" w:rsidRDefault="00775288" w:rsidP="0077528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42*"/>
    <w:docVar w:name="CreationDt" w:val="8/11/2015 4:23: PM"/>
    <w:docVar w:name="DocCategory" w:val="Doc"/>
    <w:docVar w:name="DocType" w:val="Final"/>
    <w:docVar w:name="DutyStation" w:val="Geneva"/>
    <w:docVar w:name="FooterJN" w:val="GE.15-11642"/>
    <w:docVar w:name="jobn" w:val="GE.15-11642 (R)"/>
    <w:docVar w:name="jobnDT" w:val="GE.15-11642 (R)   110815"/>
    <w:docVar w:name="jobnDTDT" w:val="GE.15-11642 (R)   110815   110815"/>
    <w:docVar w:name="JobNo" w:val="GE.1511642R"/>
    <w:docVar w:name="JobNo2" w:val="1515299R"/>
    <w:docVar w:name="LocalDrive" w:val="0"/>
    <w:docVar w:name="OandT" w:val="ab"/>
    <w:docVar w:name="PaperSize" w:val="A4"/>
    <w:docVar w:name="sss1" w:val="ECE/TRANS/WP.11/2015/15"/>
    <w:docVar w:name="sss2" w:val="-"/>
    <w:docVar w:name="Symbol1" w:val="ECE/TRANS/WP.11/2015/15"/>
    <w:docVar w:name="Symbol2" w:val="-"/>
  </w:docVars>
  <w:rsids>
    <w:rsidRoot w:val="00DA22B3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3B17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33A7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1D56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019B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2A43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5288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44D2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5C10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47BC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22B3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4C77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4C5E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7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8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8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7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8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8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FC5D-4689-402B-BD34-418B0AB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Caillot</cp:lastModifiedBy>
  <cp:revision>2</cp:revision>
  <cp:lastPrinted>2015-08-11T14:41:00Z</cp:lastPrinted>
  <dcterms:created xsi:type="dcterms:W3CDTF">2015-08-27T14:08:00Z</dcterms:created>
  <dcterms:modified xsi:type="dcterms:W3CDTF">2015-08-27T14:08:00Z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1511642R</vt:lpwstr>
  </property>
  <property fmtid="{D5CDD505-2E9C-101B-9397-08002B2CF9AE}" pid="3" name="ODSRefJobNo">
    <vt:lpwstr>1515299R</vt:lpwstr>
  </property>
  <property fmtid="{D5CDD505-2E9C-101B-9397-08002B2CF9AE}" pid="4" name="Symbol1">
    <vt:lpwstr>ECE/TRANS/WP.11/2015/15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July 2015</vt:lpwstr>
  </property>
  <property fmtid="{D5CDD505-2E9C-101B-9397-08002B2CF9AE}" pid="12" name="Original">
    <vt:lpwstr>French</vt:lpwstr>
  </property>
  <property fmtid="{D5CDD505-2E9C-101B-9397-08002B2CF9AE}" pid="13" name="Release Date">
    <vt:lpwstr>110815</vt:lpwstr>
  </property>
</Properties>
</file>