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26C" w:rsidRPr="00101B00" w:rsidRDefault="00E3126C" w:rsidP="00E3126C">
      <w:pPr>
        <w:spacing w:line="240" w:lineRule="auto"/>
        <w:rPr>
          <w:sz w:val="2"/>
          <w:lang w:val="fr-CH"/>
        </w:rPr>
        <w:sectPr w:rsidR="00E3126C" w:rsidRPr="00101B00" w:rsidSect="00E3126C">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101B00">
        <w:rPr>
          <w:rStyle w:val="CommentReference"/>
          <w:lang w:val="fr-CH"/>
        </w:rPr>
        <w:commentReference w:id="0"/>
      </w:r>
      <w:bookmarkStart w:id="1" w:name="_GoBack"/>
      <w:bookmarkEnd w:id="1"/>
    </w:p>
    <w:p w:rsidR="00E3126C" w:rsidRPr="00101B00" w:rsidRDefault="00E3126C" w:rsidP="00554873">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101B00">
        <w:rPr>
          <w:lang w:val="fr-CH"/>
        </w:rPr>
        <w:lastRenderedPageBreak/>
        <w:t>Commission économique pour l</w:t>
      </w:r>
      <w:r w:rsidR="005F0D9B" w:rsidRPr="00101B00">
        <w:rPr>
          <w:lang w:val="fr-CH"/>
        </w:rPr>
        <w:t>’</w:t>
      </w:r>
      <w:r w:rsidRPr="00101B00">
        <w:rPr>
          <w:lang w:val="fr-CH"/>
        </w:rPr>
        <w:t>Europe</w:t>
      </w:r>
    </w:p>
    <w:p w:rsidR="00554873" w:rsidRPr="00101B00" w:rsidRDefault="00554873" w:rsidP="00554873">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E3126C" w:rsidRPr="00101B00" w:rsidRDefault="00E3126C" w:rsidP="00554873">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bCs/>
          <w:lang w:val="fr-CH"/>
        </w:rPr>
      </w:pPr>
      <w:r w:rsidRPr="00101B00">
        <w:rPr>
          <w:b w:val="0"/>
          <w:bCs/>
          <w:lang w:val="fr-CH"/>
        </w:rPr>
        <w:t>Comité des transports intérieurs</w:t>
      </w:r>
    </w:p>
    <w:p w:rsidR="00E3126C" w:rsidRPr="00101B00" w:rsidRDefault="00E3126C" w:rsidP="00554873">
      <w:pPr>
        <w:pStyle w:val="H1"/>
        <w:spacing w:line="120" w:lineRule="exact"/>
        <w:rPr>
          <w:b w:val="0"/>
          <w:sz w:val="10"/>
          <w:lang w:val="fr-CH"/>
        </w:rPr>
      </w:pPr>
    </w:p>
    <w:p w:rsidR="00554873" w:rsidRPr="00101B00" w:rsidRDefault="00554873" w:rsidP="00554873">
      <w:pPr>
        <w:rPr>
          <w:b/>
          <w:bCs/>
          <w:lang w:val="fr-CH"/>
        </w:rPr>
      </w:pPr>
      <w:r w:rsidRPr="00101B00">
        <w:rPr>
          <w:b/>
          <w:lang w:val="fr-CH"/>
        </w:rPr>
        <w:t>Soixante-dix-septième session</w:t>
      </w:r>
    </w:p>
    <w:p w:rsidR="00554873" w:rsidRPr="00101B00" w:rsidRDefault="00554873" w:rsidP="00554873">
      <w:pPr>
        <w:rPr>
          <w:b/>
          <w:bCs/>
          <w:lang w:val="fr-CH"/>
        </w:rPr>
      </w:pPr>
      <w:r w:rsidRPr="00101B00">
        <w:rPr>
          <w:lang w:val="fr-CH"/>
        </w:rPr>
        <w:t>Genève, 24-26 février 2015</w:t>
      </w:r>
    </w:p>
    <w:p w:rsidR="00554873" w:rsidRPr="00101B00" w:rsidRDefault="00554873" w:rsidP="00554873">
      <w:pPr>
        <w:spacing w:line="120" w:lineRule="exact"/>
        <w:rPr>
          <w:sz w:val="10"/>
          <w:lang w:val="fr-CH"/>
        </w:rPr>
      </w:pPr>
    </w:p>
    <w:p w:rsidR="00554873" w:rsidRPr="00101B00" w:rsidRDefault="00554873" w:rsidP="00554873">
      <w:pPr>
        <w:spacing w:line="120" w:lineRule="exact"/>
        <w:rPr>
          <w:sz w:val="10"/>
          <w:lang w:val="fr-CH"/>
        </w:rPr>
      </w:pPr>
    </w:p>
    <w:p w:rsidR="00554873" w:rsidRPr="00101B00" w:rsidRDefault="00554873" w:rsidP="00554873">
      <w:pPr>
        <w:spacing w:line="120" w:lineRule="exact"/>
        <w:rPr>
          <w:sz w:val="10"/>
          <w:lang w:val="fr-CH"/>
        </w:rPr>
      </w:pPr>
    </w:p>
    <w:p w:rsidR="00554873" w:rsidRPr="00101B00" w:rsidRDefault="00554873" w:rsidP="0055487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1B00">
        <w:rPr>
          <w:lang w:val="fr-CH"/>
        </w:rPr>
        <w:tab/>
      </w:r>
      <w:r w:rsidRPr="00101B00">
        <w:rPr>
          <w:lang w:val="fr-CH"/>
        </w:rPr>
        <w:tab/>
        <w:t xml:space="preserve">Rapport du Comité des transports intérieurs </w:t>
      </w:r>
      <w:r w:rsidRPr="00101B00">
        <w:rPr>
          <w:lang w:val="fr-CH"/>
        </w:rPr>
        <w:br/>
        <w:t>sur sa soixante-dix-septième session</w:t>
      </w:r>
    </w:p>
    <w:p w:rsidR="00554873" w:rsidRPr="00101B00" w:rsidRDefault="00554873" w:rsidP="00554873">
      <w:pPr>
        <w:pStyle w:val="SingleTxt"/>
        <w:spacing w:after="0" w:line="120" w:lineRule="exact"/>
        <w:rPr>
          <w:sz w:val="10"/>
          <w:lang w:val="fr-CH"/>
        </w:rPr>
      </w:pPr>
    </w:p>
    <w:p w:rsidR="00554873" w:rsidRPr="00101B00" w:rsidRDefault="00554873" w:rsidP="00554873">
      <w:pPr>
        <w:pStyle w:val="SingleTxt"/>
        <w:spacing w:after="0" w:line="120" w:lineRule="exact"/>
        <w:rPr>
          <w:sz w:val="10"/>
          <w:lang w:val="fr-CH"/>
        </w:rPr>
      </w:pPr>
    </w:p>
    <w:p w:rsidR="00554873" w:rsidRPr="00101B00" w:rsidRDefault="00554873" w:rsidP="00554873">
      <w:pPr>
        <w:pStyle w:val="HCH"/>
        <w:spacing w:after="120"/>
        <w:rPr>
          <w:b w:val="0"/>
          <w:bCs/>
          <w:lang w:val="fr-CH"/>
        </w:rPr>
      </w:pPr>
      <w:r w:rsidRPr="00101B00">
        <w:rPr>
          <w:b w:val="0"/>
          <w:bCs/>
          <w:lang w:val="fr-CH"/>
        </w:rPr>
        <w:t>Table des matières</w:t>
      </w:r>
    </w:p>
    <w:tbl>
      <w:tblPr>
        <w:tblW w:w="10044" w:type="dxa"/>
        <w:shd w:val="clear" w:color="auto" w:fill="FFFFFF" w:themeFill="background1"/>
        <w:tblLayout w:type="fixed"/>
        <w:tblCellMar>
          <w:left w:w="0" w:type="dxa"/>
          <w:right w:w="0" w:type="dxa"/>
        </w:tblCellMar>
        <w:tblLook w:val="0000" w:firstRow="0" w:lastRow="0" w:firstColumn="0" w:lastColumn="0" w:noHBand="0" w:noVBand="0"/>
      </w:tblPr>
      <w:tblGrid>
        <w:gridCol w:w="1060"/>
        <w:gridCol w:w="7315"/>
        <w:gridCol w:w="994"/>
        <w:gridCol w:w="675"/>
      </w:tblGrid>
      <w:tr w:rsidR="00554873" w:rsidRPr="00101B00" w:rsidTr="004C06E5">
        <w:tc>
          <w:tcPr>
            <w:tcW w:w="1060" w:type="dxa"/>
            <w:shd w:val="clear" w:color="auto" w:fill="FFFFFF" w:themeFill="background1"/>
          </w:tcPr>
          <w:p w:rsidR="00554873" w:rsidRPr="00101B00" w:rsidRDefault="00554873" w:rsidP="00554873">
            <w:pPr>
              <w:spacing w:after="120" w:line="240" w:lineRule="auto"/>
              <w:jc w:val="right"/>
              <w:rPr>
                <w:i/>
                <w:sz w:val="14"/>
                <w:lang w:val="fr-CH"/>
              </w:rPr>
            </w:pPr>
          </w:p>
        </w:tc>
        <w:tc>
          <w:tcPr>
            <w:tcW w:w="7315" w:type="dxa"/>
            <w:shd w:val="clear" w:color="auto" w:fill="FFFFFF" w:themeFill="background1"/>
          </w:tcPr>
          <w:p w:rsidR="00554873" w:rsidRPr="00101B00" w:rsidRDefault="00554873" w:rsidP="00554873">
            <w:pPr>
              <w:spacing w:after="120" w:line="240" w:lineRule="auto"/>
              <w:rPr>
                <w:i/>
                <w:sz w:val="14"/>
                <w:lang w:val="fr-CH"/>
              </w:rPr>
            </w:pPr>
          </w:p>
        </w:tc>
        <w:tc>
          <w:tcPr>
            <w:tcW w:w="994" w:type="dxa"/>
            <w:shd w:val="clear" w:color="auto" w:fill="FFFFFF" w:themeFill="background1"/>
          </w:tcPr>
          <w:p w:rsidR="00554873" w:rsidRPr="00101B00" w:rsidRDefault="00554873" w:rsidP="00554873">
            <w:pPr>
              <w:spacing w:after="120" w:line="240" w:lineRule="auto"/>
              <w:jc w:val="right"/>
              <w:rPr>
                <w:i/>
                <w:sz w:val="14"/>
                <w:lang w:val="fr-CH"/>
              </w:rPr>
            </w:pPr>
            <w:r w:rsidRPr="00101B00">
              <w:rPr>
                <w:i/>
                <w:sz w:val="14"/>
                <w:lang w:val="fr-CH"/>
              </w:rPr>
              <w:t>Paragraphes</w:t>
            </w:r>
          </w:p>
        </w:tc>
        <w:tc>
          <w:tcPr>
            <w:tcW w:w="675" w:type="dxa"/>
            <w:shd w:val="clear" w:color="auto" w:fill="FFFFFF" w:themeFill="background1"/>
          </w:tcPr>
          <w:p w:rsidR="00554873" w:rsidRPr="00101B00" w:rsidRDefault="00554873" w:rsidP="00554873">
            <w:pPr>
              <w:spacing w:after="120" w:line="240" w:lineRule="auto"/>
              <w:jc w:val="right"/>
              <w:rPr>
                <w:i/>
                <w:sz w:val="14"/>
                <w:lang w:val="fr-CH"/>
              </w:rPr>
            </w:pPr>
            <w:r w:rsidRPr="00101B00">
              <w:rPr>
                <w:i/>
                <w:sz w:val="14"/>
                <w:lang w:val="fr-CH"/>
              </w:rPr>
              <w:t>Page</w:t>
            </w:r>
          </w:p>
        </w:tc>
      </w:tr>
      <w:tr w:rsidR="00554873" w:rsidRPr="00101B00" w:rsidTr="004C06E5">
        <w:tc>
          <w:tcPr>
            <w:tcW w:w="8375" w:type="dxa"/>
            <w:gridSpan w:val="2"/>
            <w:shd w:val="clear" w:color="auto" w:fill="FFFFFF" w:themeFill="background1"/>
          </w:tcPr>
          <w:p w:rsidR="00554873" w:rsidRPr="00101B00" w:rsidRDefault="00101B00" w:rsidP="004C06E5">
            <w:pPr>
              <w:pStyle w:val="ListParagraph"/>
              <w:numPr>
                <w:ilvl w:val="0"/>
                <w:numId w:val="6"/>
              </w:numPr>
              <w:tabs>
                <w:tab w:val="left" w:pos="1296"/>
                <w:tab w:val="left" w:pos="1728"/>
                <w:tab w:val="right" w:leader="dot" w:pos="8381"/>
              </w:tabs>
              <w:suppressAutoHyphens/>
              <w:spacing w:after="120"/>
              <w:rPr>
                <w:lang w:val="fr-CH"/>
              </w:rPr>
            </w:pPr>
            <w:r w:rsidRPr="00101B00">
              <w:rPr>
                <w:lang w:val="fr-CH"/>
              </w:rPr>
              <w:t>Présidence</w:t>
            </w:r>
            <w:r w:rsidR="004C06E5">
              <w:rPr>
                <w:spacing w:val="60"/>
                <w:sz w:val="17"/>
                <w:lang w:val="fr-CH"/>
              </w:rPr>
              <w:tab/>
            </w:r>
          </w:p>
        </w:tc>
        <w:tc>
          <w:tcPr>
            <w:tcW w:w="994" w:type="dxa"/>
            <w:shd w:val="clear" w:color="auto" w:fill="FFFFFF" w:themeFill="background1"/>
            <w:vAlign w:val="bottom"/>
          </w:tcPr>
          <w:p w:rsidR="00554873" w:rsidRPr="00101B00" w:rsidRDefault="00DC3FAC" w:rsidP="00554873">
            <w:pPr>
              <w:spacing w:after="120"/>
              <w:jc w:val="right"/>
              <w:rPr>
                <w:lang w:val="fr-CH"/>
              </w:rPr>
            </w:pPr>
            <w:r w:rsidRPr="00101B00">
              <w:rPr>
                <w:lang w:val="fr-CH"/>
              </w:rPr>
              <w:t>1</w:t>
            </w:r>
          </w:p>
        </w:tc>
        <w:tc>
          <w:tcPr>
            <w:tcW w:w="675" w:type="dxa"/>
            <w:shd w:val="clear" w:color="auto" w:fill="FFFFFF" w:themeFill="background1"/>
            <w:vAlign w:val="bottom"/>
          </w:tcPr>
          <w:p w:rsidR="00554873" w:rsidRPr="00101B00" w:rsidRDefault="00E76061" w:rsidP="00554873">
            <w:pPr>
              <w:spacing w:after="120"/>
              <w:jc w:val="right"/>
              <w:rPr>
                <w:lang w:val="fr-CH"/>
              </w:rPr>
            </w:pPr>
            <w:r>
              <w:rPr>
                <w:lang w:val="fr-CH"/>
              </w:rPr>
              <w:t>4</w:t>
            </w:r>
          </w:p>
        </w:tc>
      </w:tr>
      <w:tr w:rsidR="00554873" w:rsidRPr="00101B00" w:rsidTr="004C06E5">
        <w:tc>
          <w:tcPr>
            <w:tcW w:w="8375" w:type="dxa"/>
            <w:gridSpan w:val="2"/>
            <w:shd w:val="clear" w:color="auto" w:fill="FFFFFF" w:themeFill="background1"/>
          </w:tcPr>
          <w:p w:rsidR="00554873" w:rsidRPr="00101B00" w:rsidRDefault="00101B00" w:rsidP="004C06E5">
            <w:pPr>
              <w:pStyle w:val="ListParagraph"/>
              <w:numPr>
                <w:ilvl w:val="0"/>
                <w:numId w:val="6"/>
              </w:numPr>
              <w:tabs>
                <w:tab w:val="left" w:pos="1296"/>
                <w:tab w:val="left" w:pos="1728"/>
                <w:tab w:val="right" w:leader="dot" w:pos="8381"/>
              </w:tabs>
              <w:suppressAutoHyphens/>
              <w:spacing w:after="120"/>
              <w:rPr>
                <w:lang w:val="fr-CH"/>
              </w:rPr>
            </w:pPr>
            <w:r w:rsidRPr="00101B00">
              <w:rPr>
                <w:lang w:val="fr-CH"/>
              </w:rPr>
              <w:t>Participation</w:t>
            </w:r>
            <w:r w:rsidR="004C06E5">
              <w:rPr>
                <w:spacing w:val="60"/>
                <w:sz w:val="17"/>
                <w:lang w:val="fr-CH"/>
              </w:rPr>
              <w:tab/>
            </w:r>
          </w:p>
        </w:tc>
        <w:tc>
          <w:tcPr>
            <w:tcW w:w="994" w:type="dxa"/>
            <w:shd w:val="clear" w:color="auto" w:fill="FFFFFF" w:themeFill="background1"/>
            <w:vAlign w:val="bottom"/>
          </w:tcPr>
          <w:p w:rsidR="00554873" w:rsidRPr="00101B00" w:rsidRDefault="00DC3FAC" w:rsidP="00554873">
            <w:pPr>
              <w:spacing w:after="120"/>
              <w:jc w:val="right"/>
              <w:rPr>
                <w:lang w:val="fr-CH"/>
              </w:rPr>
            </w:pPr>
            <w:r w:rsidRPr="00101B00">
              <w:rPr>
                <w:lang w:val="fr-CH"/>
              </w:rPr>
              <w:t>2–8</w:t>
            </w:r>
          </w:p>
        </w:tc>
        <w:tc>
          <w:tcPr>
            <w:tcW w:w="675" w:type="dxa"/>
            <w:shd w:val="clear" w:color="auto" w:fill="FFFFFF" w:themeFill="background1"/>
            <w:vAlign w:val="bottom"/>
          </w:tcPr>
          <w:p w:rsidR="00554873" w:rsidRPr="00101B00" w:rsidRDefault="00E76061" w:rsidP="00554873">
            <w:pPr>
              <w:spacing w:after="120"/>
              <w:jc w:val="right"/>
              <w:rPr>
                <w:lang w:val="fr-CH"/>
              </w:rPr>
            </w:pPr>
            <w:r>
              <w:rPr>
                <w:lang w:val="fr-CH"/>
              </w:rPr>
              <w:t>4</w:t>
            </w:r>
          </w:p>
        </w:tc>
      </w:tr>
      <w:tr w:rsidR="00DC3FAC" w:rsidRPr="00101B00" w:rsidTr="004C06E5">
        <w:tc>
          <w:tcPr>
            <w:tcW w:w="8375" w:type="dxa"/>
            <w:gridSpan w:val="2"/>
            <w:shd w:val="clear" w:color="auto" w:fill="FFFFFF" w:themeFill="background1"/>
          </w:tcPr>
          <w:p w:rsidR="00DC3FAC" w:rsidRPr="00101B00" w:rsidRDefault="00101B00" w:rsidP="004C06E5">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uppressAutoHyphens/>
              <w:spacing w:after="120"/>
              <w:rPr>
                <w:lang w:val="fr-CH"/>
              </w:rPr>
            </w:pPr>
            <w:r w:rsidRPr="00101B00">
              <w:rPr>
                <w:lang w:val="fr-CH"/>
              </w:rPr>
              <w:t>Adoption de l’ordre du jour (point 1 de l’ordre du jour)</w:t>
            </w:r>
            <w:r w:rsidR="004C06E5">
              <w:rPr>
                <w:spacing w:val="60"/>
                <w:sz w:val="17"/>
                <w:lang w:val="fr-CH"/>
              </w:rPr>
              <w:tab/>
            </w:r>
          </w:p>
        </w:tc>
        <w:tc>
          <w:tcPr>
            <w:tcW w:w="994" w:type="dxa"/>
            <w:shd w:val="clear" w:color="auto" w:fill="FFFFFF" w:themeFill="background1"/>
            <w:vAlign w:val="bottom"/>
          </w:tcPr>
          <w:p w:rsidR="00DC3FAC" w:rsidRPr="00101B00" w:rsidRDefault="00DC3FAC" w:rsidP="00554873">
            <w:pPr>
              <w:spacing w:after="120"/>
              <w:jc w:val="right"/>
              <w:rPr>
                <w:lang w:val="fr-CH"/>
              </w:rPr>
            </w:pPr>
            <w:r w:rsidRPr="00101B00">
              <w:rPr>
                <w:lang w:val="fr-CH"/>
              </w:rPr>
              <w:t>9</w:t>
            </w:r>
          </w:p>
        </w:tc>
        <w:tc>
          <w:tcPr>
            <w:tcW w:w="675" w:type="dxa"/>
            <w:shd w:val="clear" w:color="auto" w:fill="FFFFFF" w:themeFill="background1"/>
            <w:vAlign w:val="bottom"/>
          </w:tcPr>
          <w:p w:rsidR="00DC3FAC" w:rsidRPr="00101B00" w:rsidRDefault="00E76061" w:rsidP="00554873">
            <w:pPr>
              <w:spacing w:after="120"/>
              <w:jc w:val="right"/>
              <w:rPr>
                <w:lang w:val="fr-CH"/>
              </w:rPr>
            </w:pPr>
            <w:r>
              <w:rPr>
                <w:lang w:val="fr-CH"/>
              </w:rPr>
              <w:t>5</w:t>
            </w:r>
          </w:p>
        </w:tc>
      </w:tr>
      <w:tr w:rsidR="00DC3FAC" w:rsidRPr="00101B00" w:rsidTr="004C06E5">
        <w:tc>
          <w:tcPr>
            <w:tcW w:w="8375" w:type="dxa"/>
            <w:gridSpan w:val="2"/>
            <w:shd w:val="clear" w:color="auto" w:fill="FFFFFF" w:themeFill="background1"/>
          </w:tcPr>
          <w:p w:rsidR="00DC3FAC" w:rsidRPr="00101B00" w:rsidRDefault="00101B00" w:rsidP="004C06E5">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left" w:pos="5184"/>
                <w:tab w:val="right" w:leader="dot" w:pos="8381"/>
              </w:tabs>
              <w:suppressAutoHyphens/>
              <w:spacing w:after="120"/>
              <w:rPr>
                <w:lang w:val="fr-CH"/>
              </w:rPr>
            </w:pPr>
            <w:r w:rsidRPr="00101B00">
              <w:rPr>
                <w:lang w:val="fr-CH"/>
              </w:rPr>
              <w:t xml:space="preserve">Repenser les transports urbains et la mobilité durables pour relever les défis </w:t>
            </w:r>
            <w:r w:rsidR="00970907">
              <w:rPr>
                <w:lang w:val="fr-CH"/>
              </w:rPr>
              <w:br/>
            </w:r>
            <w:r w:rsidRPr="00101B00">
              <w:rPr>
                <w:lang w:val="fr-CH"/>
              </w:rPr>
              <w:t>d’une nouvelle ère (point 2 de l’ordre du jour)</w:t>
            </w:r>
            <w:r w:rsidR="004C06E5">
              <w:rPr>
                <w:spacing w:val="60"/>
                <w:sz w:val="17"/>
                <w:lang w:val="fr-CH"/>
              </w:rPr>
              <w:tab/>
            </w:r>
          </w:p>
        </w:tc>
        <w:tc>
          <w:tcPr>
            <w:tcW w:w="994" w:type="dxa"/>
            <w:shd w:val="clear" w:color="auto" w:fill="FFFFFF" w:themeFill="background1"/>
            <w:vAlign w:val="bottom"/>
          </w:tcPr>
          <w:p w:rsidR="00DC3FAC" w:rsidRPr="00101B00" w:rsidRDefault="00DC3FAC" w:rsidP="00554873">
            <w:pPr>
              <w:spacing w:after="120"/>
              <w:jc w:val="right"/>
              <w:rPr>
                <w:lang w:val="fr-CH"/>
              </w:rPr>
            </w:pPr>
            <w:r w:rsidRPr="00101B00">
              <w:rPr>
                <w:lang w:val="fr-CH"/>
              </w:rPr>
              <w:t>10–11</w:t>
            </w:r>
          </w:p>
        </w:tc>
        <w:tc>
          <w:tcPr>
            <w:tcW w:w="675" w:type="dxa"/>
            <w:shd w:val="clear" w:color="auto" w:fill="FFFFFF" w:themeFill="background1"/>
            <w:vAlign w:val="bottom"/>
          </w:tcPr>
          <w:p w:rsidR="00DC3FAC" w:rsidRPr="00101B00" w:rsidRDefault="00E76061" w:rsidP="00554873">
            <w:pPr>
              <w:spacing w:after="120"/>
              <w:jc w:val="right"/>
              <w:rPr>
                <w:lang w:val="fr-CH"/>
              </w:rPr>
            </w:pPr>
            <w:r>
              <w:rPr>
                <w:lang w:val="fr-CH"/>
              </w:rPr>
              <w:t>5</w:t>
            </w:r>
          </w:p>
        </w:tc>
      </w:tr>
      <w:tr w:rsidR="00DC3FAC" w:rsidRPr="00101B00" w:rsidTr="004C06E5">
        <w:tc>
          <w:tcPr>
            <w:tcW w:w="8375" w:type="dxa"/>
            <w:gridSpan w:val="2"/>
            <w:shd w:val="clear" w:color="auto" w:fill="FFFFFF" w:themeFill="background1"/>
          </w:tcPr>
          <w:p w:rsidR="00DC3FAC" w:rsidRPr="00101B00" w:rsidRDefault="00101B00" w:rsidP="004C06E5">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8381"/>
              </w:tabs>
              <w:suppressAutoHyphens/>
              <w:spacing w:after="120"/>
              <w:rPr>
                <w:lang w:val="fr-CH"/>
              </w:rPr>
            </w:pPr>
            <w:r w:rsidRPr="00101B00">
              <w:rPr>
                <w:lang w:val="fr-CH"/>
              </w:rPr>
              <w:t xml:space="preserve">Réunion réservée aux représentants de gouvernements avec la participation </w:t>
            </w:r>
            <w:r w:rsidR="00970907">
              <w:rPr>
                <w:lang w:val="fr-CH"/>
              </w:rPr>
              <w:br/>
            </w:r>
            <w:r w:rsidRPr="00101B00">
              <w:rPr>
                <w:lang w:val="fr-CH"/>
              </w:rPr>
              <w:t>des présidents des organes subsidiaires du Comité (point 3 de l’ordre du jour)</w:t>
            </w:r>
            <w:r w:rsidR="004C06E5">
              <w:rPr>
                <w:spacing w:val="60"/>
                <w:sz w:val="17"/>
                <w:lang w:val="fr-CH"/>
              </w:rPr>
              <w:tab/>
            </w:r>
          </w:p>
        </w:tc>
        <w:tc>
          <w:tcPr>
            <w:tcW w:w="994" w:type="dxa"/>
            <w:shd w:val="clear" w:color="auto" w:fill="FFFFFF" w:themeFill="background1"/>
            <w:vAlign w:val="bottom"/>
          </w:tcPr>
          <w:p w:rsidR="00DC3FAC" w:rsidRPr="00101B00" w:rsidRDefault="00DC3FAC" w:rsidP="00554873">
            <w:pPr>
              <w:spacing w:after="120"/>
              <w:jc w:val="right"/>
              <w:rPr>
                <w:lang w:val="fr-CH"/>
              </w:rPr>
            </w:pPr>
            <w:r w:rsidRPr="00101B00">
              <w:rPr>
                <w:lang w:val="fr-CH"/>
              </w:rPr>
              <w:t>12–16</w:t>
            </w:r>
          </w:p>
        </w:tc>
        <w:tc>
          <w:tcPr>
            <w:tcW w:w="675" w:type="dxa"/>
            <w:shd w:val="clear" w:color="auto" w:fill="FFFFFF" w:themeFill="background1"/>
            <w:vAlign w:val="bottom"/>
          </w:tcPr>
          <w:p w:rsidR="00DC3FAC" w:rsidRPr="00101B00" w:rsidRDefault="00E76061" w:rsidP="00554873">
            <w:pPr>
              <w:spacing w:after="120"/>
              <w:jc w:val="right"/>
              <w:rPr>
                <w:lang w:val="fr-CH"/>
              </w:rPr>
            </w:pPr>
            <w:r>
              <w:rPr>
                <w:lang w:val="fr-CH"/>
              </w:rPr>
              <w:t>5</w:t>
            </w:r>
          </w:p>
        </w:tc>
      </w:tr>
      <w:tr w:rsidR="00DC3FAC" w:rsidRPr="00101B00" w:rsidTr="004C06E5">
        <w:tc>
          <w:tcPr>
            <w:tcW w:w="8375" w:type="dxa"/>
            <w:gridSpan w:val="2"/>
            <w:shd w:val="clear" w:color="auto" w:fill="FFFFFF" w:themeFill="background1"/>
          </w:tcPr>
          <w:p w:rsidR="00DC3FAC" w:rsidRPr="00101B00" w:rsidRDefault="00101B00" w:rsidP="004C06E5">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uppressAutoHyphens/>
              <w:spacing w:after="120"/>
              <w:rPr>
                <w:lang w:val="fr-CH"/>
              </w:rPr>
            </w:pPr>
            <w:r w:rsidRPr="00101B00">
              <w:rPr>
                <w:lang w:val="fr-CH"/>
              </w:rPr>
              <w:t>Questions stratégiques de nature horizontale (</w:t>
            </w:r>
            <w:r w:rsidR="00970907">
              <w:rPr>
                <w:lang w:val="fr-CH"/>
              </w:rPr>
              <w:t xml:space="preserve">point 4 </w:t>
            </w:r>
            <w:r w:rsidRPr="00101B00">
              <w:rPr>
                <w:lang w:val="fr-CH"/>
              </w:rPr>
              <w:t>de l’ordre du jour)</w:t>
            </w:r>
            <w:r w:rsidR="004C06E5">
              <w:rPr>
                <w:spacing w:val="60"/>
                <w:sz w:val="17"/>
                <w:lang w:val="fr-CH"/>
              </w:rPr>
              <w:tab/>
            </w:r>
          </w:p>
        </w:tc>
        <w:tc>
          <w:tcPr>
            <w:tcW w:w="994" w:type="dxa"/>
            <w:shd w:val="clear" w:color="auto" w:fill="FFFFFF" w:themeFill="background1"/>
            <w:vAlign w:val="bottom"/>
          </w:tcPr>
          <w:p w:rsidR="00DC3FAC" w:rsidRPr="00101B00" w:rsidRDefault="00DC3FAC" w:rsidP="00554873">
            <w:pPr>
              <w:spacing w:after="120"/>
              <w:jc w:val="right"/>
              <w:rPr>
                <w:lang w:val="fr-CH"/>
              </w:rPr>
            </w:pPr>
            <w:r w:rsidRPr="00101B00">
              <w:rPr>
                <w:lang w:val="fr-CH"/>
              </w:rPr>
              <w:t>17–54</w:t>
            </w:r>
          </w:p>
        </w:tc>
        <w:tc>
          <w:tcPr>
            <w:tcW w:w="675" w:type="dxa"/>
            <w:shd w:val="clear" w:color="auto" w:fill="FFFFFF" w:themeFill="background1"/>
            <w:vAlign w:val="bottom"/>
          </w:tcPr>
          <w:p w:rsidR="00DC3FAC" w:rsidRPr="00101B00" w:rsidRDefault="00E76061" w:rsidP="00554873">
            <w:pPr>
              <w:spacing w:after="120"/>
              <w:jc w:val="right"/>
              <w:rPr>
                <w:lang w:val="fr-CH"/>
              </w:rPr>
            </w:pPr>
            <w:r>
              <w:rPr>
                <w:lang w:val="fr-CH"/>
              </w:rPr>
              <w:t>6</w:t>
            </w:r>
          </w:p>
        </w:tc>
      </w:tr>
      <w:tr w:rsidR="00DC3FAC" w:rsidRPr="00101B00" w:rsidTr="004C06E5">
        <w:tc>
          <w:tcPr>
            <w:tcW w:w="8375" w:type="dxa"/>
            <w:gridSpan w:val="2"/>
            <w:shd w:val="clear" w:color="auto" w:fill="FFFFFF" w:themeFill="background1"/>
          </w:tcPr>
          <w:p w:rsidR="00DC3FAC" w:rsidRPr="00101B00" w:rsidRDefault="00101B00" w:rsidP="004C06E5">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uppressAutoHyphens/>
              <w:spacing w:after="120"/>
              <w:rPr>
                <w:lang w:val="fr-CH"/>
              </w:rPr>
            </w:pPr>
            <w:r w:rsidRPr="00101B00">
              <w:rPr>
                <w:lang w:val="fr-CH"/>
              </w:rPr>
              <w:t>Travaux analytiques de la CEE dans le domaine des transports</w:t>
            </w:r>
            <w:r w:rsidR="004C06E5">
              <w:rPr>
                <w:spacing w:val="60"/>
                <w:sz w:val="17"/>
                <w:lang w:val="fr-CH"/>
              </w:rPr>
              <w:tab/>
            </w:r>
          </w:p>
        </w:tc>
        <w:tc>
          <w:tcPr>
            <w:tcW w:w="994" w:type="dxa"/>
            <w:shd w:val="clear" w:color="auto" w:fill="FFFFFF" w:themeFill="background1"/>
            <w:vAlign w:val="bottom"/>
          </w:tcPr>
          <w:p w:rsidR="00DC3FAC" w:rsidRPr="00101B00" w:rsidRDefault="00DC3FAC" w:rsidP="00554873">
            <w:pPr>
              <w:spacing w:after="120"/>
              <w:jc w:val="right"/>
              <w:rPr>
                <w:lang w:val="fr-CH"/>
              </w:rPr>
            </w:pPr>
            <w:r w:rsidRPr="00101B00">
              <w:rPr>
                <w:lang w:val="fr-CH"/>
              </w:rPr>
              <w:t>17–22</w:t>
            </w:r>
          </w:p>
        </w:tc>
        <w:tc>
          <w:tcPr>
            <w:tcW w:w="675" w:type="dxa"/>
            <w:shd w:val="clear" w:color="auto" w:fill="FFFFFF" w:themeFill="background1"/>
            <w:vAlign w:val="bottom"/>
          </w:tcPr>
          <w:p w:rsidR="00DC3FAC" w:rsidRPr="00101B00" w:rsidRDefault="00E76061" w:rsidP="00554873">
            <w:pPr>
              <w:spacing w:after="120"/>
              <w:jc w:val="right"/>
              <w:rPr>
                <w:lang w:val="fr-CH"/>
              </w:rPr>
            </w:pPr>
            <w:r>
              <w:rPr>
                <w:lang w:val="fr-CH"/>
              </w:rPr>
              <w:t>6</w:t>
            </w:r>
          </w:p>
        </w:tc>
      </w:tr>
      <w:tr w:rsidR="00DC3FAC" w:rsidRPr="00101B00" w:rsidTr="004C06E5">
        <w:tc>
          <w:tcPr>
            <w:tcW w:w="8375" w:type="dxa"/>
            <w:gridSpan w:val="2"/>
            <w:shd w:val="clear" w:color="auto" w:fill="FFFFFF" w:themeFill="background1"/>
          </w:tcPr>
          <w:p w:rsidR="00DC3FAC" w:rsidRPr="00101B00" w:rsidRDefault="00101B00" w:rsidP="004C06E5">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uppressAutoHyphens/>
              <w:spacing w:after="120"/>
              <w:rPr>
                <w:lang w:val="fr-CH"/>
              </w:rPr>
            </w:pPr>
            <w:r w:rsidRPr="00101B00">
              <w:rPr>
                <w:lang w:val="fr-CH"/>
              </w:rPr>
              <w:t>Environnement, changements climatiques et transports</w:t>
            </w:r>
            <w:r w:rsidR="004C06E5">
              <w:rPr>
                <w:spacing w:val="60"/>
                <w:sz w:val="17"/>
                <w:lang w:val="fr-CH"/>
              </w:rPr>
              <w:tab/>
            </w:r>
          </w:p>
        </w:tc>
        <w:tc>
          <w:tcPr>
            <w:tcW w:w="994" w:type="dxa"/>
            <w:shd w:val="clear" w:color="auto" w:fill="FFFFFF" w:themeFill="background1"/>
            <w:vAlign w:val="bottom"/>
          </w:tcPr>
          <w:p w:rsidR="00DC3FAC" w:rsidRPr="00101B00" w:rsidRDefault="00DC3FAC" w:rsidP="00554873">
            <w:pPr>
              <w:spacing w:after="120"/>
              <w:jc w:val="right"/>
              <w:rPr>
                <w:lang w:val="fr-CH"/>
              </w:rPr>
            </w:pPr>
            <w:r w:rsidRPr="00101B00">
              <w:rPr>
                <w:lang w:val="fr-CH"/>
              </w:rPr>
              <w:t>23–35</w:t>
            </w:r>
          </w:p>
        </w:tc>
        <w:tc>
          <w:tcPr>
            <w:tcW w:w="675" w:type="dxa"/>
            <w:shd w:val="clear" w:color="auto" w:fill="FFFFFF" w:themeFill="background1"/>
            <w:vAlign w:val="bottom"/>
          </w:tcPr>
          <w:p w:rsidR="00DC3FAC" w:rsidRPr="00101B00" w:rsidRDefault="00E76061" w:rsidP="00554873">
            <w:pPr>
              <w:spacing w:after="120"/>
              <w:jc w:val="right"/>
              <w:rPr>
                <w:lang w:val="fr-CH"/>
              </w:rPr>
            </w:pPr>
            <w:r>
              <w:rPr>
                <w:lang w:val="fr-CH"/>
              </w:rPr>
              <w:t>7</w:t>
            </w:r>
          </w:p>
        </w:tc>
      </w:tr>
      <w:tr w:rsidR="00DC3FAC" w:rsidRPr="00101B00" w:rsidTr="004C06E5">
        <w:tc>
          <w:tcPr>
            <w:tcW w:w="8375" w:type="dxa"/>
            <w:gridSpan w:val="2"/>
            <w:shd w:val="clear" w:color="auto" w:fill="FFFFFF" w:themeFill="background1"/>
          </w:tcPr>
          <w:p w:rsidR="00DC3FAC" w:rsidRPr="00101B00" w:rsidRDefault="00101B00" w:rsidP="004C06E5">
            <w:pPr>
              <w:pStyle w:val="ListParagraph"/>
              <w:numPr>
                <w:ilvl w:val="2"/>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uppressAutoHyphens/>
              <w:spacing w:after="120"/>
              <w:rPr>
                <w:lang w:val="fr-CH"/>
              </w:rPr>
            </w:pPr>
            <w:r w:rsidRPr="00101B00">
              <w:rPr>
                <w:lang w:val="fr-CH"/>
              </w:rPr>
              <w:t>Suite donnée par le Comité à la Conférence Rio+20</w:t>
            </w:r>
            <w:r w:rsidR="004C06E5">
              <w:rPr>
                <w:spacing w:val="60"/>
                <w:sz w:val="17"/>
                <w:lang w:val="fr-CH"/>
              </w:rPr>
              <w:tab/>
            </w:r>
          </w:p>
        </w:tc>
        <w:tc>
          <w:tcPr>
            <w:tcW w:w="994" w:type="dxa"/>
            <w:shd w:val="clear" w:color="auto" w:fill="FFFFFF" w:themeFill="background1"/>
            <w:vAlign w:val="bottom"/>
          </w:tcPr>
          <w:p w:rsidR="00DC3FAC" w:rsidRPr="00101B00" w:rsidRDefault="00DC3FAC" w:rsidP="00554873">
            <w:pPr>
              <w:spacing w:after="120"/>
              <w:jc w:val="right"/>
              <w:rPr>
                <w:lang w:val="fr-CH"/>
              </w:rPr>
            </w:pPr>
            <w:r w:rsidRPr="00101B00">
              <w:rPr>
                <w:lang w:val="fr-CH"/>
              </w:rPr>
              <w:t>23–25</w:t>
            </w:r>
          </w:p>
        </w:tc>
        <w:tc>
          <w:tcPr>
            <w:tcW w:w="675" w:type="dxa"/>
            <w:shd w:val="clear" w:color="auto" w:fill="FFFFFF" w:themeFill="background1"/>
            <w:vAlign w:val="bottom"/>
          </w:tcPr>
          <w:p w:rsidR="00DC3FAC" w:rsidRPr="00101B00" w:rsidRDefault="00E76061" w:rsidP="00554873">
            <w:pPr>
              <w:spacing w:after="120"/>
              <w:jc w:val="right"/>
              <w:rPr>
                <w:lang w:val="fr-CH"/>
              </w:rPr>
            </w:pPr>
            <w:r>
              <w:rPr>
                <w:lang w:val="fr-CH"/>
              </w:rPr>
              <w:t>7</w:t>
            </w:r>
          </w:p>
        </w:tc>
      </w:tr>
      <w:tr w:rsidR="00DC3FAC" w:rsidRPr="00101B00" w:rsidTr="004C06E5">
        <w:tc>
          <w:tcPr>
            <w:tcW w:w="8375" w:type="dxa"/>
            <w:gridSpan w:val="2"/>
            <w:shd w:val="clear" w:color="auto" w:fill="FFFFFF" w:themeFill="background1"/>
          </w:tcPr>
          <w:p w:rsidR="00DC3FAC" w:rsidRPr="00101B00" w:rsidRDefault="00101B00" w:rsidP="004C06E5">
            <w:pPr>
              <w:pStyle w:val="ListParagraph"/>
              <w:numPr>
                <w:ilvl w:val="2"/>
                <w:numId w:val="6"/>
              </w:numPr>
              <w:tabs>
                <w:tab w:val="left" w:pos="1296"/>
                <w:tab w:val="left" w:pos="1728"/>
                <w:tab w:val="left" w:pos="2160"/>
                <w:tab w:val="left" w:pos="2592"/>
                <w:tab w:val="left" w:pos="3024"/>
                <w:tab w:val="left" w:pos="3456"/>
                <w:tab w:val="right" w:leader="dot" w:pos="8381"/>
              </w:tabs>
              <w:suppressAutoHyphens/>
              <w:spacing w:after="120"/>
              <w:rPr>
                <w:lang w:val="fr-CH"/>
              </w:rPr>
            </w:pPr>
            <w:r w:rsidRPr="00101B00">
              <w:rPr>
                <w:lang w:val="fr-CH"/>
              </w:rPr>
              <w:t>Atténuation des effets nocifs des transports intérieurs pour l’environnement</w:t>
            </w:r>
            <w:r w:rsidR="004C06E5">
              <w:rPr>
                <w:spacing w:val="60"/>
                <w:sz w:val="17"/>
                <w:lang w:val="fr-CH"/>
              </w:rPr>
              <w:tab/>
            </w:r>
          </w:p>
        </w:tc>
        <w:tc>
          <w:tcPr>
            <w:tcW w:w="994" w:type="dxa"/>
            <w:shd w:val="clear" w:color="auto" w:fill="FFFFFF" w:themeFill="background1"/>
            <w:vAlign w:val="bottom"/>
          </w:tcPr>
          <w:p w:rsidR="00DC3FAC" w:rsidRPr="00101B00" w:rsidRDefault="00DC3FAC" w:rsidP="00554873">
            <w:pPr>
              <w:spacing w:after="120"/>
              <w:jc w:val="right"/>
              <w:rPr>
                <w:lang w:val="fr-CH"/>
              </w:rPr>
            </w:pPr>
            <w:r w:rsidRPr="00101B00">
              <w:rPr>
                <w:lang w:val="fr-CH"/>
              </w:rPr>
              <w:t>26–31</w:t>
            </w:r>
          </w:p>
        </w:tc>
        <w:tc>
          <w:tcPr>
            <w:tcW w:w="675" w:type="dxa"/>
            <w:shd w:val="clear" w:color="auto" w:fill="FFFFFF" w:themeFill="background1"/>
            <w:vAlign w:val="bottom"/>
          </w:tcPr>
          <w:p w:rsidR="00DC3FAC" w:rsidRPr="00101B00" w:rsidRDefault="00E76061" w:rsidP="00554873">
            <w:pPr>
              <w:spacing w:after="120"/>
              <w:jc w:val="right"/>
              <w:rPr>
                <w:lang w:val="fr-CH"/>
              </w:rPr>
            </w:pPr>
            <w:r>
              <w:rPr>
                <w:lang w:val="fr-CH"/>
              </w:rPr>
              <w:t>7</w:t>
            </w:r>
          </w:p>
        </w:tc>
      </w:tr>
      <w:tr w:rsidR="00DC3FAC" w:rsidRPr="00101B00" w:rsidTr="004C06E5">
        <w:tc>
          <w:tcPr>
            <w:tcW w:w="8375" w:type="dxa"/>
            <w:gridSpan w:val="2"/>
            <w:shd w:val="clear" w:color="auto" w:fill="FFFFFF" w:themeFill="background1"/>
          </w:tcPr>
          <w:p w:rsidR="00DC3FAC" w:rsidRPr="00101B00" w:rsidRDefault="00101B00" w:rsidP="004C06E5">
            <w:pPr>
              <w:pStyle w:val="ListParagraph"/>
              <w:numPr>
                <w:ilvl w:val="2"/>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uppressAutoHyphens/>
              <w:spacing w:after="120"/>
              <w:rPr>
                <w:lang w:val="fr-CH"/>
              </w:rPr>
            </w:pPr>
            <w:r w:rsidRPr="00101B00">
              <w:rPr>
                <w:lang w:val="fr-CH"/>
              </w:rPr>
              <w:t>Effets des changements climatiques sur les réseaux de transport internationaux et mesures d’adaptation nécessaires</w:t>
            </w:r>
            <w:r w:rsidR="004C06E5">
              <w:rPr>
                <w:spacing w:val="60"/>
                <w:sz w:val="17"/>
                <w:lang w:val="fr-CH"/>
              </w:rPr>
              <w:tab/>
            </w:r>
          </w:p>
        </w:tc>
        <w:tc>
          <w:tcPr>
            <w:tcW w:w="994" w:type="dxa"/>
            <w:shd w:val="clear" w:color="auto" w:fill="FFFFFF" w:themeFill="background1"/>
            <w:vAlign w:val="bottom"/>
          </w:tcPr>
          <w:p w:rsidR="00DC3FAC" w:rsidRPr="00101B00" w:rsidRDefault="00DC3FAC" w:rsidP="00554873">
            <w:pPr>
              <w:spacing w:after="120"/>
              <w:jc w:val="right"/>
              <w:rPr>
                <w:lang w:val="fr-CH"/>
              </w:rPr>
            </w:pPr>
            <w:r w:rsidRPr="00101B00">
              <w:rPr>
                <w:lang w:val="fr-CH"/>
              </w:rPr>
              <w:t>32–35</w:t>
            </w:r>
          </w:p>
        </w:tc>
        <w:tc>
          <w:tcPr>
            <w:tcW w:w="675" w:type="dxa"/>
            <w:shd w:val="clear" w:color="auto" w:fill="FFFFFF" w:themeFill="background1"/>
            <w:vAlign w:val="bottom"/>
          </w:tcPr>
          <w:p w:rsidR="00DC3FAC" w:rsidRPr="00101B00" w:rsidRDefault="00E76061" w:rsidP="00554873">
            <w:pPr>
              <w:spacing w:after="120"/>
              <w:jc w:val="right"/>
              <w:rPr>
                <w:lang w:val="fr-CH"/>
              </w:rPr>
            </w:pPr>
            <w:r>
              <w:rPr>
                <w:lang w:val="fr-CH"/>
              </w:rPr>
              <w:t>8</w:t>
            </w:r>
          </w:p>
        </w:tc>
      </w:tr>
      <w:tr w:rsidR="00DC3FAC" w:rsidRPr="00101B00" w:rsidTr="004C06E5">
        <w:tc>
          <w:tcPr>
            <w:tcW w:w="8375" w:type="dxa"/>
            <w:gridSpan w:val="2"/>
            <w:shd w:val="clear" w:color="auto" w:fill="FFFFFF" w:themeFill="background1"/>
          </w:tcPr>
          <w:p w:rsidR="00DC3FAC" w:rsidRPr="00101B00" w:rsidRDefault="00101B00" w:rsidP="004C06E5">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8381"/>
              </w:tabs>
              <w:suppressAutoHyphens/>
              <w:spacing w:after="120"/>
              <w:rPr>
                <w:lang w:val="fr-CH"/>
              </w:rPr>
            </w:pPr>
            <w:r w:rsidRPr="00101B00">
              <w:rPr>
                <w:lang w:val="fr-CH"/>
              </w:rPr>
              <w:t>Programme paneuropée</w:t>
            </w:r>
            <w:r w:rsidR="00970907">
              <w:rPr>
                <w:lang w:val="fr-CH"/>
              </w:rPr>
              <w:t xml:space="preserve">n sur les transports, la santé </w:t>
            </w:r>
            <w:r w:rsidRPr="00101B00">
              <w:rPr>
                <w:lang w:val="fr-CH"/>
              </w:rPr>
              <w:t>et l’environnement</w:t>
            </w:r>
            <w:r w:rsidR="004C06E5">
              <w:rPr>
                <w:spacing w:val="60"/>
                <w:sz w:val="17"/>
                <w:lang w:val="fr-CH"/>
              </w:rPr>
              <w:tab/>
            </w:r>
          </w:p>
        </w:tc>
        <w:tc>
          <w:tcPr>
            <w:tcW w:w="994" w:type="dxa"/>
            <w:shd w:val="clear" w:color="auto" w:fill="FFFFFF" w:themeFill="background1"/>
            <w:vAlign w:val="bottom"/>
          </w:tcPr>
          <w:p w:rsidR="00DC3FAC" w:rsidRPr="00101B00" w:rsidRDefault="00DC3FAC" w:rsidP="00554873">
            <w:pPr>
              <w:spacing w:after="120"/>
              <w:jc w:val="right"/>
              <w:rPr>
                <w:lang w:val="fr-CH"/>
              </w:rPr>
            </w:pPr>
            <w:r w:rsidRPr="00101B00">
              <w:rPr>
                <w:lang w:val="fr-CH"/>
              </w:rPr>
              <w:t>36–40</w:t>
            </w:r>
          </w:p>
        </w:tc>
        <w:tc>
          <w:tcPr>
            <w:tcW w:w="675" w:type="dxa"/>
            <w:shd w:val="clear" w:color="auto" w:fill="FFFFFF" w:themeFill="background1"/>
            <w:vAlign w:val="bottom"/>
          </w:tcPr>
          <w:p w:rsidR="00DC3FAC" w:rsidRPr="00101B00" w:rsidRDefault="00E76061" w:rsidP="00554873">
            <w:pPr>
              <w:spacing w:after="120"/>
              <w:jc w:val="right"/>
              <w:rPr>
                <w:lang w:val="fr-CH"/>
              </w:rPr>
            </w:pPr>
            <w:r>
              <w:rPr>
                <w:lang w:val="fr-CH"/>
              </w:rPr>
              <w:t>9</w:t>
            </w:r>
          </w:p>
        </w:tc>
      </w:tr>
      <w:tr w:rsidR="00DC3FAC" w:rsidRPr="00101B00" w:rsidTr="004C06E5">
        <w:tc>
          <w:tcPr>
            <w:tcW w:w="8375" w:type="dxa"/>
            <w:gridSpan w:val="2"/>
            <w:shd w:val="clear" w:color="auto" w:fill="FFFFFF" w:themeFill="background1"/>
          </w:tcPr>
          <w:p w:rsidR="00DC3FAC" w:rsidRPr="00101B00" w:rsidRDefault="00101B00" w:rsidP="004C06E5">
            <w:pPr>
              <w:pStyle w:val="ListParagraph"/>
              <w:numPr>
                <w:ilvl w:val="1"/>
                <w:numId w:val="6"/>
              </w:numPr>
              <w:tabs>
                <w:tab w:val="left" w:pos="1296"/>
                <w:tab w:val="left" w:pos="1728"/>
                <w:tab w:val="left" w:pos="2160"/>
                <w:tab w:val="left" w:pos="2592"/>
                <w:tab w:val="left" w:pos="3024"/>
                <w:tab w:val="left" w:pos="3456"/>
                <w:tab w:val="left" w:pos="3888"/>
                <w:tab w:val="left" w:pos="4320"/>
                <w:tab w:val="right" w:leader="dot" w:pos="8381"/>
              </w:tabs>
              <w:suppressAutoHyphens/>
              <w:spacing w:after="120"/>
              <w:rPr>
                <w:lang w:val="fr-CH"/>
              </w:rPr>
            </w:pPr>
            <w:r w:rsidRPr="00101B00">
              <w:rPr>
                <w:lang w:val="fr-CH"/>
              </w:rPr>
              <w:t>Systèmes de transport intelligents</w:t>
            </w:r>
            <w:r w:rsidR="004C06E5">
              <w:rPr>
                <w:spacing w:val="60"/>
                <w:sz w:val="17"/>
                <w:lang w:val="fr-CH"/>
              </w:rPr>
              <w:tab/>
            </w:r>
          </w:p>
        </w:tc>
        <w:tc>
          <w:tcPr>
            <w:tcW w:w="994" w:type="dxa"/>
            <w:shd w:val="clear" w:color="auto" w:fill="FFFFFF" w:themeFill="background1"/>
            <w:vAlign w:val="bottom"/>
          </w:tcPr>
          <w:p w:rsidR="00DC3FAC" w:rsidRPr="00101B00" w:rsidRDefault="00DC3FAC" w:rsidP="00554873">
            <w:pPr>
              <w:spacing w:after="120"/>
              <w:jc w:val="right"/>
              <w:rPr>
                <w:lang w:val="fr-CH"/>
              </w:rPr>
            </w:pPr>
            <w:r w:rsidRPr="00101B00">
              <w:rPr>
                <w:lang w:val="fr-CH"/>
              </w:rPr>
              <w:t>41–45</w:t>
            </w:r>
          </w:p>
        </w:tc>
        <w:tc>
          <w:tcPr>
            <w:tcW w:w="675" w:type="dxa"/>
            <w:shd w:val="clear" w:color="auto" w:fill="FFFFFF" w:themeFill="background1"/>
            <w:vAlign w:val="bottom"/>
          </w:tcPr>
          <w:p w:rsidR="00DC3FAC" w:rsidRPr="00101B00" w:rsidRDefault="00E76061" w:rsidP="00554873">
            <w:pPr>
              <w:spacing w:after="120"/>
              <w:jc w:val="right"/>
              <w:rPr>
                <w:lang w:val="fr-CH"/>
              </w:rPr>
            </w:pPr>
            <w:r>
              <w:rPr>
                <w:lang w:val="fr-CH"/>
              </w:rPr>
              <w:t>10</w:t>
            </w:r>
          </w:p>
        </w:tc>
      </w:tr>
      <w:tr w:rsidR="00DC3FAC" w:rsidRPr="00101B00" w:rsidTr="004C06E5">
        <w:tc>
          <w:tcPr>
            <w:tcW w:w="8375" w:type="dxa"/>
            <w:gridSpan w:val="2"/>
            <w:shd w:val="clear" w:color="auto" w:fill="FFFFFF" w:themeFill="background1"/>
          </w:tcPr>
          <w:p w:rsidR="00DC3FAC" w:rsidRPr="00101B00" w:rsidRDefault="00101B00" w:rsidP="004C06E5">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right" w:leader="dot" w:pos="8381"/>
              </w:tabs>
              <w:suppressAutoHyphens/>
              <w:spacing w:after="120"/>
              <w:rPr>
                <w:lang w:val="fr-CH"/>
              </w:rPr>
            </w:pPr>
            <w:r w:rsidRPr="00101B00">
              <w:rPr>
                <w:lang w:val="fr-CH"/>
              </w:rPr>
              <w:t>Assistance aux pays à économie en transition</w:t>
            </w:r>
            <w:r w:rsidR="004C06E5">
              <w:rPr>
                <w:spacing w:val="60"/>
                <w:sz w:val="17"/>
                <w:lang w:val="fr-CH"/>
              </w:rPr>
              <w:tab/>
            </w:r>
          </w:p>
        </w:tc>
        <w:tc>
          <w:tcPr>
            <w:tcW w:w="994" w:type="dxa"/>
            <w:shd w:val="clear" w:color="auto" w:fill="FFFFFF" w:themeFill="background1"/>
            <w:vAlign w:val="bottom"/>
          </w:tcPr>
          <w:p w:rsidR="00DC3FAC" w:rsidRPr="00101B00" w:rsidRDefault="00DC3FAC" w:rsidP="00554873">
            <w:pPr>
              <w:spacing w:after="120"/>
              <w:jc w:val="right"/>
              <w:rPr>
                <w:lang w:val="fr-CH"/>
              </w:rPr>
            </w:pPr>
            <w:r w:rsidRPr="00101B00">
              <w:rPr>
                <w:lang w:val="fr-CH"/>
              </w:rPr>
              <w:t>46–47</w:t>
            </w:r>
          </w:p>
        </w:tc>
        <w:tc>
          <w:tcPr>
            <w:tcW w:w="675" w:type="dxa"/>
            <w:shd w:val="clear" w:color="auto" w:fill="FFFFFF" w:themeFill="background1"/>
            <w:vAlign w:val="bottom"/>
          </w:tcPr>
          <w:p w:rsidR="00DC3FAC" w:rsidRPr="00101B00" w:rsidRDefault="00E76061" w:rsidP="00554873">
            <w:pPr>
              <w:spacing w:after="120"/>
              <w:jc w:val="right"/>
              <w:rPr>
                <w:lang w:val="fr-CH"/>
              </w:rPr>
            </w:pPr>
            <w:r>
              <w:rPr>
                <w:lang w:val="fr-CH"/>
              </w:rPr>
              <w:t>11</w:t>
            </w:r>
          </w:p>
        </w:tc>
      </w:tr>
      <w:tr w:rsidR="00DC3FAC" w:rsidRPr="00101B00" w:rsidTr="004C06E5">
        <w:tc>
          <w:tcPr>
            <w:tcW w:w="8375" w:type="dxa"/>
            <w:gridSpan w:val="2"/>
            <w:shd w:val="clear" w:color="auto" w:fill="FFFFFF" w:themeFill="background1"/>
          </w:tcPr>
          <w:p w:rsidR="00DC3FAC" w:rsidRPr="00101B00" w:rsidRDefault="00101B00" w:rsidP="004C06E5">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right" w:leader="dot" w:pos="8381"/>
              </w:tabs>
              <w:suppressAutoHyphens/>
              <w:spacing w:after="120"/>
              <w:rPr>
                <w:lang w:val="fr-CH"/>
              </w:rPr>
            </w:pPr>
            <w:r w:rsidRPr="00101B00">
              <w:rPr>
                <w:lang w:val="fr-CH"/>
              </w:rPr>
              <w:t xml:space="preserve">Examen décennal de la mise en œuvre du Programme d’action d’Almaty </w:t>
            </w:r>
            <w:r w:rsidR="00970907">
              <w:rPr>
                <w:lang w:val="fr-CH"/>
              </w:rPr>
              <w:br/>
            </w:r>
            <w:r w:rsidRPr="00101B00">
              <w:rPr>
                <w:lang w:val="fr-CH"/>
              </w:rPr>
              <w:t>et nouveau Programme d’action de Vienne</w:t>
            </w:r>
            <w:r w:rsidR="004C06E5">
              <w:rPr>
                <w:spacing w:val="60"/>
                <w:sz w:val="17"/>
                <w:lang w:val="fr-CH"/>
              </w:rPr>
              <w:tab/>
            </w:r>
          </w:p>
        </w:tc>
        <w:tc>
          <w:tcPr>
            <w:tcW w:w="994" w:type="dxa"/>
            <w:shd w:val="clear" w:color="auto" w:fill="FFFFFF" w:themeFill="background1"/>
            <w:vAlign w:val="bottom"/>
          </w:tcPr>
          <w:p w:rsidR="00DC3FAC" w:rsidRPr="00101B00" w:rsidRDefault="00DC3FAC" w:rsidP="00554873">
            <w:pPr>
              <w:spacing w:after="120"/>
              <w:jc w:val="right"/>
              <w:rPr>
                <w:lang w:val="fr-CH"/>
              </w:rPr>
            </w:pPr>
            <w:r w:rsidRPr="00101B00">
              <w:rPr>
                <w:lang w:val="fr-CH"/>
              </w:rPr>
              <w:t>48–50</w:t>
            </w:r>
          </w:p>
        </w:tc>
        <w:tc>
          <w:tcPr>
            <w:tcW w:w="675" w:type="dxa"/>
            <w:shd w:val="clear" w:color="auto" w:fill="FFFFFF" w:themeFill="background1"/>
            <w:vAlign w:val="bottom"/>
          </w:tcPr>
          <w:p w:rsidR="00DC3FAC" w:rsidRPr="00101B00" w:rsidRDefault="00E76061" w:rsidP="00554873">
            <w:pPr>
              <w:spacing w:after="120"/>
              <w:jc w:val="right"/>
              <w:rPr>
                <w:lang w:val="fr-CH"/>
              </w:rPr>
            </w:pPr>
            <w:r>
              <w:rPr>
                <w:lang w:val="fr-CH"/>
              </w:rPr>
              <w:t>11</w:t>
            </w:r>
          </w:p>
        </w:tc>
      </w:tr>
      <w:tr w:rsidR="00DC3FAC" w:rsidRPr="00101B00" w:rsidTr="004C06E5">
        <w:tc>
          <w:tcPr>
            <w:tcW w:w="8375" w:type="dxa"/>
            <w:gridSpan w:val="2"/>
            <w:shd w:val="clear" w:color="auto" w:fill="FFFFFF" w:themeFill="background1"/>
          </w:tcPr>
          <w:p w:rsidR="00DC3FAC" w:rsidRPr="00101B00" w:rsidRDefault="00101B00" w:rsidP="004C06E5">
            <w:pPr>
              <w:pStyle w:val="ListParagraph"/>
              <w:keepNext/>
              <w:numPr>
                <w:ilvl w:val="1"/>
                <w:numId w:val="6"/>
              </w:numPr>
              <w:tabs>
                <w:tab w:val="left" w:pos="1296"/>
                <w:tab w:val="left" w:pos="1728"/>
                <w:tab w:val="left" w:pos="2160"/>
                <w:tab w:val="left" w:pos="2592"/>
                <w:tab w:val="left" w:pos="3024"/>
                <w:tab w:val="left" w:pos="3456"/>
                <w:tab w:val="left" w:pos="3888"/>
                <w:tab w:val="left" w:pos="4320"/>
                <w:tab w:val="right" w:leader="dot" w:pos="8381"/>
              </w:tabs>
              <w:suppressAutoHyphens/>
              <w:spacing w:after="120"/>
              <w:rPr>
                <w:lang w:val="fr-CH"/>
              </w:rPr>
            </w:pPr>
            <w:r w:rsidRPr="00101B00">
              <w:rPr>
                <w:lang w:val="fr-CH"/>
              </w:rPr>
              <w:lastRenderedPageBreak/>
              <w:t>Sûreté des transports intérieurs</w:t>
            </w:r>
            <w:r w:rsidR="004C06E5">
              <w:rPr>
                <w:spacing w:val="60"/>
                <w:sz w:val="17"/>
                <w:lang w:val="fr-CH"/>
              </w:rPr>
              <w:tab/>
            </w:r>
          </w:p>
        </w:tc>
        <w:tc>
          <w:tcPr>
            <w:tcW w:w="994" w:type="dxa"/>
            <w:shd w:val="clear" w:color="auto" w:fill="FFFFFF" w:themeFill="background1"/>
            <w:vAlign w:val="bottom"/>
          </w:tcPr>
          <w:p w:rsidR="00DC3FAC" w:rsidRPr="00101B00" w:rsidRDefault="00DC3FAC" w:rsidP="004C06E5">
            <w:pPr>
              <w:keepNext/>
              <w:spacing w:after="120"/>
              <w:jc w:val="right"/>
              <w:rPr>
                <w:lang w:val="fr-CH"/>
              </w:rPr>
            </w:pPr>
            <w:r w:rsidRPr="00101B00">
              <w:rPr>
                <w:lang w:val="fr-CH"/>
              </w:rPr>
              <w:t>51–53</w:t>
            </w:r>
          </w:p>
        </w:tc>
        <w:tc>
          <w:tcPr>
            <w:tcW w:w="675" w:type="dxa"/>
            <w:shd w:val="clear" w:color="auto" w:fill="FFFFFF" w:themeFill="background1"/>
            <w:vAlign w:val="bottom"/>
          </w:tcPr>
          <w:p w:rsidR="00DC3FAC" w:rsidRPr="00101B00" w:rsidRDefault="00E76061" w:rsidP="004C06E5">
            <w:pPr>
              <w:keepNext/>
              <w:spacing w:after="120"/>
              <w:jc w:val="right"/>
              <w:rPr>
                <w:lang w:val="fr-CH"/>
              </w:rPr>
            </w:pPr>
            <w:r>
              <w:rPr>
                <w:lang w:val="fr-CH"/>
              </w:rPr>
              <w:t>11</w:t>
            </w:r>
          </w:p>
        </w:tc>
      </w:tr>
      <w:tr w:rsidR="00DC3FAC" w:rsidRPr="00101B00" w:rsidTr="004C06E5">
        <w:tc>
          <w:tcPr>
            <w:tcW w:w="8375" w:type="dxa"/>
            <w:gridSpan w:val="2"/>
            <w:shd w:val="clear" w:color="auto" w:fill="FFFFFF" w:themeFill="background1"/>
          </w:tcPr>
          <w:p w:rsidR="00DC3FAC" w:rsidRPr="00101B00" w:rsidRDefault="00101B00" w:rsidP="004C06E5">
            <w:pPr>
              <w:pStyle w:val="ListParagraph"/>
              <w:numPr>
                <w:ilvl w:val="1"/>
                <w:numId w:val="6"/>
              </w:numPr>
              <w:tabs>
                <w:tab w:val="left" w:pos="1296"/>
                <w:tab w:val="left" w:pos="1728"/>
                <w:tab w:val="left" w:pos="2160"/>
                <w:tab w:val="left" w:pos="2592"/>
                <w:tab w:val="left" w:pos="3024"/>
                <w:tab w:val="right" w:leader="dot" w:pos="8381"/>
              </w:tabs>
              <w:suppressAutoHyphens/>
              <w:spacing w:after="120"/>
              <w:rPr>
                <w:lang w:val="fr-CH"/>
              </w:rPr>
            </w:pPr>
            <w:r w:rsidRPr="00101B00">
              <w:rPr>
                <w:lang w:val="fr-CH"/>
              </w:rPr>
              <w:t xml:space="preserve">État des adhésions aux conventions et accords internationaux de la CEE </w:t>
            </w:r>
            <w:r w:rsidR="00970907">
              <w:rPr>
                <w:lang w:val="fr-CH"/>
              </w:rPr>
              <w:br/>
            </w:r>
            <w:r w:rsidRPr="00101B00">
              <w:rPr>
                <w:lang w:val="fr-CH"/>
              </w:rPr>
              <w:t>sur les transports</w:t>
            </w:r>
            <w:r w:rsidR="004C06E5">
              <w:rPr>
                <w:spacing w:val="60"/>
                <w:sz w:val="17"/>
                <w:lang w:val="fr-CH"/>
              </w:rPr>
              <w:tab/>
            </w:r>
          </w:p>
        </w:tc>
        <w:tc>
          <w:tcPr>
            <w:tcW w:w="994" w:type="dxa"/>
            <w:shd w:val="clear" w:color="auto" w:fill="FFFFFF" w:themeFill="background1"/>
            <w:vAlign w:val="bottom"/>
          </w:tcPr>
          <w:p w:rsidR="00DC3FAC" w:rsidRPr="00101B00" w:rsidRDefault="00DC3FAC" w:rsidP="00554873">
            <w:pPr>
              <w:spacing w:after="120"/>
              <w:jc w:val="right"/>
              <w:rPr>
                <w:lang w:val="fr-CH"/>
              </w:rPr>
            </w:pPr>
            <w:r w:rsidRPr="00101B00">
              <w:rPr>
                <w:lang w:val="fr-CH"/>
              </w:rPr>
              <w:t>54</w:t>
            </w:r>
          </w:p>
        </w:tc>
        <w:tc>
          <w:tcPr>
            <w:tcW w:w="675" w:type="dxa"/>
            <w:shd w:val="clear" w:color="auto" w:fill="FFFFFF" w:themeFill="background1"/>
            <w:vAlign w:val="bottom"/>
          </w:tcPr>
          <w:p w:rsidR="00DC3FAC" w:rsidRPr="00101B00" w:rsidRDefault="00E76061" w:rsidP="00554873">
            <w:pPr>
              <w:spacing w:after="120"/>
              <w:jc w:val="right"/>
              <w:rPr>
                <w:lang w:val="fr-CH"/>
              </w:rPr>
            </w:pPr>
            <w:r>
              <w:rPr>
                <w:lang w:val="fr-CH"/>
              </w:rPr>
              <w:t>12</w:t>
            </w:r>
          </w:p>
        </w:tc>
      </w:tr>
      <w:tr w:rsidR="00DC3FAC" w:rsidRPr="00101B00" w:rsidTr="004C06E5">
        <w:tc>
          <w:tcPr>
            <w:tcW w:w="8375" w:type="dxa"/>
            <w:gridSpan w:val="2"/>
            <w:shd w:val="clear" w:color="auto" w:fill="FFFFFF" w:themeFill="background1"/>
          </w:tcPr>
          <w:p w:rsidR="00DC3FAC" w:rsidRPr="00101B00" w:rsidRDefault="00101B00" w:rsidP="004C06E5">
            <w:pPr>
              <w:pStyle w:val="ListParagraph"/>
              <w:numPr>
                <w:ilvl w:val="0"/>
                <w:numId w:val="6"/>
              </w:numPr>
              <w:tabs>
                <w:tab w:val="left" w:pos="1296"/>
                <w:tab w:val="left" w:pos="1728"/>
                <w:tab w:val="right" w:leader="dot" w:pos="8381"/>
              </w:tabs>
              <w:suppressAutoHyphens/>
              <w:spacing w:after="120"/>
              <w:rPr>
                <w:lang w:val="fr-CH"/>
              </w:rPr>
            </w:pPr>
            <w:r w:rsidRPr="00101B00">
              <w:rPr>
                <w:lang w:val="fr-CH"/>
              </w:rPr>
              <w:t xml:space="preserve">Questions stratégiques à caractère modal et thématique (point 5 de l’ordre </w:t>
            </w:r>
            <w:r w:rsidR="004C06E5">
              <w:rPr>
                <w:lang w:val="fr-CH"/>
              </w:rPr>
              <w:br/>
            </w:r>
            <w:r w:rsidRPr="00101B00">
              <w:rPr>
                <w:lang w:val="fr-CH"/>
              </w:rPr>
              <w:t>du jour)</w:t>
            </w:r>
            <w:r w:rsidR="004C06E5">
              <w:rPr>
                <w:spacing w:val="60"/>
                <w:sz w:val="17"/>
                <w:lang w:val="fr-CH"/>
              </w:rPr>
              <w:tab/>
            </w:r>
          </w:p>
        </w:tc>
        <w:tc>
          <w:tcPr>
            <w:tcW w:w="994" w:type="dxa"/>
            <w:shd w:val="clear" w:color="auto" w:fill="FFFFFF" w:themeFill="background1"/>
            <w:vAlign w:val="bottom"/>
          </w:tcPr>
          <w:p w:rsidR="00DC3FAC" w:rsidRPr="00101B00" w:rsidRDefault="00DC3FAC" w:rsidP="00554873">
            <w:pPr>
              <w:spacing w:after="120"/>
              <w:jc w:val="right"/>
              <w:rPr>
                <w:lang w:val="fr-CH"/>
              </w:rPr>
            </w:pPr>
            <w:r w:rsidRPr="00101B00">
              <w:rPr>
                <w:lang w:val="fr-CH"/>
              </w:rPr>
              <w:t>55–127</w:t>
            </w:r>
          </w:p>
        </w:tc>
        <w:tc>
          <w:tcPr>
            <w:tcW w:w="675" w:type="dxa"/>
            <w:shd w:val="clear" w:color="auto" w:fill="FFFFFF" w:themeFill="background1"/>
            <w:vAlign w:val="bottom"/>
          </w:tcPr>
          <w:p w:rsidR="00DC3FAC" w:rsidRPr="00101B00" w:rsidRDefault="00E76061" w:rsidP="00554873">
            <w:pPr>
              <w:spacing w:after="120"/>
              <w:jc w:val="right"/>
              <w:rPr>
                <w:lang w:val="fr-CH"/>
              </w:rPr>
            </w:pPr>
            <w:r>
              <w:rPr>
                <w:lang w:val="fr-CH"/>
              </w:rPr>
              <w:t>12</w:t>
            </w:r>
          </w:p>
        </w:tc>
      </w:tr>
      <w:tr w:rsidR="00DC3FAC" w:rsidRPr="00101B00" w:rsidTr="004C06E5">
        <w:tc>
          <w:tcPr>
            <w:tcW w:w="8375" w:type="dxa"/>
            <w:gridSpan w:val="2"/>
            <w:shd w:val="clear" w:color="auto" w:fill="FFFFFF" w:themeFill="background1"/>
          </w:tcPr>
          <w:p w:rsidR="00DC3FAC" w:rsidRPr="00101B00" w:rsidRDefault="00101B00" w:rsidP="004C06E5">
            <w:pPr>
              <w:pStyle w:val="ListParagraph"/>
              <w:numPr>
                <w:ilvl w:val="1"/>
                <w:numId w:val="6"/>
              </w:numPr>
              <w:tabs>
                <w:tab w:val="left" w:pos="1296"/>
                <w:tab w:val="left" w:pos="1728"/>
                <w:tab w:val="left" w:pos="2160"/>
                <w:tab w:val="left" w:pos="2592"/>
                <w:tab w:val="left" w:pos="3024"/>
                <w:tab w:val="left" w:pos="3456"/>
                <w:tab w:val="left" w:pos="3888"/>
                <w:tab w:val="left" w:pos="4320"/>
                <w:tab w:val="right" w:leader="dot" w:pos="8381"/>
              </w:tabs>
              <w:suppressAutoHyphens/>
              <w:spacing w:after="120"/>
              <w:rPr>
                <w:lang w:val="fr-CH"/>
              </w:rPr>
            </w:pPr>
            <w:r w:rsidRPr="00101B00">
              <w:rPr>
                <w:lang w:val="fr-CH"/>
              </w:rPr>
              <w:t>Activités se rapportant aux projets</w:t>
            </w:r>
            <w:r w:rsidR="004C06E5">
              <w:rPr>
                <w:spacing w:val="60"/>
                <w:sz w:val="17"/>
                <w:lang w:val="fr-CH"/>
              </w:rPr>
              <w:tab/>
            </w:r>
          </w:p>
        </w:tc>
        <w:tc>
          <w:tcPr>
            <w:tcW w:w="994" w:type="dxa"/>
            <w:shd w:val="clear" w:color="auto" w:fill="FFFFFF" w:themeFill="background1"/>
            <w:vAlign w:val="bottom"/>
          </w:tcPr>
          <w:p w:rsidR="00DC3FAC" w:rsidRPr="00101B00" w:rsidRDefault="00DC3FAC" w:rsidP="00554873">
            <w:pPr>
              <w:spacing w:after="120"/>
              <w:jc w:val="right"/>
              <w:rPr>
                <w:lang w:val="fr-CH"/>
              </w:rPr>
            </w:pPr>
            <w:r w:rsidRPr="00101B00">
              <w:rPr>
                <w:lang w:val="fr-CH"/>
              </w:rPr>
              <w:t>55–58</w:t>
            </w:r>
          </w:p>
        </w:tc>
        <w:tc>
          <w:tcPr>
            <w:tcW w:w="675" w:type="dxa"/>
            <w:shd w:val="clear" w:color="auto" w:fill="FFFFFF" w:themeFill="background1"/>
            <w:vAlign w:val="bottom"/>
          </w:tcPr>
          <w:p w:rsidR="00DC3FAC" w:rsidRPr="00101B00" w:rsidRDefault="00E76061" w:rsidP="00554873">
            <w:pPr>
              <w:spacing w:after="120"/>
              <w:jc w:val="right"/>
              <w:rPr>
                <w:lang w:val="fr-CH"/>
              </w:rPr>
            </w:pPr>
            <w:r>
              <w:rPr>
                <w:lang w:val="fr-CH"/>
              </w:rPr>
              <w:t>12</w:t>
            </w:r>
          </w:p>
        </w:tc>
      </w:tr>
      <w:tr w:rsidR="00DC3FAC" w:rsidRPr="00101B00" w:rsidTr="004C06E5">
        <w:tc>
          <w:tcPr>
            <w:tcW w:w="8375" w:type="dxa"/>
            <w:gridSpan w:val="2"/>
            <w:shd w:val="clear" w:color="auto" w:fill="FFFFFF" w:themeFill="background1"/>
          </w:tcPr>
          <w:p w:rsidR="00DC3FAC" w:rsidRPr="00101B00" w:rsidRDefault="00101B00" w:rsidP="004C06E5">
            <w:pPr>
              <w:pStyle w:val="ListParagraph"/>
              <w:numPr>
                <w:ilvl w:val="2"/>
                <w:numId w:val="6"/>
              </w:numPr>
              <w:tabs>
                <w:tab w:val="left" w:pos="1296"/>
                <w:tab w:val="left" w:pos="1728"/>
                <w:tab w:val="left" w:pos="2160"/>
                <w:tab w:val="left" w:pos="2592"/>
                <w:tab w:val="left" w:pos="3024"/>
                <w:tab w:val="left" w:pos="3456"/>
                <w:tab w:val="left" w:pos="3888"/>
                <w:tab w:val="right" w:leader="dot" w:pos="8381"/>
              </w:tabs>
              <w:suppressAutoHyphens/>
              <w:spacing w:after="120"/>
              <w:rPr>
                <w:lang w:val="fr-CH"/>
              </w:rPr>
            </w:pPr>
            <w:r w:rsidRPr="00101B00">
              <w:rPr>
                <w:lang w:val="fr-CH"/>
              </w:rPr>
              <w:t xml:space="preserve">Projets d’autoroute transeuropéenne (TEM) et de chemin de fer </w:t>
            </w:r>
            <w:r w:rsidRPr="00101B00">
              <w:rPr>
                <w:lang w:val="fr-CH"/>
              </w:rPr>
              <w:br/>
              <w:t>transeuropéen (TER)</w:t>
            </w:r>
            <w:r w:rsidR="004C06E5">
              <w:rPr>
                <w:spacing w:val="60"/>
                <w:sz w:val="17"/>
                <w:lang w:val="fr-CH"/>
              </w:rPr>
              <w:tab/>
            </w:r>
          </w:p>
        </w:tc>
        <w:tc>
          <w:tcPr>
            <w:tcW w:w="994" w:type="dxa"/>
            <w:shd w:val="clear" w:color="auto" w:fill="FFFFFF" w:themeFill="background1"/>
            <w:vAlign w:val="bottom"/>
          </w:tcPr>
          <w:p w:rsidR="00DC3FAC" w:rsidRPr="00101B00" w:rsidRDefault="005F0D9B" w:rsidP="00554873">
            <w:pPr>
              <w:spacing w:after="120"/>
              <w:jc w:val="right"/>
              <w:rPr>
                <w:lang w:val="fr-CH"/>
              </w:rPr>
            </w:pPr>
            <w:r w:rsidRPr="00101B00">
              <w:rPr>
                <w:lang w:val="fr-CH"/>
              </w:rPr>
              <w:t>55</w:t>
            </w:r>
          </w:p>
        </w:tc>
        <w:tc>
          <w:tcPr>
            <w:tcW w:w="675" w:type="dxa"/>
            <w:shd w:val="clear" w:color="auto" w:fill="FFFFFF" w:themeFill="background1"/>
            <w:vAlign w:val="bottom"/>
          </w:tcPr>
          <w:p w:rsidR="00DC3FAC" w:rsidRPr="00101B00" w:rsidRDefault="00E76061" w:rsidP="00554873">
            <w:pPr>
              <w:spacing w:after="120"/>
              <w:jc w:val="right"/>
              <w:rPr>
                <w:lang w:val="fr-CH"/>
              </w:rPr>
            </w:pPr>
            <w:r>
              <w:rPr>
                <w:lang w:val="fr-CH"/>
              </w:rPr>
              <w:t>12</w:t>
            </w:r>
          </w:p>
        </w:tc>
      </w:tr>
      <w:tr w:rsidR="00DC3FAC" w:rsidRPr="00101B00" w:rsidTr="004C06E5">
        <w:tc>
          <w:tcPr>
            <w:tcW w:w="8375" w:type="dxa"/>
            <w:gridSpan w:val="2"/>
            <w:shd w:val="clear" w:color="auto" w:fill="FFFFFF" w:themeFill="background1"/>
          </w:tcPr>
          <w:p w:rsidR="00DC3FAC" w:rsidRPr="00101B00" w:rsidRDefault="00101B00" w:rsidP="004C06E5">
            <w:pPr>
              <w:pStyle w:val="ListParagraph"/>
              <w:numPr>
                <w:ilvl w:val="2"/>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uppressAutoHyphens/>
              <w:spacing w:after="120"/>
              <w:rPr>
                <w:lang w:val="fr-CH"/>
              </w:rPr>
            </w:pPr>
            <w:r w:rsidRPr="00101B00">
              <w:rPr>
                <w:lang w:val="fr-CH"/>
              </w:rPr>
              <w:t>Projet concernant les liaisons de transport Europe-Asie</w:t>
            </w:r>
            <w:r w:rsidR="004C06E5">
              <w:rPr>
                <w:spacing w:val="60"/>
                <w:sz w:val="17"/>
                <w:lang w:val="fr-CH"/>
              </w:rPr>
              <w:tab/>
            </w:r>
          </w:p>
        </w:tc>
        <w:tc>
          <w:tcPr>
            <w:tcW w:w="994" w:type="dxa"/>
            <w:shd w:val="clear" w:color="auto" w:fill="FFFFFF" w:themeFill="background1"/>
            <w:vAlign w:val="bottom"/>
          </w:tcPr>
          <w:p w:rsidR="00DC3FAC" w:rsidRPr="00101B00" w:rsidRDefault="005F0D9B" w:rsidP="00554873">
            <w:pPr>
              <w:spacing w:after="120"/>
              <w:jc w:val="right"/>
              <w:rPr>
                <w:lang w:val="fr-CH"/>
              </w:rPr>
            </w:pPr>
            <w:r w:rsidRPr="00101B00">
              <w:rPr>
                <w:lang w:val="fr-CH"/>
              </w:rPr>
              <w:t>56–58</w:t>
            </w:r>
          </w:p>
        </w:tc>
        <w:tc>
          <w:tcPr>
            <w:tcW w:w="675" w:type="dxa"/>
            <w:shd w:val="clear" w:color="auto" w:fill="FFFFFF" w:themeFill="background1"/>
            <w:vAlign w:val="bottom"/>
          </w:tcPr>
          <w:p w:rsidR="00DC3FAC" w:rsidRPr="00101B00" w:rsidRDefault="00E76061" w:rsidP="00554873">
            <w:pPr>
              <w:spacing w:after="120"/>
              <w:jc w:val="right"/>
              <w:rPr>
                <w:lang w:val="fr-CH"/>
              </w:rPr>
            </w:pPr>
            <w:r>
              <w:rPr>
                <w:lang w:val="fr-CH"/>
              </w:rPr>
              <w:t>12</w:t>
            </w:r>
          </w:p>
        </w:tc>
      </w:tr>
      <w:tr w:rsidR="00DC3FAC" w:rsidRPr="00101B00" w:rsidTr="004C06E5">
        <w:tc>
          <w:tcPr>
            <w:tcW w:w="8375" w:type="dxa"/>
            <w:gridSpan w:val="2"/>
            <w:shd w:val="clear" w:color="auto" w:fill="FFFFFF" w:themeFill="background1"/>
          </w:tcPr>
          <w:p w:rsidR="00DC3FAC" w:rsidRPr="00101B00" w:rsidRDefault="00101B00" w:rsidP="004C06E5">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uppressAutoHyphens/>
              <w:spacing w:after="120"/>
              <w:rPr>
                <w:lang w:val="fr-CH"/>
              </w:rPr>
            </w:pPr>
            <w:r w:rsidRPr="00101B00">
              <w:rPr>
                <w:lang w:val="fr-CH"/>
              </w:rPr>
              <w:t>Harmonisation des règlements concernant les véhicules</w:t>
            </w:r>
            <w:r w:rsidR="004C06E5">
              <w:rPr>
                <w:spacing w:val="60"/>
                <w:sz w:val="17"/>
                <w:lang w:val="fr-CH"/>
              </w:rPr>
              <w:tab/>
            </w:r>
          </w:p>
        </w:tc>
        <w:tc>
          <w:tcPr>
            <w:tcW w:w="994" w:type="dxa"/>
            <w:shd w:val="clear" w:color="auto" w:fill="FFFFFF" w:themeFill="background1"/>
            <w:vAlign w:val="bottom"/>
          </w:tcPr>
          <w:p w:rsidR="00DC3FAC" w:rsidRPr="00101B00" w:rsidRDefault="005F0D9B" w:rsidP="00554873">
            <w:pPr>
              <w:spacing w:after="120"/>
              <w:jc w:val="right"/>
              <w:rPr>
                <w:lang w:val="fr-CH"/>
              </w:rPr>
            </w:pPr>
            <w:r w:rsidRPr="00101B00">
              <w:rPr>
                <w:lang w:val="fr-CH"/>
              </w:rPr>
              <w:t>59–65</w:t>
            </w:r>
          </w:p>
        </w:tc>
        <w:tc>
          <w:tcPr>
            <w:tcW w:w="675" w:type="dxa"/>
            <w:shd w:val="clear" w:color="auto" w:fill="FFFFFF" w:themeFill="background1"/>
            <w:vAlign w:val="bottom"/>
          </w:tcPr>
          <w:p w:rsidR="00DC3FAC" w:rsidRPr="00101B00" w:rsidRDefault="00E76061" w:rsidP="00554873">
            <w:pPr>
              <w:spacing w:after="120"/>
              <w:jc w:val="right"/>
              <w:rPr>
                <w:lang w:val="fr-CH"/>
              </w:rPr>
            </w:pPr>
            <w:r>
              <w:rPr>
                <w:lang w:val="fr-CH"/>
              </w:rPr>
              <w:t>13</w:t>
            </w:r>
          </w:p>
        </w:tc>
      </w:tr>
      <w:tr w:rsidR="00DC3FAC" w:rsidRPr="00101B00" w:rsidTr="004C06E5">
        <w:tc>
          <w:tcPr>
            <w:tcW w:w="8375" w:type="dxa"/>
            <w:gridSpan w:val="2"/>
            <w:shd w:val="clear" w:color="auto" w:fill="FFFFFF" w:themeFill="background1"/>
          </w:tcPr>
          <w:p w:rsidR="00DC3FAC" w:rsidRPr="00101B00" w:rsidRDefault="00101B00" w:rsidP="004C06E5">
            <w:pPr>
              <w:pStyle w:val="ListParagraph"/>
              <w:numPr>
                <w:ilvl w:val="1"/>
                <w:numId w:val="6"/>
              </w:numPr>
              <w:tabs>
                <w:tab w:val="left" w:pos="1296"/>
                <w:tab w:val="left" w:pos="1728"/>
                <w:tab w:val="left" w:pos="2160"/>
                <w:tab w:val="left" w:pos="2592"/>
                <w:tab w:val="left" w:pos="3024"/>
                <w:tab w:val="right" w:leader="dot" w:pos="8381"/>
              </w:tabs>
              <w:suppressAutoHyphens/>
              <w:spacing w:after="120"/>
              <w:rPr>
                <w:lang w:val="fr-CH"/>
              </w:rPr>
            </w:pPr>
            <w:r w:rsidRPr="00101B00">
              <w:rPr>
                <w:lang w:val="fr-CH"/>
              </w:rPr>
              <w:t>Sécurité routière</w:t>
            </w:r>
            <w:r w:rsidR="004C06E5">
              <w:rPr>
                <w:spacing w:val="60"/>
                <w:sz w:val="17"/>
                <w:lang w:val="fr-CH"/>
              </w:rPr>
              <w:tab/>
            </w:r>
          </w:p>
        </w:tc>
        <w:tc>
          <w:tcPr>
            <w:tcW w:w="994" w:type="dxa"/>
            <w:shd w:val="clear" w:color="auto" w:fill="FFFFFF" w:themeFill="background1"/>
            <w:vAlign w:val="bottom"/>
          </w:tcPr>
          <w:p w:rsidR="00DC3FAC" w:rsidRPr="00101B00" w:rsidRDefault="005F0D9B" w:rsidP="00554873">
            <w:pPr>
              <w:spacing w:after="120"/>
              <w:jc w:val="right"/>
              <w:rPr>
                <w:lang w:val="fr-CH"/>
              </w:rPr>
            </w:pPr>
            <w:r w:rsidRPr="00101B00">
              <w:rPr>
                <w:lang w:val="fr-CH"/>
              </w:rPr>
              <w:t>66–76</w:t>
            </w:r>
          </w:p>
        </w:tc>
        <w:tc>
          <w:tcPr>
            <w:tcW w:w="675" w:type="dxa"/>
            <w:shd w:val="clear" w:color="auto" w:fill="FFFFFF" w:themeFill="background1"/>
            <w:vAlign w:val="bottom"/>
          </w:tcPr>
          <w:p w:rsidR="00DC3FAC" w:rsidRPr="00101B00" w:rsidRDefault="00E76061" w:rsidP="00554873">
            <w:pPr>
              <w:spacing w:after="120"/>
              <w:jc w:val="right"/>
              <w:rPr>
                <w:lang w:val="fr-CH"/>
              </w:rPr>
            </w:pPr>
            <w:r>
              <w:rPr>
                <w:lang w:val="fr-CH"/>
              </w:rPr>
              <w:t>14</w:t>
            </w:r>
          </w:p>
        </w:tc>
      </w:tr>
      <w:tr w:rsidR="00DC3FAC" w:rsidRPr="00101B00" w:rsidTr="004C06E5">
        <w:tc>
          <w:tcPr>
            <w:tcW w:w="8375" w:type="dxa"/>
            <w:gridSpan w:val="2"/>
            <w:shd w:val="clear" w:color="auto" w:fill="FFFFFF" w:themeFill="background1"/>
          </w:tcPr>
          <w:p w:rsidR="00DC3FAC" w:rsidRPr="00101B00" w:rsidRDefault="00101B00" w:rsidP="004C06E5">
            <w:pPr>
              <w:pStyle w:val="ListParagraph"/>
              <w:numPr>
                <w:ilvl w:val="1"/>
                <w:numId w:val="6"/>
              </w:numPr>
              <w:tabs>
                <w:tab w:val="left" w:pos="1296"/>
                <w:tab w:val="left" w:pos="1728"/>
                <w:tab w:val="left" w:pos="2160"/>
                <w:tab w:val="left" w:pos="2592"/>
                <w:tab w:val="left" w:pos="3024"/>
                <w:tab w:val="right" w:leader="dot" w:pos="8381"/>
              </w:tabs>
              <w:suppressAutoHyphens/>
              <w:spacing w:after="120"/>
              <w:rPr>
                <w:lang w:val="fr-CH"/>
              </w:rPr>
            </w:pPr>
            <w:r w:rsidRPr="00101B00">
              <w:rPr>
                <w:lang w:val="fr-CH"/>
              </w:rPr>
              <w:t>Transport routier</w:t>
            </w:r>
            <w:r w:rsidR="004C06E5">
              <w:rPr>
                <w:spacing w:val="60"/>
                <w:sz w:val="17"/>
                <w:lang w:val="fr-CH"/>
              </w:rPr>
              <w:tab/>
            </w:r>
          </w:p>
        </w:tc>
        <w:tc>
          <w:tcPr>
            <w:tcW w:w="994" w:type="dxa"/>
            <w:shd w:val="clear" w:color="auto" w:fill="FFFFFF" w:themeFill="background1"/>
            <w:vAlign w:val="bottom"/>
          </w:tcPr>
          <w:p w:rsidR="00DC3FAC" w:rsidRPr="00101B00" w:rsidRDefault="005F0D9B" w:rsidP="00554873">
            <w:pPr>
              <w:spacing w:after="120"/>
              <w:jc w:val="right"/>
              <w:rPr>
                <w:lang w:val="fr-CH"/>
              </w:rPr>
            </w:pPr>
            <w:r w:rsidRPr="00101B00">
              <w:rPr>
                <w:lang w:val="fr-CH"/>
              </w:rPr>
              <w:t>77–81</w:t>
            </w:r>
          </w:p>
        </w:tc>
        <w:tc>
          <w:tcPr>
            <w:tcW w:w="675" w:type="dxa"/>
            <w:shd w:val="clear" w:color="auto" w:fill="FFFFFF" w:themeFill="background1"/>
            <w:vAlign w:val="bottom"/>
          </w:tcPr>
          <w:p w:rsidR="00DC3FAC" w:rsidRPr="00101B00" w:rsidRDefault="00E76061" w:rsidP="00554873">
            <w:pPr>
              <w:spacing w:after="120"/>
              <w:jc w:val="right"/>
              <w:rPr>
                <w:lang w:val="fr-CH"/>
              </w:rPr>
            </w:pPr>
            <w:r>
              <w:rPr>
                <w:lang w:val="fr-CH"/>
              </w:rPr>
              <w:t>15</w:t>
            </w:r>
          </w:p>
        </w:tc>
      </w:tr>
      <w:tr w:rsidR="00DC3FAC" w:rsidRPr="00101B00" w:rsidTr="004C06E5">
        <w:tc>
          <w:tcPr>
            <w:tcW w:w="8375" w:type="dxa"/>
            <w:gridSpan w:val="2"/>
            <w:shd w:val="clear" w:color="auto" w:fill="FFFFFF" w:themeFill="background1"/>
          </w:tcPr>
          <w:p w:rsidR="00DC3FAC" w:rsidRPr="00101B00" w:rsidRDefault="00101B00" w:rsidP="004C06E5">
            <w:pPr>
              <w:pStyle w:val="ListParagraph"/>
              <w:numPr>
                <w:ilvl w:val="1"/>
                <w:numId w:val="6"/>
              </w:numPr>
              <w:tabs>
                <w:tab w:val="left" w:pos="1296"/>
                <w:tab w:val="left" w:pos="1728"/>
                <w:tab w:val="left" w:pos="2160"/>
                <w:tab w:val="left" w:pos="2592"/>
                <w:tab w:val="left" w:pos="3024"/>
                <w:tab w:val="left" w:pos="3456"/>
                <w:tab w:val="right" w:leader="dot" w:pos="8381"/>
              </w:tabs>
              <w:suppressAutoHyphens/>
              <w:spacing w:after="120"/>
              <w:rPr>
                <w:lang w:val="fr-CH"/>
              </w:rPr>
            </w:pPr>
            <w:r w:rsidRPr="00101B00">
              <w:rPr>
                <w:lang w:val="fr-CH"/>
              </w:rPr>
              <w:t>Transport ferroviaire</w:t>
            </w:r>
            <w:r w:rsidR="004C06E5">
              <w:rPr>
                <w:spacing w:val="60"/>
                <w:sz w:val="17"/>
                <w:lang w:val="fr-CH"/>
              </w:rPr>
              <w:tab/>
            </w:r>
          </w:p>
        </w:tc>
        <w:tc>
          <w:tcPr>
            <w:tcW w:w="994" w:type="dxa"/>
            <w:shd w:val="clear" w:color="auto" w:fill="FFFFFF" w:themeFill="background1"/>
            <w:vAlign w:val="bottom"/>
          </w:tcPr>
          <w:p w:rsidR="00DC3FAC" w:rsidRPr="00101B00" w:rsidRDefault="005F0D9B" w:rsidP="00554873">
            <w:pPr>
              <w:spacing w:after="120"/>
              <w:jc w:val="right"/>
              <w:rPr>
                <w:lang w:val="fr-CH"/>
              </w:rPr>
            </w:pPr>
            <w:r w:rsidRPr="00101B00">
              <w:rPr>
                <w:lang w:val="fr-CH"/>
              </w:rPr>
              <w:t>82–87</w:t>
            </w:r>
          </w:p>
        </w:tc>
        <w:tc>
          <w:tcPr>
            <w:tcW w:w="675" w:type="dxa"/>
            <w:shd w:val="clear" w:color="auto" w:fill="FFFFFF" w:themeFill="background1"/>
            <w:vAlign w:val="bottom"/>
          </w:tcPr>
          <w:p w:rsidR="00DC3FAC" w:rsidRPr="00101B00" w:rsidRDefault="00E76061" w:rsidP="00554873">
            <w:pPr>
              <w:spacing w:after="120"/>
              <w:jc w:val="right"/>
              <w:rPr>
                <w:lang w:val="fr-CH"/>
              </w:rPr>
            </w:pPr>
            <w:r>
              <w:rPr>
                <w:lang w:val="fr-CH"/>
              </w:rPr>
              <w:t>16</w:t>
            </w:r>
          </w:p>
        </w:tc>
      </w:tr>
      <w:tr w:rsidR="00DC3FAC" w:rsidRPr="00101B00" w:rsidTr="004C06E5">
        <w:tc>
          <w:tcPr>
            <w:tcW w:w="8375" w:type="dxa"/>
            <w:gridSpan w:val="2"/>
            <w:shd w:val="clear" w:color="auto" w:fill="FFFFFF" w:themeFill="background1"/>
          </w:tcPr>
          <w:p w:rsidR="00DC3FAC" w:rsidRPr="00101B00" w:rsidRDefault="00101B00" w:rsidP="004C06E5">
            <w:pPr>
              <w:pStyle w:val="ListParagraph"/>
              <w:numPr>
                <w:ilvl w:val="1"/>
                <w:numId w:val="6"/>
              </w:numPr>
              <w:tabs>
                <w:tab w:val="left" w:pos="1296"/>
                <w:tab w:val="left" w:pos="1728"/>
                <w:tab w:val="left" w:pos="2160"/>
                <w:tab w:val="left" w:pos="2592"/>
                <w:tab w:val="left" w:pos="3024"/>
                <w:tab w:val="left" w:pos="3456"/>
                <w:tab w:val="left" w:pos="3888"/>
                <w:tab w:val="left" w:pos="4320"/>
                <w:tab w:val="right" w:leader="dot" w:pos="8381"/>
              </w:tabs>
              <w:suppressAutoHyphens/>
              <w:spacing w:after="120"/>
              <w:rPr>
                <w:lang w:val="fr-CH"/>
              </w:rPr>
            </w:pPr>
            <w:r w:rsidRPr="00101B00">
              <w:rPr>
                <w:lang w:val="fr-CH"/>
              </w:rPr>
              <w:t>Transport intermodal et logistique</w:t>
            </w:r>
            <w:r w:rsidR="004C06E5">
              <w:rPr>
                <w:spacing w:val="60"/>
                <w:sz w:val="17"/>
                <w:lang w:val="fr-CH"/>
              </w:rPr>
              <w:tab/>
            </w:r>
          </w:p>
        </w:tc>
        <w:tc>
          <w:tcPr>
            <w:tcW w:w="994" w:type="dxa"/>
            <w:shd w:val="clear" w:color="auto" w:fill="FFFFFF" w:themeFill="background1"/>
            <w:vAlign w:val="bottom"/>
          </w:tcPr>
          <w:p w:rsidR="00DC3FAC" w:rsidRPr="00101B00" w:rsidRDefault="005F0D9B" w:rsidP="00554873">
            <w:pPr>
              <w:spacing w:after="120"/>
              <w:jc w:val="right"/>
              <w:rPr>
                <w:lang w:val="fr-CH"/>
              </w:rPr>
            </w:pPr>
            <w:r w:rsidRPr="00101B00">
              <w:rPr>
                <w:lang w:val="fr-CH"/>
              </w:rPr>
              <w:t>88–90</w:t>
            </w:r>
          </w:p>
        </w:tc>
        <w:tc>
          <w:tcPr>
            <w:tcW w:w="675" w:type="dxa"/>
            <w:shd w:val="clear" w:color="auto" w:fill="FFFFFF" w:themeFill="background1"/>
            <w:vAlign w:val="bottom"/>
          </w:tcPr>
          <w:p w:rsidR="00DC3FAC" w:rsidRPr="00101B00" w:rsidRDefault="00E76061" w:rsidP="00554873">
            <w:pPr>
              <w:spacing w:after="120"/>
              <w:jc w:val="right"/>
              <w:rPr>
                <w:lang w:val="fr-CH"/>
              </w:rPr>
            </w:pPr>
            <w:r>
              <w:rPr>
                <w:lang w:val="fr-CH"/>
              </w:rPr>
              <w:t>17</w:t>
            </w:r>
          </w:p>
        </w:tc>
      </w:tr>
      <w:tr w:rsidR="00DC3FAC" w:rsidRPr="00101B00" w:rsidTr="004C06E5">
        <w:tc>
          <w:tcPr>
            <w:tcW w:w="8375" w:type="dxa"/>
            <w:gridSpan w:val="2"/>
            <w:shd w:val="clear" w:color="auto" w:fill="FFFFFF" w:themeFill="background1"/>
          </w:tcPr>
          <w:p w:rsidR="00DC3FAC" w:rsidRPr="00101B00" w:rsidRDefault="00101B00" w:rsidP="004C06E5">
            <w:pPr>
              <w:pStyle w:val="ListParagraph"/>
              <w:numPr>
                <w:ilvl w:val="1"/>
                <w:numId w:val="6"/>
              </w:numPr>
              <w:tabs>
                <w:tab w:val="left" w:pos="1296"/>
                <w:tab w:val="left" w:pos="1728"/>
                <w:tab w:val="left" w:pos="2160"/>
                <w:tab w:val="left" w:pos="2592"/>
                <w:tab w:val="left" w:pos="3024"/>
                <w:tab w:val="left" w:pos="3456"/>
                <w:tab w:val="left" w:pos="3888"/>
                <w:tab w:val="right" w:leader="dot" w:pos="8381"/>
              </w:tabs>
              <w:suppressAutoHyphens/>
              <w:spacing w:after="120"/>
              <w:rPr>
                <w:lang w:val="fr-CH"/>
              </w:rPr>
            </w:pPr>
            <w:r w:rsidRPr="00101B00">
              <w:rPr>
                <w:lang w:val="fr-CH"/>
              </w:rPr>
              <w:t>Transport par voie navigable</w:t>
            </w:r>
            <w:r w:rsidR="004C06E5">
              <w:rPr>
                <w:spacing w:val="60"/>
                <w:sz w:val="17"/>
                <w:lang w:val="fr-CH"/>
              </w:rPr>
              <w:tab/>
            </w:r>
          </w:p>
        </w:tc>
        <w:tc>
          <w:tcPr>
            <w:tcW w:w="994" w:type="dxa"/>
            <w:shd w:val="clear" w:color="auto" w:fill="FFFFFF" w:themeFill="background1"/>
            <w:vAlign w:val="bottom"/>
          </w:tcPr>
          <w:p w:rsidR="00DC3FAC" w:rsidRPr="00101B00" w:rsidRDefault="005F0D9B" w:rsidP="00554873">
            <w:pPr>
              <w:spacing w:after="120"/>
              <w:jc w:val="right"/>
              <w:rPr>
                <w:lang w:val="fr-CH"/>
              </w:rPr>
            </w:pPr>
            <w:r w:rsidRPr="00101B00">
              <w:rPr>
                <w:lang w:val="fr-CH"/>
              </w:rPr>
              <w:t>91–96</w:t>
            </w:r>
          </w:p>
        </w:tc>
        <w:tc>
          <w:tcPr>
            <w:tcW w:w="675" w:type="dxa"/>
            <w:shd w:val="clear" w:color="auto" w:fill="FFFFFF" w:themeFill="background1"/>
            <w:vAlign w:val="bottom"/>
          </w:tcPr>
          <w:p w:rsidR="00DC3FAC" w:rsidRPr="00101B00" w:rsidRDefault="00E76061" w:rsidP="00554873">
            <w:pPr>
              <w:spacing w:after="120"/>
              <w:jc w:val="right"/>
              <w:rPr>
                <w:lang w:val="fr-CH"/>
              </w:rPr>
            </w:pPr>
            <w:r>
              <w:rPr>
                <w:lang w:val="fr-CH"/>
              </w:rPr>
              <w:t>18</w:t>
            </w:r>
          </w:p>
        </w:tc>
      </w:tr>
      <w:tr w:rsidR="00DC3FAC" w:rsidRPr="00101B00" w:rsidTr="004C06E5">
        <w:tc>
          <w:tcPr>
            <w:tcW w:w="8375" w:type="dxa"/>
            <w:gridSpan w:val="2"/>
            <w:shd w:val="clear" w:color="auto" w:fill="FFFFFF" w:themeFill="background1"/>
          </w:tcPr>
          <w:p w:rsidR="00DC3FAC" w:rsidRPr="00101B00" w:rsidRDefault="00101B00" w:rsidP="004C06E5">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uppressAutoHyphens/>
              <w:spacing w:after="120"/>
              <w:rPr>
                <w:lang w:val="fr-CH"/>
              </w:rPr>
            </w:pPr>
            <w:r w:rsidRPr="00101B00">
              <w:rPr>
                <w:lang w:val="fr-CH"/>
              </w:rPr>
              <w:t xml:space="preserve">Renforcement des mesures de facilitation du franchissement </w:t>
            </w:r>
            <w:r w:rsidR="00970907">
              <w:rPr>
                <w:lang w:val="fr-CH"/>
              </w:rPr>
              <w:br/>
            </w:r>
            <w:r w:rsidRPr="00101B00">
              <w:rPr>
                <w:lang w:val="fr-CH"/>
              </w:rPr>
              <w:t xml:space="preserve">des frontières (Convention sur l’harmonisation, Convention TIR, </w:t>
            </w:r>
            <w:r w:rsidRPr="00101B00">
              <w:rPr>
                <w:lang w:val="fr-CH"/>
              </w:rPr>
              <w:br/>
              <w:t>projet eTIR et autres mesures de facilitation du transit douanier)</w:t>
            </w:r>
            <w:r w:rsidR="004C06E5">
              <w:rPr>
                <w:spacing w:val="60"/>
                <w:sz w:val="17"/>
                <w:lang w:val="fr-CH"/>
              </w:rPr>
              <w:tab/>
            </w:r>
          </w:p>
        </w:tc>
        <w:tc>
          <w:tcPr>
            <w:tcW w:w="994" w:type="dxa"/>
            <w:shd w:val="clear" w:color="auto" w:fill="FFFFFF" w:themeFill="background1"/>
            <w:vAlign w:val="bottom"/>
          </w:tcPr>
          <w:p w:rsidR="00DC3FAC" w:rsidRPr="00101B00" w:rsidRDefault="005F0D9B" w:rsidP="00554873">
            <w:pPr>
              <w:spacing w:after="120"/>
              <w:jc w:val="right"/>
              <w:rPr>
                <w:lang w:val="fr-CH"/>
              </w:rPr>
            </w:pPr>
            <w:r w:rsidRPr="00101B00">
              <w:rPr>
                <w:lang w:val="fr-CH"/>
              </w:rPr>
              <w:t>97–108</w:t>
            </w:r>
          </w:p>
        </w:tc>
        <w:tc>
          <w:tcPr>
            <w:tcW w:w="675" w:type="dxa"/>
            <w:shd w:val="clear" w:color="auto" w:fill="FFFFFF" w:themeFill="background1"/>
            <w:vAlign w:val="bottom"/>
          </w:tcPr>
          <w:p w:rsidR="00DC3FAC" w:rsidRPr="00101B00" w:rsidRDefault="00E76061" w:rsidP="00554873">
            <w:pPr>
              <w:spacing w:after="120"/>
              <w:jc w:val="right"/>
              <w:rPr>
                <w:lang w:val="fr-CH"/>
              </w:rPr>
            </w:pPr>
            <w:r>
              <w:rPr>
                <w:lang w:val="fr-CH"/>
              </w:rPr>
              <w:t>19</w:t>
            </w:r>
          </w:p>
        </w:tc>
      </w:tr>
      <w:tr w:rsidR="00DC3FAC" w:rsidRPr="00101B00" w:rsidTr="004C06E5">
        <w:tc>
          <w:tcPr>
            <w:tcW w:w="8375" w:type="dxa"/>
            <w:gridSpan w:val="2"/>
            <w:shd w:val="clear" w:color="auto" w:fill="FFFFFF" w:themeFill="background1"/>
          </w:tcPr>
          <w:p w:rsidR="00DC3FAC" w:rsidRPr="00101B00" w:rsidRDefault="00101B00" w:rsidP="004C06E5">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rPr>
                <w:lang w:val="fr-CH"/>
              </w:rPr>
            </w:pPr>
            <w:r w:rsidRPr="00101B00">
              <w:rPr>
                <w:lang w:val="fr-CH"/>
              </w:rPr>
              <w:t>Transport des marchandises dangereuses</w:t>
            </w:r>
            <w:r w:rsidR="004C06E5">
              <w:rPr>
                <w:spacing w:val="60"/>
                <w:sz w:val="17"/>
                <w:lang w:val="fr-CH"/>
              </w:rPr>
              <w:tab/>
            </w:r>
          </w:p>
        </w:tc>
        <w:tc>
          <w:tcPr>
            <w:tcW w:w="994" w:type="dxa"/>
            <w:shd w:val="clear" w:color="auto" w:fill="FFFFFF" w:themeFill="background1"/>
            <w:vAlign w:val="bottom"/>
          </w:tcPr>
          <w:p w:rsidR="00DC3FAC" w:rsidRPr="00101B00" w:rsidRDefault="005F0D9B" w:rsidP="00554873">
            <w:pPr>
              <w:spacing w:after="120"/>
              <w:jc w:val="right"/>
              <w:rPr>
                <w:lang w:val="fr-CH"/>
              </w:rPr>
            </w:pPr>
            <w:r w:rsidRPr="00101B00">
              <w:rPr>
                <w:lang w:val="fr-CH"/>
              </w:rPr>
              <w:t>109–117</w:t>
            </w:r>
          </w:p>
        </w:tc>
        <w:tc>
          <w:tcPr>
            <w:tcW w:w="675" w:type="dxa"/>
            <w:shd w:val="clear" w:color="auto" w:fill="FFFFFF" w:themeFill="background1"/>
            <w:vAlign w:val="bottom"/>
          </w:tcPr>
          <w:p w:rsidR="00DC3FAC" w:rsidRPr="00101B00" w:rsidRDefault="00E76061" w:rsidP="00554873">
            <w:pPr>
              <w:spacing w:after="120"/>
              <w:jc w:val="right"/>
              <w:rPr>
                <w:lang w:val="fr-CH"/>
              </w:rPr>
            </w:pPr>
            <w:r>
              <w:rPr>
                <w:lang w:val="fr-CH"/>
              </w:rPr>
              <w:t>21</w:t>
            </w:r>
          </w:p>
        </w:tc>
      </w:tr>
      <w:tr w:rsidR="00DC3FAC" w:rsidRPr="00101B00" w:rsidTr="004C06E5">
        <w:tc>
          <w:tcPr>
            <w:tcW w:w="8375" w:type="dxa"/>
            <w:gridSpan w:val="2"/>
            <w:shd w:val="clear" w:color="auto" w:fill="FFFFFF" w:themeFill="background1"/>
          </w:tcPr>
          <w:p w:rsidR="00DC3FAC" w:rsidRPr="00101B00" w:rsidRDefault="00101B00" w:rsidP="004C06E5">
            <w:pPr>
              <w:pStyle w:val="ListParagraph"/>
              <w:numPr>
                <w:ilvl w:val="1"/>
                <w:numId w:val="6"/>
              </w:numPr>
              <w:tabs>
                <w:tab w:val="left" w:pos="1296"/>
                <w:tab w:val="left" w:pos="1728"/>
                <w:tab w:val="left" w:pos="2160"/>
                <w:tab w:val="left" w:pos="2592"/>
                <w:tab w:val="left" w:pos="3024"/>
                <w:tab w:val="left" w:pos="3456"/>
                <w:tab w:val="left" w:pos="3888"/>
                <w:tab w:val="left" w:pos="4320"/>
                <w:tab w:val="right" w:leader="dot" w:pos="8381"/>
              </w:tabs>
              <w:suppressAutoHyphens/>
              <w:spacing w:after="120"/>
              <w:rPr>
                <w:lang w:val="fr-CH"/>
              </w:rPr>
            </w:pPr>
            <w:r w:rsidRPr="00101B00">
              <w:rPr>
                <w:lang w:val="fr-CH"/>
              </w:rPr>
              <w:t>Transport de denrées périssables</w:t>
            </w:r>
            <w:r w:rsidR="004C06E5">
              <w:rPr>
                <w:spacing w:val="60"/>
                <w:sz w:val="17"/>
                <w:lang w:val="fr-CH"/>
              </w:rPr>
              <w:tab/>
            </w:r>
          </w:p>
        </w:tc>
        <w:tc>
          <w:tcPr>
            <w:tcW w:w="994" w:type="dxa"/>
            <w:shd w:val="clear" w:color="auto" w:fill="FFFFFF" w:themeFill="background1"/>
            <w:vAlign w:val="bottom"/>
          </w:tcPr>
          <w:p w:rsidR="00DC3FAC" w:rsidRPr="00101B00" w:rsidRDefault="005F0D9B" w:rsidP="00554873">
            <w:pPr>
              <w:spacing w:after="120"/>
              <w:jc w:val="right"/>
              <w:rPr>
                <w:lang w:val="fr-CH"/>
              </w:rPr>
            </w:pPr>
            <w:r w:rsidRPr="00101B00">
              <w:rPr>
                <w:lang w:val="fr-CH"/>
              </w:rPr>
              <w:t>118–126</w:t>
            </w:r>
          </w:p>
        </w:tc>
        <w:tc>
          <w:tcPr>
            <w:tcW w:w="675" w:type="dxa"/>
            <w:shd w:val="clear" w:color="auto" w:fill="FFFFFF" w:themeFill="background1"/>
            <w:vAlign w:val="bottom"/>
          </w:tcPr>
          <w:p w:rsidR="00DC3FAC" w:rsidRPr="00101B00" w:rsidRDefault="00E76061" w:rsidP="00554873">
            <w:pPr>
              <w:spacing w:after="120"/>
              <w:jc w:val="right"/>
              <w:rPr>
                <w:lang w:val="fr-CH"/>
              </w:rPr>
            </w:pPr>
            <w:r>
              <w:rPr>
                <w:lang w:val="fr-CH"/>
              </w:rPr>
              <w:t>23</w:t>
            </w:r>
          </w:p>
        </w:tc>
      </w:tr>
      <w:tr w:rsidR="00DC3FAC" w:rsidRPr="00101B00" w:rsidTr="004C06E5">
        <w:tc>
          <w:tcPr>
            <w:tcW w:w="8375" w:type="dxa"/>
            <w:gridSpan w:val="2"/>
            <w:shd w:val="clear" w:color="auto" w:fill="FFFFFF" w:themeFill="background1"/>
          </w:tcPr>
          <w:p w:rsidR="00DC3FAC" w:rsidRPr="00101B00" w:rsidRDefault="00101B00" w:rsidP="004C06E5">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uppressAutoHyphens/>
              <w:spacing w:after="120"/>
              <w:rPr>
                <w:lang w:val="fr-CH"/>
              </w:rPr>
            </w:pPr>
            <w:r w:rsidRPr="00101B00">
              <w:rPr>
                <w:lang w:val="fr-CH"/>
              </w:rPr>
              <w:t>Données et statistiques relatives aux transports</w:t>
            </w:r>
            <w:r w:rsidR="004C06E5">
              <w:rPr>
                <w:spacing w:val="60"/>
                <w:sz w:val="17"/>
                <w:lang w:val="fr-CH"/>
              </w:rPr>
              <w:tab/>
            </w:r>
          </w:p>
        </w:tc>
        <w:tc>
          <w:tcPr>
            <w:tcW w:w="994" w:type="dxa"/>
            <w:shd w:val="clear" w:color="auto" w:fill="FFFFFF" w:themeFill="background1"/>
            <w:vAlign w:val="bottom"/>
          </w:tcPr>
          <w:p w:rsidR="00DC3FAC" w:rsidRPr="00101B00" w:rsidRDefault="005F0D9B" w:rsidP="00554873">
            <w:pPr>
              <w:spacing w:after="120"/>
              <w:jc w:val="right"/>
              <w:rPr>
                <w:lang w:val="fr-CH"/>
              </w:rPr>
            </w:pPr>
            <w:r w:rsidRPr="00101B00">
              <w:rPr>
                <w:lang w:val="fr-CH"/>
              </w:rPr>
              <w:t>127</w:t>
            </w:r>
          </w:p>
        </w:tc>
        <w:tc>
          <w:tcPr>
            <w:tcW w:w="675" w:type="dxa"/>
            <w:shd w:val="clear" w:color="auto" w:fill="FFFFFF" w:themeFill="background1"/>
            <w:vAlign w:val="bottom"/>
          </w:tcPr>
          <w:p w:rsidR="00DC3FAC" w:rsidRPr="00101B00" w:rsidRDefault="00E76061" w:rsidP="00554873">
            <w:pPr>
              <w:spacing w:after="120"/>
              <w:jc w:val="right"/>
              <w:rPr>
                <w:lang w:val="fr-CH"/>
              </w:rPr>
            </w:pPr>
            <w:r>
              <w:rPr>
                <w:lang w:val="fr-CH"/>
              </w:rPr>
              <w:t>23</w:t>
            </w:r>
          </w:p>
        </w:tc>
      </w:tr>
      <w:tr w:rsidR="00DC3FAC" w:rsidRPr="00101B00" w:rsidTr="004C06E5">
        <w:tc>
          <w:tcPr>
            <w:tcW w:w="8375" w:type="dxa"/>
            <w:gridSpan w:val="2"/>
            <w:shd w:val="clear" w:color="auto" w:fill="FFFFFF" w:themeFill="background1"/>
          </w:tcPr>
          <w:p w:rsidR="00DC3FAC" w:rsidRPr="00101B00" w:rsidRDefault="00101B00" w:rsidP="004C06E5">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left" w:pos="5184"/>
                <w:tab w:val="right" w:leader="dot" w:pos="8381"/>
              </w:tabs>
              <w:suppressAutoHyphens/>
              <w:spacing w:after="120"/>
              <w:rPr>
                <w:lang w:val="fr-CH"/>
              </w:rPr>
            </w:pPr>
            <w:r w:rsidRPr="00101B00">
              <w:rPr>
                <w:lang w:val="fr-CH"/>
              </w:rPr>
              <w:t xml:space="preserve">Questions découlant des activités de la Commission économique pour l’Europe (CEE), du Conseil économique et social et d’autres organes et conférences </w:t>
            </w:r>
            <w:r w:rsidR="004C06E5">
              <w:rPr>
                <w:lang w:val="fr-CH"/>
              </w:rPr>
              <w:br/>
            </w:r>
            <w:r w:rsidRPr="00101B00">
              <w:rPr>
                <w:lang w:val="fr-CH"/>
              </w:rPr>
              <w:t>des Nations Unies (point 6 de l’ordre du jour)</w:t>
            </w:r>
            <w:r w:rsidR="004C06E5">
              <w:rPr>
                <w:spacing w:val="60"/>
                <w:sz w:val="17"/>
                <w:lang w:val="fr-CH"/>
              </w:rPr>
              <w:tab/>
            </w:r>
          </w:p>
        </w:tc>
        <w:tc>
          <w:tcPr>
            <w:tcW w:w="994" w:type="dxa"/>
            <w:shd w:val="clear" w:color="auto" w:fill="FFFFFF" w:themeFill="background1"/>
            <w:vAlign w:val="bottom"/>
          </w:tcPr>
          <w:p w:rsidR="00DC3FAC" w:rsidRPr="00101B00" w:rsidRDefault="005F0D9B" w:rsidP="00554873">
            <w:pPr>
              <w:spacing w:after="120"/>
              <w:jc w:val="right"/>
              <w:rPr>
                <w:lang w:val="fr-CH"/>
              </w:rPr>
            </w:pPr>
            <w:r w:rsidRPr="00101B00">
              <w:rPr>
                <w:lang w:val="fr-CH"/>
              </w:rPr>
              <w:t>128</w:t>
            </w:r>
          </w:p>
        </w:tc>
        <w:tc>
          <w:tcPr>
            <w:tcW w:w="675" w:type="dxa"/>
            <w:shd w:val="clear" w:color="auto" w:fill="FFFFFF" w:themeFill="background1"/>
            <w:vAlign w:val="bottom"/>
          </w:tcPr>
          <w:p w:rsidR="00DC3FAC" w:rsidRPr="00101B00" w:rsidRDefault="00E76061" w:rsidP="00554873">
            <w:pPr>
              <w:spacing w:after="120"/>
              <w:jc w:val="right"/>
              <w:rPr>
                <w:lang w:val="fr-CH"/>
              </w:rPr>
            </w:pPr>
            <w:r>
              <w:rPr>
                <w:lang w:val="fr-CH"/>
              </w:rPr>
              <w:t>24</w:t>
            </w:r>
          </w:p>
        </w:tc>
      </w:tr>
      <w:tr w:rsidR="00DC3FAC" w:rsidRPr="00101B00" w:rsidTr="004C06E5">
        <w:tc>
          <w:tcPr>
            <w:tcW w:w="8375" w:type="dxa"/>
            <w:gridSpan w:val="2"/>
            <w:shd w:val="clear" w:color="auto" w:fill="FFFFFF" w:themeFill="background1"/>
          </w:tcPr>
          <w:p w:rsidR="00DC3FAC" w:rsidRPr="00101B00" w:rsidRDefault="00101B00" w:rsidP="004C06E5">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left" w:pos="5184"/>
                <w:tab w:val="right" w:leader="dot" w:pos="8381"/>
              </w:tabs>
              <w:suppressAutoHyphens/>
              <w:spacing w:after="120"/>
              <w:rPr>
                <w:lang w:val="fr-CH"/>
              </w:rPr>
            </w:pPr>
            <w:r w:rsidRPr="00101B00">
              <w:rPr>
                <w:lang w:val="fr-CH"/>
              </w:rPr>
              <w:t xml:space="preserve">Projet de rapport annuel sur les activités menées par les organes subsidiaires </w:t>
            </w:r>
            <w:r w:rsidR="00970907">
              <w:rPr>
                <w:lang w:val="fr-CH"/>
              </w:rPr>
              <w:br/>
            </w:r>
            <w:r w:rsidRPr="00101B00">
              <w:rPr>
                <w:lang w:val="fr-CH"/>
              </w:rPr>
              <w:t>du Comité en 2014 (point 7 de l’ordre du jour)</w:t>
            </w:r>
            <w:r w:rsidR="004C06E5">
              <w:rPr>
                <w:spacing w:val="60"/>
                <w:sz w:val="17"/>
                <w:lang w:val="fr-CH"/>
              </w:rPr>
              <w:tab/>
            </w:r>
          </w:p>
        </w:tc>
        <w:tc>
          <w:tcPr>
            <w:tcW w:w="994" w:type="dxa"/>
            <w:shd w:val="clear" w:color="auto" w:fill="FFFFFF" w:themeFill="background1"/>
            <w:vAlign w:val="bottom"/>
          </w:tcPr>
          <w:p w:rsidR="00DC3FAC" w:rsidRPr="00101B00" w:rsidRDefault="005F0D9B" w:rsidP="00554873">
            <w:pPr>
              <w:spacing w:after="120"/>
              <w:jc w:val="right"/>
              <w:rPr>
                <w:lang w:val="fr-CH"/>
              </w:rPr>
            </w:pPr>
            <w:r w:rsidRPr="00101B00">
              <w:rPr>
                <w:lang w:val="fr-CH"/>
              </w:rPr>
              <w:t>129–130</w:t>
            </w:r>
          </w:p>
        </w:tc>
        <w:tc>
          <w:tcPr>
            <w:tcW w:w="675" w:type="dxa"/>
            <w:shd w:val="clear" w:color="auto" w:fill="FFFFFF" w:themeFill="background1"/>
            <w:vAlign w:val="bottom"/>
          </w:tcPr>
          <w:p w:rsidR="00DC3FAC" w:rsidRPr="00101B00" w:rsidRDefault="00E76061" w:rsidP="00554873">
            <w:pPr>
              <w:spacing w:after="120"/>
              <w:jc w:val="right"/>
              <w:rPr>
                <w:lang w:val="fr-CH"/>
              </w:rPr>
            </w:pPr>
            <w:r>
              <w:rPr>
                <w:lang w:val="fr-CH"/>
              </w:rPr>
              <w:t>24</w:t>
            </w:r>
          </w:p>
        </w:tc>
      </w:tr>
      <w:tr w:rsidR="00DC3FAC" w:rsidRPr="00101B00" w:rsidTr="004C06E5">
        <w:tc>
          <w:tcPr>
            <w:tcW w:w="8375" w:type="dxa"/>
            <w:gridSpan w:val="2"/>
            <w:shd w:val="clear" w:color="auto" w:fill="FFFFFF" w:themeFill="background1"/>
          </w:tcPr>
          <w:p w:rsidR="00DC3FAC" w:rsidRPr="00101B00" w:rsidRDefault="00101B00" w:rsidP="004C06E5">
            <w:pPr>
              <w:pStyle w:val="ListParagraph"/>
              <w:numPr>
                <w:ilvl w:val="0"/>
                <w:numId w:val="6"/>
              </w:numPr>
              <w:tabs>
                <w:tab w:val="left" w:pos="1296"/>
                <w:tab w:val="left" w:pos="1728"/>
                <w:tab w:val="left" w:pos="2160"/>
                <w:tab w:val="left" w:pos="2592"/>
                <w:tab w:val="right" w:leader="dot" w:pos="8381"/>
              </w:tabs>
              <w:suppressAutoHyphens/>
              <w:spacing w:after="120"/>
              <w:rPr>
                <w:lang w:val="fr-CH"/>
              </w:rPr>
            </w:pPr>
            <w:r w:rsidRPr="00101B00">
              <w:rPr>
                <w:lang w:val="fr-CH"/>
              </w:rPr>
              <w:t>Questions soumises au Comité pour approbation et pour information</w:t>
            </w:r>
            <w:r w:rsidR="004C06E5">
              <w:rPr>
                <w:lang w:val="fr-CH"/>
              </w:rPr>
              <w:t> :</w:t>
            </w:r>
            <w:r w:rsidRPr="00101B00">
              <w:rPr>
                <w:lang w:val="fr-CH"/>
              </w:rPr>
              <w:t xml:space="preserve"> Approbation des rapports des organes subsidiaires du Comité (point 8 </w:t>
            </w:r>
            <w:r w:rsidR="004C06E5">
              <w:rPr>
                <w:lang w:val="fr-CH"/>
              </w:rPr>
              <w:br/>
            </w:r>
            <w:r w:rsidRPr="00101B00">
              <w:rPr>
                <w:lang w:val="fr-CH"/>
              </w:rPr>
              <w:t>de l’ordre du jour)</w:t>
            </w:r>
            <w:r w:rsidR="004C06E5">
              <w:rPr>
                <w:spacing w:val="60"/>
                <w:sz w:val="17"/>
                <w:lang w:val="fr-CH"/>
              </w:rPr>
              <w:tab/>
            </w:r>
          </w:p>
        </w:tc>
        <w:tc>
          <w:tcPr>
            <w:tcW w:w="994" w:type="dxa"/>
            <w:shd w:val="clear" w:color="auto" w:fill="FFFFFF" w:themeFill="background1"/>
            <w:vAlign w:val="bottom"/>
          </w:tcPr>
          <w:p w:rsidR="00DC3FAC" w:rsidRPr="00101B00" w:rsidRDefault="005F0D9B" w:rsidP="00554873">
            <w:pPr>
              <w:spacing w:after="120"/>
              <w:jc w:val="right"/>
              <w:rPr>
                <w:lang w:val="fr-CH"/>
              </w:rPr>
            </w:pPr>
            <w:r w:rsidRPr="00101B00">
              <w:rPr>
                <w:lang w:val="fr-CH"/>
              </w:rPr>
              <w:t>131</w:t>
            </w:r>
          </w:p>
        </w:tc>
        <w:tc>
          <w:tcPr>
            <w:tcW w:w="675" w:type="dxa"/>
            <w:shd w:val="clear" w:color="auto" w:fill="FFFFFF" w:themeFill="background1"/>
            <w:vAlign w:val="bottom"/>
          </w:tcPr>
          <w:p w:rsidR="00DC3FAC" w:rsidRPr="00101B00" w:rsidRDefault="00E76061" w:rsidP="00554873">
            <w:pPr>
              <w:spacing w:after="120"/>
              <w:jc w:val="right"/>
              <w:rPr>
                <w:lang w:val="fr-CH"/>
              </w:rPr>
            </w:pPr>
            <w:r>
              <w:rPr>
                <w:lang w:val="fr-CH"/>
              </w:rPr>
              <w:t>24</w:t>
            </w:r>
          </w:p>
        </w:tc>
      </w:tr>
      <w:tr w:rsidR="00DC3FAC" w:rsidRPr="00101B00" w:rsidTr="004C06E5">
        <w:tc>
          <w:tcPr>
            <w:tcW w:w="8375" w:type="dxa"/>
            <w:gridSpan w:val="2"/>
            <w:shd w:val="clear" w:color="auto" w:fill="FFFFFF" w:themeFill="background1"/>
          </w:tcPr>
          <w:p w:rsidR="00DC3FAC" w:rsidRPr="00101B00" w:rsidRDefault="00101B00" w:rsidP="004C06E5">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uppressAutoHyphens/>
              <w:spacing w:after="120"/>
              <w:rPr>
                <w:lang w:val="fr-CH"/>
              </w:rPr>
            </w:pPr>
            <w:r w:rsidRPr="00101B00">
              <w:rPr>
                <w:lang w:val="fr-CH"/>
              </w:rPr>
              <w:t>Résultats des réunions du Bureau du Comité (point 9 de l’ordre du jour)</w:t>
            </w:r>
            <w:r w:rsidR="004C06E5">
              <w:rPr>
                <w:spacing w:val="60"/>
                <w:sz w:val="17"/>
                <w:lang w:val="fr-CH"/>
              </w:rPr>
              <w:tab/>
            </w:r>
          </w:p>
        </w:tc>
        <w:tc>
          <w:tcPr>
            <w:tcW w:w="994" w:type="dxa"/>
            <w:shd w:val="clear" w:color="auto" w:fill="FFFFFF" w:themeFill="background1"/>
            <w:vAlign w:val="bottom"/>
          </w:tcPr>
          <w:p w:rsidR="00DC3FAC" w:rsidRPr="00101B00" w:rsidRDefault="005F0D9B" w:rsidP="00554873">
            <w:pPr>
              <w:spacing w:after="120"/>
              <w:jc w:val="right"/>
              <w:rPr>
                <w:lang w:val="fr-CH"/>
              </w:rPr>
            </w:pPr>
            <w:r w:rsidRPr="00101B00">
              <w:rPr>
                <w:lang w:val="fr-CH"/>
              </w:rPr>
              <w:t>132–133</w:t>
            </w:r>
          </w:p>
        </w:tc>
        <w:tc>
          <w:tcPr>
            <w:tcW w:w="675" w:type="dxa"/>
            <w:shd w:val="clear" w:color="auto" w:fill="FFFFFF" w:themeFill="background1"/>
            <w:vAlign w:val="bottom"/>
          </w:tcPr>
          <w:p w:rsidR="00DC3FAC" w:rsidRPr="00101B00" w:rsidRDefault="00E76061" w:rsidP="00554873">
            <w:pPr>
              <w:spacing w:after="120"/>
              <w:jc w:val="right"/>
              <w:rPr>
                <w:lang w:val="fr-CH"/>
              </w:rPr>
            </w:pPr>
            <w:r>
              <w:rPr>
                <w:lang w:val="fr-CH"/>
              </w:rPr>
              <w:t>25</w:t>
            </w:r>
          </w:p>
        </w:tc>
      </w:tr>
      <w:tr w:rsidR="00DC3FAC" w:rsidRPr="00101B00" w:rsidTr="004C06E5">
        <w:tc>
          <w:tcPr>
            <w:tcW w:w="8375" w:type="dxa"/>
            <w:gridSpan w:val="2"/>
            <w:shd w:val="clear" w:color="auto" w:fill="FFFFFF" w:themeFill="background1"/>
          </w:tcPr>
          <w:p w:rsidR="00DC3FAC" w:rsidRPr="00101B00" w:rsidRDefault="00101B00" w:rsidP="004C06E5">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uppressAutoHyphens/>
              <w:spacing w:after="120"/>
              <w:rPr>
                <w:lang w:val="fr-CH"/>
              </w:rPr>
            </w:pPr>
            <w:r w:rsidRPr="00101B00">
              <w:rPr>
                <w:lang w:val="fr-CH"/>
              </w:rPr>
              <w:t xml:space="preserve">Activités de la Commission et rapport du Comité des transports intérieurs </w:t>
            </w:r>
            <w:r w:rsidR="00970907">
              <w:rPr>
                <w:lang w:val="fr-CH"/>
              </w:rPr>
              <w:br/>
            </w:r>
            <w:r w:rsidRPr="00101B00">
              <w:rPr>
                <w:lang w:val="fr-CH"/>
              </w:rPr>
              <w:t>au Comité exécutif de la CEE (point 10 de l’ordre du jour)</w:t>
            </w:r>
            <w:r w:rsidR="004C06E5">
              <w:rPr>
                <w:spacing w:val="60"/>
                <w:sz w:val="17"/>
                <w:lang w:val="fr-CH"/>
              </w:rPr>
              <w:tab/>
            </w:r>
          </w:p>
        </w:tc>
        <w:tc>
          <w:tcPr>
            <w:tcW w:w="994" w:type="dxa"/>
            <w:shd w:val="clear" w:color="auto" w:fill="FFFFFF" w:themeFill="background1"/>
            <w:vAlign w:val="bottom"/>
          </w:tcPr>
          <w:p w:rsidR="00DC3FAC" w:rsidRPr="00101B00" w:rsidRDefault="005F0D9B" w:rsidP="00554873">
            <w:pPr>
              <w:spacing w:after="120"/>
              <w:jc w:val="right"/>
              <w:rPr>
                <w:lang w:val="fr-CH"/>
              </w:rPr>
            </w:pPr>
            <w:r w:rsidRPr="00101B00">
              <w:rPr>
                <w:lang w:val="fr-CH"/>
              </w:rPr>
              <w:t>134</w:t>
            </w:r>
          </w:p>
        </w:tc>
        <w:tc>
          <w:tcPr>
            <w:tcW w:w="675" w:type="dxa"/>
            <w:shd w:val="clear" w:color="auto" w:fill="FFFFFF" w:themeFill="background1"/>
            <w:vAlign w:val="bottom"/>
          </w:tcPr>
          <w:p w:rsidR="00DC3FAC" w:rsidRPr="00101B00" w:rsidRDefault="00E76061" w:rsidP="00554873">
            <w:pPr>
              <w:spacing w:after="120"/>
              <w:jc w:val="right"/>
              <w:rPr>
                <w:lang w:val="fr-CH"/>
              </w:rPr>
            </w:pPr>
            <w:r>
              <w:rPr>
                <w:lang w:val="fr-CH"/>
              </w:rPr>
              <w:t>25</w:t>
            </w:r>
          </w:p>
        </w:tc>
      </w:tr>
      <w:tr w:rsidR="00DC3FAC" w:rsidRPr="00101B00" w:rsidTr="004C06E5">
        <w:tc>
          <w:tcPr>
            <w:tcW w:w="8375" w:type="dxa"/>
            <w:gridSpan w:val="2"/>
            <w:shd w:val="clear" w:color="auto" w:fill="FFFFFF" w:themeFill="background1"/>
          </w:tcPr>
          <w:p w:rsidR="00DC3FAC" w:rsidRPr="00101B00" w:rsidRDefault="00101B00" w:rsidP="004C06E5">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uppressAutoHyphens/>
              <w:spacing w:after="120"/>
              <w:rPr>
                <w:lang w:val="fr-CH"/>
              </w:rPr>
            </w:pPr>
            <w:r w:rsidRPr="00101B00">
              <w:rPr>
                <w:lang w:val="fr-CH"/>
              </w:rPr>
              <w:t>Liste des publications pour 2016-2017(point 11 de l’ordre du jour)</w:t>
            </w:r>
            <w:r w:rsidR="004C06E5">
              <w:rPr>
                <w:spacing w:val="60"/>
                <w:sz w:val="17"/>
                <w:lang w:val="fr-CH"/>
              </w:rPr>
              <w:tab/>
            </w:r>
          </w:p>
        </w:tc>
        <w:tc>
          <w:tcPr>
            <w:tcW w:w="994" w:type="dxa"/>
            <w:shd w:val="clear" w:color="auto" w:fill="FFFFFF" w:themeFill="background1"/>
            <w:vAlign w:val="bottom"/>
          </w:tcPr>
          <w:p w:rsidR="00DC3FAC" w:rsidRPr="00101B00" w:rsidRDefault="005F0D9B" w:rsidP="00554873">
            <w:pPr>
              <w:spacing w:after="120"/>
              <w:jc w:val="right"/>
              <w:rPr>
                <w:lang w:val="fr-CH"/>
              </w:rPr>
            </w:pPr>
            <w:r w:rsidRPr="00101B00">
              <w:rPr>
                <w:lang w:val="fr-CH"/>
              </w:rPr>
              <w:t>135</w:t>
            </w:r>
          </w:p>
        </w:tc>
        <w:tc>
          <w:tcPr>
            <w:tcW w:w="675" w:type="dxa"/>
            <w:shd w:val="clear" w:color="auto" w:fill="FFFFFF" w:themeFill="background1"/>
            <w:vAlign w:val="bottom"/>
          </w:tcPr>
          <w:p w:rsidR="00DC3FAC" w:rsidRPr="00101B00" w:rsidRDefault="00E76061" w:rsidP="00554873">
            <w:pPr>
              <w:spacing w:after="120"/>
              <w:jc w:val="right"/>
              <w:rPr>
                <w:lang w:val="fr-CH"/>
              </w:rPr>
            </w:pPr>
            <w:r>
              <w:rPr>
                <w:lang w:val="fr-CH"/>
              </w:rPr>
              <w:t>25</w:t>
            </w:r>
          </w:p>
        </w:tc>
      </w:tr>
      <w:tr w:rsidR="00DC3FAC" w:rsidRPr="00101B00" w:rsidTr="004C06E5">
        <w:tc>
          <w:tcPr>
            <w:tcW w:w="8375" w:type="dxa"/>
            <w:gridSpan w:val="2"/>
            <w:shd w:val="clear" w:color="auto" w:fill="FFFFFF" w:themeFill="background1"/>
          </w:tcPr>
          <w:p w:rsidR="00DC3FAC" w:rsidRPr="00101B00" w:rsidRDefault="00101B00" w:rsidP="004C06E5">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uppressAutoHyphens/>
              <w:spacing w:after="120"/>
              <w:rPr>
                <w:lang w:val="fr-CH"/>
              </w:rPr>
            </w:pPr>
            <w:r w:rsidRPr="00101B00">
              <w:rPr>
                <w:lang w:val="fr-CH"/>
              </w:rPr>
              <w:t>Calendrier des réunions en 2015 (point 12 de l’ordre du jour)</w:t>
            </w:r>
            <w:r w:rsidR="004C06E5">
              <w:rPr>
                <w:spacing w:val="60"/>
                <w:sz w:val="17"/>
                <w:lang w:val="fr-CH"/>
              </w:rPr>
              <w:tab/>
            </w:r>
          </w:p>
        </w:tc>
        <w:tc>
          <w:tcPr>
            <w:tcW w:w="994" w:type="dxa"/>
            <w:shd w:val="clear" w:color="auto" w:fill="FFFFFF" w:themeFill="background1"/>
            <w:vAlign w:val="bottom"/>
          </w:tcPr>
          <w:p w:rsidR="00DC3FAC" w:rsidRPr="00101B00" w:rsidRDefault="005F0D9B" w:rsidP="00554873">
            <w:pPr>
              <w:spacing w:after="120"/>
              <w:jc w:val="right"/>
              <w:rPr>
                <w:lang w:val="fr-CH"/>
              </w:rPr>
            </w:pPr>
            <w:r w:rsidRPr="00101B00">
              <w:rPr>
                <w:lang w:val="fr-CH"/>
              </w:rPr>
              <w:t>136</w:t>
            </w:r>
          </w:p>
        </w:tc>
        <w:tc>
          <w:tcPr>
            <w:tcW w:w="675" w:type="dxa"/>
            <w:shd w:val="clear" w:color="auto" w:fill="FFFFFF" w:themeFill="background1"/>
            <w:vAlign w:val="bottom"/>
          </w:tcPr>
          <w:p w:rsidR="00DC3FAC" w:rsidRPr="00101B00" w:rsidRDefault="00E76061" w:rsidP="00554873">
            <w:pPr>
              <w:spacing w:after="120"/>
              <w:jc w:val="right"/>
              <w:rPr>
                <w:lang w:val="fr-CH"/>
              </w:rPr>
            </w:pPr>
            <w:r>
              <w:rPr>
                <w:lang w:val="fr-CH"/>
              </w:rPr>
              <w:t>25</w:t>
            </w:r>
          </w:p>
        </w:tc>
      </w:tr>
      <w:tr w:rsidR="00DC3FAC" w:rsidRPr="00101B00" w:rsidTr="004C06E5">
        <w:tc>
          <w:tcPr>
            <w:tcW w:w="8375" w:type="dxa"/>
            <w:gridSpan w:val="2"/>
            <w:shd w:val="clear" w:color="auto" w:fill="FFFFFF" w:themeFill="background1"/>
          </w:tcPr>
          <w:p w:rsidR="00DC3FAC" w:rsidRPr="00101B00" w:rsidRDefault="00101B00" w:rsidP="004C06E5">
            <w:pPr>
              <w:pStyle w:val="ListParagraph"/>
              <w:numPr>
                <w:ilvl w:val="0"/>
                <w:numId w:val="6"/>
              </w:numPr>
              <w:tabs>
                <w:tab w:val="left" w:pos="1296"/>
                <w:tab w:val="left" w:pos="1728"/>
                <w:tab w:val="right" w:leader="dot" w:pos="8381"/>
              </w:tabs>
              <w:suppressAutoHyphens/>
              <w:spacing w:after="120"/>
              <w:rPr>
                <w:lang w:val="fr-CH"/>
              </w:rPr>
            </w:pPr>
            <w:r w:rsidRPr="00101B00">
              <w:rPr>
                <w:lang w:val="fr-CH"/>
              </w:rPr>
              <w:t xml:space="preserve">Évolution des transports dans l’Union européenne (point 13 de l’ordre </w:t>
            </w:r>
            <w:r w:rsidR="004C06E5">
              <w:rPr>
                <w:lang w:val="fr-CH"/>
              </w:rPr>
              <w:br/>
            </w:r>
            <w:r w:rsidRPr="00101B00">
              <w:rPr>
                <w:lang w:val="fr-CH"/>
              </w:rPr>
              <w:t>du jour)</w:t>
            </w:r>
            <w:r w:rsidR="004C06E5">
              <w:rPr>
                <w:spacing w:val="60"/>
                <w:sz w:val="17"/>
                <w:lang w:val="fr-CH"/>
              </w:rPr>
              <w:tab/>
            </w:r>
          </w:p>
        </w:tc>
        <w:tc>
          <w:tcPr>
            <w:tcW w:w="994" w:type="dxa"/>
            <w:shd w:val="clear" w:color="auto" w:fill="FFFFFF" w:themeFill="background1"/>
            <w:vAlign w:val="bottom"/>
          </w:tcPr>
          <w:p w:rsidR="00DC3FAC" w:rsidRPr="00101B00" w:rsidRDefault="005F0D9B" w:rsidP="00554873">
            <w:pPr>
              <w:spacing w:after="120"/>
              <w:jc w:val="right"/>
              <w:rPr>
                <w:lang w:val="fr-CH"/>
              </w:rPr>
            </w:pPr>
            <w:r w:rsidRPr="00101B00">
              <w:rPr>
                <w:lang w:val="fr-CH"/>
              </w:rPr>
              <w:t>137</w:t>
            </w:r>
          </w:p>
        </w:tc>
        <w:tc>
          <w:tcPr>
            <w:tcW w:w="675" w:type="dxa"/>
            <w:shd w:val="clear" w:color="auto" w:fill="FFFFFF" w:themeFill="background1"/>
            <w:vAlign w:val="bottom"/>
          </w:tcPr>
          <w:p w:rsidR="00DC3FAC" w:rsidRPr="00101B00" w:rsidRDefault="00E76061" w:rsidP="00554873">
            <w:pPr>
              <w:spacing w:after="120"/>
              <w:jc w:val="right"/>
              <w:rPr>
                <w:lang w:val="fr-CH"/>
              </w:rPr>
            </w:pPr>
            <w:r>
              <w:rPr>
                <w:lang w:val="fr-CH"/>
              </w:rPr>
              <w:t>26</w:t>
            </w:r>
          </w:p>
        </w:tc>
      </w:tr>
      <w:tr w:rsidR="00DC3FAC" w:rsidRPr="00101B00" w:rsidTr="004C06E5">
        <w:tc>
          <w:tcPr>
            <w:tcW w:w="8375" w:type="dxa"/>
            <w:gridSpan w:val="2"/>
            <w:shd w:val="clear" w:color="auto" w:fill="FFFFFF" w:themeFill="background1"/>
          </w:tcPr>
          <w:p w:rsidR="00DC3FAC" w:rsidRPr="00101B00" w:rsidRDefault="00101B00" w:rsidP="004C06E5">
            <w:pPr>
              <w:pStyle w:val="ListParagraph"/>
              <w:numPr>
                <w:ilvl w:val="0"/>
                <w:numId w:val="6"/>
              </w:numPr>
              <w:tabs>
                <w:tab w:val="left" w:pos="1296"/>
                <w:tab w:val="left" w:pos="1728"/>
                <w:tab w:val="left" w:pos="2160"/>
                <w:tab w:val="left" w:pos="2592"/>
                <w:tab w:val="left" w:pos="3024"/>
                <w:tab w:val="left" w:pos="3456"/>
                <w:tab w:val="right" w:leader="dot" w:pos="8381"/>
              </w:tabs>
              <w:suppressAutoHyphens/>
              <w:spacing w:after="120"/>
              <w:rPr>
                <w:lang w:val="fr-CH"/>
              </w:rPr>
            </w:pPr>
            <w:r w:rsidRPr="00101B00">
              <w:rPr>
                <w:lang w:val="fr-CH"/>
              </w:rPr>
              <w:t xml:space="preserve">Faits nouveaux relatifs aux travaux du Forum international des transports </w:t>
            </w:r>
            <w:r w:rsidR="00970907">
              <w:rPr>
                <w:lang w:val="fr-CH"/>
              </w:rPr>
              <w:br/>
            </w:r>
            <w:r w:rsidRPr="00101B00">
              <w:rPr>
                <w:lang w:val="fr-CH"/>
              </w:rPr>
              <w:t>(point 14 de l’ordre du jour)</w:t>
            </w:r>
            <w:r w:rsidR="004C06E5">
              <w:rPr>
                <w:spacing w:val="60"/>
                <w:sz w:val="17"/>
                <w:lang w:val="fr-CH"/>
              </w:rPr>
              <w:tab/>
            </w:r>
          </w:p>
        </w:tc>
        <w:tc>
          <w:tcPr>
            <w:tcW w:w="994" w:type="dxa"/>
            <w:shd w:val="clear" w:color="auto" w:fill="FFFFFF" w:themeFill="background1"/>
            <w:vAlign w:val="bottom"/>
          </w:tcPr>
          <w:p w:rsidR="00DC3FAC" w:rsidRPr="00101B00" w:rsidRDefault="005F0D9B" w:rsidP="00554873">
            <w:pPr>
              <w:spacing w:after="120"/>
              <w:jc w:val="right"/>
              <w:rPr>
                <w:lang w:val="fr-CH"/>
              </w:rPr>
            </w:pPr>
            <w:r w:rsidRPr="00101B00">
              <w:rPr>
                <w:lang w:val="fr-CH"/>
              </w:rPr>
              <w:t>138</w:t>
            </w:r>
          </w:p>
        </w:tc>
        <w:tc>
          <w:tcPr>
            <w:tcW w:w="675" w:type="dxa"/>
            <w:shd w:val="clear" w:color="auto" w:fill="FFFFFF" w:themeFill="background1"/>
            <w:vAlign w:val="bottom"/>
          </w:tcPr>
          <w:p w:rsidR="00DC3FAC" w:rsidRPr="00101B00" w:rsidRDefault="00E76061" w:rsidP="00554873">
            <w:pPr>
              <w:spacing w:after="120"/>
              <w:jc w:val="right"/>
              <w:rPr>
                <w:lang w:val="fr-CH"/>
              </w:rPr>
            </w:pPr>
            <w:r>
              <w:rPr>
                <w:lang w:val="fr-CH"/>
              </w:rPr>
              <w:t>26</w:t>
            </w:r>
          </w:p>
        </w:tc>
      </w:tr>
      <w:tr w:rsidR="00DC3FAC" w:rsidRPr="00101B00" w:rsidTr="004C06E5">
        <w:tc>
          <w:tcPr>
            <w:tcW w:w="8375" w:type="dxa"/>
            <w:gridSpan w:val="2"/>
            <w:shd w:val="clear" w:color="auto" w:fill="FFFFFF" w:themeFill="background1"/>
          </w:tcPr>
          <w:p w:rsidR="00DC3FAC" w:rsidRPr="00101B00" w:rsidRDefault="00101B00" w:rsidP="004C06E5">
            <w:pPr>
              <w:pStyle w:val="ListParagraph"/>
              <w:numPr>
                <w:ilvl w:val="0"/>
                <w:numId w:val="6"/>
              </w:numPr>
              <w:tabs>
                <w:tab w:val="left" w:pos="1296"/>
                <w:tab w:val="left" w:pos="1728"/>
                <w:tab w:val="right" w:leader="dot" w:pos="8381"/>
              </w:tabs>
              <w:suppressAutoHyphens/>
              <w:spacing w:after="120"/>
              <w:rPr>
                <w:lang w:val="fr-CH"/>
              </w:rPr>
            </w:pPr>
            <w:r w:rsidRPr="00101B00">
              <w:rPr>
                <w:lang w:val="fr-CH"/>
              </w:rPr>
              <w:t xml:space="preserve">Activités d’autres organisations intéressant le Comité (point 15 de l’ordre </w:t>
            </w:r>
            <w:r w:rsidR="004C06E5">
              <w:rPr>
                <w:lang w:val="fr-CH"/>
              </w:rPr>
              <w:br/>
            </w:r>
            <w:r w:rsidRPr="00101B00">
              <w:rPr>
                <w:lang w:val="fr-CH"/>
              </w:rPr>
              <w:t>du jour)</w:t>
            </w:r>
            <w:r w:rsidR="004C06E5">
              <w:rPr>
                <w:spacing w:val="60"/>
                <w:sz w:val="17"/>
                <w:lang w:val="fr-CH"/>
              </w:rPr>
              <w:tab/>
            </w:r>
          </w:p>
        </w:tc>
        <w:tc>
          <w:tcPr>
            <w:tcW w:w="994" w:type="dxa"/>
            <w:shd w:val="clear" w:color="auto" w:fill="FFFFFF" w:themeFill="background1"/>
            <w:vAlign w:val="bottom"/>
          </w:tcPr>
          <w:p w:rsidR="00DC3FAC" w:rsidRPr="00101B00" w:rsidRDefault="005F0D9B" w:rsidP="00554873">
            <w:pPr>
              <w:spacing w:after="120"/>
              <w:jc w:val="right"/>
              <w:rPr>
                <w:lang w:val="fr-CH"/>
              </w:rPr>
            </w:pPr>
            <w:r w:rsidRPr="00101B00">
              <w:rPr>
                <w:lang w:val="fr-CH"/>
              </w:rPr>
              <w:t>139</w:t>
            </w:r>
          </w:p>
        </w:tc>
        <w:tc>
          <w:tcPr>
            <w:tcW w:w="675" w:type="dxa"/>
            <w:shd w:val="clear" w:color="auto" w:fill="FFFFFF" w:themeFill="background1"/>
            <w:vAlign w:val="bottom"/>
          </w:tcPr>
          <w:p w:rsidR="00DC3FAC" w:rsidRPr="00101B00" w:rsidRDefault="00E76061" w:rsidP="00554873">
            <w:pPr>
              <w:spacing w:after="120"/>
              <w:jc w:val="right"/>
              <w:rPr>
                <w:lang w:val="fr-CH"/>
              </w:rPr>
            </w:pPr>
            <w:r>
              <w:rPr>
                <w:lang w:val="fr-CH"/>
              </w:rPr>
              <w:t>26</w:t>
            </w:r>
          </w:p>
        </w:tc>
      </w:tr>
      <w:tr w:rsidR="00DC3FAC" w:rsidRPr="00101B00" w:rsidTr="004C06E5">
        <w:tc>
          <w:tcPr>
            <w:tcW w:w="8375" w:type="dxa"/>
            <w:gridSpan w:val="2"/>
            <w:shd w:val="clear" w:color="auto" w:fill="FFFFFF" w:themeFill="background1"/>
          </w:tcPr>
          <w:p w:rsidR="00DC3FAC" w:rsidRPr="00101B00" w:rsidRDefault="00101B00" w:rsidP="004C06E5">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381"/>
              </w:tabs>
              <w:suppressAutoHyphens/>
              <w:spacing w:after="120"/>
              <w:rPr>
                <w:lang w:val="fr-CH"/>
              </w:rPr>
            </w:pPr>
            <w:r w:rsidRPr="00101B00">
              <w:rPr>
                <w:lang w:val="fr-CH"/>
              </w:rPr>
              <w:t>Questions diverses</w:t>
            </w:r>
            <w:r w:rsidR="00C33BFB">
              <w:rPr>
                <w:lang w:val="fr-CH"/>
              </w:rPr>
              <w:t>.</w:t>
            </w:r>
            <w:r w:rsidRPr="00101B00">
              <w:rPr>
                <w:lang w:val="fr-CH"/>
              </w:rPr>
              <w:t xml:space="preserve"> Dates de la prochaine session (point 16 de l’ordre du jour)</w:t>
            </w:r>
            <w:r w:rsidR="004C06E5">
              <w:rPr>
                <w:spacing w:val="60"/>
                <w:sz w:val="17"/>
                <w:lang w:val="fr-CH"/>
              </w:rPr>
              <w:tab/>
            </w:r>
          </w:p>
        </w:tc>
        <w:tc>
          <w:tcPr>
            <w:tcW w:w="994" w:type="dxa"/>
            <w:shd w:val="clear" w:color="auto" w:fill="FFFFFF" w:themeFill="background1"/>
            <w:vAlign w:val="bottom"/>
          </w:tcPr>
          <w:p w:rsidR="00DC3FAC" w:rsidRPr="00101B00" w:rsidRDefault="005F0D9B" w:rsidP="00554873">
            <w:pPr>
              <w:spacing w:after="120"/>
              <w:jc w:val="right"/>
              <w:rPr>
                <w:lang w:val="fr-CH"/>
              </w:rPr>
            </w:pPr>
            <w:r w:rsidRPr="00101B00">
              <w:rPr>
                <w:lang w:val="fr-CH"/>
              </w:rPr>
              <w:t>140</w:t>
            </w:r>
          </w:p>
        </w:tc>
        <w:tc>
          <w:tcPr>
            <w:tcW w:w="675" w:type="dxa"/>
            <w:shd w:val="clear" w:color="auto" w:fill="FFFFFF" w:themeFill="background1"/>
            <w:vAlign w:val="bottom"/>
          </w:tcPr>
          <w:p w:rsidR="00DC3FAC" w:rsidRPr="00101B00" w:rsidRDefault="00E76061" w:rsidP="00554873">
            <w:pPr>
              <w:spacing w:after="120"/>
              <w:jc w:val="right"/>
              <w:rPr>
                <w:lang w:val="fr-CH"/>
              </w:rPr>
            </w:pPr>
            <w:r>
              <w:rPr>
                <w:lang w:val="fr-CH"/>
              </w:rPr>
              <w:t>26</w:t>
            </w:r>
          </w:p>
        </w:tc>
      </w:tr>
      <w:tr w:rsidR="00DC3FAC" w:rsidRPr="00101B00" w:rsidTr="004C06E5">
        <w:tc>
          <w:tcPr>
            <w:tcW w:w="8375" w:type="dxa"/>
            <w:gridSpan w:val="2"/>
            <w:shd w:val="clear" w:color="auto" w:fill="FFFFFF" w:themeFill="background1"/>
          </w:tcPr>
          <w:p w:rsidR="00DC3FAC" w:rsidRPr="00101B00" w:rsidRDefault="00101B00" w:rsidP="004C06E5">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uppressAutoHyphens/>
              <w:spacing w:after="120"/>
              <w:rPr>
                <w:lang w:val="fr-CH"/>
              </w:rPr>
            </w:pPr>
            <w:r w:rsidRPr="00101B00">
              <w:rPr>
                <w:lang w:val="fr-CH"/>
              </w:rPr>
              <w:lastRenderedPageBreak/>
              <w:t xml:space="preserve">Adoption de la liste des principales décisions prises par le Comité </w:t>
            </w:r>
            <w:r w:rsidR="00970907">
              <w:rPr>
                <w:lang w:val="fr-CH"/>
              </w:rPr>
              <w:br/>
            </w:r>
            <w:r w:rsidRPr="00101B00">
              <w:rPr>
                <w:lang w:val="fr-CH"/>
              </w:rPr>
              <w:t>à sa soixante-dix-septième session (point 17 de l’ordre du jour)</w:t>
            </w:r>
            <w:r w:rsidR="004C06E5">
              <w:rPr>
                <w:spacing w:val="60"/>
                <w:sz w:val="17"/>
                <w:lang w:val="fr-CH"/>
              </w:rPr>
              <w:tab/>
            </w:r>
          </w:p>
        </w:tc>
        <w:tc>
          <w:tcPr>
            <w:tcW w:w="994" w:type="dxa"/>
            <w:shd w:val="clear" w:color="auto" w:fill="FFFFFF" w:themeFill="background1"/>
            <w:vAlign w:val="bottom"/>
          </w:tcPr>
          <w:p w:rsidR="00DC3FAC" w:rsidRPr="00101B00" w:rsidRDefault="005F0D9B" w:rsidP="00554873">
            <w:pPr>
              <w:spacing w:after="120"/>
              <w:jc w:val="right"/>
              <w:rPr>
                <w:lang w:val="fr-CH"/>
              </w:rPr>
            </w:pPr>
            <w:r w:rsidRPr="00101B00">
              <w:rPr>
                <w:lang w:val="fr-CH"/>
              </w:rPr>
              <w:t>141</w:t>
            </w:r>
          </w:p>
        </w:tc>
        <w:tc>
          <w:tcPr>
            <w:tcW w:w="675" w:type="dxa"/>
            <w:shd w:val="clear" w:color="auto" w:fill="FFFFFF" w:themeFill="background1"/>
            <w:vAlign w:val="bottom"/>
          </w:tcPr>
          <w:p w:rsidR="00DC3FAC" w:rsidRPr="00101B00" w:rsidRDefault="00E76061" w:rsidP="00554873">
            <w:pPr>
              <w:spacing w:after="120"/>
              <w:jc w:val="right"/>
              <w:rPr>
                <w:lang w:val="fr-CH"/>
              </w:rPr>
            </w:pPr>
            <w:r>
              <w:rPr>
                <w:lang w:val="fr-CH"/>
              </w:rPr>
              <w:t>26</w:t>
            </w:r>
          </w:p>
        </w:tc>
      </w:tr>
      <w:tr w:rsidR="00DC3FAC" w:rsidRPr="00101B00" w:rsidTr="004C06E5">
        <w:tc>
          <w:tcPr>
            <w:tcW w:w="9369" w:type="dxa"/>
            <w:gridSpan w:val="3"/>
            <w:shd w:val="clear" w:color="auto" w:fill="FFFFFF" w:themeFill="background1"/>
          </w:tcPr>
          <w:p w:rsidR="00DC3FAC" w:rsidRPr="004C06E5" w:rsidRDefault="00DC3FAC" w:rsidP="004C06E5">
            <w:pPr>
              <w:pStyle w:val="ListParagraph"/>
              <w:tabs>
                <w:tab w:val="right" w:pos="1080"/>
                <w:tab w:val="left" w:pos="1305"/>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1305" w:hanging="1305"/>
              <w:rPr>
                <w:spacing w:val="60"/>
                <w:sz w:val="17"/>
                <w:lang w:val="fr-CH"/>
              </w:rPr>
            </w:pPr>
            <w:r w:rsidRPr="00101B00">
              <w:rPr>
                <w:lang w:val="fr-CH"/>
              </w:rPr>
              <w:tab/>
              <w:t>Annexe</w:t>
            </w:r>
            <w:r w:rsidRPr="00101B00">
              <w:rPr>
                <w:lang w:val="fr-CH"/>
              </w:rPr>
              <w:tab/>
              <w:t>Débat de politique générale sur le thème « </w:t>
            </w:r>
            <w:r w:rsidR="00D90693" w:rsidRPr="00101B00">
              <w:rPr>
                <w:lang w:val="fr-CH"/>
              </w:rPr>
              <w:t xml:space="preserve">Repenser </w:t>
            </w:r>
            <w:r w:rsidRPr="00101B00">
              <w:rPr>
                <w:lang w:val="fr-CH"/>
              </w:rPr>
              <w:t>les transports urbains et la mobilité durables pour relever les défis d</w:t>
            </w:r>
            <w:r w:rsidR="005F0D9B" w:rsidRPr="00101B00">
              <w:rPr>
                <w:lang w:val="fr-CH"/>
              </w:rPr>
              <w:t>’</w:t>
            </w:r>
            <w:r w:rsidRPr="00101B00">
              <w:rPr>
                <w:lang w:val="fr-CH"/>
              </w:rPr>
              <w:t>une nouvelle ère » (24 février 2015)</w:t>
            </w:r>
            <w:r w:rsidR="004C06E5">
              <w:rPr>
                <w:spacing w:val="60"/>
                <w:sz w:val="17"/>
                <w:lang w:val="fr-CH"/>
              </w:rPr>
              <w:tab/>
            </w:r>
          </w:p>
        </w:tc>
        <w:tc>
          <w:tcPr>
            <w:tcW w:w="675" w:type="dxa"/>
            <w:shd w:val="clear" w:color="auto" w:fill="FFFFFF" w:themeFill="background1"/>
            <w:vAlign w:val="bottom"/>
          </w:tcPr>
          <w:p w:rsidR="00DC3FAC" w:rsidRPr="00101B00" w:rsidRDefault="00E76061" w:rsidP="00DC3FAC">
            <w:pPr>
              <w:spacing w:after="120"/>
              <w:jc w:val="right"/>
              <w:rPr>
                <w:lang w:val="fr-CH"/>
              </w:rPr>
            </w:pPr>
            <w:r>
              <w:rPr>
                <w:lang w:val="fr-CH"/>
              </w:rPr>
              <w:t>27</w:t>
            </w:r>
          </w:p>
        </w:tc>
      </w:tr>
    </w:tbl>
    <w:p w:rsidR="00554873" w:rsidRPr="00101B00" w:rsidRDefault="00554873" w:rsidP="0055487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1B00">
        <w:rPr>
          <w:lang w:val="fr-CH"/>
        </w:rPr>
        <w:br w:type="page"/>
      </w:r>
      <w:r w:rsidRPr="00101B00">
        <w:rPr>
          <w:lang w:val="fr-CH"/>
        </w:rPr>
        <w:lastRenderedPageBreak/>
        <w:tab/>
        <w:t>I.</w:t>
      </w:r>
      <w:r w:rsidRPr="00101B00">
        <w:rPr>
          <w:lang w:val="fr-CH"/>
        </w:rPr>
        <w:tab/>
        <w:t>Présidence</w:t>
      </w:r>
    </w:p>
    <w:p w:rsidR="00554873" w:rsidRPr="00101B00" w:rsidRDefault="00554873" w:rsidP="00554873">
      <w:pPr>
        <w:pStyle w:val="SingleTxt"/>
        <w:spacing w:after="0" w:line="120" w:lineRule="exact"/>
        <w:rPr>
          <w:sz w:val="10"/>
          <w:lang w:val="fr-CH"/>
        </w:rPr>
      </w:pPr>
    </w:p>
    <w:p w:rsidR="00554873" w:rsidRPr="00101B00" w:rsidRDefault="00554873" w:rsidP="00554873">
      <w:pPr>
        <w:pStyle w:val="SingleTxt"/>
        <w:spacing w:after="0" w:line="120" w:lineRule="exact"/>
        <w:rPr>
          <w:sz w:val="10"/>
          <w:lang w:val="fr-CH"/>
        </w:rPr>
      </w:pPr>
    </w:p>
    <w:p w:rsidR="00554873" w:rsidRPr="00101B00" w:rsidRDefault="00554873" w:rsidP="00554873">
      <w:pPr>
        <w:pStyle w:val="SingleTxt"/>
        <w:numPr>
          <w:ilvl w:val="0"/>
          <w:numId w:val="7"/>
        </w:numPr>
        <w:tabs>
          <w:tab w:val="clear" w:pos="475"/>
          <w:tab w:val="num" w:pos="1742"/>
        </w:tabs>
        <w:ind w:left="1267"/>
        <w:rPr>
          <w:lang w:val="fr-CH"/>
        </w:rPr>
      </w:pPr>
      <w:r w:rsidRPr="00101B00">
        <w:rPr>
          <w:lang w:val="fr-CH"/>
        </w:rPr>
        <w:t>Le Comité des transports intérieurs (CTI) a tenu sa soixante-dix-septième ses</w:t>
      </w:r>
      <w:r w:rsidR="005F0D9B" w:rsidRPr="00101B00">
        <w:rPr>
          <w:lang w:val="fr-CH"/>
        </w:rPr>
        <w:t>sion du 24 au 26 </w:t>
      </w:r>
      <w:r w:rsidRPr="00101B00">
        <w:rPr>
          <w:lang w:val="fr-CH"/>
        </w:rPr>
        <w:t>février 2015</w:t>
      </w:r>
      <w:r w:rsidR="005F0D9B" w:rsidRPr="00101B00">
        <w:rPr>
          <w:lang w:val="fr-CH"/>
        </w:rPr>
        <w:t>, sous la présidence de M. </w:t>
      </w:r>
      <w:r w:rsidRPr="00101B00">
        <w:rPr>
          <w:lang w:val="fr-CH"/>
        </w:rPr>
        <w:t>Jerzy Kleniewski (Pologne).</w:t>
      </w:r>
    </w:p>
    <w:p w:rsidR="00554873" w:rsidRPr="00101B00" w:rsidRDefault="00554873" w:rsidP="00554873">
      <w:pPr>
        <w:pStyle w:val="SingleTxt"/>
        <w:spacing w:after="0" w:line="120" w:lineRule="exact"/>
        <w:rPr>
          <w:sz w:val="10"/>
          <w:lang w:val="fr-CH"/>
        </w:rPr>
      </w:pPr>
    </w:p>
    <w:p w:rsidR="00554873" w:rsidRPr="00101B00" w:rsidRDefault="00554873" w:rsidP="00554873">
      <w:pPr>
        <w:pStyle w:val="SingleTxt"/>
        <w:spacing w:after="0" w:line="120" w:lineRule="exact"/>
        <w:rPr>
          <w:sz w:val="10"/>
          <w:lang w:val="fr-CH"/>
        </w:rPr>
      </w:pPr>
    </w:p>
    <w:p w:rsidR="00554873" w:rsidRPr="00101B00" w:rsidRDefault="00554873" w:rsidP="0055487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1B00">
        <w:rPr>
          <w:lang w:val="fr-CH"/>
        </w:rPr>
        <w:tab/>
        <w:t>II.</w:t>
      </w:r>
      <w:r w:rsidRPr="00101B00">
        <w:rPr>
          <w:lang w:val="fr-CH"/>
        </w:rPr>
        <w:tab/>
        <w:t>Participation</w:t>
      </w:r>
    </w:p>
    <w:p w:rsidR="00554873" w:rsidRPr="00101B00" w:rsidRDefault="00554873" w:rsidP="00554873">
      <w:pPr>
        <w:pStyle w:val="SingleTxt"/>
        <w:spacing w:after="0" w:line="120" w:lineRule="exact"/>
        <w:rPr>
          <w:sz w:val="10"/>
          <w:lang w:val="fr-CH"/>
        </w:rPr>
      </w:pPr>
    </w:p>
    <w:p w:rsidR="00554873" w:rsidRPr="00101B00" w:rsidRDefault="00554873" w:rsidP="00554873">
      <w:pPr>
        <w:pStyle w:val="SingleTxt"/>
        <w:spacing w:after="0" w:line="120" w:lineRule="exact"/>
        <w:rPr>
          <w:sz w:val="10"/>
          <w:lang w:val="fr-CH"/>
        </w:rPr>
      </w:pPr>
    </w:p>
    <w:p w:rsidR="00554873" w:rsidRPr="00101B00" w:rsidRDefault="00554873" w:rsidP="005F0D9B">
      <w:pPr>
        <w:pStyle w:val="SingleTxt"/>
        <w:numPr>
          <w:ilvl w:val="0"/>
          <w:numId w:val="7"/>
        </w:numPr>
        <w:tabs>
          <w:tab w:val="clear" w:pos="475"/>
          <w:tab w:val="num" w:pos="1742"/>
        </w:tabs>
        <w:ind w:left="1267"/>
        <w:rPr>
          <w:lang w:val="fr-CH"/>
        </w:rPr>
      </w:pPr>
      <w:r w:rsidRPr="00101B00">
        <w:rPr>
          <w:lang w:val="fr-CH"/>
        </w:rPr>
        <w:t>Y ont participé des représentants des pays suivants</w:t>
      </w:r>
      <w:r w:rsidR="005F0D9B" w:rsidRPr="00101B00">
        <w:rPr>
          <w:lang w:val="fr-CH"/>
        </w:rPr>
        <w:t> :</w:t>
      </w:r>
      <w:r w:rsidRPr="00101B00">
        <w:rPr>
          <w:lang w:val="fr-CH"/>
        </w:rPr>
        <w:t xml:space="preserve"> Allemagne, Autriche, Azerbaïdjan, Bélarus, Belgique, Bulgarie, Croatie, États-Unis d</w:t>
      </w:r>
      <w:r w:rsidR="005F0D9B" w:rsidRPr="00101B00">
        <w:rPr>
          <w:lang w:val="fr-CH"/>
        </w:rPr>
        <w:t>’</w:t>
      </w:r>
      <w:r w:rsidRPr="00101B00">
        <w:rPr>
          <w:lang w:val="fr-CH"/>
        </w:rPr>
        <w:t>Amérique, Fédération de Russie, Finlande, France, Géorgie, Grèce, Hongrie, Italie, Kazakhstan, Lettonie, Malte, Pays-Bas, Pologne, Portugal, République de Moldova, République tchèque, Roumanie, Royaume-Uni de Grande-Bretagne et d</w:t>
      </w:r>
      <w:r w:rsidR="005F0D9B" w:rsidRPr="00101B00">
        <w:rPr>
          <w:lang w:val="fr-CH"/>
        </w:rPr>
        <w:t>’</w:t>
      </w:r>
      <w:r w:rsidRPr="00101B00">
        <w:rPr>
          <w:lang w:val="fr-CH"/>
        </w:rPr>
        <w:t xml:space="preserve">Irlande du Nord, </w:t>
      </w:r>
      <w:r w:rsidR="005F0D9B" w:rsidRPr="00101B00">
        <w:rPr>
          <w:lang w:val="fr-CH"/>
        </w:rPr>
        <w:t xml:space="preserve">Slovaquie, </w:t>
      </w:r>
      <w:r w:rsidRPr="00101B00">
        <w:rPr>
          <w:lang w:val="fr-CH"/>
        </w:rPr>
        <w:t>Suède, Suisse, Turquie, Turkménistan et Ukraine.</w:t>
      </w:r>
    </w:p>
    <w:p w:rsidR="00554873" w:rsidRPr="00101B00" w:rsidRDefault="00554873" w:rsidP="006101B8">
      <w:pPr>
        <w:pStyle w:val="SingleTxt"/>
        <w:numPr>
          <w:ilvl w:val="0"/>
          <w:numId w:val="7"/>
        </w:numPr>
        <w:tabs>
          <w:tab w:val="clear" w:pos="475"/>
          <w:tab w:val="num" w:pos="1742"/>
        </w:tabs>
        <w:ind w:left="1267"/>
        <w:rPr>
          <w:lang w:val="fr-CH"/>
        </w:rPr>
      </w:pPr>
      <w:r w:rsidRPr="00101B00">
        <w:rPr>
          <w:lang w:val="fr-CH"/>
        </w:rPr>
        <w:t>Des représentants des pays suivants étaient également</w:t>
      </w:r>
      <w:r w:rsidR="005F0D9B" w:rsidRPr="00101B00">
        <w:rPr>
          <w:lang w:val="fr-CH"/>
        </w:rPr>
        <w:t xml:space="preserve"> présents en vertu de l’article </w:t>
      </w:r>
      <w:r w:rsidRPr="00101B00">
        <w:rPr>
          <w:lang w:val="fr-CH"/>
        </w:rPr>
        <w:t>11 du mandat de la CEE</w:t>
      </w:r>
      <w:r w:rsidR="005F0D9B" w:rsidRPr="00101B00">
        <w:rPr>
          <w:lang w:val="fr-CH"/>
        </w:rPr>
        <w:t> :</w:t>
      </w:r>
      <w:r w:rsidRPr="00101B00">
        <w:rPr>
          <w:lang w:val="fr-CH"/>
        </w:rPr>
        <w:t xml:space="preserve"> Afghanistan, Bahreïn, Égypte, Équateur, Iran (République islamique d</w:t>
      </w:r>
      <w:r w:rsidR="005F0D9B" w:rsidRPr="00101B00">
        <w:rPr>
          <w:lang w:val="fr-CH"/>
        </w:rPr>
        <w:t>’</w:t>
      </w:r>
      <w:r w:rsidRPr="00101B00">
        <w:rPr>
          <w:lang w:val="fr-CH"/>
        </w:rPr>
        <w:t>), Japon, Kenya, Koweït, Pakistan, Panama, République de Corée, République-Unie de Tanzanie et Soudan.</w:t>
      </w:r>
    </w:p>
    <w:p w:rsidR="00554873" w:rsidRPr="00101B00" w:rsidRDefault="00554873" w:rsidP="006101B8">
      <w:pPr>
        <w:pStyle w:val="SingleTxt"/>
        <w:numPr>
          <w:ilvl w:val="0"/>
          <w:numId w:val="7"/>
        </w:numPr>
        <w:tabs>
          <w:tab w:val="clear" w:pos="475"/>
          <w:tab w:val="num" w:pos="1742"/>
        </w:tabs>
        <w:ind w:left="1267"/>
        <w:rPr>
          <w:lang w:val="fr-CH"/>
        </w:rPr>
      </w:pPr>
      <w:r w:rsidRPr="00101B00">
        <w:rPr>
          <w:lang w:val="fr-CH"/>
        </w:rPr>
        <w:t>L</w:t>
      </w:r>
      <w:r w:rsidR="005F0D9B" w:rsidRPr="00101B00">
        <w:rPr>
          <w:lang w:val="fr-CH"/>
        </w:rPr>
        <w:t>’</w:t>
      </w:r>
      <w:r w:rsidRPr="00101B00">
        <w:rPr>
          <w:lang w:val="fr-CH"/>
        </w:rPr>
        <w:t xml:space="preserve">Union européenne (UE) était représentée. </w:t>
      </w:r>
    </w:p>
    <w:p w:rsidR="00554873" w:rsidRPr="00101B00" w:rsidRDefault="00554873" w:rsidP="006101B8">
      <w:pPr>
        <w:pStyle w:val="SingleTxt"/>
        <w:numPr>
          <w:ilvl w:val="0"/>
          <w:numId w:val="7"/>
        </w:numPr>
        <w:tabs>
          <w:tab w:val="clear" w:pos="475"/>
          <w:tab w:val="num" w:pos="1742"/>
        </w:tabs>
        <w:ind w:left="1267"/>
        <w:rPr>
          <w:lang w:val="fr-CH"/>
        </w:rPr>
      </w:pPr>
      <w:r w:rsidRPr="00101B00">
        <w:rPr>
          <w:lang w:val="fr-CH"/>
        </w:rPr>
        <w:t xml:space="preserve">Des représentants des entités du </w:t>
      </w:r>
      <w:r w:rsidR="005F0D9B" w:rsidRPr="00101B00">
        <w:rPr>
          <w:lang w:val="fr-CH"/>
        </w:rPr>
        <w:t>s</w:t>
      </w:r>
      <w:r w:rsidRPr="00101B00">
        <w:rPr>
          <w:lang w:val="fr-CH"/>
        </w:rPr>
        <w:t>ystème des Nations Unies suivantes ont également participé à la réunion</w:t>
      </w:r>
      <w:r w:rsidR="005F0D9B" w:rsidRPr="00101B00">
        <w:rPr>
          <w:lang w:val="fr-CH"/>
        </w:rPr>
        <w:t> :</w:t>
      </w:r>
      <w:r w:rsidRPr="00101B00">
        <w:rPr>
          <w:lang w:val="fr-CH"/>
        </w:rPr>
        <w:t xml:space="preserve"> Organisation internationale du </w:t>
      </w:r>
      <w:r w:rsidR="005F0D9B" w:rsidRPr="00101B00">
        <w:rPr>
          <w:lang w:val="fr-CH"/>
        </w:rPr>
        <w:t xml:space="preserve">Travail </w:t>
      </w:r>
      <w:r w:rsidRPr="00101B00">
        <w:rPr>
          <w:lang w:val="fr-CH"/>
        </w:rPr>
        <w:t>(OIT) et Conférence des Nations Unies sur le commerce et le développement (</w:t>
      </w:r>
      <w:bookmarkStart w:id="2" w:name="hit1"/>
      <w:bookmarkEnd w:id="2"/>
      <w:r w:rsidRPr="00101B00">
        <w:rPr>
          <w:lang w:val="fr-CH"/>
        </w:rPr>
        <w:t>CNUCED). Les projets d</w:t>
      </w:r>
      <w:r w:rsidR="005F0D9B" w:rsidRPr="00101B00">
        <w:rPr>
          <w:lang w:val="fr-CH"/>
        </w:rPr>
        <w:t>’</w:t>
      </w:r>
      <w:r w:rsidRPr="00101B00">
        <w:rPr>
          <w:lang w:val="fr-CH"/>
        </w:rPr>
        <w:t>autoroute transeuropéenne Nord-Sud (TEM) et de chemin de fer transeuropéen (TER) étaient également représentés.</w:t>
      </w:r>
    </w:p>
    <w:p w:rsidR="00554873" w:rsidRPr="00101B00" w:rsidRDefault="00554873" w:rsidP="006101B8">
      <w:pPr>
        <w:pStyle w:val="SingleTxt"/>
        <w:numPr>
          <w:ilvl w:val="0"/>
          <w:numId w:val="7"/>
        </w:numPr>
        <w:tabs>
          <w:tab w:val="clear" w:pos="475"/>
          <w:tab w:val="num" w:pos="1742"/>
        </w:tabs>
        <w:ind w:left="1267"/>
        <w:rPr>
          <w:b/>
          <w:lang w:val="fr-CH"/>
        </w:rPr>
      </w:pPr>
      <w:r w:rsidRPr="00101B00">
        <w:rPr>
          <w:lang w:val="fr-CH"/>
        </w:rPr>
        <w:t>Ont, en outre, pris part à la session</w:t>
      </w:r>
      <w:r w:rsidR="005F0D9B" w:rsidRPr="00101B00">
        <w:rPr>
          <w:lang w:val="fr-CH"/>
        </w:rPr>
        <w:t xml:space="preserve"> des représentants des</w:t>
      </w:r>
      <w:r w:rsidRPr="00101B00">
        <w:rPr>
          <w:lang w:val="fr-CH"/>
        </w:rPr>
        <w:t xml:space="preserve"> organisations intergouvernementales suivantes</w:t>
      </w:r>
      <w:r w:rsidR="005F0D9B" w:rsidRPr="00101B00">
        <w:rPr>
          <w:lang w:val="fr-CH"/>
        </w:rPr>
        <w:t> :</w:t>
      </w:r>
      <w:r w:rsidRPr="00101B00">
        <w:rPr>
          <w:lang w:val="fr-CH"/>
        </w:rPr>
        <w:t xml:space="preserve"> Commission Centrale pour la Navigation du Rhin (CCNR), Initiative pour l</w:t>
      </w:r>
      <w:r w:rsidR="005F0D9B" w:rsidRPr="00101B00">
        <w:rPr>
          <w:lang w:val="fr-CH"/>
        </w:rPr>
        <w:t>’</w:t>
      </w:r>
      <w:r w:rsidRPr="00101B00">
        <w:rPr>
          <w:lang w:val="fr-CH"/>
        </w:rPr>
        <w:t>Europe centrale (CEI), Centre d</w:t>
      </w:r>
      <w:r w:rsidR="005F0D9B" w:rsidRPr="00101B00">
        <w:rPr>
          <w:lang w:val="fr-CH"/>
        </w:rPr>
        <w:t>’</w:t>
      </w:r>
      <w:r w:rsidRPr="00101B00">
        <w:rPr>
          <w:lang w:val="fr-CH"/>
        </w:rPr>
        <w:t>études des transports pour la Méditerranée occidentale (CETMO), Commission du Danube (CD), Commission économique eurasienne, Organisation intergouvernementale pour les transports internationaux ferroviaires (OTIF), Forum international des transports et Organisation pour la coopération des chemins de fer (OSJD), Organisation pour la sécurité et la coopération en Europe (OSCE) et Organisation de coopération économique de la mer Noire, Assemblée parlementaire de coopération économique de la mer Noire, Observatoire des transports de l</w:t>
      </w:r>
      <w:r w:rsidR="005F0D9B" w:rsidRPr="00101B00">
        <w:rPr>
          <w:lang w:val="fr-CH"/>
        </w:rPr>
        <w:t>’</w:t>
      </w:r>
      <w:r w:rsidRPr="00101B00">
        <w:rPr>
          <w:lang w:val="fr-CH"/>
        </w:rPr>
        <w:t>Europe du Sud-Est (SEETO) et Union des associations de transport de la Région de coopération économique de la mer Noire.</w:t>
      </w:r>
    </w:p>
    <w:p w:rsidR="00554873" w:rsidRPr="00101B00" w:rsidRDefault="00554873" w:rsidP="006101B8">
      <w:pPr>
        <w:pStyle w:val="SingleTxt"/>
        <w:numPr>
          <w:ilvl w:val="0"/>
          <w:numId w:val="7"/>
        </w:numPr>
        <w:tabs>
          <w:tab w:val="clear" w:pos="475"/>
          <w:tab w:val="num" w:pos="1742"/>
        </w:tabs>
        <w:ind w:left="1267"/>
        <w:rPr>
          <w:lang w:val="fr-CH"/>
        </w:rPr>
      </w:pPr>
      <w:r w:rsidRPr="00101B00">
        <w:rPr>
          <w:lang w:val="fr-CH"/>
        </w:rPr>
        <w:t>Les organisations non gouvernementales suivantes étaient également représentées</w:t>
      </w:r>
      <w:r w:rsidR="005F0D9B" w:rsidRPr="00101B00">
        <w:rPr>
          <w:lang w:val="fr-CH"/>
        </w:rPr>
        <w:t> :</w:t>
      </w:r>
      <w:r w:rsidRPr="00101B00">
        <w:rPr>
          <w:lang w:val="fr-CH"/>
        </w:rPr>
        <w:t xml:space="preserve"> Fédération internationale de l</w:t>
      </w:r>
      <w:r w:rsidR="005F0D9B" w:rsidRPr="00101B00">
        <w:rPr>
          <w:lang w:val="fr-CH"/>
        </w:rPr>
        <w:t>’</w:t>
      </w:r>
      <w:r w:rsidRPr="00101B00">
        <w:rPr>
          <w:lang w:val="fr-CH"/>
        </w:rPr>
        <w:t>automobile (FIA), Association internationale des constructeurs de motocycles (AICM), Comité international de l</w:t>
      </w:r>
      <w:r w:rsidR="005F0D9B" w:rsidRPr="00101B00">
        <w:rPr>
          <w:lang w:val="fr-CH"/>
        </w:rPr>
        <w:t>’</w:t>
      </w:r>
      <w:r w:rsidRPr="00101B00">
        <w:rPr>
          <w:lang w:val="fr-CH"/>
        </w:rPr>
        <w:t>inspection technique automobile (CITA), Fédération routière internationale, Comité international des transports ferroviaires (CIT), Union internationale des transports routiers (IRU), Fédération internationale des associations de transitaires et assimilés (FIATA), Fondation Laser International et Union internationale des chemins de fer (UIC).</w:t>
      </w:r>
    </w:p>
    <w:p w:rsidR="00554873" w:rsidRPr="00101B00" w:rsidRDefault="00554873" w:rsidP="006101B8">
      <w:pPr>
        <w:pStyle w:val="SingleTxt"/>
        <w:numPr>
          <w:ilvl w:val="0"/>
          <w:numId w:val="7"/>
        </w:numPr>
        <w:tabs>
          <w:tab w:val="clear" w:pos="475"/>
          <w:tab w:val="num" w:pos="1742"/>
        </w:tabs>
        <w:ind w:left="1267"/>
        <w:rPr>
          <w:lang w:val="fr-CH"/>
        </w:rPr>
      </w:pPr>
      <w:r w:rsidRPr="00101B00">
        <w:rPr>
          <w:lang w:val="fr-CH"/>
        </w:rPr>
        <w:t>Sur l</w:t>
      </w:r>
      <w:r w:rsidR="005F0D9B" w:rsidRPr="00101B00">
        <w:rPr>
          <w:lang w:val="fr-CH"/>
        </w:rPr>
        <w:t>’</w:t>
      </w:r>
      <w:r w:rsidRPr="00101B00">
        <w:rPr>
          <w:lang w:val="fr-CH"/>
        </w:rPr>
        <w:t>invitation du secrétariat, des représentants des organismes suivants ont pris part à la session</w:t>
      </w:r>
      <w:r w:rsidR="005F0D9B" w:rsidRPr="00101B00">
        <w:rPr>
          <w:lang w:val="fr-CH"/>
        </w:rPr>
        <w:t> :</w:t>
      </w:r>
      <w:r w:rsidRPr="00101B00">
        <w:rPr>
          <w:lang w:val="fr-CH"/>
        </w:rPr>
        <w:t xml:space="preserve"> Organisation des transports urbains d</w:t>
      </w:r>
      <w:r w:rsidR="005F0D9B" w:rsidRPr="00101B00">
        <w:rPr>
          <w:lang w:val="fr-CH"/>
        </w:rPr>
        <w:t>’</w:t>
      </w:r>
      <w:r w:rsidRPr="00101B00">
        <w:rPr>
          <w:lang w:val="fr-CH"/>
        </w:rPr>
        <w:t>Athènes (OASA), Banque de commerce et de développement de la mer Noire, CargoCap GmbH, Confédération française pour l</w:t>
      </w:r>
      <w:r w:rsidR="005F0D9B" w:rsidRPr="00101B00">
        <w:rPr>
          <w:lang w:val="fr-CH"/>
        </w:rPr>
        <w:t>’</w:t>
      </w:r>
      <w:r w:rsidRPr="00101B00">
        <w:rPr>
          <w:lang w:val="fr-CH"/>
        </w:rPr>
        <w:t>Habitation, l</w:t>
      </w:r>
      <w:r w:rsidR="005F0D9B" w:rsidRPr="00101B00">
        <w:rPr>
          <w:lang w:val="fr-CH"/>
        </w:rPr>
        <w:t>’</w:t>
      </w:r>
      <w:r w:rsidRPr="00101B00">
        <w:rPr>
          <w:lang w:val="fr-CH"/>
        </w:rPr>
        <w:t>Urbanisme, l</w:t>
      </w:r>
      <w:r w:rsidR="005F0D9B" w:rsidRPr="00101B00">
        <w:rPr>
          <w:lang w:val="fr-CH"/>
        </w:rPr>
        <w:t>’</w:t>
      </w:r>
      <w:r w:rsidRPr="00101B00">
        <w:rPr>
          <w:lang w:val="fr-CH"/>
        </w:rPr>
        <w:t>Aménagement du Territoire et l</w:t>
      </w:r>
      <w:r w:rsidR="005F0D9B" w:rsidRPr="00101B00">
        <w:rPr>
          <w:lang w:val="fr-CH"/>
        </w:rPr>
        <w:t>’</w:t>
      </w:r>
      <w:r w:rsidRPr="00101B00">
        <w:rPr>
          <w:lang w:val="fr-CH"/>
        </w:rPr>
        <w:t xml:space="preserve">Environnement (COFHUAT), Direction générale des transports </w:t>
      </w:r>
      <w:r w:rsidR="006101B8" w:rsidRPr="00101B00">
        <w:rPr>
          <w:lang w:val="fr-CH"/>
        </w:rPr>
        <w:t>–</w:t>
      </w:r>
      <w:r w:rsidRPr="00101B00">
        <w:rPr>
          <w:lang w:val="fr-CH"/>
        </w:rPr>
        <w:t xml:space="preserve"> République et Canton de Genève, EuroMed Road, Rail and Urban Transport Project, FÖMTERV Civil Engineering Designer Ltd., Frost &amp; Sullivan, GSC Main project, International Transport Award Golden Chariot, JSC « PLASKE » et Polis.</w:t>
      </w:r>
    </w:p>
    <w:p w:rsidR="00554873" w:rsidRPr="00101B00" w:rsidRDefault="00554873" w:rsidP="0055487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1B00">
        <w:rPr>
          <w:lang w:val="fr-CH"/>
        </w:rPr>
        <w:lastRenderedPageBreak/>
        <w:tab/>
        <w:t>III.</w:t>
      </w:r>
      <w:r w:rsidRPr="00101B00">
        <w:rPr>
          <w:lang w:val="fr-CH"/>
        </w:rPr>
        <w:tab/>
        <w:t>Adoption de l</w:t>
      </w:r>
      <w:r w:rsidR="005F0D9B" w:rsidRPr="00101B00">
        <w:rPr>
          <w:lang w:val="fr-CH"/>
        </w:rPr>
        <w:t>’</w:t>
      </w:r>
      <w:r w:rsidRPr="00101B00">
        <w:rPr>
          <w:lang w:val="fr-CH"/>
        </w:rPr>
        <w:t>ordre du jour (point 1 de l</w:t>
      </w:r>
      <w:r w:rsidR="005F0D9B" w:rsidRPr="00101B00">
        <w:rPr>
          <w:lang w:val="fr-CH"/>
        </w:rPr>
        <w:t>’</w:t>
      </w:r>
      <w:r w:rsidRPr="00101B00">
        <w:rPr>
          <w:lang w:val="fr-CH"/>
        </w:rPr>
        <w:t>ordre du jour)</w:t>
      </w:r>
    </w:p>
    <w:p w:rsidR="00554873" w:rsidRPr="00101B00" w:rsidRDefault="00554873" w:rsidP="00554873">
      <w:pPr>
        <w:pStyle w:val="SingleTxt"/>
        <w:keepNext/>
        <w:spacing w:after="0" w:line="120" w:lineRule="exact"/>
        <w:rPr>
          <w:i/>
          <w:sz w:val="10"/>
          <w:lang w:val="fr-CH"/>
        </w:rPr>
      </w:pPr>
    </w:p>
    <w:p w:rsidR="00554873" w:rsidRPr="00101B00" w:rsidRDefault="00554873" w:rsidP="00554873">
      <w:pPr>
        <w:pStyle w:val="SingleTxt"/>
        <w:keepNext/>
        <w:spacing w:after="0" w:line="120" w:lineRule="exact"/>
        <w:rPr>
          <w:i/>
          <w:sz w:val="10"/>
          <w:lang w:val="fr-CH"/>
        </w:rPr>
      </w:pPr>
    </w:p>
    <w:p w:rsidR="00554873" w:rsidRPr="00101B00" w:rsidRDefault="00554873" w:rsidP="0055487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val="0"/>
          <w:iCs/>
          <w:lang w:val="fr-CH"/>
        </w:rPr>
      </w:pPr>
      <w:r w:rsidRPr="00101B00">
        <w:rPr>
          <w:lang w:val="fr-CH"/>
        </w:rPr>
        <w:tab/>
      </w:r>
      <w:r w:rsidRPr="00101B00">
        <w:rPr>
          <w:lang w:val="fr-CH"/>
        </w:rPr>
        <w:tab/>
        <w:t>Documents</w:t>
      </w:r>
      <w:r w:rsidR="005F0D9B" w:rsidRPr="00101B00">
        <w:rPr>
          <w:lang w:val="fr-CH"/>
        </w:rPr>
        <w:t> </w:t>
      </w:r>
      <w:r w:rsidR="005F0D9B" w:rsidRPr="00101B00">
        <w:rPr>
          <w:i w:val="0"/>
          <w:iCs/>
          <w:lang w:val="fr-CH"/>
        </w:rPr>
        <w:t>:</w:t>
      </w:r>
      <w:r w:rsidRPr="00101B00">
        <w:rPr>
          <w:lang w:val="fr-CH"/>
        </w:rPr>
        <w:tab/>
      </w:r>
      <w:r w:rsidRPr="00101B00">
        <w:rPr>
          <w:i w:val="0"/>
          <w:iCs/>
          <w:lang w:val="fr-CH"/>
        </w:rPr>
        <w:t>ECE/TRANS/247 et Add.1.</w:t>
      </w:r>
    </w:p>
    <w:p w:rsidR="00554873" w:rsidRPr="00101B00" w:rsidRDefault="00554873" w:rsidP="00554873">
      <w:pPr>
        <w:pStyle w:val="SingleTxt"/>
        <w:keepNext/>
        <w:spacing w:after="0" w:line="120" w:lineRule="exact"/>
        <w:rPr>
          <w:sz w:val="10"/>
          <w:lang w:val="fr-CH"/>
        </w:rPr>
      </w:pPr>
    </w:p>
    <w:p w:rsidR="00554873" w:rsidRPr="00101B00" w:rsidRDefault="00554873" w:rsidP="006101B8">
      <w:pPr>
        <w:pStyle w:val="SingleTxt"/>
        <w:numPr>
          <w:ilvl w:val="0"/>
          <w:numId w:val="7"/>
        </w:numPr>
        <w:tabs>
          <w:tab w:val="clear" w:pos="475"/>
          <w:tab w:val="num" w:pos="1742"/>
        </w:tabs>
        <w:ind w:left="1267"/>
        <w:rPr>
          <w:lang w:val="fr-CH"/>
        </w:rPr>
      </w:pPr>
      <w:r w:rsidRPr="00101B00">
        <w:rPr>
          <w:lang w:val="fr-CH"/>
        </w:rPr>
        <w:t>Le Comité a adopté l</w:t>
      </w:r>
      <w:r w:rsidR="005F0D9B" w:rsidRPr="00101B00">
        <w:rPr>
          <w:lang w:val="fr-CH"/>
        </w:rPr>
        <w:t>’</w:t>
      </w:r>
      <w:r w:rsidRPr="00101B00">
        <w:rPr>
          <w:lang w:val="fr-CH"/>
        </w:rPr>
        <w:t xml:space="preserve">ordre du jour provisoire établi par le secrétariat (ECE/TRANS/247 et Add.1). </w:t>
      </w:r>
    </w:p>
    <w:p w:rsidR="00554873" w:rsidRPr="00101B00" w:rsidRDefault="00554873" w:rsidP="00554873">
      <w:pPr>
        <w:pStyle w:val="SingleTxt"/>
        <w:spacing w:after="0" w:line="120" w:lineRule="exact"/>
        <w:rPr>
          <w:sz w:val="10"/>
          <w:lang w:val="fr-CH"/>
        </w:rPr>
      </w:pPr>
    </w:p>
    <w:p w:rsidR="00554873" w:rsidRPr="00101B00" w:rsidRDefault="00554873" w:rsidP="00554873">
      <w:pPr>
        <w:pStyle w:val="SingleTxt"/>
        <w:spacing w:after="0" w:line="120" w:lineRule="exact"/>
        <w:rPr>
          <w:sz w:val="10"/>
          <w:lang w:val="fr-CH"/>
        </w:rPr>
      </w:pPr>
    </w:p>
    <w:p w:rsidR="00554873" w:rsidRPr="00101B00" w:rsidRDefault="00554873" w:rsidP="0055487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1B00">
        <w:rPr>
          <w:lang w:val="fr-CH"/>
        </w:rPr>
        <w:tab/>
        <w:t>IV.</w:t>
      </w:r>
      <w:r w:rsidRPr="00101B00">
        <w:rPr>
          <w:lang w:val="fr-CH"/>
        </w:rPr>
        <w:tab/>
        <w:t xml:space="preserve">Repenser les transports urbains et la mobilité durables </w:t>
      </w:r>
      <w:r w:rsidRPr="00101B00">
        <w:rPr>
          <w:lang w:val="fr-CH"/>
        </w:rPr>
        <w:br/>
        <w:t>pour relever les défis d</w:t>
      </w:r>
      <w:r w:rsidR="005F0D9B" w:rsidRPr="00101B00">
        <w:rPr>
          <w:lang w:val="fr-CH"/>
        </w:rPr>
        <w:t>’</w:t>
      </w:r>
      <w:r w:rsidRPr="00101B00">
        <w:rPr>
          <w:lang w:val="fr-CH"/>
        </w:rPr>
        <w:t xml:space="preserve">une nouvelle ère (point 2 de </w:t>
      </w:r>
      <w:r w:rsidRPr="00101B00">
        <w:rPr>
          <w:lang w:val="fr-CH"/>
        </w:rPr>
        <w:br/>
        <w:t>l</w:t>
      </w:r>
      <w:r w:rsidR="005F0D9B" w:rsidRPr="00101B00">
        <w:rPr>
          <w:lang w:val="fr-CH"/>
        </w:rPr>
        <w:t>’</w:t>
      </w:r>
      <w:r w:rsidRPr="00101B00">
        <w:rPr>
          <w:lang w:val="fr-CH"/>
        </w:rPr>
        <w:t>ordre du jour)</w:t>
      </w:r>
    </w:p>
    <w:p w:rsidR="00554873" w:rsidRPr="00101B00" w:rsidRDefault="00554873" w:rsidP="00554873">
      <w:pPr>
        <w:pStyle w:val="SingleTxt"/>
        <w:spacing w:after="0" w:line="120" w:lineRule="exact"/>
        <w:rPr>
          <w:i/>
          <w:sz w:val="10"/>
          <w:lang w:val="fr-CH"/>
        </w:rPr>
      </w:pPr>
    </w:p>
    <w:p w:rsidR="00554873" w:rsidRPr="00101B00" w:rsidRDefault="00554873" w:rsidP="00554873">
      <w:pPr>
        <w:pStyle w:val="SingleTxt"/>
        <w:spacing w:after="0" w:line="120" w:lineRule="exact"/>
        <w:rPr>
          <w:i/>
          <w:sz w:val="10"/>
          <w:lang w:val="fr-CH"/>
        </w:rPr>
      </w:pPr>
    </w:p>
    <w:p w:rsidR="00554873" w:rsidRPr="00101B00" w:rsidRDefault="00554873" w:rsidP="0055487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1B00">
        <w:rPr>
          <w:lang w:val="fr-CH"/>
        </w:rPr>
        <w:tab/>
      </w:r>
      <w:r w:rsidRPr="00101B00">
        <w:rPr>
          <w:lang w:val="fr-CH"/>
        </w:rPr>
        <w:tab/>
        <w:t>Document</w:t>
      </w:r>
      <w:r w:rsidR="005F0D9B" w:rsidRPr="00101B00">
        <w:rPr>
          <w:lang w:val="fr-CH"/>
        </w:rPr>
        <w:t> </w:t>
      </w:r>
      <w:r w:rsidR="005F0D9B" w:rsidRPr="00101B00">
        <w:rPr>
          <w:i w:val="0"/>
          <w:iCs/>
          <w:lang w:val="fr-CH"/>
        </w:rPr>
        <w:t>:</w:t>
      </w:r>
      <w:r w:rsidRPr="00101B00">
        <w:rPr>
          <w:i w:val="0"/>
          <w:iCs/>
          <w:lang w:val="fr-CH"/>
        </w:rPr>
        <w:tab/>
        <w:t>ECE/TRANS/2015/1.</w:t>
      </w:r>
    </w:p>
    <w:p w:rsidR="00554873" w:rsidRPr="00101B00" w:rsidRDefault="00554873" w:rsidP="00554873">
      <w:pPr>
        <w:pStyle w:val="SingleTxt"/>
        <w:spacing w:after="0" w:line="120" w:lineRule="exact"/>
        <w:rPr>
          <w:sz w:val="10"/>
          <w:lang w:val="fr-CH"/>
        </w:rPr>
      </w:pPr>
    </w:p>
    <w:p w:rsidR="00554873" w:rsidRPr="00101B00" w:rsidRDefault="00554873" w:rsidP="006101B8">
      <w:pPr>
        <w:pStyle w:val="SingleTxt"/>
        <w:numPr>
          <w:ilvl w:val="0"/>
          <w:numId w:val="7"/>
        </w:numPr>
        <w:tabs>
          <w:tab w:val="clear" w:pos="475"/>
          <w:tab w:val="num" w:pos="1742"/>
        </w:tabs>
        <w:ind w:left="1267"/>
        <w:rPr>
          <w:lang w:val="fr-CH"/>
        </w:rPr>
      </w:pPr>
      <w:r w:rsidRPr="00101B00">
        <w:rPr>
          <w:lang w:val="fr-CH"/>
        </w:rPr>
        <w:t xml:space="preserve">Le Comité a </w:t>
      </w:r>
      <w:r w:rsidRPr="00101B00">
        <w:rPr>
          <w:b/>
          <w:lang w:val="fr-CH"/>
        </w:rPr>
        <w:t>noté</w:t>
      </w:r>
      <w:r w:rsidRPr="00101B00">
        <w:rPr>
          <w:lang w:val="fr-CH"/>
        </w:rPr>
        <w:t xml:space="preserve"> que son Bureau avait décidé, à sa réunion de juin 2014, que la séance du matin de la première journée de la soixante-dix-septième session du Comité </w:t>
      </w:r>
      <w:r w:rsidR="006101B8" w:rsidRPr="00101B00">
        <w:rPr>
          <w:lang w:val="fr-CH"/>
        </w:rPr>
        <w:t>serait</w:t>
      </w:r>
      <w:r w:rsidRPr="00101B00">
        <w:rPr>
          <w:lang w:val="fr-CH"/>
        </w:rPr>
        <w:t xml:space="preserve"> consacrée à un débat sur les transports urbains et la mobilité durables. Le débat de politique générale a porté essentiellement sur les enseignements à tirer d</w:t>
      </w:r>
      <w:r w:rsidR="005F0D9B" w:rsidRPr="00101B00">
        <w:rPr>
          <w:lang w:val="fr-CH"/>
        </w:rPr>
        <w:t>’</w:t>
      </w:r>
      <w:r w:rsidRPr="00101B00">
        <w:rPr>
          <w:lang w:val="fr-CH"/>
        </w:rPr>
        <w:t>expériences en conditions réelles et sur la refonte des transports urbains et de la mobilité durables en vue de relever les défis d</w:t>
      </w:r>
      <w:r w:rsidR="005F0D9B" w:rsidRPr="00101B00">
        <w:rPr>
          <w:lang w:val="fr-CH"/>
        </w:rPr>
        <w:t>’</w:t>
      </w:r>
      <w:r w:rsidRPr="00101B00">
        <w:rPr>
          <w:lang w:val="fr-CH"/>
        </w:rPr>
        <w:t>une nouvelle ère, en particulier du point de vue de la durabilité économique, sociale et environnementale.</w:t>
      </w:r>
    </w:p>
    <w:p w:rsidR="00554873" w:rsidRPr="00101B00" w:rsidRDefault="00554873" w:rsidP="006101B8">
      <w:pPr>
        <w:pStyle w:val="SingleTxt"/>
        <w:numPr>
          <w:ilvl w:val="0"/>
          <w:numId w:val="7"/>
        </w:numPr>
        <w:tabs>
          <w:tab w:val="clear" w:pos="475"/>
          <w:tab w:val="num" w:pos="1742"/>
        </w:tabs>
        <w:ind w:left="1267"/>
        <w:rPr>
          <w:lang w:val="fr-CH"/>
        </w:rPr>
      </w:pPr>
      <w:r w:rsidRPr="00101B00">
        <w:rPr>
          <w:lang w:val="fr-CH"/>
        </w:rPr>
        <w:t xml:space="preserve">Le Comité a </w:t>
      </w:r>
      <w:r w:rsidRPr="00101B00">
        <w:rPr>
          <w:b/>
          <w:lang w:val="fr-CH"/>
        </w:rPr>
        <w:t>approuvé</w:t>
      </w:r>
      <w:r w:rsidRPr="00101B00">
        <w:rPr>
          <w:lang w:val="fr-CH"/>
        </w:rPr>
        <w:t xml:space="preserve"> les résultats du débat de politique générale (table ronde) sur le thème « </w:t>
      </w:r>
      <w:r w:rsidR="00BD5DA5" w:rsidRPr="00101B00">
        <w:rPr>
          <w:lang w:val="fr-CH"/>
        </w:rPr>
        <w:t xml:space="preserve">Repenser </w:t>
      </w:r>
      <w:r w:rsidRPr="00101B00">
        <w:rPr>
          <w:lang w:val="fr-CH"/>
        </w:rPr>
        <w:t>les transports</w:t>
      </w:r>
      <w:bookmarkStart w:id="3" w:name="insstart"/>
      <w:bookmarkEnd w:id="3"/>
      <w:r w:rsidRPr="00101B00">
        <w:rPr>
          <w:lang w:val="fr-CH"/>
        </w:rPr>
        <w:t xml:space="preserve"> urbains et la mobilité durables pour relever les défis d</w:t>
      </w:r>
      <w:r w:rsidR="005F0D9B" w:rsidRPr="00101B00">
        <w:rPr>
          <w:lang w:val="fr-CH"/>
        </w:rPr>
        <w:t>’</w:t>
      </w:r>
      <w:r w:rsidRPr="00101B00">
        <w:rPr>
          <w:lang w:val="fr-CH"/>
        </w:rPr>
        <w:t>une nouvelle ère »</w:t>
      </w:r>
      <w:r w:rsidR="006101B8" w:rsidRPr="00101B00">
        <w:rPr>
          <w:lang w:val="fr-CH"/>
        </w:rPr>
        <w:t xml:space="preserve">, est </w:t>
      </w:r>
      <w:r w:rsidR="006101B8" w:rsidRPr="00101B00">
        <w:rPr>
          <w:b/>
          <w:bCs/>
          <w:lang w:val="fr-CH"/>
        </w:rPr>
        <w:t>convenu</w:t>
      </w:r>
      <w:r w:rsidRPr="00101B00">
        <w:rPr>
          <w:lang w:val="fr-CH"/>
        </w:rPr>
        <w:t xml:space="preserve"> qu</w:t>
      </w:r>
      <w:r w:rsidR="005F0D9B" w:rsidRPr="00101B00">
        <w:rPr>
          <w:lang w:val="fr-CH"/>
        </w:rPr>
        <w:t>’</w:t>
      </w:r>
      <w:r w:rsidRPr="00101B00">
        <w:rPr>
          <w:lang w:val="fr-CH"/>
        </w:rPr>
        <w:t xml:space="preserve">un rapport succinct, sous forme de conclusions du Président, serait annexé au rapport complet de la session et a </w:t>
      </w:r>
      <w:r w:rsidRPr="00101B00">
        <w:rPr>
          <w:b/>
          <w:bCs/>
          <w:lang w:val="fr-CH"/>
        </w:rPr>
        <w:t>demandé</w:t>
      </w:r>
      <w:r w:rsidRPr="00101B00">
        <w:rPr>
          <w:lang w:val="fr-CH"/>
        </w:rPr>
        <w:t xml:space="preserve"> que les résultats de la table ronde soient pris en considération par ses organes subsidiaires.</w:t>
      </w:r>
    </w:p>
    <w:p w:rsidR="00554873" w:rsidRPr="00101B00" w:rsidRDefault="00554873" w:rsidP="00554873">
      <w:pPr>
        <w:pStyle w:val="SingleTxt"/>
        <w:spacing w:after="0" w:line="120" w:lineRule="exact"/>
        <w:rPr>
          <w:sz w:val="10"/>
          <w:lang w:val="fr-CH"/>
        </w:rPr>
      </w:pPr>
    </w:p>
    <w:p w:rsidR="00554873" w:rsidRPr="00101B00" w:rsidRDefault="00554873" w:rsidP="00554873">
      <w:pPr>
        <w:pStyle w:val="SingleTxt"/>
        <w:spacing w:after="0" w:line="120" w:lineRule="exact"/>
        <w:rPr>
          <w:sz w:val="10"/>
          <w:lang w:val="fr-CH"/>
        </w:rPr>
      </w:pPr>
    </w:p>
    <w:p w:rsidR="00554873" w:rsidRPr="00101B00" w:rsidRDefault="00554873" w:rsidP="0055487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1B00">
        <w:rPr>
          <w:lang w:val="fr-CH"/>
        </w:rPr>
        <w:tab/>
        <w:t>V.</w:t>
      </w:r>
      <w:r w:rsidRPr="00101B00">
        <w:rPr>
          <w:lang w:val="fr-CH"/>
        </w:rPr>
        <w:tab/>
        <w:t xml:space="preserve">Réunion réservée aux représentants de gouvernements </w:t>
      </w:r>
      <w:r w:rsidRPr="00101B00">
        <w:rPr>
          <w:lang w:val="fr-CH"/>
        </w:rPr>
        <w:br/>
        <w:t xml:space="preserve">avec la participation des présidents des organes </w:t>
      </w:r>
      <w:r w:rsidRPr="00101B00">
        <w:rPr>
          <w:lang w:val="fr-CH"/>
        </w:rPr>
        <w:br/>
        <w:t>subsidiaires du Comité (point 3 de l</w:t>
      </w:r>
      <w:r w:rsidR="005F0D9B" w:rsidRPr="00101B00">
        <w:rPr>
          <w:lang w:val="fr-CH"/>
        </w:rPr>
        <w:t>’</w:t>
      </w:r>
      <w:r w:rsidRPr="00101B00">
        <w:rPr>
          <w:lang w:val="fr-CH"/>
        </w:rPr>
        <w:t>ordre du jour)</w:t>
      </w:r>
    </w:p>
    <w:p w:rsidR="00554873" w:rsidRPr="00101B00" w:rsidRDefault="00554873" w:rsidP="00554873">
      <w:pPr>
        <w:pStyle w:val="SingleTxt"/>
        <w:spacing w:after="0" w:line="120" w:lineRule="exact"/>
        <w:rPr>
          <w:i/>
          <w:sz w:val="10"/>
          <w:lang w:val="fr-CH"/>
        </w:rPr>
      </w:pPr>
    </w:p>
    <w:p w:rsidR="00554873" w:rsidRPr="00101B00" w:rsidRDefault="00554873" w:rsidP="00554873">
      <w:pPr>
        <w:pStyle w:val="SingleTxt"/>
        <w:spacing w:after="0" w:line="120" w:lineRule="exact"/>
        <w:rPr>
          <w:i/>
          <w:sz w:val="10"/>
          <w:lang w:val="fr-CH"/>
        </w:rPr>
      </w:pPr>
    </w:p>
    <w:p w:rsidR="00554873" w:rsidRPr="00101B00" w:rsidRDefault="00554873" w:rsidP="0055487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i w:val="0"/>
          <w:iCs/>
          <w:lang w:val="fr-CH"/>
        </w:rPr>
      </w:pPr>
      <w:r w:rsidRPr="00101B00">
        <w:rPr>
          <w:lang w:val="fr-CH"/>
        </w:rPr>
        <w:tab/>
      </w:r>
      <w:r w:rsidRPr="00101B00">
        <w:rPr>
          <w:lang w:val="fr-CH"/>
        </w:rPr>
        <w:tab/>
        <w:t>Documents</w:t>
      </w:r>
      <w:r w:rsidR="005F0D9B" w:rsidRPr="00101B00">
        <w:rPr>
          <w:lang w:val="fr-CH"/>
        </w:rPr>
        <w:t> </w:t>
      </w:r>
      <w:r w:rsidR="005F0D9B" w:rsidRPr="00101B00">
        <w:rPr>
          <w:i w:val="0"/>
          <w:iCs/>
          <w:lang w:val="fr-CH"/>
        </w:rPr>
        <w:t>:</w:t>
      </w:r>
      <w:r w:rsidRPr="00101B00">
        <w:rPr>
          <w:i w:val="0"/>
          <w:iCs/>
          <w:lang w:val="fr-CH"/>
        </w:rPr>
        <w:tab/>
        <w:t>Document informel n</w:t>
      </w:r>
      <w:r w:rsidRPr="00101B00">
        <w:rPr>
          <w:i w:val="0"/>
          <w:iCs/>
          <w:vertAlign w:val="superscript"/>
          <w:lang w:val="fr-CH"/>
        </w:rPr>
        <w:t>o</w:t>
      </w:r>
      <w:r w:rsidRPr="00101B00">
        <w:rPr>
          <w:lang w:val="fr-CH"/>
        </w:rPr>
        <w:t> </w:t>
      </w:r>
      <w:r w:rsidRPr="00101B00">
        <w:rPr>
          <w:i w:val="0"/>
          <w:iCs/>
          <w:lang w:val="fr-CH"/>
        </w:rPr>
        <w:t>1 et ECE/TRANS/2015/2.</w:t>
      </w:r>
    </w:p>
    <w:p w:rsidR="00554873" w:rsidRPr="00101B00" w:rsidRDefault="00554873" w:rsidP="00554873">
      <w:pPr>
        <w:pStyle w:val="SingleTxt"/>
        <w:spacing w:after="0" w:line="120" w:lineRule="exact"/>
        <w:rPr>
          <w:sz w:val="10"/>
          <w:lang w:val="fr-CH"/>
        </w:rPr>
      </w:pPr>
    </w:p>
    <w:p w:rsidR="00554873" w:rsidRPr="00101B00" w:rsidRDefault="00554873" w:rsidP="00BD5DA5">
      <w:pPr>
        <w:pStyle w:val="SingleTxt"/>
        <w:numPr>
          <w:ilvl w:val="0"/>
          <w:numId w:val="7"/>
        </w:numPr>
        <w:tabs>
          <w:tab w:val="clear" w:pos="475"/>
          <w:tab w:val="num" w:pos="1742"/>
        </w:tabs>
        <w:ind w:left="1267"/>
        <w:rPr>
          <w:lang w:val="fr-CH"/>
        </w:rPr>
      </w:pPr>
      <w:r w:rsidRPr="00101B00">
        <w:rPr>
          <w:lang w:val="fr-CH"/>
        </w:rPr>
        <w:t xml:space="preserve">Le Comité a </w:t>
      </w:r>
      <w:r w:rsidRPr="00101B00">
        <w:rPr>
          <w:b/>
          <w:lang w:val="fr-CH"/>
        </w:rPr>
        <w:t>rappelé</w:t>
      </w:r>
      <w:r w:rsidRPr="00101B00">
        <w:rPr>
          <w:lang w:val="fr-CH"/>
        </w:rPr>
        <w:t xml:space="preserve"> que les présidents des comités de gestion des instruments juridiques de l</w:t>
      </w:r>
      <w:r w:rsidR="005F0D9B" w:rsidRPr="00101B00">
        <w:rPr>
          <w:lang w:val="fr-CH"/>
        </w:rPr>
        <w:t>’</w:t>
      </w:r>
      <w:r w:rsidRPr="00101B00">
        <w:rPr>
          <w:lang w:val="fr-CH"/>
        </w:rPr>
        <w:t xml:space="preserve">ONU relatifs aux transports et des organes subsidiaires du Comité, les membres du Bureau et les représentants des gouvernements ayant participé aux quatre dernières sessions du Comité avaient assisté à des réunions avec les présidents des organes subsidiaires du Comité. Ces réunions, qui étaient réservées aux représentants des gouvernements, avaient permis de débattre de la réforme de la CEE, du rôle des entités non membres de la CEE qui étaient </w:t>
      </w:r>
      <w:r w:rsidR="00BD5DA5">
        <w:rPr>
          <w:lang w:val="fr-CH"/>
        </w:rPr>
        <w:t>p</w:t>
      </w:r>
      <w:r w:rsidRPr="00101B00">
        <w:rPr>
          <w:lang w:val="fr-CH"/>
        </w:rPr>
        <w:t>arties contractantes aux accords de l</w:t>
      </w:r>
      <w:r w:rsidR="005F0D9B" w:rsidRPr="00101B00">
        <w:rPr>
          <w:lang w:val="fr-CH"/>
        </w:rPr>
        <w:t>’</w:t>
      </w:r>
      <w:r w:rsidRPr="00101B00">
        <w:rPr>
          <w:lang w:val="fr-CH"/>
        </w:rPr>
        <w:t>ONU sur les transports administrés par la CEE et des questions relatives au renforcement de la coopération, de la synergie et de l</w:t>
      </w:r>
      <w:r w:rsidR="005F0D9B" w:rsidRPr="00101B00">
        <w:rPr>
          <w:lang w:val="fr-CH"/>
        </w:rPr>
        <w:t>’</w:t>
      </w:r>
      <w:r w:rsidRPr="00101B00">
        <w:rPr>
          <w:lang w:val="fr-CH"/>
        </w:rPr>
        <w:t>interdépendance, ainsi qu</w:t>
      </w:r>
      <w:r w:rsidR="006101B8" w:rsidRPr="00101B00">
        <w:rPr>
          <w:lang w:val="fr-CH"/>
        </w:rPr>
        <w:t>’à</w:t>
      </w:r>
      <w:r w:rsidRPr="00101B00">
        <w:rPr>
          <w:lang w:val="fr-CH"/>
        </w:rPr>
        <w:t xml:space="preserve"> l</w:t>
      </w:r>
      <w:r w:rsidR="005F0D9B" w:rsidRPr="00101B00">
        <w:rPr>
          <w:lang w:val="fr-CH"/>
        </w:rPr>
        <w:t>’</w:t>
      </w:r>
      <w:r w:rsidRPr="00101B00">
        <w:rPr>
          <w:lang w:val="fr-CH"/>
        </w:rPr>
        <w:t>échange de données d</w:t>
      </w:r>
      <w:r w:rsidR="005F0D9B" w:rsidRPr="00101B00">
        <w:rPr>
          <w:lang w:val="fr-CH"/>
        </w:rPr>
        <w:t>’</w:t>
      </w:r>
      <w:r w:rsidRPr="00101B00">
        <w:rPr>
          <w:lang w:val="fr-CH"/>
        </w:rPr>
        <w:t xml:space="preserve">expérience. Tous les représentants des gouvernements avaient été invités à prendre part à la réunion. </w:t>
      </w:r>
    </w:p>
    <w:p w:rsidR="00554873" w:rsidRPr="00101B00" w:rsidRDefault="00554873" w:rsidP="006101B8">
      <w:pPr>
        <w:pStyle w:val="SingleTxt"/>
        <w:numPr>
          <w:ilvl w:val="0"/>
          <w:numId w:val="7"/>
        </w:numPr>
        <w:tabs>
          <w:tab w:val="clear" w:pos="475"/>
          <w:tab w:val="num" w:pos="1742"/>
        </w:tabs>
        <w:ind w:left="1267"/>
        <w:rPr>
          <w:bCs/>
          <w:lang w:val="fr-CH"/>
        </w:rPr>
      </w:pPr>
      <w:r w:rsidRPr="00101B00">
        <w:rPr>
          <w:lang w:val="fr-CH"/>
        </w:rPr>
        <w:t xml:space="preserve">Le Comité a </w:t>
      </w:r>
      <w:r w:rsidRPr="00101B00">
        <w:rPr>
          <w:b/>
          <w:lang w:val="fr-CH"/>
        </w:rPr>
        <w:t>rappelé</w:t>
      </w:r>
      <w:r w:rsidRPr="00101B00">
        <w:rPr>
          <w:lang w:val="fr-CH"/>
        </w:rPr>
        <w:t xml:space="preserve"> qu</w:t>
      </w:r>
      <w:r w:rsidR="005F0D9B" w:rsidRPr="00101B00">
        <w:rPr>
          <w:lang w:val="fr-CH"/>
        </w:rPr>
        <w:t>’</w:t>
      </w:r>
      <w:r w:rsidRPr="00101B00">
        <w:rPr>
          <w:lang w:val="fr-CH"/>
        </w:rPr>
        <w:t>à sa session précédente, il avait demandé au secrétariat d</w:t>
      </w:r>
      <w:r w:rsidR="005F0D9B" w:rsidRPr="00101B00">
        <w:rPr>
          <w:lang w:val="fr-CH"/>
        </w:rPr>
        <w:t>’</w:t>
      </w:r>
      <w:r w:rsidRPr="00101B00">
        <w:rPr>
          <w:lang w:val="fr-CH"/>
        </w:rPr>
        <w:t>élaborer un document officiel détaillé sur les pratiques du Comité, de ses groupes de travail et des comités de gestion des instruments juridiques. Dans le document ECE/TRANS/2015/2 figuraient des renseignements sur le mode de participation actuel des Parties contractantes non membres de la CEE aux activités du Comité et de ses organes subsidiaires.</w:t>
      </w:r>
    </w:p>
    <w:p w:rsidR="00554873" w:rsidRPr="00101B00" w:rsidRDefault="00554873" w:rsidP="00006E93">
      <w:pPr>
        <w:pStyle w:val="SingleTxt"/>
        <w:keepLines/>
        <w:numPr>
          <w:ilvl w:val="0"/>
          <w:numId w:val="7"/>
        </w:numPr>
        <w:tabs>
          <w:tab w:val="clear" w:pos="475"/>
          <w:tab w:val="num" w:pos="1742"/>
        </w:tabs>
        <w:ind w:left="1267"/>
        <w:rPr>
          <w:lang w:val="fr-CH"/>
        </w:rPr>
      </w:pPr>
      <w:r w:rsidRPr="00101B00">
        <w:rPr>
          <w:lang w:val="fr-CH"/>
        </w:rPr>
        <w:lastRenderedPageBreak/>
        <w:t>Le Comité s</w:t>
      </w:r>
      <w:r w:rsidR="005F0D9B" w:rsidRPr="00101B00">
        <w:rPr>
          <w:lang w:val="fr-CH"/>
        </w:rPr>
        <w:t>’</w:t>
      </w:r>
      <w:r w:rsidRPr="00101B00">
        <w:rPr>
          <w:lang w:val="fr-CH"/>
        </w:rPr>
        <w:t xml:space="preserve">est </w:t>
      </w:r>
      <w:r w:rsidRPr="00101B00">
        <w:rPr>
          <w:b/>
          <w:lang w:val="fr-CH"/>
        </w:rPr>
        <w:t>félicité</w:t>
      </w:r>
      <w:r w:rsidRPr="00101B00">
        <w:rPr>
          <w:lang w:val="fr-CH"/>
        </w:rPr>
        <w:t xml:space="preserve"> de l</w:t>
      </w:r>
      <w:r w:rsidR="005F0D9B" w:rsidRPr="00101B00">
        <w:rPr>
          <w:lang w:val="fr-CH"/>
        </w:rPr>
        <w:t>’</w:t>
      </w:r>
      <w:r w:rsidRPr="00101B00">
        <w:rPr>
          <w:lang w:val="fr-CH"/>
        </w:rPr>
        <w:t>organisation de la cinquième réunion des présidents des organes subsidiaires, consacrée à l</w:t>
      </w:r>
      <w:r w:rsidR="005F0D9B" w:rsidRPr="00101B00">
        <w:rPr>
          <w:lang w:val="fr-CH"/>
        </w:rPr>
        <w:t>’</w:t>
      </w:r>
      <w:r w:rsidRPr="00101B00">
        <w:rPr>
          <w:lang w:val="fr-CH"/>
        </w:rPr>
        <w:t xml:space="preserve">accroissement de la participation des pays non membres de la CEE qui avaient adhéré aux instruments juridiques administrés par la CEE, </w:t>
      </w:r>
      <w:r w:rsidR="006101B8" w:rsidRPr="00101B00">
        <w:rPr>
          <w:lang w:val="fr-CH"/>
        </w:rPr>
        <w:t xml:space="preserve">qui </w:t>
      </w:r>
      <w:r w:rsidRPr="00101B00">
        <w:rPr>
          <w:lang w:val="fr-CH"/>
        </w:rPr>
        <w:t>avaient l</w:t>
      </w:r>
      <w:r w:rsidR="005F0D9B" w:rsidRPr="00101B00">
        <w:rPr>
          <w:lang w:val="fr-CH"/>
        </w:rPr>
        <w:t>’</w:t>
      </w:r>
      <w:r w:rsidRPr="00101B00">
        <w:rPr>
          <w:lang w:val="fr-CH"/>
        </w:rPr>
        <w:t xml:space="preserve">intention de le faire ou </w:t>
      </w:r>
      <w:r w:rsidR="006101B8" w:rsidRPr="00101B00">
        <w:rPr>
          <w:lang w:val="fr-CH"/>
        </w:rPr>
        <w:t xml:space="preserve">qui </w:t>
      </w:r>
      <w:r w:rsidRPr="00101B00">
        <w:rPr>
          <w:lang w:val="fr-CH"/>
        </w:rPr>
        <w:t>les avaient ratifiés, ainsi qu</w:t>
      </w:r>
      <w:r w:rsidR="005F0D9B" w:rsidRPr="00101B00">
        <w:rPr>
          <w:lang w:val="fr-CH"/>
        </w:rPr>
        <w:t>’</w:t>
      </w:r>
      <w:r w:rsidRPr="00101B00">
        <w:rPr>
          <w:lang w:val="fr-CH"/>
        </w:rPr>
        <w:t>à des questions liées au renforcement de la coopération, de la synergie et de l</w:t>
      </w:r>
      <w:r w:rsidR="005F0D9B" w:rsidRPr="00101B00">
        <w:rPr>
          <w:lang w:val="fr-CH"/>
        </w:rPr>
        <w:t>’</w:t>
      </w:r>
      <w:r w:rsidRPr="00101B00">
        <w:rPr>
          <w:lang w:val="fr-CH"/>
        </w:rPr>
        <w:t>interdépendance, et à l</w:t>
      </w:r>
      <w:r w:rsidR="005F0D9B" w:rsidRPr="00101B00">
        <w:rPr>
          <w:lang w:val="fr-CH"/>
        </w:rPr>
        <w:t>’</w:t>
      </w:r>
      <w:r w:rsidRPr="00101B00">
        <w:rPr>
          <w:lang w:val="fr-CH"/>
        </w:rPr>
        <w:t xml:space="preserve">échange </w:t>
      </w:r>
      <w:r w:rsidR="006101B8" w:rsidRPr="00101B00">
        <w:rPr>
          <w:lang w:val="fr-CH"/>
        </w:rPr>
        <w:t xml:space="preserve">de données </w:t>
      </w:r>
      <w:r w:rsidRPr="00101B00">
        <w:rPr>
          <w:lang w:val="fr-CH"/>
        </w:rPr>
        <w:t>d</w:t>
      </w:r>
      <w:r w:rsidR="005F0D9B" w:rsidRPr="00101B00">
        <w:rPr>
          <w:lang w:val="fr-CH"/>
        </w:rPr>
        <w:t>’</w:t>
      </w:r>
      <w:r w:rsidRPr="00101B00">
        <w:rPr>
          <w:lang w:val="fr-CH"/>
        </w:rPr>
        <w:t xml:space="preserve">expérience; il a </w:t>
      </w:r>
      <w:r w:rsidRPr="00014BCC">
        <w:rPr>
          <w:b/>
          <w:bCs/>
          <w:lang w:val="fr-CH"/>
        </w:rPr>
        <w:t>recommandé</w:t>
      </w:r>
      <w:r w:rsidRPr="00101B00">
        <w:rPr>
          <w:lang w:val="fr-CH"/>
        </w:rPr>
        <w:t xml:space="preserve"> que ces questions soient traitées lors des sessions du Comité en 2017 ou 2018.</w:t>
      </w:r>
    </w:p>
    <w:p w:rsidR="00554873" w:rsidRPr="00101B00" w:rsidRDefault="00554873" w:rsidP="005D36AF">
      <w:pPr>
        <w:pStyle w:val="SingleTxt"/>
        <w:numPr>
          <w:ilvl w:val="0"/>
          <w:numId w:val="7"/>
        </w:numPr>
        <w:tabs>
          <w:tab w:val="clear" w:pos="475"/>
          <w:tab w:val="num" w:pos="1742"/>
        </w:tabs>
        <w:ind w:left="1267"/>
        <w:rPr>
          <w:lang w:val="fr-CH"/>
        </w:rPr>
      </w:pPr>
      <w:r w:rsidRPr="00101B00">
        <w:rPr>
          <w:lang w:val="fr-CH"/>
        </w:rPr>
        <w:t>Après avoir évalué les pratiques actuelles qui permettraient d</w:t>
      </w:r>
      <w:r w:rsidR="005F0D9B" w:rsidRPr="00101B00">
        <w:rPr>
          <w:lang w:val="fr-CH"/>
        </w:rPr>
        <w:t>’</w:t>
      </w:r>
      <w:r w:rsidRPr="00101B00">
        <w:rPr>
          <w:lang w:val="fr-CH"/>
        </w:rPr>
        <w:t xml:space="preserve">accroître la participation des pays non membres de la CEE, telles que décrites dans le document ECE/TRANS/2015/2, le Comité a </w:t>
      </w:r>
      <w:r w:rsidRPr="00101B00">
        <w:rPr>
          <w:b/>
          <w:lang w:val="fr-CH"/>
        </w:rPr>
        <w:t>fait remarquer</w:t>
      </w:r>
      <w:r w:rsidRPr="00101B00">
        <w:rPr>
          <w:lang w:val="fr-CH"/>
        </w:rPr>
        <w:t xml:space="preserve"> que les sessions du Comité se tenaient à débats ouverts et que les décisions étaient généralement prises dans une optique de consensus; il a </w:t>
      </w:r>
      <w:r w:rsidRPr="00101B00">
        <w:rPr>
          <w:b/>
          <w:lang w:val="fr-CH"/>
        </w:rPr>
        <w:t>souligné</w:t>
      </w:r>
      <w:r w:rsidRPr="00101B00">
        <w:rPr>
          <w:lang w:val="fr-CH"/>
        </w:rPr>
        <w:t xml:space="preserve"> le pouvoir de décision des organes</w:t>
      </w:r>
      <w:r w:rsidR="006101B8" w:rsidRPr="00101B00">
        <w:rPr>
          <w:lang w:val="fr-CH"/>
        </w:rPr>
        <w:t xml:space="preserve"> conventionnels</w:t>
      </w:r>
      <w:r w:rsidRPr="00101B00">
        <w:rPr>
          <w:lang w:val="fr-CH"/>
        </w:rPr>
        <w:t>, c</w:t>
      </w:r>
      <w:r w:rsidR="005F0D9B" w:rsidRPr="00101B00">
        <w:rPr>
          <w:lang w:val="fr-CH"/>
        </w:rPr>
        <w:t>’</w:t>
      </w:r>
      <w:r w:rsidRPr="00101B00">
        <w:rPr>
          <w:lang w:val="fr-CH"/>
        </w:rPr>
        <w:t xml:space="preserve">est-à-dire des Comités </w:t>
      </w:r>
      <w:r w:rsidR="006101B8" w:rsidRPr="00101B00">
        <w:rPr>
          <w:lang w:val="fr-CH"/>
        </w:rPr>
        <w:t xml:space="preserve">d’administration </w:t>
      </w:r>
      <w:r w:rsidRPr="00101B00">
        <w:rPr>
          <w:lang w:val="fr-CH"/>
        </w:rPr>
        <w:t xml:space="preserve">des différents accords et conventions relatifs au transport où tous les États </w:t>
      </w:r>
      <w:r w:rsidR="005D36AF">
        <w:rPr>
          <w:lang w:val="fr-CH"/>
        </w:rPr>
        <w:t>p</w:t>
      </w:r>
      <w:r w:rsidRPr="00101B00">
        <w:rPr>
          <w:lang w:val="fr-CH"/>
        </w:rPr>
        <w:t>arties contractantes avaient le même droit de vote.</w:t>
      </w:r>
    </w:p>
    <w:p w:rsidR="00554873" w:rsidRPr="00101B00" w:rsidRDefault="00554873" w:rsidP="006101B8">
      <w:pPr>
        <w:pStyle w:val="SingleTxt"/>
        <w:numPr>
          <w:ilvl w:val="0"/>
          <w:numId w:val="7"/>
        </w:numPr>
        <w:tabs>
          <w:tab w:val="clear" w:pos="475"/>
          <w:tab w:val="num" w:pos="1742"/>
        </w:tabs>
        <w:ind w:left="1267"/>
        <w:rPr>
          <w:lang w:val="fr-CH"/>
        </w:rPr>
      </w:pPr>
      <w:r w:rsidRPr="00101B00">
        <w:rPr>
          <w:lang w:val="fr-CH"/>
        </w:rPr>
        <w:t>Compte tenu du caractère restreint des réunions, les résultats des débats seront distribués aux participants et aux présidents des groupes de travail sous la forme de conclusions du Président.</w:t>
      </w:r>
    </w:p>
    <w:p w:rsidR="00554873" w:rsidRPr="00101B00" w:rsidRDefault="00554873" w:rsidP="00554873">
      <w:pPr>
        <w:pStyle w:val="SingleTxt"/>
        <w:spacing w:after="0" w:line="120" w:lineRule="exact"/>
        <w:rPr>
          <w:sz w:val="10"/>
          <w:lang w:val="fr-CH"/>
        </w:rPr>
      </w:pPr>
    </w:p>
    <w:p w:rsidR="00554873" w:rsidRPr="00101B00" w:rsidRDefault="00554873" w:rsidP="00554873">
      <w:pPr>
        <w:pStyle w:val="SingleTxt"/>
        <w:spacing w:after="0" w:line="120" w:lineRule="exact"/>
        <w:rPr>
          <w:sz w:val="10"/>
          <w:lang w:val="fr-CH"/>
        </w:rPr>
      </w:pPr>
    </w:p>
    <w:p w:rsidR="00554873" w:rsidRPr="00101B00" w:rsidRDefault="00554873" w:rsidP="0055487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1B00">
        <w:rPr>
          <w:lang w:val="fr-CH"/>
        </w:rPr>
        <w:tab/>
        <w:t>VI.</w:t>
      </w:r>
      <w:r w:rsidRPr="00101B00">
        <w:rPr>
          <w:lang w:val="fr-CH"/>
        </w:rPr>
        <w:tab/>
        <w:t xml:space="preserve">Questions stratégiques de nature horizontale (point 4 </w:t>
      </w:r>
      <w:r w:rsidRPr="00101B00">
        <w:rPr>
          <w:lang w:val="fr-CH"/>
        </w:rPr>
        <w:br/>
        <w:t>de l</w:t>
      </w:r>
      <w:r w:rsidR="005F0D9B" w:rsidRPr="00101B00">
        <w:rPr>
          <w:lang w:val="fr-CH"/>
        </w:rPr>
        <w:t>’</w:t>
      </w:r>
      <w:r w:rsidRPr="00101B00">
        <w:rPr>
          <w:lang w:val="fr-CH"/>
        </w:rPr>
        <w:t>ordre du jour)</w:t>
      </w:r>
    </w:p>
    <w:p w:rsidR="00554873" w:rsidRPr="00101B00" w:rsidRDefault="00554873" w:rsidP="00554873">
      <w:pPr>
        <w:pStyle w:val="SingleTxt"/>
        <w:spacing w:after="0" w:line="120" w:lineRule="exact"/>
        <w:rPr>
          <w:sz w:val="10"/>
          <w:lang w:val="fr-CH"/>
        </w:rPr>
      </w:pPr>
    </w:p>
    <w:p w:rsidR="00554873" w:rsidRPr="00101B00" w:rsidRDefault="00554873" w:rsidP="00554873">
      <w:pPr>
        <w:pStyle w:val="SingleTxt"/>
        <w:spacing w:after="0" w:line="120" w:lineRule="exact"/>
        <w:rPr>
          <w:sz w:val="10"/>
          <w:lang w:val="fr-CH"/>
        </w:rPr>
      </w:pPr>
    </w:p>
    <w:p w:rsidR="00554873" w:rsidRPr="00101B00" w:rsidRDefault="00554873" w:rsidP="0055487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1B00">
        <w:rPr>
          <w:lang w:val="fr-CH"/>
        </w:rPr>
        <w:tab/>
        <w:t>A.</w:t>
      </w:r>
      <w:r w:rsidRPr="00101B00">
        <w:rPr>
          <w:lang w:val="fr-CH"/>
        </w:rPr>
        <w:tab/>
        <w:t>Travaux analytiques de la CEE dans le domaine des transports</w:t>
      </w:r>
    </w:p>
    <w:p w:rsidR="00554873" w:rsidRPr="00101B00" w:rsidRDefault="00554873" w:rsidP="00554873">
      <w:pPr>
        <w:pStyle w:val="SingleTxt"/>
        <w:spacing w:after="0" w:line="120" w:lineRule="exact"/>
        <w:rPr>
          <w:i/>
          <w:sz w:val="10"/>
          <w:lang w:val="fr-CH"/>
        </w:rPr>
      </w:pPr>
    </w:p>
    <w:p w:rsidR="00554873" w:rsidRPr="00101B00" w:rsidRDefault="00554873" w:rsidP="00554873">
      <w:pPr>
        <w:pStyle w:val="SingleTxt"/>
        <w:spacing w:after="0" w:line="120" w:lineRule="exact"/>
        <w:rPr>
          <w:i/>
          <w:sz w:val="10"/>
          <w:lang w:val="fr-CH"/>
        </w:rPr>
      </w:pPr>
    </w:p>
    <w:p w:rsidR="00554873" w:rsidRPr="00101B00" w:rsidRDefault="00554873" w:rsidP="0097090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693" w:right="1260" w:hanging="2693"/>
        <w:rPr>
          <w:b/>
          <w:i w:val="0"/>
          <w:iCs/>
          <w:lang w:val="fr-CH"/>
        </w:rPr>
      </w:pPr>
      <w:r w:rsidRPr="00101B00">
        <w:rPr>
          <w:lang w:val="fr-CH"/>
        </w:rPr>
        <w:tab/>
      </w:r>
      <w:r w:rsidRPr="00101B00">
        <w:rPr>
          <w:lang w:val="fr-CH"/>
        </w:rPr>
        <w:tab/>
        <w:t>Documents</w:t>
      </w:r>
      <w:r w:rsidR="005F0D9B" w:rsidRPr="00101B00">
        <w:rPr>
          <w:lang w:val="fr-CH"/>
        </w:rPr>
        <w:t> </w:t>
      </w:r>
      <w:r w:rsidR="005F0D9B" w:rsidRPr="00970907">
        <w:rPr>
          <w:i w:val="0"/>
          <w:iCs/>
          <w:lang w:val="fr-CH"/>
        </w:rPr>
        <w:t>:</w:t>
      </w:r>
      <w:r w:rsidRPr="00101B00">
        <w:rPr>
          <w:lang w:val="fr-CH"/>
        </w:rPr>
        <w:tab/>
      </w:r>
      <w:r w:rsidRPr="00101B00">
        <w:rPr>
          <w:i w:val="0"/>
          <w:iCs/>
          <w:lang w:val="fr-CH"/>
        </w:rPr>
        <w:t>ECE/TRANS/2015/3, document informel n</w:t>
      </w:r>
      <w:r w:rsidRPr="00101B00">
        <w:rPr>
          <w:i w:val="0"/>
          <w:iCs/>
          <w:vertAlign w:val="superscript"/>
          <w:lang w:val="fr-CH"/>
        </w:rPr>
        <w:t>o</w:t>
      </w:r>
      <w:r w:rsidRPr="00101B00">
        <w:rPr>
          <w:i w:val="0"/>
          <w:iCs/>
          <w:lang w:val="fr-CH"/>
        </w:rPr>
        <w:t> 2 (publication de la CEE), ECE/TRANS/WP.5/56, document informel n</w:t>
      </w:r>
      <w:r w:rsidRPr="00101B00">
        <w:rPr>
          <w:i w:val="0"/>
          <w:iCs/>
          <w:vertAlign w:val="superscript"/>
          <w:lang w:val="fr-CH"/>
        </w:rPr>
        <w:t>o</w:t>
      </w:r>
      <w:r w:rsidRPr="00101B00">
        <w:rPr>
          <w:i w:val="0"/>
          <w:iCs/>
          <w:lang w:val="fr-CH"/>
        </w:rPr>
        <w:t> 3 (publication de la CEE) et document informel n</w:t>
      </w:r>
      <w:r w:rsidRPr="00101B00">
        <w:rPr>
          <w:i w:val="0"/>
          <w:iCs/>
          <w:vertAlign w:val="superscript"/>
          <w:lang w:val="fr-CH"/>
        </w:rPr>
        <w:t>o</w:t>
      </w:r>
      <w:r w:rsidRPr="00101B00">
        <w:rPr>
          <w:i w:val="0"/>
          <w:iCs/>
          <w:lang w:val="fr-CH"/>
        </w:rPr>
        <w:t> 4 (publication de la CEE).</w:t>
      </w:r>
    </w:p>
    <w:p w:rsidR="00554873" w:rsidRPr="00101B00" w:rsidRDefault="00554873" w:rsidP="00554873">
      <w:pPr>
        <w:pStyle w:val="SingleTxt"/>
        <w:spacing w:after="0" w:line="120" w:lineRule="exact"/>
        <w:rPr>
          <w:sz w:val="10"/>
          <w:lang w:val="fr-CH"/>
        </w:rPr>
      </w:pPr>
    </w:p>
    <w:p w:rsidR="00554873" w:rsidRPr="00101B00" w:rsidRDefault="00554873" w:rsidP="006101B8">
      <w:pPr>
        <w:pStyle w:val="SingleTxt"/>
        <w:numPr>
          <w:ilvl w:val="0"/>
          <w:numId w:val="7"/>
        </w:numPr>
        <w:tabs>
          <w:tab w:val="clear" w:pos="475"/>
          <w:tab w:val="num" w:pos="1742"/>
        </w:tabs>
        <w:ind w:left="1267"/>
        <w:rPr>
          <w:lang w:val="fr-CH"/>
        </w:rPr>
      </w:pPr>
      <w:r w:rsidRPr="00101B00">
        <w:rPr>
          <w:lang w:val="fr-CH"/>
        </w:rPr>
        <w:t xml:space="preserve">Le secrétariat a </w:t>
      </w:r>
      <w:r w:rsidRPr="00101B00">
        <w:rPr>
          <w:b/>
          <w:lang w:val="fr-CH"/>
        </w:rPr>
        <w:t>informé</w:t>
      </w:r>
      <w:r w:rsidRPr="00101B00">
        <w:rPr>
          <w:lang w:val="fr-CH"/>
        </w:rPr>
        <w:t xml:space="preserve"> le Comité des travaux analytiques réalisés en 2014 (ECE/TRANS/2015/3). Ces travaux comprennent des études relatives à des questions d</w:t>
      </w:r>
      <w:r w:rsidR="005F0D9B" w:rsidRPr="00101B00">
        <w:rPr>
          <w:lang w:val="fr-CH"/>
        </w:rPr>
        <w:t>’</w:t>
      </w:r>
      <w:r w:rsidRPr="00101B00">
        <w:rPr>
          <w:lang w:val="fr-CH"/>
        </w:rPr>
        <w:t>actualité portant sur les transports, des analyses demandées par des groupes d</w:t>
      </w:r>
      <w:r w:rsidR="005F0D9B" w:rsidRPr="00101B00">
        <w:rPr>
          <w:lang w:val="fr-CH"/>
        </w:rPr>
        <w:t>’</w:t>
      </w:r>
      <w:r w:rsidRPr="00101B00">
        <w:rPr>
          <w:lang w:val="fr-CH"/>
        </w:rPr>
        <w:t>experts et des équipes spéciales officiels, des documents analytiques destinés à enrichir les travaux d</w:t>
      </w:r>
      <w:r w:rsidR="005F0D9B" w:rsidRPr="00101B00">
        <w:rPr>
          <w:lang w:val="fr-CH"/>
        </w:rPr>
        <w:t>’</w:t>
      </w:r>
      <w:r w:rsidRPr="00101B00">
        <w:rPr>
          <w:lang w:val="fr-CH"/>
        </w:rPr>
        <w:t>ateliers de renforcement des capacités, ainsi que des études analytiques qui servent de base à la réalisation ou à la gestion de différents projets ou qui en découlent. Ils ont été réalisés en application du programme de travail du Groupe de travail chargé d</w:t>
      </w:r>
      <w:r w:rsidR="005F0D9B" w:rsidRPr="00101B00">
        <w:rPr>
          <w:lang w:val="fr-CH"/>
        </w:rPr>
        <w:t>’</w:t>
      </w:r>
      <w:r w:rsidRPr="00101B00">
        <w:rPr>
          <w:lang w:val="fr-CH"/>
        </w:rPr>
        <w:t>examiner les tendances et l</w:t>
      </w:r>
      <w:r w:rsidR="005F0D9B" w:rsidRPr="00101B00">
        <w:rPr>
          <w:lang w:val="fr-CH"/>
        </w:rPr>
        <w:t>’</w:t>
      </w:r>
      <w:r w:rsidRPr="00101B00">
        <w:rPr>
          <w:lang w:val="fr-CH"/>
        </w:rPr>
        <w:t>économie des transports, ainsi que dans le cadre de la Division des transports.</w:t>
      </w:r>
    </w:p>
    <w:p w:rsidR="00554873" w:rsidRPr="00101B00" w:rsidRDefault="00554873" w:rsidP="006101B8">
      <w:pPr>
        <w:pStyle w:val="SingleTxt"/>
        <w:numPr>
          <w:ilvl w:val="0"/>
          <w:numId w:val="7"/>
        </w:numPr>
        <w:tabs>
          <w:tab w:val="clear" w:pos="475"/>
          <w:tab w:val="num" w:pos="1742"/>
        </w:tabs>
        <w:ind w:left="1267"/>
        <w:rPr>
          <w:lang w:val="fr-CH"/>
        </w:rPr>
      </w:pPr>
      <w:r w:rsidRPr="00101B00">
        <w:rPr>
          <w:lang w:val="fr-CH"/>
        </w:rPr>
        <w:t>M. Björn Oriwohl (Allemagne), Président du Groupe de travail chargé d</w:t>
      </w:r>
      <w:r w:rsidR="005F0D9B" w:rsidRPr="00101B00">
        <w:rPr>
          <w:lang w:val="fr-CH"/>
        </w:rPr>
        <w:t>’</w:t>
      </w:r>
      <w:r w:rsidRPr="00101B00">
        <w:rPr>
          <w:lang w:val="fr-CH"/>
        </w:rPr>
        <w:t>examiner les tendances et l</w:t>
      </w:r>
      <w:r w:rsidR="005F0D9B" w:rsidRPr="00101B00">
        <w:rPr>
          <w:lang w:val="fr-CH"/>
        </w:rPr>
        <w:t>’</w:t>
      </w:r>
      <w:r w:rsidRPr="00101B00">
        <w:rPr>
          <w:lang w:val="fr-CH"/>
        </w:rPr>
        <w:t xml:space="preserve">économie des transports (WP.5), a informé le Comité des principales réalisations de son groupe en 2014. Le Comité a </w:t>
      </w:r>
      <w:r w:rsidRPr="00101B00">
        <w:rPr>
          <w:b/>
          <w:lang w:val="fr-CH"/>
        </w:rPr>
        <w:t>rappelé</w:t>
      </w:r>
      <w:r w:rsidRPr="00101B00">
        <w:rPr>
          <w:lang w:val="fr-CH"/>
        </w:rPr>
        <w:t xml:space="preserve"> que le WP.5 était un cercle de réflexion qui étudiait des questions de nature horizontale intéressant les États membres et les autres organes subsidiaires du Comité. Il a </w:t>
      </w:r>
      <w:r w:rsidRPr="00101B00">
        <w:rPr>
          <w:b/>
          <w:lang w:val="fr-CH"/>
        </w:rPr>
        <w:t>pris note</w:t>
      </w:r>
      <w:r w:rsidRPr="00101B00">
        <w:rPr>
          <w:lang w:val="fr-CH"/>
        </w:rPr>
        <w:t xml:space="preserve"> des activités analytiques menées par la CEE en 2014. Le Comité s</w:t>
      </w:r>
      <w:r w:rsidR="005F0D9B" w:rsidRPr="00101B00">
        <w:rPr>
          <w:lang w:val="fr-CH"/>
        </w:rPr>
        <w:t>’</w:t>
      </w:r>
      <w:r w:rsidRPr="00101B00">
        <w:rPr>
          <w:lang w:val="fr-CH"/>
        </w:rPr>
        <w:t xml:space="preserve">est </w:t>
      </w:r>
      <w:r w:rsidRPr="00101B00">
        <w:rPr>
          <w:b/>
          <w:lang w:val="fr-CH"/>
        </w:rPr>
        <w:t>félicité</w:t>
      </w:r>
      <w:r w:rsidRPr="00101B00">
        <w:rPr>
          <w:lang w:val="fr-CH"/>
        </w:rPr>
        <w:t xml:space="preserve"> des résultats de l</w:t>
      </w:r>
      <w:r w:rsidR="005F0D9B" w:rsidRPr="00101B00">
        <w:rPr>
          <w:lang w:val="fr-CH"/>
        </w:rPr>
        <w:t>’</w:t>
      </w:r>
      <w:r w:rsidRPr="00101B00">
        <w:rPr>
          <w:lang w:val="fr-CH"/>
        </w:rPr>
        <w:t xml:space="preserve">étude sur la viabilité des transports et des modes de déplacement urbains dans la région de la CEE, a </w:t>
      </w:r>
      <w:r w:rsidRPr="00101B00">
        <w:rPr>
          <w:b/>
          <w:lang w:val="fr-CH"/>
        </w:rPr>
        <w:t>remercié</w:t>
      </w:r>
      <w:r w:rsidRPr="00101B00">
        <w:rPr>
          <w:lang w:val="fr-CH"/>
        </w:rPr>
        <w:t xml:space="preserve"> le secrétariat pour son analyse et a </w:t>
      </w:r>
      <w:r w:rsidRPr="00101B00">
        <w:rPr>
          <w:b/>
          <w:lang w:val="fr-CH"/>
        </w:rPr>
        <w:t>appelé instamment</w:t>
      </w:r>
      <w:r w:rsidRPr="00101B00">
        <w:rPr>
          <w:lang w:val="fr-CH"/>
        </w:rPr>
        <w:t xml:space="preserve"> le secrétariat à imprimer le rapport final dès que possible. Compte tenu de la nécessité de plus en plus impérieuse d</w:t>
      </w:r>
      <w:r w:rsidR="005F0D9B" w:rsidRPr="00101B00">
        <w:rPr>
          <w:lang w:val="fr-CH"/>
        </w:rPr>
        <w:t>’</w:t>
      </w:r>
      <w:r w:rsidRPr="00101B00">
        <w:rPr>
          <w:lang w:val="fr-CH"/>
        </w:rPr>
        <w:t xml:space="preserve">un transport homogène des passagers et des marchandises ainsi que du rôle des transports publics dans le développement durable, le Comité a </w:t>
      </w:r>
      <w:r w:rsidRPr="00101B00">
        <w:rPr>
          <w:b/>
          <w:lang w:val="fr-CH"/>
        </w:rPr>
        <w:t>décidé</w:t>
      </w:r>
      <w:r w:rsidRPr="00101B00">
        <w:rPr>
          <w:lang w:val="fr-CH"/>
        </w:rPr>
        <w:t xml:space="preserve"> de suivre régulièrement les évolutions en matière de mobilité et de transport urbains, notamment les liaisons réciproques entres les réseaux et services de transport urbains, régionaux, nationaux et internationaux. Le Comité a </w:t>
      </w:r>
      <w:r w:rsidRPr="00101B00">
        <w:rPr>
          <w:b/>
          <w:lang w:val="fr-CH"/>
        </w:rPr>
        <w:t>demandé</w:t>
      </w:r>
      <w:r w:rsidRPr="00101B00">
        <w:rPr>
          <w:lang w:val="fr-CH"/>
        </w:rPr>
        <w:t xml:space="preserve"> au WP.5 de suivre cette question.</w:t>
      </w:r>
    </w:p>
    <w:p w:rsidR="00554873" w:rsidRPr="00101B00" w:rsidRDefault="00554873" w:rsidP="006101B8">
      <w:pPr>
        <w:pStyle w:val="SingleTxt"/>
        <w:numPr>
          <w:ilvl w:val="0"/>
          <w:numId w:val="7"/>
        </w:numPr>
        <w:tabs>
          <w:tab w:val="clear" w:pos="475"/>
          <w:tab w:val="num" w:pos="1742"/>
        </w:tabs>
        <w:ind w:left="1267"/>
        <w:rPr>
          <w:lang w:val="fr-CH"/>
        </w:rPr>
      </w:pPr>
      <w:r w:rsidRPr="00101B00">
        <w:rPr>
          <w:lang w:val="fr-CH"/>
        </w:rPr>
        <w:lastRenderedPageBreak/>
        <w:t xml:space="preserve">Le Comité a aussi </w:t>
      </w:r>
      <w:r w:rsidRPr="00014BCC">
        <w:rPr>
          <w:b/>
          <w:bCs/>
          <w:lang w:val="fr-CH"/>
        </w:rPr>
        <w:t>pris note</w:t>
      </w:r>
      <w:r w:rsidRPr="00101B00">
        <w:rPr>
          <w:lang w:val="fr-CH"/>
        </w:rPr>
        <w:t xml:space="preserve"> du thème retenu par le WP.5 pour 2014-2015, à savoir le financement des infrastructures de transport et des innovations, qui ferait suite à la session de 2013 du Comité et aux ateliers organisés conjointement en 2013 et 2014 par le WP.5 et les responsables des projets LTEA, TEM et TER.</w:t>
      </w:r>
    </w:p>
    <w:p w:rsidR="00554873" w:rsidRPr="00101B00" w:rsidRDefault="00554873" w:rsidP="006101B8">
      <w:pPr>
        <w:pStyle w:val="SingleTxt"/>
        <w:numPr>
          <w:ilvl w:val="0"/>
          <w:numId w:val="7"/>
        </w:numPr>
        <w:tabs>
          <w:tab w:val="clear" w:pos="475"/>
          <w:tab w:val="num" w:pos="1742"/>
        </w:tabs>
        <w:ind w:left="1267"/>
        <w:rPr>
          <w:lang w:val="fr-CH"/>
        </w:rPr>
      </w:pPr>
      <w:r w:rsidRPr="00101B00">
        <w:rPr>
          <w:lang w:val="fr-CH"/>
        </w:rPr>
        <w:t>À la demande du Bureau, le secrétariat avait publié une version actualisée du document intitulé « Transport for Sustainable Development » (les transports</w:t>
      </w:r>
      <w:r w:rsidR="005F0D9B" w:rsidRPr="00101B00">
        <w:rPr>
          <w:lang w:val="fr-CH"/>
        </w:rPr>
        <w:t> :</w:t>
      </w:r>
      <w:r w:rsidRPr="00101B00">
        <w:rPr>
          <w:lang w:val="fr-CH"/>
        </w:rPr>
        <w:t xml:space="preserve"> moteur du développement durable), établi initialement à des fins de sensibilisation en amont de la Conférence Rio+20 et présenté à la CEE en 2011, et, en coopération avec d</w:t>
      </w:r>
      <w:r w:rsidR="005F0D9B" w:rsidRPr="00101B00">
        <w:rPr>
          <w:lang w:val="fr-CH"/>
        </w:rPr>
        <w:t>’</w:t>
      </w:r>
      <w:r w:rsidRPr="00101B00">
        <w:rPr>
          <w:lang w:val="fr-CH"/>
        </w:rPr>
        <w:t>autres commissions régionales et organisations non gouvernementales pertinentes, telles que l</w:t>
      </w:r>
      <w:r w:rsidR="005F0D9B" w:rsidRPr="00101B00">
        <w:rPr>
          <w:lang w:val="fr-CH"/>
        </w:rPr>
        <w:t>’</w:t>
      </w:r>
      <w:r w:rsidRPr="00101B00">
        <w:rPr>
          <w:lang w:val="fr-CH"/>
        </w:rPr>
        <w:t>IRU et UIC, en avait fait un document d</w:t>
      </w:r>
      <w:r w:rsidR="005F0D9B" w:rsidRPr="00101B00">
        <w:rPr>
          <w:lang w:val="fr-CH"/>
        </w:rPr>
        <w:t>’</w:t>
      </w:r>
      <w:r w:rsidRPr="00101B00">
        <w:rPr>
          <w:lang w:val="fr-CH"/>
        </w:rPr>
        <w:t>examen mondial des questions intéressant le transport intérieur. Le Comité s</w:t>
      </w:r>
      <w:r w:rsidR="005F0D9B" w:rsidRPr="00101B00">
        <w:rPr>
          <w:lang w:val="fr-CH"/>
        </w:rPr>
        <w:t>’</w:t>
      </w:r>
      <w:r w:rsidRPr="00101B00">
        <w:rPr>
          <w:lang w:val="fr-CH"/>
        </w:rPr>
        <w:t xml:space="preserve">est </w:t>
      </w:r>
      <w:r w:rsidRPr="00101B00">
        <w:rPr>
          <w:b/>
          <w:lang w:val="fr-CH"/>
        </w:rPr>
        <w:t>félicité</w:t>
      </w:r>
      <w:r w:rsidRPr="00101B00">
        <w:rPr>
          <w:lang w:val="fr-CH"/>
        </w:rPr>
        <w:t xml:space="preserve"> de l</w:t>
      </w:r>
      <w:r w:rsidR="005F0D9B" w:rsidRPr="00101B00">
        <w:rPr>
          <w:lang w:val="fr-CH"/>
        </w:rPr>
        <w:t>’</w:t>
      </w:r>
      <w:r w:rsidRPr="00101B00">
        <w:rPr>
          <w:lang w:val="fr-CH"/>
        </w:rPr>
        <w:t>actualisation et de la transposition à plus grande échelle de cette importante publication.</w:t>
      </w:r>
    </w:p>
    <w:p w:rsidR="00554873" w:rsidRPr="00101B00" w:rsidRDefault="00554873" w:rsidP="006101B8">
      <w:pPr>
        <w:pStyle w:val="SingleTxt"/>
        <w:numPr>
          <w:ilvl w:val="0"/>
          <w:numId w:val="7"/>
        </w:numPr>
        <w:tabs>
          <w:tab w:val="clear" w:pos="475"/>
          <w:tab w:val="num" w:pos="1742"/>
        </w:tabs>
        <w:ind w:left="1267"/>
        <w:rPr>
          <w:lang w:val="fr-CH"/>
        </w:rPr>
      </w:pPr>
      <w:r w:rsidRPr="00101B00">
        <w:rPr>
          <w:lang w:val="fr-CH"/>
        </w:rPr>
        <w:t xml:space="preserve">Le Comité a également </w:t>
      </w:r>
      <w:r w:rsidRPr="00101B00">
        <w:rPr>
          <w:b/>
          <w:lang w:val="fr-CH"/>
        </w:rPr>
        <w:t>pris acte avec satisfaction</w:t>
      </w:r>
      <w:r w:rsidRPr="00101B00">
        <w:rPr>
          <w:lang w:val="fr-CH"/>
        </w:rPr>
        <w:t xml:space="preserve"> des résultats de l</w:t>
      </w:r>
      <w:r w:rsidR="005F0D9B" w:rsidRPr="00101B00">
        <w:rPr>
          <w:lang w:val="fr-CH"/>
        </w:rPr>
        <w:t>’</w:t>
      </w:r>
      <w:r w:rsidRPr="00101B00">
        <w:rPr>
          <w:lang w:val="fr-CH"/>
        </w:rPr>
        <w:t>atelier tenu sur le thème « Tendances et économie des transports dans la région de la Méditerranée</w:t>
      </w:r>
      <w:r w:rsidR="005F0D9B" w:rsidRPr="00101B00">
        <w:rPr>
          <w:lang w:val="fr-CH"/>
        </w:rPr>
        <w:t> :</w:t>
      </w:r>
      <w:r w:rsidRPr="00101B00">
        <w:rPr>
          <w:lang w:val="fr-CH"/>
        </w:rPr>
        <w:t xml:space="preserve"> échange de données d</w:t>
      </w:r>
      <w:r w:rsidR="005F0D9B" w:rsidRPr="00101B00">
        <w:rPr>
          <w:lang w:val="fr-CH"/>
        </w:rPr>
        <w:t>’</w:t>
      </w:r>
      <w:r w:rsidRPr="00101B00">
        <w:rPr>
          <w:lang w:val="fr-CH"/>
        </w:rPr>
        <w:t xml:space="preserve">expérience entre pays de la zone EuroMed et pays membres de la CEE » (Genève, 9 septembre 2014). </w:t>
      </w:r>
    </w:p>
    <w:p w:rsidR="00554873" w:rsidRPr="00101B00" w:rsidRDefault="00554873" w:rsidP="006101B8">
      <w:pPr>
        <w:pStyle w:val="SingleTxt"/>
        <w:numPr>
          <w:ilvl w:val="0"/>
          <w:numId w:val="7"/>
        </w:numPr>
        <w:tabs>
          <w:tab w:val="clear" w:pos="475"/>
          <w:tab w:val="num" w:pos="1742"/>
        </w:tabs>
        <w:ind w:left="1267"/>
        <w:rPr>
          <w:lang w:val="fr-CH"/>
        </w:rPr>
      </w:pPr>
      <w:r w:rsidRPr="00101B00">
        <w:rPr>
          <w:lang w:val="fr-CH"/>
        </w:rPr>
        <w:t xml:space="preserve">Le Comité a </w:t>
      </w:r>
      <w:r w:rsidRPr="00101B00">
        <w:rPr>
          <w:b/>
          <w:lang w:val="fr-CH"/>
        </w:rPr>
        <w:t>constaté</w:t>
      </w:r>
      <w:r w:rsidRPr="00101B00">
        <w:rPr>
          <w:lang w:val="fr-CH"/>
        </w:rPr>
        <w:t xml:space="preserve"> que le rapport sur le système de transport et de logistique de la République du Bélarus avait été publié en russe depuis sa présentation à la session précédente du Comité. </w:t>
      </w:r>
    </w:p>
    <w:p w:rsidR="00554873" w:rsidRPr="00101B00" w:rsidRDefault="00554873" w:rsidP="00554873">
      <w:pPr>
        <w:pStyle w:val="SingleTxt"/>
        <w:spacing w:after="0" w:line="120" w:lineRule="exact"/>
        <w:rPr>
          <w:sz w:val="10"/>
          <w:lang w:val="fr-CH"/>
        </w:rPr>
      </w:pPr>
    </w:p>
    <w:p w:rsidR="00554873" w:rsidRPr="00101B00" w:rsidRDefault="00554873" w:rsidP="00554873">
      <w:pPr>
        <w:pStyle w:val="SingleTxt"/>
        <w:spacing w:after="0" w:line="120" w:lineRule="exact"/>
        <w:rPr>
          <w:sz w:val="10"/>
          <w:lang w:val="fr-CH"/>
        </w:rPr>
      </w:pPr>
    </w:p>
    <w:p w:rsidR="00554873" w:rsidRPr="00101B00" w:rsidRDefault="00101B00" w:rsidP="0055487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B.</w:t>
      </w:r>
      <w:r>
        <w:rPr>
          <w:lang w:val="fr-CH"/>
        </w:rPr>
        <w:tab/>
      </w:r>
      <w:r w:rsidR="00554873" w:rsidRPr="00101B00">
        <w:rPr>
          <w:lang w:val="fr-CH"/>
        </w:rPr>
        <w:t>Environnement, changements climatiques et transports</w:t>
      </w:r>
    </w:p>
    <w:p w:rsidR="00554873" w:rsidRPr="00101B00" w:rsidRDefault="00554873" w:rsidP="00554873">
      <w:pPr>
        <w:pStyle w:val="SingleTxt"/>
        <w:spacing w:after="0" w:line="120" w:lineRule="exact"/>
        <w:rPr>
          <w:sz w:val="10"/>
          <w:lang w:val="fr-CH"/>
        </w:rPr>
      </w:pPr>
    </w:p>
    <w:p w:rsidR="00554873" w:rsidRPr="00101B00" w:rsidRDefault="00554873" w:rsidP="00554873">
      <w:pPr>
        <w:pStyle w:val="SingleTxt"/>
        <w:spacing w:after="0" w:line="120" w:lineRule="exact"/>
        <w:rPr>
          <w:sz w:val="10"/>
          <w:lang w:val="fr-CH"/>
        </w:rPr>
      </w:pPr>
    </w:p>
    <w:p w:rsidR="00554873" w:rsidRPr="00101B00" w:rsidRDefault="00554873" w:rsidP="005548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1B00">
        <w:rPr>
          <w:lang w:val="fr-CH"/>
        </w:rPr>
        <w:tab/>
        <w:t>1.</w:t>
      </w:r>
      <w:r w:rsidRPr="00101B00">
        <w:rPr>
          <w:lang w:val="fr-CH"/>
        </w:rPr>
        <w:tab/>
        <w:t>Suite donnée par le Comité à la Conférence Rio+20</w:t>
      </w:r>
    </w:p>
    <w:p w:rsidR="00554873" w:rsidRPr="00101B00" w:rsidRDefault="00554873" w:rsidP="00554873">
      <w:pPr>
        <w:pStyle w:val="SingleTxt"/>
        <w:spacing w:after="0" w:line="120" w:lineRule="exact"/>
        <w:rPr>
          <w:i/>
          <w:sz w:val="10"/>
          <w:lang w:val="fr-CH"/>
        </w:rPr>
      </w:pPr>
    </w:p>
    <w:p w:rsidR="00554873" w:rsidRPr="00101B00" w:rsidRDefault="00554873" w:rsidP="0055487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val="0"/>
          <w:iCs/>
          <w:lang w:val="fr-CH"/>
        </w:rPr>
      </w:pPr>
      <w:r w:rsidRPr="00101B00">
        <w:rPr>
          <w:lang w:val="fr-CH"/>
        </w:rPr>
        <w:tab/>
      </w:r>
      <w:r w:rsidRPr="00101B00">
        <w:rPr>
          <w:lang w:val="fr-CH"/>
        </w:rPr>
        <w:tab/>
        <w:t>Document</w:t>
      </w:r>
      <w:r w:rsidR="005F0D9B" w:rsidRPr="00101B00">
        <w:rPr>
          <w:lang w:val="fr-CH"/>
        </w:rPr>
        <w:t> </w:t>
      </w:r>
      <w:r w:rsidR="005F0D9B" w:rsidRPr="00101B00">
        <w:rPr>
          <w:i w:val="0"/>
          <w:iCs/>
          <w:lang w:val="fr-CH"/>
        </w:rPr>
        <w:t>:</w:t>
      </w:r>
      <w:r w:rsidRPr="00101B00">
        <w:rPr>
          <w:i w:val="0"/>
          <w:iCs/>
          <w:lang w:val="fr-CH"/>
        </w:rPr>
        <w:tab/>
        <w:t>ECE/TRANS/2015/4.</w:t>
      </w:r>
    </w:p>
    <w:p w:rsidR="00554873" w:rsidRPr="00101B00" w:rsidRDefault="00554873" w:rsidP="00554873">
      <w:pPr>
        <w:pStyle w:val="SingleTxt"/>
        <w:spacing w:after="0" w:line="120" w:lineRule="exact"/>
        <w:rPr>
          <w:sz w:val="10"/>
          <w:lang w:val="fr-CH"/>
        </w:rPr>
      </w:pPr>
    </w:p>
    <w:p w:rsidR="00554873" w:rsidRPr="00101B00" w:rsidRDefault="00554873" w:rsidP="006101B8">
      <w:pPr>
        <w:pStyle w:val="SingleTxt"/>
        <w:numPr>
          <w:ilvl w:val="0"/>
          <w:numId w:val="7"/>
        </w:numPr>
        <w:tabs>
          <w:tab w:val="clear" w:pos="475"/>
          <w:tab w:val="num" w:pos="1742"/>
        </w:tabs>
        <w:ind w:left="1267"/>
        <w:rPr>
          <w:lang w:val="fr-CH"/>
        </w:rPr>
      </w:pPr>
      <w:r w:rsidRPr="00101B00">
        <w:rPr>
          <w:lang w:val="fr-CH"/>
        </w:rPr>
        <w:t xml:space="preserve">Le Comité a </w:t>
      </w:r>
      <w:r w:rsidRPr="00101B00">
        <w:rPr>
          <w:b/>
          <w:lang w:val="fr-CH"/>
        </w:rPr>
        <w:t>été informé</w:t>
      </w:r>
      <w:r w:rsidRPr="00101B00">
        <w:rPr>
          <w:lang w:val="fr-CH"/>
        </w:rPr>
        <w:t xml:space="preserve"> des négociations en cours à l</w:t>
      </w:r>
      <w:r w:rsidR="005F0D9B" w:rsidRPr="00101B00">
        <w:rPr>
          <w:lang w:val="fr-CH"/>
        </w:rPr>
        <w:t>’</w:t>
      </w:r>
      <w:r w:rsidRPr="00101B00">
        <w:rPr>
          <w:lang w:val="fr-CH"/>
        </w:rPr>
        <w:t>échelon mondial sur la définition des objectifs de développement durable pour l</w:t>
      </w:r>
      <w:r w:rsidR="005F0D9B" w:rsidRPr="00101B00">
        <w:rPr>
          <w:lang w:val="fr-CH"/>
        </w:rPr>
        <w:t>’</w:t>
      </w:r>
      <w:r w:rsidRPr="00101B00">
        <w:rPr>
          <w:lang w:val="fr-CH"/>
        </w:rPr>
        <w:t>après-2015 et des principaux faits nouveaux en ce qui concerne la place des transports durables dans le cadre de ces objectifs; à cet égard, il s</w:t>
      </w:r>
      <w:r w:rsidR="005F0D9B" w:rsidRPr="00101B00">
        <w:rPr>
          <w:lang w:val="fr-CH"/>
        </w:rPr>
        <w:t>’</w:t>
      </w:r>
      <w:r w:rsidRPr="00101B00">
        <w:rPr>
          <w:lang w:val="fr-CH"/>
        </w:rPr>
        <w:t xml:space="preserve">est à nouveau </w:t>
      </w:r>
      <w:r w:rsidRPr="00101B00">
        <w:rPr>
          <w:b/>
          <w:lang w:val="fr-CH"/>
        </w:rPr>
        <w:t>dit favorable</w:t>
      </w:r>
      <w:r w:rsidRPr="00101B00">
        <w:rPr>
          <w:lang w:val="fr-CH"/>
        </w:rPr>
        <w:t xml:space="preserve"> à ce que des priorités en matière de transport soient ajoutées de manière cohérente et exhaustive aux objectifs de développement durable.</w:t>
      </w:r>
    </w:p>
    <w:p w:rsidR="00554873" w:rsidRPr="00101B00" w:rsidRDefault="00554873" w:rsidP="00006E93">
      <w:pPr>
        <w:pStyle w:val="SingleTxt"/>
        <w:numPr>
          <w:ilvl w:val="0"/>
          <w:numId w:val="7"/>
        </w:numPr>
        <w:tabs>
          <w:tab w:val="clear" w:pos="475"/>
          <w:tab w:val="num" w:pos="1742"/>
        </w:tabs>
        <w:ind w:left="1267"/>
        <w:rPr>
          <w:lang w:val="fr-CH"/>
        </w:rPr>
      </w:pPr>
      <w:r w:rsidRPr="00101B00">
        <w:rPr>
          <w:lang w:val="fr-CH"/>
        </w:rPr>
        <w:t xml:space="preserve">À cet effet, et après avoir </w:t>
      </w:r>
      <w:r w:rsidR="00006E93" w:rsidRPr="00101B00">
        <w:rPr>
          <w:lang w:val="fr-CH"/>
        </w:rPr>
        <w:t xml:space="preserve">examiné </w:t>
      </w:r>
      <w:r w:rsidRPr="00101B00">
        <w:rPr>
          <w:lang w:val="fr-CH"/>
        </w:rPr>
        <w:t xml:space="preserve">les priorités </w:t>
      </w:r>
      <w:r w:rsidR="00006E93" w:rsidRPr="00101B00">
        <w:rPr>
          <w:lang w:val="fr-CH"/>
        </w:rPr>
        <w:t xml:space="preserve">en matière de transport figurant </w:t>
      </w:r>
      <w:r w:rsidRPr="00101B00">
        <w:rPr>
          <w:lang w:val="fr-CH"/>
        </w:rPr>
        <w:t>dans un grand nombre d</w:t>
      </w:r>
      <w:r w:rsidR="005F0D9B" w:rsidRPr="00101B00">
        <w:rPr>
          <w:lang w:val="fr-CH"/>
        </w:rPr>
        <w:t>’</w:t>
      </w:r>
      <w:r w:rsidRPr="00101B00">
        <w:rPr>
          <w:lang w:val="fr-CH"/>
        </w:rPr>
        <w:t xml:space="preserve">objectifs de développement durable proposés, le Comité a </w:t>
      </w:r>
      <w:r w:rsidRPr="00101B00">
        <w:rPr>
          <w:b/>
          <w:lang w:val="fr-CH"/>
        </w:rPr>
        <w:t>prié</w:t>
      </w:r>
      <w:r w:rsidRPr="00101B00">
        <w:rPr>
          <w:lang w:val="fr-CH"/>
        </w:rPr>
        <w:t xml:space="preserve"> le secrétariat de suivre attentivement les débats sur ces objectifs.</w:t>
      </w:r>
    </w:p>
    <w:p w:rsidR="00554873" w:rsidRPr="00101B00" w:rsidRDefault="00554873" w:rsidP="00006E93">
      <w:pPr>
        <w:pStyle w:val="SingleTxt"/>
        <w:numPr>
          <w:ilvl w:val="0"/>
          <w:numId w:val="7"/>
        </w:numPr>
        <w:tabs>
          <w:tab w:val="clear" w:pos="475"/>
          <w:tab w:val="num" w:pos="1742"/>
        </w:tabs>
        <w:ind w:left="1267"/>
        <w:rPr>
          <w:lang w:val="fr-CH"/>
        </w:rPr>
      </w:pPr>
      <w:r w:rsidRPr="00101B00">
        <w:rPr>
          <w:lang w:val="fr-CH"/>
        </w:rPr>
        <w:t xml:space="preserve">Le Comité a </w:t>
      </w:r>
      <w:r w:rsidRPr="00101B00">
        <w:rPr>
          <w:b/>
          <w:lang w:val="fr-CH"/>
        </w:rPr>
        <w:t>constaté avec satisfaction</w:t>
      </w:r>
      <w:r w:rsidRPr="00101B00">
        <w:rPr>
          <w:lang w:val="fr-CH"/>
        </w:rPr>
        <w:t xml:space="preserve"> que le document intitulé « Transport for Sustainable Development », établi en 2011 à des fins de sensibilisation en amont de la Conférence Rio+20, avait été publié à l</w:t>
      </w:r>
      <w:r w:rsidR="005F0D9B" w:rsidRPr="00101B00">
        <w:rPr>
          <w:lang w:val="fr-CH"/>
        </w:rPr>
        <w:t>’</w:t>
      </w:r>
      <w:r w:rsidRPr="00101B00">
        <w:rPr>
          <w:lang w:val="fr-CH"/>
        </w:rPr>
        <w:t xml:space="preserve">échelle mondiale, a </w:t>
      </w:r>
      <w:r w:rsidR="00006E93" w:rsidRPr="00101B00">
        <w:rPr>
          <w:b/>
          <w:lang w:val="fr-CH"/>
        </w:rPr>
        <w:t>salué</w:t>
      </w:r>
      <w:r w:rsidR="00006E93" w:rsidRPr="00101B00">
        <w:rPr>
          <w:bCs/>
          <w:lang w:val="fr-CH"/>
        </w:rPr>
        <w:t xml:space="preserve"> le</w:t>
      </w:r>
      <w:r w:rsidR="00C25CDD">
        <w:rPr>
          <w:bCs/>
          <w:lang w:val="fr-CH"/>
        </w:rPr>
        <w:t xml:space="preserve"> </w:t>
      </w:r>
      <w:r w:rsidR="00006E93" w:rsidRPr="00101B00">
        <w:rPr>
          <w:bCs/>
          <w:lang w:val="fr-CH"/>
        </w:rPr>
        <w:t xml:space="preserve">fait que </w:t>
      </w:r>
      <w:r w:rsidRPr="00101B00">
        <w:rPr>
          <w:lang w:val="fr-CH"/>
        </w:rPr>
        <w:t>cette publication</w:t>
      </w:r>
      <w:r w:rsidR="00006E93" w:rsidRPr="00101B00">
        <w:rPr>
          <w:lang w:val="fr-CH"/>
        </w:rPr>
        <w:t xml:space="preserve"> a été élaborée</w:t>
      </w:r>
      <w:r w:rsidRPr="00101B00">
        <w:rPr>
          <w:lang w:val="fr-CH"/>
        </w:rPr>
        <w:t xml:space="preserve"> en collaboration avec les autres commissions régionales, l</w:t>
      </w:r>
      <w:r w:rsidR="005F0D9B" w:rsidRPr="00101B00">
        <w:rPr>
          <w:lang w:val="fr-CH"/>
        </w:rPr>
        <w:t>’</w:t>
      </w:r>
      <w:r w:rsidRPr="00101B00">
        <w:rPr>
          <w:lang w:val="fr-CH"/>
        </w:rPr>
        <w:t>Union internationale des chemins de fer (UIC) et l</w:t>
      </w:r>
      <w:r w:rsidR="005F0D9B" w:rsidRPr="00101B00">
        <w:rPr>
          <w:lang w:val="fr-CH"/>
        </w:rPr>
        <w:t>’</w:t>
      </w:r>
      <w:r w:rsidRPr="00101B00">
        <w:rPr>
          <w:lang w:val="fr-CH"/>
        </w:rPr>
        <w:t xml:space="preserve">Union internationale des transports routiers (IRU), a </w:t>
      </w:r>
      <w:r w:rsidRPr="00101B00">
        <w:rPr>
          <w:b/>
          <w:lang w:val="fr-CH"/>
        </w:rPr>
        <w:t>prié</w:t>
      </w:r>
      <w:r w:rsidRPr="00101B00">
        <w:rPr>
          <w:lang w:val="fr-CH"/>
        </w:rPr>
        <w:t xml:space="preserve"> le secrétariat d</w:t>
      </w:r>
      <w:r w:rsidR="005F0D9B" w:rsidRPr="00101B00">
        <w:rPr>
          <w:lang w:val="fr-CH"/>
        </w:rPr>
        <w:t>’</w:t>
      </w:r>
      <w:r w:rsidRPr="00101B00">
        <w:rPr>
          <w:lang w:val="fr-CH"/>
        </w:rPr>
        <w:t xml:space="preserve">en assurer la </w:t>
      </w:r>
      <w:r w:rsidR="00006E93" w:rsidRPr="00101B00">
        <w:rPr>
          <w:lang w:val="fr-CH"/>
        </w:rPr>
        <w:t xml:space="preserve">diffusion </w:t>
      </w:r>
      <w:r w:rsidRPr="00101B00">
        <w:rPr>
          <w:lang w:val="fr-CH"/>
        </w:rPr>
        <w:t xml:space="preserve">par voie électronique et sur support papier, et a </w:t>
      </w:r>
      <w:r w:rsidRPr="00101B00">
        <w:rPr>
          <w:b/>
          <w:lang w:val="fr-CH"/>
        </w:rPr>
        <w:t>encouragé</w:t>
      </w:r>
      <w:r w:rsidRPr="00101B00">
        <w:rPr>
          <w:lang w:val="fr-CH"/>
        </w:rPr>
        <w:t xml:space="preserve"> les gouvernements à en faire usage dans le cadre de leurs négociations en cours, quand cela était pertinent.</w:t>
      </w:r>
    </w:p>
    <w:p w:rsidR="00554873" w:rsidRPr="00101B00" w:rsidRDefault="00554873" w:rsidP="00554873">
      <w:pPr>
        <w:pStyle w:val="SingleTxt"/>
        <w:spacing w:after="0" w:line="120" w:lineRule="exact"/>
        <w:rPr>
          <w:sz w:val="10"/>
          <w:lang w:val="fr-CH"/>
        </w:rPr>
      </w:pPr>
    </w:p>
    <w:p w:rsidR="00554873" w:rsidRPr="00101B00" w:rsidRDefault="00554873" w:rsidP="005548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1B00">
        <w:rPr>
          <w:lang w:val="fr-CH"/>
        </w:rPr>
        <w:tab/>
        <w:t>2.</w:t>
      </w:r>
      <w:r w:rsidRPr="00101B00">
        <w:rPr>
          <w:lang w:val="fr-CH"/>
        </w:rPr>
        <w:tab/>
        <w:t>Atténuation des effets nocifs des transports intérieurs pour l</w:t>
      </w:r>
      <w:r w:rsidR="005F0D9B" w:rsidRPr="00101B00">
        <w:rPr>
          <w:lang w:val="fr-CH"/>
        </w:rPr>
        <w:t>’</w:t>
      </w:r>
      <w:r w:rsidRPr="00101B00">
        <w:rPr>
          <w:lang w:val="fr-CH"/>
        </w:rPr>
        <w:t>environnement</w:t>
      </w:r>
    </w:p>
    <w:p w:rsidR="00554873" w:rsidRPr="00101B00" w:rsidRDefault="00554873" w:rsidP="00554873">
      <w:pPr>
        <w:pStyle w:val="SingleTxt"/>
        <w:spacing w:after="0" w:line="120" w:lineRule="exact"/>
        <w:rPr>
          <w:i/>
          <w:sz w:val="10"/>
          <w:lang w:val="fr-CH"/>
        </w:rPr>
      </w:pPr>
    </w:p>
    <w:p w:rsidR="00554873" w:rsidRPr="00101B00" w:rsidRDefault="00554873" w:rsidP="0097090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693" w:right="1260" w:hanging="2693"/>
        <w:rPr>
          <w:i w:val="0"/>
          <w:iCs/>
          <w:lang w:val="fr-CH"/>
        </w:rPr>
      </w:pPr>
      <w:r w:rsidRPr="00101B00">
        <w:rPr>
          <w:lang w:val="fr-CH"/>
        </w:rPr>
        <w:tab/>
      </w:r>
      <w:r w:rsidRPr="00101B00">
        <w:rPr>
          <w:lang w:val="fr-CH"/>
        </w:rPr>
        <w:tab/>
        <w:t>Documents</w:t>
      </w:r>
      <w:r w:rsidR="005F0D9B" w:rsidRPr="00101B00">
        <w:rPr>
          <w:lang w:val="fr-CH"/>
        </w:rPr>
        <w:t> </w:t>
      </w:r>
      <w:r w:rsidR="005F0D9B" w:rsidRPr="00970907">
        <w:rPr>
          <w:i w:val="0"/>
          <w:iCs/>
          <w:lang w:val="fr-CH"/>
        </w:rPr>
        <w:t>:</w:t>
      </w:r>
      <w:r w:rsidRPr="00101B00">
        <w:rPr>
          <w:i w:val="0"/>
          <w:iCs/>
          <w:lang w:val="fr-CH"/>
        </w:rPr>
        <w:tab/>
        <w:t>Document informel n</w:t>
      </w:r>
      <w:r w:rsidRPr="00101B00">
        <w:rPr>
          <w:i w:val="0"/>
          <w:iCs/>
          <w:vertAlign w:val="superscript"/>
          <w:lang w:val="fr-CH"/>
        </w:rPr>
        <w:t>o</w:t>
      </w:r>
      <w:r w:rsidRPr="00101B00">
        <w:rPr>
          <w:i w:val="0"/>
          <w:iCs/>
          <w:lang w:val="fr-CH"/>
        </w:rPr>
        <w:t> 5 (publication de la CEE), document informel n</w:t>
      </w:r>
      <w:r w:rsidRPr="00101B00">
        <w:rPr>
          <w:i w:val="0"/>
          <w:iCs/>
          <w:vertAlign w:val="superscript"/>
          <w:lang w:val="fr-CH"/>
        </w:rPr>
        <w:t>o</w:t>
      </w:r>
      <w:r w:rsidRPr="00101B00">
        <w:rPr>
          <w:i w:val="0"/>
          <w:iCs/>
          <w:lang w:val="fr-CH"/>
        </w:rPr>
        <w:t> 6, document informel n</w:t>
      </w:r>
      <w:r w:rsidRPr="00101B00">
        <w:rPr>
          <w:i w:val="0"/>
          <w:iCs/>
          <w:vertAlign w:val="superscript"/>
          <w:lang w:val="fr-CH"/>
        </w:rPr>
        <w:t>o</w:t>
      </w:r>
      <w:r w:rsidRPr="00101B00">
        <w:rPr>
          <w:i w:val="0"/>
          <w:iCs/>
          <w:lang w:val="fr-CH"/>
        </w:rPr>
        <w:t> 7 et ECE/TRANS/2015/5.</w:t>
      </w:r>
    </w:p>
    <w:p w:rsidR="00554873" w:rsidRPr="00101B00" w:rsidRDefault="00554873" w:rsidP="00554873">
      <w:pPr>
        <w:pStyle w:val="SingleTxt"/>
        <w:spacing w:after="0" w:line="120" w:lineRule="exact"/>
        <w:rPr>
          <w:sz w:val="10"/>
          <w:lang w:val="fr-CH"/>
        </w:rPr>
      </w:pPr>
    </w:p>
    <w:p w:rsidR="00554873" w:rsidRPr="00101B00" w:rsidRDefault="00554873" w:rsidP="006101B8">
      <w:pPr>
        <w:pStyle w:val="SingleTxt"/>
        <w:numPr>
          <w:ilvl w:val="0"/>
          <w:numId w:val="7"/>
        </w:numPr>
        <w:tabs>
          <w:tab w:val="clear" w:pos="475"/>
          <w:tab w:val="num" w:pos="1742"/>
        </w:tabs>
        <w:ind w:left="1267"/>
        <w:rPr>
          <w:lang w:val="fr-CH"/>
        </w:rPr>
      </w:pPr>
      <w:r w:rsidRPr="00101B00">
        <w:rPr>
          <w:lang w:val="fr-CH"/>
        </w:rPr>
        <w:t xml:space="preserve">Le Comité a </w:t>
      </w:r>
      <w:r w:rsidRPr="00101B00">
        <w:rPr>
          <w:b/>
          <w:lang w:val="fr-CH"/>
        </w:rPr>
        <w:t>pris note</w:t>
      </w:r>
      <w:r w:rsidRPr="00101B00">
        <w:rPr>
          <w:lang w:val="fr-CH"/>
        </w:rPr>
        <w:t xml:space="preserve"> de la publication, en mai 2014, du document de travail intitulé « Diesel engine exhausts</w:t>
      </w:r>
      <w:r w:rsidR="005F0D9B" w:rsidRPr="00101B00">
        <w:rPr>
          <w:lang w:val="fr-CH"/>
        </w:rPr>
        <w:t> :</w:t>
      </w:r>
      <w:r w:rsidRPr="00101B00">
        <w:rPr>
          <w:lang w:val="fr-CH"/>
        </w:rPr>
        <w:t xml:space="preserve"> Myths and realities » (Émissions d</w:t>
      </w:r>
      <w:r w:rsidR="005F0D9B" w:rsidRPr="00101B00">
        <w:rPr>
          <w:lang w:val="fr-CH"/>
        </w:rPr>
        <w:t>’</w:t>
      </w:r>
      <w:r w:rsidRPr="00101B00">
        <w:rPr>
          <w:lang w:val="fr-CH"/>
        </w:rPr>
        <w:t>échappement des moteurs diesel</w:t>
      </w:r>
      <w:r w:rsidR="005F0D9B" w:rsidRPr="00101B00">
        <w:rPr>
          <w:lang w:val="fr-CH"/>
        </w:rPr>
        <w:t> :</w:t>
      </w:r>
      <w:r w:rsidRPr="00101B00">
        <w:rPr>
          <w:lang w:val="fr-CH"/>
        </w:rPr>
        <w:t xml:space="preserve"> faits et fiction) et de ses retombées, et a </w:t>
      </w:r>
      <w:r w:rsidRPr="00101B00">
        <w:rPr>
          <w:b/>
          <w:lang w:val="fr-CH"/>
        </w:rPr>
        <w:t>demandé</w:t>
      </w:r>
      <w:r w:rsidRPr="00101B00">
        <w:rPr>
          <w:lang w:val="fr-CH"/>
        </w:rPr>
        <w:t xml:space="preserve"> aux organes </w:t>
      </w:r>
      <w:r w:rsidRPr="00101B00">
        <w:rPr>
          <w:lang w:val="fr-CH"/>
        </w:rPr>
        <w:lastRenderedPageBreak/>
        <w:t>subsidiaires d</w:t>
      </w:r>
      <w:r w:rsidR="005F0D9B" w:rsidRPr="00101B00">
        <w:rPr>
          <w:lang w:val="fr-CH"/>
        </w:rPr>
        <w:t>’</w:t>
      </w:r>
      <w:r w:rsidRPr="00101B00">
        <w:rPr>
          <w:lang w:val="fr-CH"/>
        </w:rPr>
        <w:t>indiquer les mesures qui avaient été prises et celles qui étaient envisagées afin de lutter contre ces émissions.</w:t>
      </w:r>
    </w:p>
    <w:p w:rsidR="00554873" w:rsidRPr="00101B00" w:rsidRDefault="00554873" w:rsidP="006101B8">
      <w:pPr>
        <w:pStyle w:val="SingleTxt"/>
        <w:numPr>
          <w:ilvl w:val="0"/>
          <w:numId w:val="7"/>
        </w:numPr>
        <w:tabs>
          <w:tab w:val="clear" w:pos="475"/>
          <w:tab w:val="num" w:pos="1742"/>
        </w:tabs>
        <w:ind w:left="1267"/>
        <w:rPr>
          <w:lang w:val="fr-CH"/>
        </w:rPr>
      </w:pPr>
      <w:r w:rsidRPr="00101B00">
        <w:rPr>
          <w:lang w:val="fr-CH"/>
        </w:rPr>
        <w:t>Le Comité s</w:t>
      </w:r>
      <w:r w:rsidR="005F0D9B" w:rsidRPr="00101B00">
        <w:rPr>
          <w:lang w:val="fr-CH"/>
        </w:rPr>
        <w:t>’</w:t>
      </w:r>
      <w:r w:rsidRPr="00101B00">
        <w:rPr>
          <w:lang w:val="fr-CH"/>
        </w:rPr>
        <w:t xml:space="preserve">est </w:t>
      </w:r>
      <w:r w:rsidRPr="00101B00">
        <w:rPr>
          <w:b/>
          <w:lang w:val="fr-CH"/>
        </w:rPr>
        <w:t>félicité</w:t>
      </w:r>
      <w:r w:rsidRPr="00101B00">
        <w:rPr>
          <w:lang w:val="fr-CH"/>
        </w:rPr>
        <w:t xml:space="preserve"> des activités entreprises à l</w:t>
      </w:r>
      <w:r w:rsidR="005F0D9B" w:rsidRPr="00101B00">
        <w:rPr>
          <w:lang w:val="fr-CH"/>
        </w:rPr>
        <w:t>’</w:t>
      </w:r>
      <w:r w:rsidRPr="00101B00">
        <w:rPr>
          <w:lang w:val="fr-CH"/>
        </w:rPr>
        <w:t>appui des efforts déployés par les gouvernements afin d</w:t>
      </w:r>
      <w:r w:rsidR="005F0D9B" w:rsidRPr="00101B00">
        <w:rPr>
          <w:lang w:val="fr-CH"/>
        </w:rPr>
        <w:t>’</w:t>
      </w:r>
      <w:r w:rsidRPr="00101B00">
        <w:rPr>
          <w:lang w:val="fr-CH"/>
        </w:rPr>
        <w:t>atténuer les effets délétères des transports pour l</w:t>
      </w:r>
      <w:r w:rsidR="005F0D9B" w:rsidRPr="00101B00">
        <w:rPr>
          <w:lang w:val="fr-CH"/>
        </w:rPr>
        <w:t>’</w:t>
      </w:r>
      <w:r w:rsidRPr="00101B00">
        <w:rPr>
          <w:lang w:val="fr-CH"/>
        </w:rPr>
        <w:t>environnement, et notamment des progrès accomplis dans la ville de Kaunas ainsi qu</w:t>
      </w:r>
      <w:r w:rsidR="005F0D9B" w:rsidRPr="00101B00">
        <w:rPr>
          <w:lang w:val="fr-CH"/>
        </w:rPr>
        <w:t>’</w:t>
      </w:r>
      <w:r w:rsidRPr="00101B00">
        <w:rPr>
          <w:lang w:val="fr-CH"/>
        </w:rPr>
        <w:t>à l</w:t>
      </w:r>
      <w:r w:rsidR="005F0D9B" w:rsidRPr="00101B00">
        <w:rPr>
          <w:lang w:val="fr-CH"/>
        </w:rPr>
        <w:t>’</w:t>
      </w:r>
      <w:r w:rsidRPr="00101B00">
        <w:rPr>
          <w:lang w:val="fr-CH"/>
        </w:rPr>
        <w:t>échelon national en Lituanie et en Géorgie dans l</w:t>
      </w:r>
      <w:r w:rsidR="005F0D9B" w:rsidRPr="00101B00">
        <w:rPr>
          <w:lang w:val="fr-CH"/>
        </w:rPr>
        <w:t>’</w:t>
      </w:r>
      <w:r w:rsidRPr="00101B00">
        <w:rPr>
          <w:lang w:val="fr-CH"/>
        </w:rPr>
        <w:t>utilisation de l</w:t>
      </w:r>
      <w:r w:rsidR="005F0D9B" w:rsidRPr="00101B00">
        <w:rPr>
          <w:lang w:val="fr-CH"/>
        </w:rPr>
        <w:t>’</w:t>
      </w:r>
      <w:r w:rsidRPr="00101B00">
        <w:rPr>
          <w:lang w:val="fr-CH"/>
        </w:rPr>
        <w:t xml:space="preserve">outil de modélisation des futurs systèmes de transport intérieur (ForFITS); il a </w:t>
      </w:r>
      <w:r w:rsidRPr="00101B00">
        <w:rPr>
          <w:b/>
          <w:lang w:val="fr-CH"/>
        </w:rPr>
        <w:t>prié</w:t>
      </w:r>
      <w:r w:rsidRPr="00101B00">
        <w:rPr>
          <w:lang w:val="fr-CH"/>
        </w:rPr>
        <w:t xml:space="preserve"> le secrétariat d</w:t>
      </w:r>
      <w:r w:rsidR="005F0D9B" w:rsidRPr="00101B00">
        <w:rPr>
          <w:lang w:val="fr-CH"/>
        </w:rPr>
        <w:t>’</w:t>
      </w:r>
      <w:r w:rsidRPr="00101B00">
        <w:rPr>
          <w:lang w:val="fr-CH"/>
        </w:rPr>
        <w:t xml:space="preserve">assurer une vaste diffusion des conclusions issues de ces activités et </w:t>
      </w:r>
      <w:r w:rsidRPr="00101B00">
        <w:rPr>
          <w:b/>
          <w:lang w:val="fr-CH"/>
        </w:rPr>
        <w:t>encouragé</w:t>
      </w:r>
      <w:r w:rsidRPr="00101B00">
        <w:rPr>
          <w:lang w:val="fr-CH"/>
        </w:rPr>
        <w:t xml:space="preserve"> les gouvernements désireux d</w:t>
      </w:r>
      <w:r w:rsidR="005F0D9B" w:rsidRPr="00101B00">
        <w:rPr>
          <w:lang w:val="fr-CH"/>
        </w:rPr>
        <w:t>’</w:t>
      </w:r>
      <w:r w:rsidRPr="00101B00">
        <w:rPr>
          <w:lang w:val="fr-CH"/>
        </w:rPr>
        <w:t>apporter leur contribution mais n</w:t>
      </w:r>
      <w:r w:rsidR="005F0D9B" w:rsidRPr="00101B00">
        <w:rPr>
          <w:lang w:val="fr-CH"/>
        </w:rPr>
        <w:t>’</w:t>
      </w:r>
      <w:r w:rsidRPr="00101B00">
        <w:rPr>
          <w:lang w:val="fr-CH"/>
        </w:rPr>
        <w:t>ayant pas encore communiqué au secrétariat de données vérifiées aux fins de l</w:t>
      </w:r>
      <w:r w:rsidR="005F0D9B" w:rsidRPr="00101B00">
        <w:rPr>
          <w:lang w:val="fr-CH"/>
        </w:rPr>
        <w:t>’</w:t>
      </w:r>
      <w:r w:rsidRPr="00101B00">
        <w:rPr>
          <w:lang w:val="fr-CH"/>
        </w:rPr>
        <w:t>examen régional à les lui faire parvenir avant la fin de l</w:t>
      </w:r>
      <w:r w:rsidR="005F0D9B" w:rsidRPr="00101B00">
        <w:rPr>
          <w:lang w:val="fr-CH"/>
        </w:rPr>
        <w:t>’</w:t>
      </w:r>
      <w:r w:rsidRPr="00101B00">
        <w:rPr>
          <w:lang w:val="fr-CH"/>
        </w:rPr>
        <w:t>année 2015.</w:t>
      </w:r>
    </w:p>
    <w:p w:rsidR="00554873" w:rsidRPr="00101B00" w:rsidRDefault="00554873" w:rsidP="00006E93">
      <w:pPr>
        <w:pStyle w:val="SingleTxt"/>
        <w:numPr>
          <w:ilvl w:val="0"/>
          <w:numId w:val="7"/>
        </w:numPr>
        <w:tabs>
          <w:tab w:val="clear" w:pos="475"/>
          <w:tab w:val="num" w:pos="1742"/>
        </w:tabs>
        <w:ind w:left="1267"/>
        <w:rPr>
          <w:lang w:val="fr-CH"/>
        </w:rPr>
      </w:pPr>
      <w:r w:rsidRPr="00101B00">
        <w:rPr>
          <w:lang w:val="fr-CH"/>
        </w:rPr>
        <w:t xml:space="preserve">En particulier, le Comité a </w:t>
      </w:r>
      <w:r w:rsidRPr="00101B00">
        <w:rPr>
          <w:b/>
          <w:lang w:val="fr-CH"/>
        </w:rPr>
        <w:t>été informé</w:t>
      </w:r>
      <w:r w:rsidRPr="00101B00">
        <w:rPr>
          <w:lang w:val="fr-CH"/>
        </w:rPr>
        <w:t xml:space="preserve"> de l</w:t>
      </w:r>
      <w:r w:rsidR="005F0D9B" w:rsidRPr="00101B00">
        <w:rPr>
          <w:lang w:val="fr-CH"/>
        </w:rPr>
        <w:t>’</w:t>
      </w:r>
      <w:r w:rsidRPr="00101B00">
        <w:rPr>
          <w:lang w:val="fr-CH"/>
        </w:rPr>
        <w:t>utilisation de cet outil dans le cadre de l</w:t>
      </w:r>
      <w:r w:rsidR="005F0D9B" w:rsidRPr="00101B00">
        <w:rPr>
          <w:lang w:val="fr-CH"/>
        </w:rPr>
        <w:t>’</w:t>
      </w:r>
      <w:r w:rsidRPr="00101B00">
        <w:rPr>
          <w:lang w:val="fr-CH"/>
        </w:rPr>
        <w:t>atelier annuel du Programme paneuropéen sur les transports, la santé et l</w:t>
      </w:r>
      <w:r w:rsidR="005F0D9B" w:rsidRPr="00101B00">
        <w:rPr>
          <w:lang w:val="fr-CH"/>
        </w:rPr>
        <w:t>’</w:t>
      </w:r>
      <w:r w:rsidRPr="00101B00">
        <w:rPr>
          <w:lang w:val="fr-CH"/>
        </w:rPr>
        <w:t>environnement (PPE-TSE), qui s</w:t>
      </w:r>
      <w:r w:rsidR="005F0D9B" w:rsidRPr="00101B00">
        <w:rPr>
          <w:lang w:val="fr-CH"/>
        </w:rPr>
        <w:t>’</w:t>
      </w:r>
      <w:r w:rsidRPr="00101B00">
        <w:rPr>
          <w:lang w:val="fr-CH"/>
        </w:rPr>
        <w:t>est tenu les 24 et 25 septembre</w:t>
      </w:r>
      <w:r w:rsidR="00006E93" w:rsidRPr="00101B00">
        <w:rPr>
          <w:lang w:val="fr-CH"/>
        </w:rPr>
        <w:t xml:space="preserve"> </w:t>
      </w:r>
      <w:r w:rsidRPr="00101B00">
        <w:rPr>
          <w:lang w:val="fr-CH"/>
        </w:rPr>
        <w:t>2014 à Kaunas (Lituanie) sur le thème de l</w:t>
      </w:r>
      <w:r w:rsidR="005F0D9B" w:rsidRPr="00101B00">
        <w:rPr>
          <w:lang w:val="fr-CH"/>
        </w:rPr>
        <w:t>’</w:t>
      </w:r>
      <w:r w:rsidRPr="00101B00">
        <w:rPr>
          <w:lang w:val="fr-CH"/>
        </w:rPr>
        <w:t>amélioration de la mobilité urbaine durable pour une santé et un environnement plus sains.</w:t>
      </w:r>
    </w:p>
    <w:p w:rsidR="00554873" w:rsidRPr="00101B00" w:rsidRDefault="00554873" w:rsidP="006101B8">
      <w:pPr>
        <w:pStyle w:val="SingleTxt"/>
        <w:numPr>
          <w:ilvl w:val="0"/>
          <w:numId w:val="7"/>
        </w:numPr>
        <w:tabs>
          <w:tab w:val="clear" w:pos="475"/>
          <w:tab w:val="num" w:pos="1742"/>
        </w:tabs>
        <w:ind w:left="1267"/>
        <w:rPr>
          <w:lang w:val="fr-CH"/>
        </w:rPr>
      </w:pPr>
      <w:r w:rsidRPr="00101B00">
        <w:rPr>
          <w:lang w:val="fr-CH"/>
        </w:rPr>
        <w:t xml:space="preserve">Le Comité a aussi </w:t>
      </w:r>
      <w:r w:rsidRPr="00101B00">
        <w:rPr>
          <w:b/>
          <w:lang w:val="fr-CH"/>
        </w:rPr>
        <w:t>été informé</w:t>
      </w:r>
      <w:r w:rsidRPr="00101B00">
        <w:rPr>
          <w:lang w:val="fr-CH"/>
        </w:rPr>
        <w:t xml:space="preserve"> de la récente coopération entre la Division de l</w:t>
      </w:r>
      <w:r w:rsidR="005F0D9B" w:rsidRPr="00101B00">
        <w:rPr>
          <w:lang w:val="fr-CH"/>
        </w:rPr>
        <w:t>’</w:t>
      </w:r>
      <w:r w:rsidRPr="00101B00">
        <w:rPr>
          <w:lang w:val="fr-CH"/>
        </w:rPr>
        <w:t>environnement de la CEE et celle des transports dans le cadre des études de la performance environnementale. Des membres de la Division des transports élaborent actuellement un chapitre sur les transports et l</w:t>
      </w:r>
      <w:r w:rsidR="005F0D9B" w:rsidRPr="00101B00">
        <w:rPr>
          <w:lang w:val="fr-CH"/>
        </w:rPr>
        <w:t>’</w:t>
      </w:r>
      <w:r w:rsidRPr="00101B00">
        <w:rPr>
          <w:lang w:val="fr-CH"/>
        </w:rPr>
        <w:t>environnement aux fins de la troisième étude sur la Géorgie.</w:t>
      </w:r>
    </w:p>
    <w:p w:rsidR="00554873" w:rsidRPr="00101B00" w:rsidRDefault="00554873" w:rsidP="006101B8">
      <w:pPr>
        <w:pStyle w:val="SingleTxt"/>
        <w:numPr>
          <w:ilvl w:val="0"/>
          <w:numId w:val="7"/>
        </w:numPr>
        <w:tabs>
          <w:tab w:val="clear" w:pos="475"/>
          <w:tab w:val="num" w:pos="1742"/>
        </w:tabs>
        <w:ind w:left="1267"/>
        <w:rPr>
          <w:lang w:val="fr-CH"/>
        </w:rPr>
      </w:pPr>
      <w:r w:rsidRPr="00101B00">
        <w:rPr>
          <w:lang w:val="fr-CH"/>
        </w:rPr>
        <w:t xml:space="preserve">Le Comité a </w:t>
      </w:r>
      <w:r w:rsidRPr="00101B00">
        <w:rPr>
          <w:b/>
          <w:lang w:val="fr-CH"/>
        </w:rPr>
        <w:t>dressé le bilan</w:t>
      </w:r>
      <w:r w:rsidRPr="00101B00">
        <w:rPr>
          <w:lang w:val="fr-CH"/>
        </w:rPr>
        <w:t xml:space="preserve"> des résultats obtenus dans le cadre du projet ForFITS ainsi que des futurs plans concernant l</w:t>
      </w:r>
      <w:r w:rsidR="005F0D9B" w:rsidRPr="00101B00">
        <w:rPr>
          <w:lang w:val="fr-CH"/>
        </w:rPr>
        <w:t>’</w:t>
      </w:r>
      <w:r w:rsidRPr="00101B00">
        <w:rPr>
          <w:lang w:val="fr-CH"/>
        </w:rPr>
        <w:t xml:space="preserve">utilisation et la généralisation de cet outil; il a </w:t>
      </w:r>
      <w:r w:rsidRPr="00101B00">
        <w:rPr>
          <w:b/>
          <w:lang w:val="fr-CH"/>
        </w:rPr>
        <w:t>demandé</w:t>
      </w:r>
      <w:r w:rsidRPr="00101B00">
        <w:rPr>
          <w:lang w:val="fr-CH"/>
        </w:rPr>
        <w:t xml:space="preserve"> l</w:t>
      </w:r>
      <w:r w:rsidR="005F0D9B" w:rsidRPr="00101B00">
        <w:rPr>
          <w:lang w:val="fr-CH"/>
        </w:rPr>
        <w:t>’</w:t>
      </w:r>
      <w:r w:rsidRPr="00101B00">
        <w:rPr>
          <w:lang w:val="fr-CH"/>
        </w:rPr>
        <w:t>élaboration d</w:t>
      </w:r>
      <w:r w:rsidR="005F0D9B" w:rsidRPr="00101B00">
        <w:rPr>
          <w:lang w:val="fr-CH"/>
        </w:rPr>
        <w:t>’</w:t>
      </w:r>
      <w:r w:rsidRPr="00101B00">
        <w:rPr>
          <w:lang w:val="fr-CH"/>
        </w:rPr>
        <w:t>une publication où seraient recensées les études de cas menées dans ce cadre et qui tiendrait compte des progrès accomplis dans le développement et l</w:t>
      </w:r>
      <w:r w:rsidR="005F0D9B" w:rsidRPr="00101B00">
        <w:rPr>
          <w:lang w:val="fr-CH"/>
        </w:rPr>
        <w:t>’</w:t>
      </w:r>
      <w:r w:rsidRPr="00101B00">
        <w:rPr>
          <w:lang w:val="fr-CH"/>
        </w:rPr>
        <w:t>application de l</w:t>
      </w:r>
      <w:r w:rsidR="005F0D9B" w:rsidRPr="00101B00">
        <w:rPr>
          <w:lang w:val="fr-CH"/>
        </w:rPr>
        <w:t>’</w:t>
      </w:r>
      <w:r w:rsidRPr="00101B00">
        <w:rPr>
          <w:lang w:val="fr-CH"/>
        </w:rPr>
        <w:t>outil ForFITS aux échelons régional, sous régional, national et urbain, tout en mettant en exergue les principales conclusions et réalisations du projet.</w:t>
      </w:r>
    </w:p>
    <w:p w:rsidR="00554873" w:rsidRPr="00101B00" w:rsidRDefault="00554873" w:rsidP="006101B8">
      <w:pPr>
        <w:pStyle w:val="SingleTxt"/>
        <w:numPr>
          <w:ilvl w:val="0"/>
          <w:numId w:val="7"/>
        </w:numPr>
        <w:tabs>
          <w:tab w:val="clear" w:pos="475"/>
          <w:tab w:val="num" w:pos="1742"/>
        </w:tabs>
        <w:ind w:left="1267"/>
        <w:rPr>
          <w:lang w:val="fr-CH"/>
        </w:rPr>
      </w:pPr>
      <w:r w:rsidRPr="00101B00">
        <w:rPr>
          <w:lang w:val="fr-CH"/>
        </w:rPr>
        <w:t>Compte tenu de l</w:t>
      </w:r>
      <w:r w:rsidR="005F0D9B" w:rsidRPr="00101B00">
        <w:rPr>
          <w:lang w:val="fr-CH"/>
        </w:rPr>
        <w:t>’</w:t>
      </w:r>
      <w:r w:rsidRPr="00101B00">
        <w:rPr>
          <w:lang w:val="fr-CH"/>
        </w:rPr>
        <w:t>opportunité et de la pertinence de l</w:t>
      </w:r>
      <w:r w:rsidR="005F0D9B" w:rsidRPr="00101B00">
        <w:rPr>
          <w:lang w:val="fr-CH"/>
        </w:rPr>
        <w:t>’</w:t>
      </w:r>
      <w:r w:rsidRPr="00101B00">
        <w:rPr>
          <w:lang w:val="fr-CH"/>
        </w:rPr>
        <w:t>outil ForFITS en ce qui concerne le développement durable ainsi que de la portée et de l</w:t>
      </w:r>
      <w:r w:rsidR="005F0D9B" w:rsidRPr="00101B00">
        <w:rPr>
          <w:lang w:val="fr-CH"/>
        </w:rPr>
        <w:t>’</w:t>
      </w:r>
      <w:r w:rsidRPr="00101B00">
        <w:rPr>
          <w:lang w:val="fr-CH"/>
        </w:rPr>
        <w:t>utilité des améliorations qu</w:t>
      </w:r>
      <w:r w:rsidR="005F0D9B" w:rsidRPr="00101B00">
        <w:rPr>
          <w:lang w:val="fr-CH"/>
        </w:rPr>
        <w:t>’</w:t>
      </w:r>
      <w:r w:rsidRPr="00101B00">
        <w:rPr>
          <w:lang w:val="fr-CH"/>
        </w:rPr>
        <w:t>il est proposé d</w:t>
      </w:r>
      <w:r w:rsidR="005F0D9B" w:rsidRPr="00101B00">
        <w:rPr>
          <w:lang w:val="fr-CH"/>
        </w:rPr>
        <w:t>’</w:t>
      </w:r>
      <w:r w:rsidRPr="00101B00">
        <w:rPr>
          <w:lang w:val="fr-CH"/>
        </w:rPr>
        <w:t xml:space="preserve">y apporter, le Comité a </w:t>
      </w:r>
      <w:r w:rsidRPr="00014BCC">
        <w:rPr>
          <w:b/>
          <w:bCs/>
          <w:lang w:val="fr-CH"/>
        </w:rPr>
        <w:t>encouragé</w:t>
      </w:r>
      <w:r w:rsidRPr="00101B00">
        <w:rPr>
          <w:lang w:val="fr-CH"/>
        </w:rPr>
        <w:t xml:space="preserve"> les administrations nationales et urbaines à tirer parti de l</w:t>
      </w:r>
      <w:r w:rsidR="005F0D9B" w:rsidRPr="00101B00">
        <w:rPr>
          <w:lang w:val="fr-CH"/>
        </w:rPr>
        <w:t>’</w:t>
      </w:r>
      <w:r w:rsidRPr="00101B00">
        <w:rPr>
          <w:lang w:val="fr-CH"/>
        </w:rPr>
        <w:t>utilisation et de la généralisation de cet outil et à y contribuer.</w:t>
      </w:r>
    </w:p>
    <w:p w:rsidR="00554873" w:rsidRPr="00101B00" w:rsidRDefault="00554873" w:rsidP="00554873">
      <w:pPr>
        <w:pStyle w:val="SingleTxt"/>
        <w:spacing w:after="0" w:line="120" w:lineRule="exact"/>
        <w:rPr>
          <w:sz w:val="10"/>
          <w:lang w:val="fr-CH"/>
        </w:rPr>
      </w:pPr>
    </w:p>
    <w:p w:rsidR="00554873" w:rsidRPr="00101B00" w:rsidRDefault="00554873" w:rsidP="005548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1B00">
        <w:rPr>
          <w:lang w:val="fr-CH"/>
        </w:rPr>
        <w:tab/>
        <w:t>3.</w:t>
      </w:r>
      <w:r w:rsidRPr="00101B00">
        <w:rPr>
          <w:lang w:val="fr-CH"/>
        </w:rPr>
        <w:tab/>
        <w:t xml:space="preserve">Effets des changements climatiques sur les réseaux de transport internationaux </w:t>
      </w:r>
      <w:r w:rsidRPr="00101B00">
        <w:rPr>
          <w:lang w:val="fr-CH"/>
        </w:rPr>
        <w:br/>
        <w:t>et mesures d</w:t>
      </w:r>
      <w:r w:rsidR="005F0D9B" w:rsidRPr="00101B00">
        <w:rPr>
          <w:lang w:val="fr-CH"/>
        </w:rPr>
        <w:t>’</w:t>
      </w:r>
      <w:r w:rsidRPr="00101B00">
        <w:rPr>
          <w:lang w:val="fr-CH"/>
        </w:rPr>
        <w:t>adaptation nécessaires</w:t>
      </w:r>
    </w:p>
    <w:p w:rsidR="00554873" w:rsidRPr="00101B00" w:rsidRDefault="00554873" w:rsidP="00554873">
      <w:pPr>
        <w:pStyle w:val="SingleTxt"/>
        <w:spacing w:after="0" w:line="120" w:lineRule="exact"/>
        <w:rPr>
          <w:i/>
          <w:sz w:val="10"/>
          <w:lang w:val="fr-CH"/>
        </w:rPr>
      </w:pPr>
    </w:p>
    <w:p w:rsidR="00554873" w:rsidRPr="00970907" w:rsidRDefault="00554873" w:rsidP="00970907">
      <w:pPr>
        <w:pStyle w:val="SingleTxt"/>
        <w:tabs>
          <w:tab w:val="right" w:pos="1022"/>
        </w:tabs>
        <w:ind w:right="1260" w:hanging="1267"/>
        <w:rPr>
          <w:b/>
          <w:iCs/>
          <w:spacing w:val="1"/>
          <w:lang w:val="fr-CH"/>
        </w:rPr>
      </w:pPr>
      <w:r w:rsidRPr="00101B00">
        <w:rPr>
          <w:i/>
          <w:lang w:val="fr-CH"/>
        </w:rPr>
        <w:tab/>
      </w:r>
      <w:r w:rsidRPr="00101B00">
        <w:rPr>
          <w:i/>
          <w:lang w:val="fr-CH"/>
        </w:rPr>
        <w:tab/>
        <w:t>Documents</w:t>
      </w:r>
      <w:r w:rsidR="005F0D9B" w:rsidRPr="00101B00">
        <w:rPr>
          <w:i/>
          <w:lang w:val="fr-CH"/>
        </w:rPr>
        <w:t> </w:t>
      </w:r>
      <w:r w:rsidR="005F0D9B" w:rsidRPr="00970907">
        <w:rPr>
          <w:iCs/>
          <w:lang w:val="fr-CH"/>
        </w:rPr>
        <w:t>:</w:t>
      </w:r>
      <w:r w:rsidRPr="00101B00">
        <w:rPr>
          <w:iCs/>
          <w:spacing w:val="3"/>
          <w:lang w:val="fr-CH"/>
        </w:rPr>
        <w:tab/>
      </w:r>
      <w:r w:rsidRPr="00970907">
        <w:rPr>
          <w:iCs/>
          <w:spacing w:val="1"/>
          <w:lang w:val="fr-CH"/>
        </w:rPr>
        <w:t>ECE/TRANS/2015/6 et document informel n</w:t>
      </w:r>
      <w:r w:rsidRPr="00970907">
        <w:rPr>
          <w:iCs/>
          <w:spacing w:val="1"/>
          <w:vertAlign w:val="superscript"/>
          <w:lang w:val="fr-CH"/>
        </w:rPr>
        <w:t>o</w:t>
      </w:r>
      <w:r w:rsidRPr="00970907">
        <w:rPr>
          <w:iCs/>
          <w:spacing w:val="1"/>
          <w:lang w:val="fr-CH"/>
        </w:rPr>
        <w:t> 8 (publication de la CEE).</w:t>
      </w:r>
    </w:p>
    <w:p w:rsidR="00554873" w:rsidRPr="00101B00" w:rsidRDefault="00554873" w:rsidP="00554873">
      <w:pPr>
        <w:pStyle w:val="SingleTxt"/>
        <w:spacing w:after="0" w:line="120" w:lineRule="exact"/>
        <w:rPr>
          <w:sz w:val="10"/>
          <w:lang w:val="fr-CH"/>
        </w:rPr>
      </w:pPr>
    </w:p>
    <w:p w:rsidR="00554873" w:rsidRPr="00101B00" w:rsidRDefault="00554873" w:rsidP="006101B8">
      <w:pPr>
        <w:pStyle w:val="SingleTxt"/>
        <w:numPr>
          <w:ilvl w:val="0"/>
          <w:numId w:val="7"/>
        </w:numPr>
        <w:tabs>
          <w:tab w:val="clear" w:pos="475"/>
          <w:tab w:val="num" w:pos="1742"/>
        </w:tabs>
        <w:ind w:left="1267"/>
        <w:rPr>
          <w:lang w:val="fr-CH"/>
        </w:rPr>
      </w:pPr>
      <w:r w:rsidRPr="00101B00">
        <w:rPr>
          <w:lang w:val="fr-CH"/>
        </w:rPr>
        <w:t xml:space="preserve">Le Comité a </w:t>
      </w:r>
      <w:r w:rsidRPr="00101B00">
        <w:rPr>
          <w:b/>
          <w:lang w:val="fr-CH"/>
        </w:rPr>
        <w:t>rappelé</w:t>
      </w:r>
      <w:r w:rsidRPr="00101B00">
        <w:rPr>
          <w:lang w:val="fr-CH"/>
        </w:rPr>
        <w:t xml:space="preserve"> que le Groupe d</w:t>
      </w:r>
      <w:r w:rsidR="005F0D9B" w:rsidRPr="00101B00">
        <w:rPr>
          <w:lang w:val="fr-CH"/>
        </w:rPr>
        <w:t>’</w:t>
      </w:r>
      <w:r w:rsidRPr="00101B00">
        <w:rPr>
          <w:lang w:val="fr-CH"/>
        </w:rPr>
        <w:t>experts chargé d</w:t>
      </w:r>
      <w:r w:rsidR="005F0D9B" w:rsidRPr="00101B00">
        <w:rPr>
          <w:lang w:val="fr-CH"/>
        </w:rPr>
        <w:t>’</w:t>
      </w:r>
      <w:r w:rsidRPr="00101B00">
        <w:rPr>
          <w:lang w:val="fr-CH"/>
        </w:rPr>
        <w:t>étudier les effets des changements climatiques et l</w:t>
      </w:r>
      <w:r w:rsidR="005F0D9B" w:rsidRPr="00101B00">
        <w:rPr>
          <w:lang w:val="fr-CH"/>
        </w:rPr>
        <w:t>’</w:t>
      </w:r>
      <w:r w:rsidRPr="00101B00">
        <w:rPr>
          <w:lang w:val="fr-CH"/>
        </w:rPr>
        <w:t xml:space="preserve">adaptation à ces changements dans les réseaux de transport internationaux avait achevé ses travaux en 2013 et présenté un rapport complet à ce sujet. Le Comité a </w:t>
      </w:r>
      <w:r w:rsidRPr="00101B00">
        <w:rPr>
          <w:b/>
          <w:lang w:val="fr-CH"/>
        </w:rPr>
        <w:t>noté</w:t>
      </w:r>
      <w:r w:rsidRPr="00101B00">
        <w:rPr>
          <w:lang w:val="fr-CH"/>
        </w:rPr>
        <w:t xml:space="preserve"> que le rapport final du Groupe avait été publié en tant que document de la CEE en vue de sensibiliser à l</w:t>
      </w:r>
      <w:r w:rsidR="005F0D9B" w:rsidRPr="00101B00">
        <w:rPr>
          <w:lang w:val="fr-CH"/>
        </w:rPr>
        <w:t>’</w:t>
      </w:r>
      <w:r w:rsidRPr="00101B00">
        <w:rPr>
          <w:lang w:val="fr-CH"/>
        </w:rPr>
        <w:t>importance de l</w:t>
      </w:r>
      <w:r w:rsidR="005F0D9B" w:rsidRPr="00101B00">
        <w:rPr>
          <w:lang w:val="fr-CH"/>
        </w:rPr>
        <w:t>’</w:t>
      </w:r>
      <w:r w:rsidRPr="00101B00">
        <w:rPr>
          <w:lang w:val="fr-CH"/>
        </w:rPr>
        <w:t>adaptation au changement climatique.</w:t>
      </w:r>
    </w:p>
    <w:p w:rsidR="00554873" w:rsidRPr="00101B00" w:rsidRDefault="00554873" w:rsidP="006101B8">
      <w:pPr>
        <w:pStyle w:val="SingleTxt"/>
        <w:numPr>
          <w:ilvl w:val="0"/>
          <w:numId w:val="7"/>
        </w:numPr>
        <w:tabs>
          <w:tab w:val="clear" w:pos="475"/>
          <w:tab w:val="num" w:pos="1742"/>
        </w:tabs>
        <w:ind w:left="1267"/>
        <w:rPr>
          <w:lang w:val="fr-CH"/>
        </w:rPr>
      </w:pPr>
      <w:r w:rsidRPr="00101B00">
        <w:rPr>
          <w:lang w:val="fr-CH"/>
        </w:rPr>
        <w:t xml:space="preserve">Le Comité a </w:t>
      </w:r>
      <w:r w:rsidRPr="00101B00">
        <w:rPr>
          <w:b/>
          <w:lang w:val="fr-CH"/>
        </w:rPr>
        <w:t xml:space="preserve">noté </w:t>
      </w:r>
      <w:r w:rsidRPr="00101B00">
        <w:rPr>
          <w:lang w:val="fr-CH"/>
        </w:rPr>
        <w:t>que le WP.5, à sa dernière session, avait envisagé la possibilité que le Groupe d</w:t>
      </w:r>
      <w:r w:rsidR="005F0D9B" w:rsidRPr="00101B00">
        <w:rPr>
          <w:lang w:val="fr-CH"/>
        </w:rPr>
        <w:t>’</w:t>
      </w:r>
      <w:r w:rsidRPr="00101B00">
        <w:rPr>
          <w:lang w:val="fr-CH"/>
        </w:rPr>
        <w:t>experts poursuive ses travaux en vue d</w:t>
      </w:r>
      <w:r w:rsidR="005F0D9B" w:rsidRPr="00101B00">
        <w:rPr>
          <w:lang w:val="fr-CH"/>
        </w:rPr>
        <w:t>’</w:t>
      </w:r>
      <w:r w:rsidRPr="00101B00">
        <w:rPr>
          <w:lang w:val="fr-CH"/>
        </w:rPr>
        <w:t>examiner plus en détail cette question thé</w:t>
      </w:r>
      <w:r w:rsidR="00006E93" w:rsidRPr="00101B00">
        <w:rPr>
          <w:lang w:val="fr-CH"/>
        </w:rPr>
        <w:t>matique (ECE/TRANS/WP.5/56, par. </w:t>
      </w:r>
      <w:r w:rsidRPr="00101B00">
        <w:rPr>
          <w:lang w:val="fr-CH"/>
        </w:rPr>
        <w:t>40 à 43). La prochaine phase des travaux du Groupe porterait sur</w:t>
      </w:r>
      <w:r w:rsidR="005F0D9B" w:rsidRPr="00101B00">
        <w:rPr>
          <w:lang w:val="fr-CH"/>
        </w:rPr>
        <w:t> :</w:t>
      </w:r>
      <w:r w:rsidR="00006E93" w:rsidRPr="00101B00">
        <w:rPr>
          <w:lang w:val="fr-CH"/>
        </w:rPr>
        <w:t xml:space="preserve"> i) </w:t>
      </w:r>
      <w:r w:rsidRPr="00101B00">
        <w:rPr>
          <w:lang w:val="fr-CH"/>
        </w:rPr>
        <w:t>la nécessité de faire l</w:t>
      </w:r>
      <w:r w:rsidR="005F0D9B" w:rsidRPr="00101B00">
        <w:rPr>
          <w:lang w:val="fr-CH"/>
        </w:rPr>
        <w:t>’</w:t>
      </w:r>
      <w:r w:rsidRPr="00101B00">
        <w:rPr>
          <w:lang w:val="fr-CH"/>
        </w:rPr>
        <w:t>inventaire des réseaux de transport de la région de la CEE qui sont vulnérables face aux effets des changements climatiques; ii) l</w:t>
      </w:r>
      <w:r w:rsidR="005F0D9B" w:rsidRPr="00101B00">
        <w:rPr>
          <w:lang w:val="fr-CH"/>
        </w:rPr>
        <w:t>’</w:t>
      </w:r>
      <w:r w:rsidRPr="00101B00">
        <w:rPr>
          <w:lang w:val="fr-CH"/>
        </w:rPr>
        <w:t>utilisation ou l</w:t>
      </w:r>
      <w:r w:rsidR="005F0D9B" w:rsidRPr="00101B00">
        <w:rPr>
          <w:lang w:val="fr-CH"/>
        </w:rPr>
        <w:t>’</w:t>
      </w:r>
      <w:r w:rsidRPr="00101B00">
        <w:rPr>
          <w:lang w:val="fr-CH"/>
        </w:rPr>
        <w:t>élaboration de modèles, de méthodes, d</w:t>
      </w:r>
      <w:r w:rsidR="005F0D9B" w:rsidRPr="00101B00">
        <w:rPr>
          <w:lang w:val="fr-CH"/>
        </w:rPr>
        <w:t>’</w:t>
      </w:r>
      <w:r w:rsidRPr="00101B00">
        <w:rPr>
          <w:lang w:val="fr-CH"/>
        </w:rPr>
        <w:t xml:space="preserve">outils et de bonnes pratiques permettant de faire face aux risques potentiels de phénomènes </w:t>
      </w:r>
      <w:r w:rsidRPr="00101B00">
        <w:rPr>
          <w:lang w:val="fr-CH"/>
        </w:rPr>
        <w:lastRenderedPageBreak/>
        <w:t>extrêmes (par exemple, températures élevées, inondations) pour certaines infrastructures de transport intérieur de la région de la CEE.</w:t>
      </w:r>
    </w:p>
    <w:p w:rsidR="00554873" w:rsidRPr="00101B00" w:rsidRDefault="00554873" w:rsidP="006101B8">
      <w:pPr>
        <w:pStyle w:val="SingleTxt"/>
        <w:numPr>
          <w:ilvl w:val="0"/>
          <w:numId w:val="7"/>
        </w:numPr>
        <w:tabs>
          <w:tab w:val="clear" w:pos="475"/>
          <w:tab w:val="num" w:pos="1742"/>
        </w:tabs>
        <w:ind w:left="1267"/>
        <w:rPr>
          <w:lang w:val="fr-CH"/>
        </w:rPr>
      </w:pPr>
      <w:r w:rsidRPr="00101B00">
        <w:rPr>
          <w:lang w:val="fr-CH"/>
        </w:rPr>
        <w:t xml:space="preserve">Le Comité a donc </w:t>
      </w:r>
      <w:r w:rsidRPr="00101B00">
        <w:rPr>
          <w:b/>
          <w:lang w:val="fr-CH"/>
        </w:rPr>
        <w:t>décidé</w:t>
      </w:r>
      <w:r w:rsidRPr="00101B00">
        <w:rPr>
          <w:lang w:val="fr-CH"/>
        </w:rPr>
        <w:t xml:space="preserve"> de permettre que se poursuivent pendant deux ans les travaux du Groupe d</w:t>
      </w:r>
      <w:r w:rsidR="005F0D9B" w:rsidRPr="00101B00">
        <w:rPr>
          <w:lang w:val="fr-CH"/>
        </w:rPr>
        <w:t>’</w:t>
      </w:r>
      <w:r w:rsidRPr="00101B00">
        <w:rPr>
          <w:lang w:val="fr-CH"/>
        </w:rPr>
        <w:t>experts chargé d</w:t>
      </w:r>
      <w:r w:rsidR="005F0D9B" w:rsidRPr="00101B00">
        <w:rPr>
          <w:lang w:val="fr-CH"/>
        </w:rPr>
        <w:t>’</w:t>
      </w:r>
      <w:r w:rsidRPr="00101B00">
        <w:rPr>
          <w:lang w:val="fr-CH"/>
        </w:rPr>
        <w:t>étudier les effets des changements climatiques et l</w:t>
      </w:r>
      <w:r w:rsidR="005F0D9B" w:rsidRPr="00101B00">
        <w:rPr>
          <w:lang w:val="fr-CH"/>
        </w:rPr>
        <w:t>’</w:t>
      </w:r>
      <w:r w:rsidRPr="00101B00">
        <w:rPr>
          <w:lang w:val="fr-CH"/>
        </w:rPr>
        <w:t>adaptation à ces changements dans les réseaux de transport internationaux, conformément aux textes réglementaires de la CEE, sous réserve de l</w:t>
      </w:r>
      <w:r w:rsidR="005F0D9B" w:rsidRPr="00101B00">
        <w:rPr>
          <w:lang w:val="fr-CH"/>
        </w:rPr>
        <w:t>’</w:t>
      </w:r>
      <w:r w:rsidRPr="00101B00">
        <w:rPr>
          <w:lang w:val="fr-CH"/>
        </w:rPr>
        <w:t xml:space="preserve">approbation de son Comité exécutif et sur la base du mandat reproduit dans le document ECE/TRANS/2015/6. Il a, en outre, </w:t>
      </w:r>
      <w:r w:rsidRPr="00101B00">
        <w:rPr>
          <w:b/>
          <w:lang w:val="fr-CH"/>
        </w:rPr>
        <w:t>approuvé</w:t>
      </w:r>
      <w:r w:rsidRPr="00101B00">
        <w:rPr>
          <w:lang w:val="fr-CH"/>
        </w:rPr>
        <w:t xml:space="preserve"> le changement de nom du Groupe, désormais dénommé « Groupe d</w:t>
      </w:r>
      <w:r w:rsidR="005F0D9B" w:rsidRPr="00101B00">
        <w:rPr>
          <w:lang w:val="fr-CH"/>
        </w:rPr>
        <w:t>’</w:t>
      </w:r>
      <w:r w:rsidRPr="00101B00">
        <w:rPr>
          <w:lang w:val="fr-CH"/>
        </w:rPr>
        <w:t>experts chargé d</w:t>
      </w:r>
      <w:r w:rsidR="005F0D9B" w:rsidRPr="00101B00">
        <w:rPr>
          <w:lang w:val="fr-CH"/>
        </w:rPr>
        <w:t>’</w:t>
      </w:r>
      <w:r w:rsidRPr="00101B00">
        <w:rPr>
          <w:lang w:val="fr-CH"/>
        </w:rPr>
        <w:t>étudier les effets des changements climatiques et l</w:t>
      </w:r>
      <w:r w:rsidR="005F0D9B" w:rsidRPr="00101B00">
        <w:rPr>
          <w:lang w:val="fr-CH"/>
        </w:rPr>
        <w:t>’</w:t>
      </w:r>
      <w:r w:rsidRPr="00101B00">
        <w:rPr>
          <w:lang w:val="fr-CH"/>
        </w:rPr>
        <w:t xml:space="preserve">adaptation à ces changements dans les réseaux et nœuds de transport internationaux » et a </w:t>
      </w:r>
      <w:r w:rsidRPr="00101B00">
        <w:rPr>
          <w:b/>
          <w:lang w:val="fr-CH"/>
        </w:rPr>
        <w:t>demandé</w:t>
      </w:r>
      <w:r w:rsidRPr="00101B00">
        <w:rPr>
          <w:lang w:val="fr-CH"/>
        </w:rPr>
        <w:t xml:space="preserve"> que le secrétariat fasse en sorte que tous les documents pertinents issus des réunions du Groupe en 2015 (juin, décembre), 2016 et 2017, notamment les ordres du jour, les rapports et les documents officiels pertinents par rapport à la question des effets des changements climatiques et de l</w:t>
      </w:r>
      <w:r w:rsidR="005F0D9B" w:rsidRPr="00101B00">
        <w:rPr>
          <w:lang w:val="fr-CH"/>
        </w:rPr>
        <w:t>’</w:t>
      </w:r>
      <w:r w:rsidRPr="00101B00">
        <w:rPr>
          <w:lang w:val="fr-CH"/>
        </w:rPr>
        <w:t>adaptation à ces changements dans les réseaux de transport internationaux, soient publiés en temps voulu dans les trois langues officielles de la CEE.</w:t>
      </w:r>
    </w:p>
    <w:p w:rsidR="00554873" w:rsidRPr="00101B00" w:rsidRDefault="00554873" w:rsidP="00014BCC">
      <w:pPr>
        <w:pStyle w:val="SingleTxt"/>
        <w:numPr>
          <w:ilvl w:val="0"/>
          <w:numId w:val="7"/>
        </w:numPr>
        <w:tabs>
          <w:tab w:val="clear" w:pos="475"/>
          <w:tab w:val="num" w:pos="1742"/>
        </w:tabs>
        <w:ind w:left="1267"/>
        <w:rPr>
          <w:lang w:val="fr-CH"/>
        </w:rPr>
      </w:pPr>
      <w:r w:rsidRPr="00101B00">
        <w:rPr>
          <w:lang w:val="fr-CH"/>
        </w:rPr>
        <w:t xml:space="preserve">Le Comité a </w:t>
      </w:r>
      <w:r w:rsidRPr="00101B00">
        <w:rPr>
          <w:b/>
          <w:lang w:val="fr-CH"/>
        </w:rPr>
        <w:t>pris note</w:t>
      </w:r>
      <w:r w:rsidRPr="00101B00">
        <w:rPr>
          <w:lang w:val="fr-CH"/>
        </w:rPr>
        <w:t xml:space="preserve"> </w:t>
      </w:r>
      <w:r w:rsidR="00006E93" w:rsidRPr="00101B00">
        <w:rPr>
          <w:lang w:val="fr-CH"/>
        </w:rPr>
        <w:t xml:space="preserve">du fait </w:t>
      </w:r>
      <w:r w:rsidRPr="00101B00">
        <w:rPr>
          <w:lang w:val="fr-CH"/>
        </w:rPr>
        <w:t>que la vingt</w:t>
      </w:r>
      <w:r w:rsidR="00014BCC">
        <w:rPr>
          <w:lang w:val="fr-CH"/>
        </w:rPr>
        <w:t xml:space="preserve"> </w:t>
      </w:r>
      <w:r w:rsidRPr="00101B00">
        <w:rPr>
          <w:lang w:val="fr-CH"/>
        </w:rPr>
        <w:t>et</w:t>
      </w:r>
      <w:r w:rsidR="00014BCC">
        <w:rPr>
          <w:lang w:val="fr-CH"/>
        </w:rPr>
        <w:t xml:space="preserve"> </w:t>
      </w:r>
      <w:r w:rsidRPr="00101B00">
        <w:rPr>
          <w:lang w:val="fr-CH"/>
        </w:rPr>
        <w:t>unième Conférence des Nations Unies sur les changements climatiques (COP21) se tiendrait à Paris (France) du 30 novembre au 11 décembre</w:t>
      </w:r>
      <w:r w:rsidR="00014BCC">
        <w:rPr>
          <w:lang w:val="fr-CH"/>
        </w:rPr>
        <w:t xml:space="preserve"> </w:t>
      </w:r>
      <w:r w:rsidRPr="00101B00">
        <w:rPr>
          <w:lang w:val="fr-CH"/>
        </w:rPr>
        <w:t>2015, en vue de parvenir à un accord universel juridiquement contraignant sur le climat; il a, en outre</w:t>
      </w:r>
      <w:r w:rsidR="00006E93" w:rsidRPr="00101B00">
        <w:rPr>
          <w:lang w:val="fr-CH"/>
        </w:rPr>
        <w:t>,</w:t>
      </w:r>
      <w:r w:rsidRPr="00101B00">
        <w:rPr>
          <w:lang w:val="fr-CH"/>
        </w:rPr>
        <w:t xml:space="preserve"> </w:t>
      </w:r>
      <w:r w:rsidRPr="00101B00">
        <w:rPr>
          <w:b/>
          <w:lang w:val="fr-CH"/>
        </w:rPr>
        <w:t>prié</w:t>
      </w:r>
      <w:r w:rsidRPr="00101B00">
        <w:rPr>
          <w:lang w:val="fr-CH"/>
        </w:rPr>
        <w:t xml:space="preserve"> le secrétariat d</w:t>
      </w:r>
      <w:r w:rsidR="005F0D9B" w:rsidRPr="00101B00">
        <w:rPr>
          <w:lang w:val="fr-CH"/>
        </w:rPr>
        <w:t>’</w:t>
      </w:r>
      <w:r w:rsidR="00006E93" w:rsidRPr="00101B00">
        <w:rPr>
          <w:lang w:val="fr-CH"/>
        </w:rPr>
        <w:t xml:space="preserve">étudier les </w:t>
      </w:r>
      <w:r w:rsidRPr="00101B00">
        <w:rPr>
          <w:lang w:val="fr-CH"/>
        </w:rPr>
        <w:t xml:space="preserve">synergies </w:t>
      </w:r>
      <w:r w:rsidR="00006E93" w:rsidRPr="00101B00">
        <w:rPr>
          <w:lang w:val="fr-CH"/>
        </w:rPr>
        <w:t xml:space="preserve">qui pourraient découler de </w:t>
      </w:r>
      <w:r w:rsidRPr="00101B00">
        <w:rPr>
          <w:lang w:val="fr-CH"/>
        </w:rPr>
        <w:t>cet événement</w:t>
      </w:r>
      <w:r w:rsidR="00006E93" w:rsidRPr="00101B00">
        <w:rPr>
          <w:lang w:val="fr-CH"/>
        </w:rPr>
        <w:t xml:space="preserve"> et les contributions qu’il est possible d’apporter à celui-ci</w:t>
      </w:r>
      <w:r w:rsidRPr="00101B00">
        <w:rPr>
          <w:lang w:val="fr-CH"/>
        </w:rPr>
        <w:t>.</w:t>
      </w:r>
    </w:p>
    <w:p w:rsidR="00554873" w:rsidRPr="00101B00" w:rsidRDefault="00554873" w:rsidP="00554873">
      <w:pPr>
        <w:pStyle w:val="SingleTxt"/>
        <w:spacing w:after="0" w:line="120" w:lineRule="exact"/>
        <w:rPr>
          <w:sz w:val="10"/>
          <w:lang w:val="fr-CH"/>
        </w:rPr>
      </w:pPr>
    </w:p>
    <w:p w:rsidR="00554873" w:rsidRPr="00101B00" w:rsidRDefault="00554873" w:rsidP="00554873">
      <w:pPr>
        <w:pStyle w:val="SingleTxt"/>
        <w:spacing w:after="0" w:line="120" w:lineRule="exact"/>
        <w:rPr>
          <w:sz w:val="10"/>
          <w:lang w:val="fr-CH"/>
        </w:rPr>
      </w:pPr>
    </w:p>
    <w:p w:rsidR="00554873" w:rsidRPr="00101B00" w:rsidRDefault="00554873" w:rsidP="0055487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1B00">
        <w:rPr>
          <w:lang w:val="fr-CH"/>
        </w:rPr>
        <w:tab/>
        <w:t>C.</w:t>
      </w:r>
      <w:r w:rsidRPr="00101B00">
        <w:rPr>
          <w:lang w:val="fr-CH"/>
        </w:rPr>
        <w:tab/>
        <w:t xml:space="preserve">Programme paneuropéen sur les transports, la santé </w:t>
      </w:r>
      <w:r w:rsidRPr="00101B00">
        <w:rPr>
          <w:lang w:val="fr-CH"/>
        </w:rPr>
        <w:br/>
        <w:t>et l</w:t>
      </w:r>
      <w:r w:rsidR="005F0D9B" w:rsidRPr="00101B00">
        <w:rPr>
          <w:lang w:val="fr-CH"/>
        </w:rPr>
        <w:t>’</w:t>
      </w:r>
      <w:r w:rsidRPr="00101B00">
        <w:rPr>
          <w:lang w:val="fr-CH"/>
        </w:rPr>
        <w:t>environnement</w:t>
      </w:r>
    </w:p>
    <w:p w:rsidR="00554873" w:rsidRPr="00101B00" w:rsidRDefault="00554873" w:rsidP="00554873">
      <w:pPr>
        <w:pStyle w:val="SingleTxt"/>
        <w:spacing w:after="0" w:line="120" w:lineRule="exact"/>
        <w:rPr>
          <w:i/>
          <w:sz w:val="10"/>
          <w:lang w:val="fr-CH"/>
        </w:rPr>
      </w:pPr>
    </w:p>
    <w:p w:rsidR="00554873" w:rsidRPr="00101B00" w:rsidRDefault="00554873" w:rsidP="00554873">
      <w:pPr>
        <w:pStyle w:val="SingleTxt"/>
        <w:spacing w:after="0" w:line="120" w:lineRule="exact"/>
        <w:rPr>
          <w:i/>
          <w:sz w:val="10"/>
          <w:lang w:val="fr-CH"/>
        </w:rPr>
      </w:pPr>
    </w:p>
    <w:p w:rsidR="00554873" w:rsidRPr="00101B00" w:rsidRDefault="00554873" w:rsidP="0055487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i w:val="0"/>
          <w:iCs/>
          <w:lang w:val="fr-CH"/>
        </w:rPr>
      </w:pPr>
      <w:r w:rsidRPr="00101B00">
        <w:rPr>
          <w:lang w:val="fr-CH"/>
        </w:rPr>
        <w:tab/>
      </w:r>
      <w:r w:rsidRPr="00101B00">
        <w:rPr>
          <w:lang w:val="fr-CH"/>
        </w:rPr>
        <w:tab/>
        <w:t>Document</w:t>
      </w:r>
      <w:r w:rsidR="005F0D9B" w:rsidRPr="00101B00">
        <w:rPr>
          <w:lang w:val="fr-CH"/>
        </w:rPr>
        <w:t> </w:t>
      </w:r>
      <w:r w:rsidR="005F0D9B" w:rsidRPr="00970907">
        <w:rPr>
          <w:i w:val="0"/>
          <w:iCs/>
          <w:lang w:val="fr-CH"/>
        </w:rPr>
        <w:t>:</w:t>
      </w:r>
      <w:r w:rsidRPr="00101B00">
        <w:rPr>
          <w:i w:val="0"/>
          <w:iCs/>
          <w:lang w:val="fr-CH"/>
        </w:rPr>
        <w:tab/>
        <w:t>ECE/AC.21/SC/2014/6.</w:t>
      </w:r>
    </w:p>
    <w:p w:rsidR="00554873" w:rsidRPr="00101B00" w:rsidRDefault="00554873" w:rsidP="00554873">
      <w:pPr>
        <w:pStyle w:val="SingleTxt"/>
        <w:spacing w:after="0" w:line="120" w:lineRule="exact"/>
        <w:rPr>
          <w:sz w:val="10"/>
          <w:lang w:val="fr-CH"/>
        </w:rPr>
      </w:pPr>
    </w:p>
    <w:p w:rsidR="00554873" w:rsidRPr="00101B00" w:rsidRDefault="00554873" w:rsidP="00006E93">
      <w:pPr>
        <w:pStyle w:val="SingleTxt"/>
        <w:numPr>
          <w:ilvl w:val="0"/>
          <w:numId w:val="7"/>
        </w:numPr>
        <w:tabs>
          <w:tab w:val="clear" w:pos="475"/>
          <w:tab w:val="num" w:pos="1742"/>
        </w:tabs>
        <w:ind w:left="1267"/>
        <w:rPr>
          <w:lang w:val="fr-CH"/>
        </w:rPr>
      </w:pPr>
      <w:r w:rsidRPr="00101B00">
        <w:rPr>
          <w:lang w:val="fr-CH"/>
        </w:rPr>
        <w:t xml:space="preserve">Le Comité a </w:t>
      </w:r>
      <w:r w:rsidRPr="00101B00">
        <w:rPr>
          <w:b/>
          <w:lang w:val="fr-CH"/>
        </w:rPr>
        <w:t>salué</w:t>
      </w:r>
      <w:r w:rsidRPr="00101B00">
        <w:rPr>
          <w:lang w:val="fr-CH"/>
        </w:rPr>
        <w:t xml:space="preserve"> les conclusions de la quatrième Réunion de haut niveau du Programme paneuropéen sur les transports, la santé et l</w:t>
      </w:r>
      <w:r w:rsidR="005F0D9B" w:rsidRPr="00101B00">
        <w:rPr>
          <w:lang w:val="fr-CH"/>
        </w:rPr>
        <w:t>’</w:t>
      </w:r>
      <w:r w:rsidRPr="00101B00">
        <w:rPr>
          <w:lang w:val="fr-CH"/>
        </w:rPr>
        <w:t>environnement (PPE-TSE) (Paris, 14</w:t>
      </w:r>
      <w:r w:rsidR="00006E93" w:rsidRPr="00101B00">
        <w:rPr>
          <w:lang w:val="fr-CH"/>
        </w:rPr>
        <w:t>-16 </w:t>
      </w:r>
      <w:r w:rsidRPr="00101B00">
        <w:rPr>
          <w:lang w:val="fr-CH"/>
        </w:rPr>
        <w:t xml:space="preserve">avril 2014) et a </w:t>
      </w:r>
      <w:r w:rsidRPr="00101B00">
        <w:rPr>
          <w:b/>
          <w:lang w:val="fr-CH"/>
        </w:rPr>
        <w:t>pris acte</w:t>
      </w:r>
      <w:r w:rsidRPr="00101B00">
        <w:rPr>
          <w:lang w:val="fr-CH"/>
        </w:rPr>
        <w:t xml:space="preserve"> de la Déclaration ministérielle de Paris. </w:t>
      </w:r>
    </w:p>
    <w:p w:rsidR="00554873" w:rsidRPr="00101B00" w:rsidRDefault="00554873" w:rsidP="006101B8">
      <w:pPr>
        <w:pStyle w:val="SingleTxt"/>
        <w:numPr>
          <w:ilvl w:val="0"/>
          <w:numId w:val="7"/>
        </w:numPr>
        <w:tabs>
          <w:tab w:val="clear" w:pos="475"/>
          <w:tab w:val="num" w:pos="1742"/>
        </w:tabs>
        <w:ind w:left="1267"/>
        <w:rPr>
          <w:lang w:val="fr-CH"/>
        </w:rPr>
      </w:pPr>
      <w:r w:rsidRPr="00101B00">
        <w:rPr>
          <w:lang w:val="fr-CH"/>
        </w:rPr>
        <w:t xml:space="preserve">Le Comité a </w:t>
      </w:r>
      <w:r w:rsidRPr="00101B00">
        <w:rPr>
          <w:b/>
          <w:lang w:val="fr-CH"/>
        </w:rPr>
        <w:t>noté</w:t>
      </w:r>
      <w:r w:rsidRPr="00101B00">
        <w:rPr>
          <w:lang w:val="fr-CH"/>
        </w:rPr>
        <w:t xml:space="preserve"> que, dans le cadre de son initiative visant à mobiliser les trois secteurs, et à la suite de la quatrième Réunion de haut niveau et de l</w:t>
      </w:r>
      <w:r w:rsidR="005F0D9B" w:rsidRPr="00101B00">
        <w:rPr>
          <w:lang w:val="fr-CH"/>
        </w:rPr>
        <w:t>’</w:t>
      </w:r>
      <w:r w:rsidRPr="00101B00">
        <w:rPr>
          <w:lang w:val="fr-CH"/>
        </w:rPr>
        <w:t>adoption de la Déclaration de Paris, qui comprend un nouvel objectif intitulé « Articuler les politiques d</w:t>
      </w:r>
      <w:r w:rsidR="005F0D9B" w:rsidRPr="00101B00">
        <w:rPr>
          <w:lang w:val="fr-CH"/>
        </w:rPr>
        <w:t>’</w:t>
      </w:r>
      <w:r w:rsidRPr="00101B00">
        <w:rPr>
          <w:lang w:val="fr-CH"/>
        </w:rPr>
        <w:t>urbanisme et d</w:t>
      </w:r>
      <w:r w:rsidR="005F0D9B" w:rsidRPr="00101B00">
        <w:rPr>
          <w:lang w:val="fr-CH"/>
        </w:rPr>
        <w:t>’</w:t>
      </w:r>
      <w:r w:rsidRPr="00101B00">
        <w:rPr>
          <w:lang w:val="fr-CH"/>
        </w:rPr>
        <w:t>aménagement du territoire avec les objectifs en matière de transport, de santé et d</w:t>
      </w:r>
      <w:r w:rsidR="005F0D9B" w:rsidRPr="00101B00">
        <w:rPr>
          <w:lang w:val="fr-CH"/>
        </w:rPr>
        <w:t>’</w:t>
      </w:r>
      <w:r w:rsidRPr="00101B00">
        <w:rPr>
          <w:lang w:val="fr-CH"/>
        </w:rPr>
        <w:t>environnement », le Comité directeur du PPE-TSE avait organisé un colloque sur le thème « Mobilité urbaine, écologique et saine</w:t>
      </w:r>
      <w:r w:rsidR="005F0D9B" w:rsidRPr="00101B00">
        <w:rPr>
          <w:lang w:val="fr-CH"/>
        </w:rPr>
        <w:t> :</w:t>
      </w:r>
      <w:r w:rsidRPr="00101B00">
        <w:rPr>
          <w:lang w:val="fr-CH"/>
        </w:rPr>
        <w:t xml:space="preserve"> le rôle de l</w:t>
      </w:r>
      <w:r w:rsidR="005F0D9B" w:rsidRPr="00101B00">
        <w:rPr>
          <w:lang w:val="fr-CH"/>
        </w:rPr>
        <w:t>’</w:t>
      </w:r>
      <w:r w:rsidRPr="00101B00">
        <w:rPr>
          <w:lang w:val="fr-CH"/>
        </w:rPr>
        <w:t>aménagement urbain et spa</w:t>
      </w:r>
      <w:r w:rsidR="00006E93" w:rsidRPr="00101B00">
        <w:rPr>
          <w:lang w:val="fr-CH"/>
        </w:rPr>
        <w:t>tial » (19 </w:t>
      </w:r>
      <w:r w:rsidRPr="00101B00">
        <w:rPr>
          <w:lang w:val="fr-CH"/>
        </w:rPr>
        <w:t xml:space="preserve">novembre 2014, Genève) conformément à la Déclaration de Paris. Le Comité a, en outre, </w:t>
      </w:r>
      <w:r w:rsidRPr="00101B00">
        <w:rPr>
          <w:b/>
          <w:lang w:val="fr-CH"/>
        </w:rPr>
        <w:t>pris acte</w:t>
      </w:r>
      <w:r w:rsidRPr="00101B00">
        <w:rPr>
          <w:lang w:val="fr-CH"/>
        </w:rPr>
        <w:t xml:space="preserve"> du rapport du Comité directeur sur sa douzième session (19 et 20 novembre 2014) (ECE/AC.21/SC/2014/6).</w:t>
      </w:r>
    </w:p>
    <w:p w:rsidR="00554873" w:rsidRPr="00101B00" w:rsidRDefault="00554873" w:rsidP="00996B39">
      <w:pPr>
        <w:pStyle w:val="SingleTxt"/>
        <w:numPr>
          <w:ilvl w:val="0"/>
          <w:numId w:val="7"/>
        </w:numPr>
        <w:tabs>
          <w:tab w:val="clear" w:pos="475"/>
          <w:tab w:val="num" w:pos="1742"/>
        </w:tabs>
        <w:ind w:left="1267"/>
        <w:rPr>
          <w:lang w:val="fr-CH"/>
        </w:rPr>
      </w:pPr>
      <w:r w:rsidRPr="00101B00">
        <w:rPr>
          <w:lang w:val="fr-CH"/>
        </w:rPr>
        <w:t>Le Comité s</w:t>
      </w:r>
      <w:r w:rsidR="005F0D9B" w:rsidRPr="00101B00">
        <w:rPr>
          <w:lang w:val="fr-CH"/>
        </w:rPr>
        <w:t>’</w:t>
      </w:r>
      <w:r w:rsidRPr="00101B00">
        <w:rPr>
          <w:lang w:val="fr-CH"/>
        </w:rPr>
        <w:t xml:space="preserve">est </w:t>
      </w:r>
      <w:r w:rsidRPr="00101B00">
        <w:rPr>
          <w:b/>
          <w:lang w:val="fr-CH"/>
        </w:rPr>
        <w:t>félicité</w:t>
      </w:r>
      <w:r w:rsidRPr="00101B00">
        <w:rPr>
          <w:lang w:val="fr-CH"/>
        </w:rPr>
        <w:t xml:space="preserve"> de l</w:t>
      </w:r>
      <w:r w:rsidR="005F0D9B" w:rsidRPr="00101B00">
        <w:rPr>
          <w:lang w:val="fr-CH"/>
        </w:rPr>
        <w:t>’</w:t>
      </w:r>
      <w:r w:rsidRPr="00101B00">
        <w:rPr>
          <w:lang w:val="fr-CH"/>
        </w:rPr>
        <w:t xml:space="preserve">élection de M. Matthias </w:t>
      </w:r>
      <w:r w:rsidR="00014BCC">
        <w:rPr>
          <w:lang w:val="fr-CH"/>
        </w:rPr>
        <w:t xml:space="preserve">Rinderknecht </w:t>
      </w:r>
      <w:r w:rsidRPr="00101B00">
        <w:rPr>
          <w:lang w:val="fr-CH"/>
        </w:rPr>
        <w:t>(Office fédéral suisse des transports) à la présidence du Comité directeur pour 2014</w:t>
      </w:r>
      <w:r w:rsidR="00996B39">
        <w:rPr>
          <w:lang w:val="fr-CH"/>
        </w:rPr>
        <w:t>-</w:t>
      </w:r>
      <w:r w:rsidRPr="00101B00">
        <w:rPr>
          <w:lang w:val="fr-CH"/>
        </w:rPr>
        <w:t xml:space="preserve">2015 et a </w:t>
      </w:r>
      <w:r w:rsidRPr="00101B00">
        <w:rPr>
          <w:b/>
          <w:lang w:val="fr-CH"/>
        </w:rPr>
        <w:t>exprimé le souhait</w:t>
      </w:r>
      <w:r w:rsidRPr="00101B00">
        <w:rPr>
          <w:lang w:val="fr-CH"/>
        </w:rPr>
        <w:t xml:space="preserve"> que le pilier des transports soit renforcé dans le cadre du PPE-TSE; il a </w:t>
      </w:r>
      <w:r w:rsidRPr="00101B00">
        <w:rPr>
          <w:b/>
          <w:lang w:val="fr-CH"/>
        </w:rPr>
        <w:t>constaté avec satisfaction</w:t>
      </w:r>
      <w:r w:rsidRPr="00101B00">
        <w:rPr>
          <w:lang w:val="fr-CH"/>
        </w:rPr>
        <w:t xml:space="preserve"> que le Comité directeur avait décidé, à cette fin, de procéder à des analyses à l</w:t>
      </w:r>
      <w:r w:rsidR="005F0D9B" w:rsidRPr="00101B00">
        <w:rPr>
          <w:lang w:val="fr-CH"/>
        </w:rPr>
        <w:t>’</w:t>
      </w:r>
      <w:r w:rsidRPr="00101B00">
        <w:rPr>
          <w:lang w:val="fr-CH"/>
        </w:rPr>
        <w:t>aide de l</w:t>
      </w:r>
      <w:r w:rsidR="005F0D9B" w:rsidRPr="00101B00">
        <w:rPr>
          <w:lang w:val="fr-CH"/>
        </w:rPr>
        <w:t>’</w:t>
      </w:r>
      <w:r w:rsidRPr="00101B00">
        <w:rPr>
          <w:lang w:val="fr-CH"/>
        </w:rPr>
        <w:t xml:space="preserve">outil ForFITS dans les pays et villes hôtes des ateliers annuels du PPE-TSE. Il a, en outre, </w:t>
      </w:r>
      <w:r w:rsidRPr="00101B00">
        <w:rPr>
          <w:b/>
          <w:lang w:val="fr-CH"/>
        </w:rPr>
        <w:t>prié</w:t>
      </w:r>
      <w:r w:rsidRPr="00101B00">
        <w:rPr>
          <w:lang w:val="fr-CH"/>
        </w:rPr>
        <w:t xml:space="preserve"> le secrétariat de continuer à </w:t>
      </w:r>
      <w:r w:rsidR="00006E93" w:rsidRPr="00101B00">
        <w:rPr>
          <w:lang w:val="fr-CH"/>
        </w:rPr>
        <w:t xml:space="preserve">développer </w:t>
      </w:r>
      <w:r w:rsidRPr="00101B00">
        <w:rPr>
          <w:lang w:val="fr-CH"/>
        </w:rPr>
        <w:t xml:space="preserve">de telles synergies et, afin de renforcer la présence du secteur des transports dans ces activités de coopération multisectorielle, a </w:t>
      </w:r>
      <w:r w:rsidRPr="00101B00">
        <w:rPr>
          <w:b/>
          <w:lang w:val="fr-CH"/>
        </w:rPr>
        <w:t>invité</w:t>
      </w:r>
      <w:r w:rsidRPr="00101B00">
        <w:rPr>
          <w:lang w:val="fr-CH"/>
        </w:rPr>
        <w:t xml:space="preserve"> ses États membres à désigner des coordonnateurs pour le PPE-TSE et à communiquer leurs noms au secrétariat.</w:t>
      </w:r>
    </w:p>
    <w:p w:rsidR="00554873" w:rsidRPr="00101B00" w:rsidRDefault="00554873" w:rsidP="00970907">
      <w:pPr>
        <w:pStyle w:val="SingleTxt"/>
        <w:keepLines/>
        <w:numPr>
          <w:ilvl w:val="0"/>
          <w:numId w:val="7"/>
        </w:numPr>
        <w:tabs>
          <w:tab w:val="clear" w:pos="475"/>
          <w:tab w:val="num" w:pos="1742"/>
        </w:tabs>
        <w:ind w:left="1267"/>
        <w:rPr>
          <w:lang w:val="fr-CH"/>
        </w:rPr>
      </w:pPr>
      <w:r w:rsidRPr="00101B00">
        <w:rPr>
          <w:lang w:val="fr-CH"/>
        </w:rPr>
        <w:lastRenderedPageBreak/>
        <w:t xml:space="preserve">Le Comité a </w:t>
      </w:r>
      <w:r w:rsidRPr="00101B00">
        <w:rPr>
          <w:b/>
          <w:lang w:val="fr-CH"/>
        </w:rPr>
        <w:t>pris note</w:t>
      </w:r>
      <w:r w:rsidRPr="00101B00">
        <w:rPr>
          <w:lang w:val="fr-CH"/>
        </w:rPr>
        <w:t xml:space="preserve"> de la proposition de la Fédération de Russie visant à organiser en 2015 deux conférences internationales, à Irkoutsk et à Moscou, dans le cadre du partenariat PPE-TSE, sur l</w:t>
      </w:r>
      <w:r w:rsidR="005F0D9B" w:rsidRPr="00101B00">
        <w:rPr>
          <w:lang w:val="fr-CH"/>
        </w:rPr>
        <w:t>’</w:t>
      </w:r>
      <w:r w:rsidRPr="00101B00">
        <w:rPr>
          <w:lang w:val="fr-CH"/>
        </w:rPr>
        <w:t>intégration de considérations liées aux transports, à la santé et à l</w:t>
      </w:r>
      <w:r w:rsidR="005F0D9B" w:rsidRPr="00101B00">
        <w:rPr>
          <w:lang w:val="fr-CH"/>
        </w:rPr>
        <w:t>’</w:t>
      </w:r>
      <w:r w:rsidRPr="00101B00">
        <w:rPr>
          <w:lang w:val="fr-CH"/>
        </w:rPr>
        <w:t>environnement dans les politiques d</w:t>
      </w:r>
      <w:r w:rsidR="005F0D9B" w:rsidRPr="00101B00">
        <w:rPr>
          <w:lang w:val="fr-CH"/>
        </w:rPr>
        <w:t>’</w:t>
      </w:r>
      <w:r w:rsidRPr="00101B00">
        <w:rPr>
          <w:lang w:val="fr-CH"/>
        </w:rPr>
        <w:t>urbanification et d</w:t>
      </w:r>
      <w:r w:rsidR="005F0D9B" w:rsidRPr="00101B00">
        <w:rPr>
          <w:lang w:val="fr-CH"/>
        </w:rPr>
        <w:t>’</w:t>
      </w:r>
      <w:r w:rsidRPr="00101B00">
        <w:rPr>
          <w:lang w:val="fr-CH"/>
        </w:rPr>
        <w:t>aménagement urbain.</w:t>
      </w:r>
    </w:p>
    <w:p w:rsidR="00554873" w:rsidRPr="00101B00" w:rsidRDefault="00554873" w:rsidP="006101B8">
      <w:pPr>
        <w:pStyle w:val="SingleTxt"/>
        <w:numPr>
          <w:ilvl w:val="0"/>
          <w:numId w:val="7"/>
        </w:numPr>
        <w:tabs>
          <w:tab w:val="clear" w:pos="475"/>
          <w:tab w:val="num" w:pos="1742"/>
        </w:tabs>
        <w:ind w:left="1267"/>
        <w:rPr>
          <w:lang w:val="fr-CH"/>
        </w:rPr>
      </w:pPr>
      <w:r w:rsidRPr="00101B00">
        <w:rPr>
          <w:lang w:val="fr-CH"/>
        </w:rPr>
        <w:t>Le Comité a</w:t>
      </w:r>
      <w:r w:rsidRPr="00101B00">
        <w:rPr>
          <w:b/>
          <w:lang w:val="fr-CH"/>
        </w:rPr>
        <w:t xml:space="preserve"> prié</w:t>
      </w:r>
      <w:r w:rsidRPr="00101B00">
        <w:rPr>
          <w:lang w:val="fr-CH"/>
        </w:rPr>
        <w:t xml:space="preserve"> le secrétariat d</w:t>
      </w:r>
      <w:r w:rsidR="005F0D9B" w:rsidRPr="00101B00">
        <w:rPr>
          <w:lang w:val="fr-CH"/>
        </w:rPr>
        <w:t>’</w:t>
      </w:r>
      <w:r w:rsidRPr="00101B00">
        <w:rPr>
          <w:lang w:val="fr-CH"/>
        </w:rPr>
        <w:t>établir, pour examen par le Comité à sa session à venir, un document proposant d</w:t>
      </w:r>
      <w:r w:rsidR="005F0D9B" w:rsidRPr="00101B00">
        <w:rPr>
          <w:lang w:val="fr-CH"/>
        </w:rPr>
        <w:t>’</w:t>
      </w:r>
      <w:r w:rsidRPr="00101B00">
        <w:rPr>
          <w:lang w:val="fr-CH"/>
        </w:rPr>
        <w:t>éventuelles contributions à la cinquième Réunion de haut niveau du PPE-TSE, qui se tiendra à Vienne en 2019.</w:t>
      </w:r>
    </w:p>
    <w:p w:rsidR="004F173B" w:rsidRPr="00101B00" w:rsidRDefault="004F173B" w:rsidP="004F173B">
      <w:pPr>
        <w:pStyle w:val="SingleTxt"/>
        <w:spacing w:after="0" w:line="120" w:lineRule="exact"/>
        <w:rPr>
          <w:sz w:val="10"/>
          <w:lang w:val="fr-CH"/>
        </w:rPr>
      </w:pPr>
    </w:p>
    <w:p w:rsidR="004F173B" w:rsidRPr="00101B00" w:rsidRDefault="004F173B" w:rsidP="004F173B">
      <w:pPr>
        <w:pStyle w:val="SingleTxt"/>
        <w:spacing w:after="0" w:line="120" w:lineRule="exact"/>
        <w:rPr>
          <w:sz w:val="10"/>
          <w:lang w:val="fr-CH"/>
        </w:rPr>
      </w:pPr>
    </w:p>
    <w:p w:rsidR="00554873" w:rsidRPr="00101B00" w:rsidRDefault="00554873" w:rsidP="004F17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1B00">
        <w:rPr>
          <w:lang w:val="fr-CH"/>
        </w:rPr>
        <w:tab/>
        <w:t>D.</w:t>
      </w:r>
      <w:r w:rsidRPr="00101B00">
        <w:rPr>
          <w:lang w:val="fr-CH"/>
        </w:rPr>
        <w:tab/>
        <w:t>Systèmes de transport intelligents</w:t>
      </w:r>
    </w:p>
    <w:p w:rsidR="004F173B" w:rsidRPr="00101B00" w:rsidRDefault="004F173B" w:rsidP="004F173B">
      <w:pPr>
        <w:pStyle w:val="SingleTxt"/>
        <w:spacing w:after="0" w:line="120" w:lineRule="exact"/>
        <w:rPr>
          <w:i/>
          <w:sz w:val="10"/>
          <w:lang w:val="fr-CH"/>
        </w:rPr>
      </w:pPr>
    </w:p>
    <w:p w:rsidR="00554873" w:rsidRPr="00101B00" w:rsidRDefault="004F173B" w:rsidP="004F173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i w:val="0"/>
          <w:iCs/>
          <w:lang w:val="fr-CH"/>
        </w:rPr>
      </w:pPr>
      <w:r w:rsidRPr="00101B00">
        <w:rPr>
          <w:lang w:val="fr-CH"/>
        </w:rPr>
        <w:tab/>
      </w:r>
      <w:r w:rsidRPr="00101B00">
        <w:rPr>
          <w:lang w:val="fr-CH"/>
        </w:rPr>
        <w:tab/>
      </w:r>
      <w:r w:rsidR="00554873" w:rsidRPr="00101B00">
        <w:rPr>
          <w:lang w:val="fr-CH"/>
        </w:rPr>
        <w:t>Document</w:t>
      </w:r>
      <w:r w:rsidR="005F0D9B" w:rsidRPr="00101B00">
        <w:rPr>
          <w:lang w:val="fr-CH"/>
        </w:rPr>
        <w:t> </w:t>
      </w:r>
      <w:r w:rsidR="005F0D9B" w:rsidRPr="00970907">
        <w:rPr>
          <w:i w:val="0"/>
          <w:iCs/>
          <w:lang w:val="fr-CH"/>
        </w:rPr>
        <w:t>:</w:t>
      </w:r>
      <w:r w:rsidRPr="00101B00">
        <w:rPr>
          <w:i w:val="0"/>
          <w:iCs/>
          <w:lang w:val="fr-CH"/>
        </w:rPr>
        <w:tab/>
      </w:r>
      <w:r w:rsidR="00554873" w:rsidRPr="00101B00">
        <w:rPr>
          <w:i w:val="0"/>
          <w:iCs/>
          <w:lang w:val="fr-CH"/>
        </w:rPr>
        <w:t>ECE/TRANS/2015/7.</w:t>
      </w:r>
    </w:p>
    <w:p w:rsidR="004F173B" w:rsidRPr="00101B00" w:rsidRDefault="004F173B" w:rsidP="004F173B">
      <w:pPr>
        <w:pStyle w:val="SingleTxt"/>
        <w:spacing w:after="0" w:line="120" w:lineRule="exact"/>
        <w:rPr>
          <w:sz w:val="10"/>
          <w:lang w:val="fr-CH"/>
        </w:rPr>
      </w:pPr>
    </w:p>
    <w:p w:rsidR="00554873" w:rsidRPr="00101B00" w:rsidRDefault="00554873" w:rsidP="0038133C">
      <w:pPr>
        <w:pStyle w:val="SingleTxt"/>
        <w:numPr>
          <w:ilvl w:val="0"/>
          <w:numId w:val="7"/>
        </w:numPr>
        <w:tabs>
          <w:tab w:val="clear" w:pos="475"/>
          <w:tab w:val="num" w:pos="1742"/>
        </w:tabs>
        <w:ind w:left="1267"/>
        <w:rPr>
          <w:lang w:val="fr-CH"/>
        </w:rPr>
      </w:pPr>
      <w:r w:rsidRPr="00101B00">
        <w:rPr>
          <w:lang w:val="fr-CH"/>
        </w:rPr>
        <w:t>Le Comité a</w:t>
      </w:r>
      <w:r w:rsidRPr="00101B00">
        <w:rPr>
          <w:b/>
          <w:lang w:val="fr-CH"/>
        </w:rPr>
        <w:t xml:space="preserve"> examiné</w:t>
      </w:r>
      <w:r w:rsidRPr="00101B00">
        <w:rPr>
          <w:lang w:val="fr-CH"/>
        </w:rPr>
        <w:t xml:space="preserve"> les conclusions de l</w:t>
      </w:r>
      <w:r w:rsidR="005F0D9B" w:rsidRPr="00101B00">
        <w:rPr>
          <w:lang w:val="fr-CH"/>
        </w:rPr>
        <w:t>’</w:t>
      </w:r>
      <w:r w:rsidRPr="00101B00">
        <w:rPr>
          <w:lang w:val="fr-CH"/>
        </w:rPr>
        <w:t>atelier organisé conjointement par la Belgique et la CEE sur le thème des systèmes de transport intelligents (STI) (Bruxelles, 17 et 18 novembre</w:t>
      </w:r>
      <w:r w:rsidR="0038133C" w:rsidRPr="00101B00">
        <w:rPr>
          <w:lang w:val="fr-CH"/>
        </w:rPr>
        <w:t xml:space="preserve"> </w:t>
      </w:r>
      <w:r w:rsidRPr="00101B00">
        <w:rPr>
          <w:lang w:val="fr-CH"/>
        </w:rPr>
        <w:t>2014)</w:t>
      </w:r>
      <w:r w:rsidR="00006E93" w:rsidRPr="00101B00">
        <w:rPr>
          <w:lang w:val="fr-CH"/>
        </w:rPr>
        <w:t>,</w:t>
      </w:r>
      <w:r w:rsidRPr="00101B00">
        <w:rPr>
          <w:lang w:val="fr-CH"/>
        </w:rPr>
        <w:t xml:space="preserve"> la contribution de la CEE au </w:t>
      </w:r>
      <w:r w:rsidR="00006E93" w:rsidRPr="00101B00">
        <w:rPr>
          <w:lang w:val="fr-CH"/>
        </w:rPr>
        <w:t xml:space="preserve">colloque </w:t>
      </w:r>
      <w:r w:rsidRPr="00101B00">
        <w:rPr>
          <w:lang w:val="fr-CH"/>
        </w:rPr>
        <w:t>sur</w:t>
      </w:r>
      <w:r w:rsidR="00006E93" w:rsidRPr="00101B00">
        <w:rPr>
          <w:lang w:val="fr-CH"/>
        </w:rPr>
        <w:t xml:space="preserve"> la voiture connectée, organisé</w:t>
      </w:r>
      <w:r w:rsidRPr="00101B00">
        <w:rPr>
          <w:lang w:val="fr-CH"/>
        </w:rPr>
        <w:t xml:space="preserve"> conjointement avec l</w:t>
      </w:r>
      <w:r w:rsidR="005F0D9B" w:rsidRPr="00101B00">
        <w:rPr>
          <w:lang w:val="fr-CH"/>
        </w:rPr>
        <w:t>’</w:t>
      </w:r>
      <w:r w:rsidRPr="00101B00">
        <w:rPr>
          <w:lang w:val="fr-CH"/>
        </w:rPr>
        <w:t>UIT à l</w:t>
      </w:r>
      <w:r w:rsidR="005F0D9B" w:rsidRPr="00101B00">
        <w:rPr>
          <w:lang w:val="fr-CH"/>
        </w:rPr>
        <w:t>’</w:t>
      </w:r>
      <w:r w:rsidRPr="00101B00">
        <w:rPr>
          <w:lang w:val="fr-CH"/>
        </w:rPr>
        <w:t>occasion de l</w:t>
      </w:r>
      <w:r w:rsidR="005F0D9B" w:rsidRPr="00101B00">
        <w:rPr>
          <w:lang w:val="fr-CH"/>
        </w:rPr>
        <w:t>’</w:t>
      </w:r>
      <w:r w:rsidRPr="00101B00">
        <w:rPr>
          <w:lang w:val="fr-CH"/>
        </w:rPr>
        <w:t>édition 2014 du Salon de l</w:t>
      </w:r>
      <w:r w:rsidR="005F0D9B" w:rsidRPr="00101B00">
        <w:rPr>
          <w:lang w:val="fr-CH"/>
        </w:rPr>
        <w:t>’</w:t>
      </w:r>
      <w:r w:rsidRPr="00101B00">
        <w:rPr>
          <w:lang w:val="fr-CH"/>
        </w:rPr>
        <w:t>automobile de Genève (6</w:t>
      </w:r>
      <w:r w:rsidR="0038133C" w:rsidRPr="00101B00">
        <w:rPr>
          <w:lang w:val="fr-CH"/>
        </w:rPr>
        <w:t>-16 </w:t>
      </w:r>
      <w:r w:rsidR="00006E93" w:rsidRPr="00101B00">
        <w:rPr>
          <w:lang w:val="fr-CH"/>
        </w:rPr>
        <w:t>mars 2014),</w:t>
      </w:r>
      <w:r w:rsidRPr="00101B00">
        <w:rPr>
          <w:lang w:val="fr-CH"/>
        </w:rPr>
        <w:t xml:space="preserve"> les dernières évolutions pertinentes </w:t>
      </w:r>
      <w:r w:rsidR="00006E93" w:rsidRPr="00101B00">
        <w:rPr>
          <w:lang w:val="fr-CH"/>
        </w:rPr>
        <w:t xml:space="preserve">en matière </w:t>
      </w:r>
      <w:r w:rsidRPr="00101B00">
        <w:rPr>
          <w:lang w:val="fr-CH"/>
        </w:rPr>
        <w:t>de réglementation dans les différents groupes de travail, en particulier le Forum mondial de l</w:t>
      </w:r>
      <w:r w:rsidR="005F0D9B" w:rsidRPr="00101B00">
        <w:rPr>
          <w:lang w:val="fr-CH"/>
        </w:rPr>
        <w:t>’</w:t>
      </w:r>
      <w:r w:rsidRPr="00101B00">
        <w:rPr>
          <w:lang w:val="fr-CH"/>
        </w:rPr>
        <w:t>harmonisation des Règlements sur les véhicules (WP.29) et le Groupe de travail de la sécurité et de la circulation routières (WP.1)</w:t>
      </w:r>
      <w:r w:rsidR="00006E93" w:rsidRPr="00101B00">
        <w:rPr>
          <w:lang w:val="fr-CH"/>
        </w:rPr>
        <w:t xml:space="preserve">, et, enfin, </w:t>
      </w:r>
      <w:r w:rsidRPr="00101B00">
        <w:rPr>
          <w:lang w:val="fr-CH"/>
        </w:rPr>
        <w:t>l</w:t>
      </w:r>
      <w:r w:rsidR="005F0D9B" w:rsidRPr="00101B00">
        <w:rPr>
          <w:lang w:val="fr-CH"/>
        </w:rPr>
        <w:t>’</w:t>
      </w:r>
      <w:r w:rsidRPr="00101B00">
        <w:rPr>
          <w:lang w:val="fr-CH"/>
        </w:rPr>
        <w:t>état de la mise en œuvre de la Feuille de route pour les systèmes de transport intelligents, déployée à sa soixante-quatorzième session (ECE/TRANS/2015/7).</w:t>
      </w:r>
    </w:p>
    <w:p w:rsidR="00554873" w:rsidRPr="00101B00" w:rsidRDefault="00554873" w:rsidP="006101B8">
      <w:pPr>
        <w:pStyle w:val="SingleTxt"/>
        <w:numPr>
          <w:ilvl w:val="0"/>
          <w:numId w:val="7"/>
        </w:numPr>
        <w:tabs>
          <w:tab w:val="clear" w:pos="475"/>
          <w:tab w:val="num" w:pos="1742"/>
        </w:tabs>
        <w:ind w:left="1267"/>
        <w:rPr>
          <w:lang w:val="fr-CH"/>
        </w:rPr>
      </w:pPr>
      <w:r w:rsidRPr="00101B00">
        <w:rPr>
          <w:lang w:val="fr-CH"/>
        </w:rPr>
        <w:t>Le Comité</w:t>
      </w:r>
      <w:r w:rsidR="005F0D9B" w:rsidRPr="00101B00">
        <w:rPr>
          <w:lang w:val="fr-CH"/>
        </w:rPr>
        <w:t> :</w:t>
      </w:r>
    </w:p>
    <w:p w:rsidR="00554873" w:rsidRPr="00101B00" w:rsidRDefault="00554873" w:rsidP="004C4024">
      <w:pPr>
        <w:pStyle w:val="SingleTxt"/>
        <w:rPr>
          <w:lang w:val="fr-CH"/>
        </w:rPr>
      </w:pPr>
      <w:r w:rsidRPr="00101B00">
        <w:rPr>
          <w:lang w:val="fr-CH"/>
        </w:rPr>
        <w:tab/>
        <w:t>a)</w:t>
      </w:r>
      <w:r w:rsidRPr="00101B00">
        <w:rPr>
          <w:lang w:val="fr-CH"/>
        </w:rPr>
        <w:tab/>
        <w:t>A</w:t>
      </w:r>
      <w:r w:rsidRPr="00101B00">
        <w:rPr>
          <w:b/>
          <w:lang w:val="fr-CH"/>
        </w:rPr>
        <w:t xml:space="preserve"> estimé que</w:t>
      </w:r>
      <w:r w:rsidR="00996B39">
        <w:rPr>
          <w:b/>
          <w:lang w:val="fr-CH"/>
        </w:rPr>
        <w:t> </w:t>
      </w:r>
      <w:r w:rsidR="00996B39" w:rsidRPr="00996B39">
        <w:rPr>
          <w:bCs/>
          <w:lang w:val="fr-CH"/>
        </w:rPr>
        <w:t xml:space="preserve">: </w:t>
      </w:r>
      <w:r w:rsidRPr="00101B00">
        <w:rPr>
          <w:lang w:val="fr-CH"/>
        </w:rPr>
        <w:t>i) la manifestation annuelle phare de la CEE dans le domaine des STI était mieux organisée quand elle bénéficiait de l</w:t>
      </w:r>
      <w:r w:rsidR="005F0D9B" w:rsidRPr="00101B00">
        <w:rPr>
          <w:lang w:val="fr-CH"/>
        </w:rPr>
        <w:t>’</w:t>
      </w:r>
      <w:r w:rsidRPr="00101B00">
        <w:rPr>
          <w:lang w:val="fr-CH"/>
        </w:rPr>
        <w:t>appui d</w:t>
      </w:r>
      <w:r w:rsidR="005F0D9B" w:rsidRPr="00101B00">
        <w:rPr>
          <w:lang w:val="fr-CH"/>
        </w:rPr>
        <w:t>’</w:t>
      </w:r>
      <w:r w:rsidRPr="00101B00">
        <w:rPr>
          <w:lang w:val="fr-CH"/>
        </w:rPr>
        <w:t xml:space="preserve">un pays hôte; ii) le </w:t>
      </w:r>
      <w:r w:rsidR="0038133C" w:rsidRPr="00101B00">
        <w:rPr>
          <w:lang w:val="fr-CH"/>
        </w:rPr>
        <w:t>colloque</w:t>
      </w:r>
      <w:r w:rsidRPr="00101B00">
        <w:rPr>
          <w:lang w:val="fr-CH"/>
        </w:rPr>
        <w:t xml:space="preserve"> en marge du Salon de l</w:t>
      </w:r>
      <w:r w:rsidR="005F0D9B" w:rsidRPr="00101B00">
        <w:rPr>
          <w:lang w:val="fr-CH"/>
        </w:rPr>
        <w:t>’</w:t>
      </w:r>
      <w:r w:rsidRPr="00101B00">
        <w:rPr>
          <w:lang w:val="fr-CH"/>
        </w:rPr>
        <w:t xml:space="preserve">automobile de Genève offrait une bonne possibilité de renforcer davantage les liens avec toutes les parties prenantes </w:t>
      </w:r>
      <w:r w:rsidR="004C4024" w:rsidRPr="00101B00">
        <w:rPr>
          <w:lang w:val="fr-CH"/>
        </w:rPr>
        <w:t xml:space="preserve">et de gagner en </w:t>
      </w:r>
      <w:r w:rsidRPr="00101B00">
        <w:rPr>
          <w:lang w:val="fr-CH"/>
        </w:rPr>
        <w:t xml:space="preserve">visibilité; iii) les </w:t>
      </w:r>
      <w:r w:rsidR="004C4024" w:rsidRPr="00101B00">
        <w:rPr>
          <w:lang w:val="fr-CH"/>
        </w:rPr>
        <w:t xml:space="preserve">changements extrêmement importants apportés aux politiques et aux systèmes de transport avaient pour moteurs des </w:t>
      </w:r>
      <w:r w:rsidRPr="00101B00">
        <w:rPr>
          <w:lang w:val="fr-CH"/>
        </w:rPr>
        <w:t>applications dérivées des STI;</w:t>
      </w:r>
    </w:p>
    <w:p w:rsidR="00554873" w:rsidRPr="00101B00" w:rsidRDefault="00554873" w:rsidP="004C4024">
      <w:pPr>
        <w:pStyle w:val="SingleTxt"/>
        <w:rPr>
          <w:lang w:val="fr-CH"/>
        </w:rPr>
      </w:pPr>
      <w:r w:rsidRPr="00101B00">
        <w:rPr>
          <w:lang w:val="fr-CH"/>
        </w:rPr>
        <w:tab/>
        <w:t>b)</w:t>
      </w:r>
      <w:r w:rsidRPr="00101B00">
        <w:rPr>
          <w:lang w:val="fr-CH"/>
        </w:rPr>
        <w:tab/>
        <w:t xml:space="preserve">A </w:t>
      </w:r>
      <w:r w:rsidRPr="00101B00">
        <w:rPr>
          <w:b/>
          <w:lang w:val="fr-CH"/>
        </w:rPr>
        <w:t>pris note</w:t>
      </w:r>
      <w:r w:rsidRPr="00101B00">
        <w:rPr>
          <w:lang w:val="fr-CH"/>
        </w:rPr>
        <w:t xml:space="preserve"> des diverses activités entreprises par plusieurs Parties contractantes et a, en outre, </w:t>
      </w:r>
      <w:r w:rsidRPr="00101B00">
        <w:rPr>
          <w:b/>
          <w:lang w:val="fr-CH"/>
        </w:rPr>
        <w:t>reconnu</w:t>
      </w:r>
      <w:r w:rsidRPr="00101B00">
        <w:rPr>
          <w:lang w:val="fr-CH"/>
        </w:rPr>
        <w:t xml:space="preserve"> qu</w:t>
      </w:r>
      <w:r w:rsidR="005F0D9B" w:rsidRPr="00101B00">
        <w:rPr>
          <w:lang w:val="fr-CH"/>
        </w:rPr>
        <w:t>’</w:t>
      </w:r>
      <w:r w:rsidRPr="00101B00">
        <w:rPr>
          <w:lang w:val="fr-CH"/>
        </w:rPr>
        <w:t xml:space="preserve">il importait de les harmoniser, de les coordonner </w:t>
      </w:r>
      <w:r w:rsidR="004C4024" w:rsidRPr="00101B00">
        <w:rPr>
          <w:lang w:val="fr-CH"/>
        </w:rPr>
        <w:t xml:space="preserve">ou </w:t>
      </w:r>
      <w:r w:rsidRPr="00101B00">
        <w:rPr>
          <w:lang w:val="fr-CH"/>
        </w:rPr>
        <w:t>de mettre au point des initiatives permettant de pleinement tenir compte des implications qui en découlaient sur les plans réglementaire et politique, dans une optique de résolution des difficultés et de diffusion des meilleures pratiques;</w:t>
      </w:r>
    </w:p>
    <w:p w:rsidR="00554873" w:rsidRPr="00101B00" w:rsidRDefault="00554873" w:rsidP="004C4024">
      <w:pPr>
        <w:pStyle w:val="SingleTxt"/>
        <w:rPr>
          <w:b/>
          <w:lang w:val="fr-CH"/>
        </w:rPr>
      </w:pPr>
      <w:r w:rsidRPr="00101B00">
        <w:rPr>
          <w:lang w:val="fr-CH"/>
        </w:rPr>
        <w:tab/>
        <w:t>c)</w:t>
      </w:r>
      <w:r w:rsidRPr="00101B00">
        <w:rPr>
          <w:lang w:val="fr-CH"/>
        </w:rPr>
        <w:tab/>
        <w:t>A</w:t>
      </w:r>
      <w:r w:rsidR="004C4024" w:rsidRPr="00101B00">
        <w:rPr>
          <w:lang w:val="fr-CH"/>
        </w:rPr>
        <w:t xml:space="preserve">, à cet égard, </w:t>
      </w:r>
      <w:r w:rsidRPr="00101B00">
        <w:rPr>
          <w:b/>
          <w:lang w:val="fr-CH"/>
        </w:rPr>
        <w:t>invité</w:t>
      </w:r>
      <w:r w:rsidRPr="00101B00">
        <w:rPr>
          <w:lang w:val="fr-CH"/>
        </w:rPr>
        <w:t xml:space="preserve"> ses États membres à appuyer les mesures visant à appliquer aux véhicules automatisés une réglementation harmonisée à l</w:t>
      </w:r>
      <w:r w:rsidR="005F0D9B" w:rsidRPr="00101B00">
        <w:rPr>
          <w:lang w:val="fr-CH"/>
        </w:rPr>
        <w:t>’</w:t>
      </w:r>
      <w:r w:rsidRPr="00101B00">
        <w:rPr>
          <w:lang w:val="fr-CH"/>
        </w:rPr>
        <w:t>échelon international, étant entendu que favoriser les mesures réglementaires permettrait de réaliser les bienfaits potentiels des STI en matière de sécurité routière, de protection environnementale, d</w:t>
      </w:r>
      <w:r w:rsidR="005F0D9B" w:rsidRPr="00101B00">
        <w:rPr>
          <w:lang w:val="fr-CH"/>
        </w:rPr>
        <w:t>’</w:t>
      </w:r>
      <w:r w:rsidRPr="00101B00">
        <w:rPr>
          <w:lang w:val="fr-CH"/>
        </w:rPr>
        <w:t>efficience énergét</w:t>
      </w:r>
      <w:r w:rsidR="004C4024" w:rsidRPr="00101B00">
        <w:rPr>
          <w:lang w:val="fr-CH"/>
        </w:rPr>
        <w:t>ique et de gestion du trafic;</w:t>
      </w:r>
    </w:p>
    <w:p w:rsidR="00554873" w:rsidRPr="00101B00" w:rsidRDefault="00554873" w:rsidP="004C4024">
      <w:pPr>
        <w:pStyle w:val="SingleTxt"/>
        <w:rPr>
          <w:b/>
          <w:lang w:val="fr-CH"/>
        </w:rPr>
      </w:pPr>
      <w:r w:rsidRPr="00101B00">
        <w:rPr>
          <w:lang w:val="fr-CH"/>
        </w:rPr>
        <w:tab/>
        <w:t>d)</w:t>
      </w:r>
      <w:r w:rsidRPr="00101B00">
        <w:rPr>
          <w:lang w:val="fr-CH"/>
        </w:rPr>
        <w:tab/>
        <w:t xml:space="preserve">A </w:t>
      </w:r>
      <w:r w:rsidRPr="00101B00">
        <w:rPr>
          <w:b/>
          <w:lang w:val="fr-CH"/>
        </w:rPr>
        <w:t xml:space="preserve">invité </w:t>
      </w:r>
      <w:r w:rsidRPr="00101B00">
        <w:rPr>
          <w:lang w:val="fr-CH"/>
        </w:rPr>
        <w:t>le</w:t>
      </w:r>
      <w:r w:rsidRPr="00101B00">
        <w:rPr>
          <w:b/>
          <w:lang w:val="fr-CH"/>
        </w:rPr>
        <w:t xml:space="preserve"> </w:t>
      </w:r>
      <w:r w:rsidRPr="00101B00">
        <w:rPr>
          <w:lang w:val="fr-CH"/>
        </w:rPr>
        <w:t xml:space="preserve">WP.1 et le WP.29 à envisager différentes </w:t>
      </w:r>
      <w:r w:rsidR="004C4024" w:rsidRPr="00101B00">
        <w:rPr>
          <w:lang w:val="fr-CH"/>
        </w:rPr>
        <w:t>solutions</w:t>
      </w:r>
      <w:r w:rsidRPr="00101B00">
        <w:rPr>
          <w:lang w:val="fr-CH"/>
        </w:rPr>
        <w:t xml:space="preserve"> pour développer leur coopération et optimiser les synergies, sachant que la connaissance du comportement humain en lien avec les technologies complexes serait, à l</w:t>
      </w:r>
      <w:r w:rsidR="005F0D9B" w:rsidRPr="00101B00">
        <w:rPr>
          <w:lang w:val="fr-CH"/>
        </w:rPr>
        <w:t>’</w:t>
      </w:r>
      <w:r w:rsidRPr="00101B00">
        <w:rPr>
          <w:lang w:val="fr-CH"/>
        </w:rPr>
        <w:t xml:space="preserve">avenir, de la toute première importance et que la réglementation de la technologie et </w:t>
      </w:r>
      <w:r w:rsidR="004C4024" w:rsidRPr="00101B00">
        <w:rPr>
          <w:lang w:val="fr-CH"/>
        </w:rPr>
        <w:t xml:space="preserve">celle </w:t>
      </w:r>
      <w:r w:rsidRPr="00101B00">
        <w:rPr>
          <w:lang w:val="fr-CH"/>
        </w:rPr>
        <w:t>des conducteurs/</w:t>
      </w:r>
      <w:r w:rsidR="004C4024" w:rsidRPr="00101B00">
        <w:rPr>
          <w:lang w:val="fr-CH"/>
        </w:rPr>
        <w:t>usagers de la route ne sauraient se faire l’une sans l’autre</w:t>
      </w:r>
      <w:r w:rsidRPr="00101B00">
        <w:rPr>
          <w:lang w:val="fr-CH"/>
        </w:rPr>
        <w:t>.</w:t>
      </w:r>
    </w:p>
    <w:p w:rsidR="00554873" w:rsidRPr="00101B00" w:rsidRDefault="00554873" w:rsidP="004C4024">
      <w:pPr>
        <w:pStyle w:val="SingleTxt"/>
        <w:numPr>
          <w:ilvl w:val="0"/>
          <w:numId w:val="7"/>
        </w:numPr>
        <w:tabs>
          <w:tab w:val="clear" w:pos="475"/>
          <w:tab w:val="num" w:pos="1742"/>
        </w:tabs>
        <w:ind w:left="1267"/>
        <w:rPr>
          <w:lang w:val="fr-CH"/>
        </w:rPr>
      </w:pPr>
      <w:r w:rsidRPr="00101B00">
        <w:rPr>
          <w:lang w:val="fr-CH"/>
        </w:rPr>
        <w:t>Le Comité a</w:t>
      </w:r>
      <w:r w:rsidRPr="00101B00">
        <w:rPr>
          <w:b/>
          <w:lang w:val="fr-CH"/>
        </w:rPr>
        <w:t xml:space="preserve"> noté</w:t>
      </w:r>
      <w:r w:rsidRPr="00101B00">
        <w:rPr>
          <w:lang w:val="fr-CH"/>
        </w:rPr>
        <w:t xml:space="preserve"> que le vingt-deuxième Congrès mondial sur les STI</w:t>
      </w:r>
      <w:r w:rsidR="004C4024" w:rsidRPr="00101B00">
        <w:rPr>
          <w:lang w:val="fr-CH"/>
        </w:rPr>
        <w:t xml:space="preserve"> se tiendrait du 5 au 9 octobre </w:t>
      </w:r>
      <w:r w:rsidRPr="00101B00">
        <w:rPr>
          <w:lang w:val="fr-CH"/>
        </w:rPr>
        <w:t>2015 à Bordeaux (France) et s</w:t>
      </w:r>
      <w:r w:rsidR="005F0D9B" w:rsidRPr="00101B00">
        <w:rPr>
          <w:lang w:val="fr-CH"/>
        </w:rPr>
        <w:t>’</w:t>
      </w:r>
      <w:r w:rsidRPr="00101B00">
        <w:rPr>
          <w:lang w:val="fr-CH"/>
        </w:rPr>
        <w:t xml:space="preserve">est </w:t>
      </w:r>
      <w:r w:rsidRPr="00101B00">
        <w:rPr>
          <w:b/>
          <w:lang w:val="fr-CH"/>
        </w:rPr>
        <w:t>réjoui</w:t>
      </w:r>
      <w:r w:rsidRPr="00101B00">
        <w:rPr>
          <w:lang w:val="fr-CH"/>
        </w:rPr>
        <w:t xml:space="preserve"> de la coopération entre le Gouvernement français et le secrétariat dans le cadre de l</w:t>
      </w:r>
      <w:r w:rsidR="005F0D9B" w:rsidRPr="00101B00">
        <w:rPr>
          <w:lang w:val="fr-CH"/>
        </w:rPr>
        <w:t>’</w:t>
      </w:r>
      <w:r w:rsidRPr="00101B00">
        <w:rPr>
          <w:lang w:val="fr-CH"/>
        </w:rPr>
        <w:t>organisation, en 2015, de la grande table ronde annuelle à cette occasion.</w:t>
      </w:r>
    </w:p>
    <w:p w:rsidR="00554873" w:rsidRPr="00101B00" w:rsidRDefault="00554873" w:rsidP="004C4024">
      <w:pPr>
        <w:pStyle w:val="SingleTxt"/>
        <w:keepLines/>
        <w:numPr>
          <w:ilvl w:val="0"/>
          <w:numId w:val="7"/>
        </w:numPr>
        <w:tabs>
          <w:tab w:val="clear" w:pos="475"/>
          <w:tab w:val="num" w:pos="1742"/>
        </w:tabs>
        <w:ind w:left="1267"/>
        <w:rPr>
          <w:lang w:val="fr-CH"/>
        </w:rPr>
      </w:pPr>
      <w:r w:rsidRPr="00101B00">
        <w:rPr>
          <w:lang w:val="fr-CH"/>
        </w:rPr>
        <w:lastRenderedPageBreak/>
        <w:t xml:space="preserve">Le Comité a </w:t>
      </w:r>
      <w:r w:rsidRPr="00101B00">
        <w:rPr>
          <w:b/>
          <w:lang w:val="fr-CH"/>
        </w:rPr>
        <w:t>aussi pris note</w:t>
      </w:r>
      <w:r w:rsidR="004C4024" w:rsidRPr="00101B00">
        <w:rPr>
          <w:lang w:val="fr-CH"/>
        </w:rPr>
        <w:t xml:space="preserve"> de la tenue, à la mi-avril </w:t>
      </w:r>
      <w:r w:rsidRPr="00101B00">
        <w:rPr>
          <w:lang w:val="fr-CH"/>
        </w:rPr>
        <w:t>2015, du</w:t>
      </w:r>
      <w:r w:rsidR="004C4024" w:rsidRPr="00101B00">
        <w:rPr>
          <w:lang w:val="fr-CH"/>
        </w:rPr>
        <w:t xml:space="preserve"> Colloque mondial sur la cyber</w:t>
      </w:r>
      <w:r w:rsidRPr="00101B00">
        <w:rPr>
          <w:lang w:val="fr-CH"/>
        </w:rPr>
        <w:t xml:space="preserve">sécurité à </w:t>
      </w:r>
      <w:r w:rsidR="004C4024" w:rsidRPr="00101B00">
        <w:rPr>
          <w:lang w:val="fr-CH"/>
        </w:rPr>
        <w:t>L</w:t>
      </w:r>
      <w:r w:rsidRPr="00101B00">
        <w:rPr>
          <w:lang w:val="fr-CH"/>
        </w:rPr>
        <w:t xml:space="preserve">a Haye (Pays-Bas) et de la mise en œuvre aux Pays-Bas </w:t>
      </w:r>
      <w:r w:rsidR="004C4024" w:rsidRPr="00101B00">
        <w:rPr>
          <w:lang w:val="fr-CH"/>
        </w:rPr>
        <w:t xml:space="preserve">d’une nouvelle loi </w:t>
      </w:r>
      <w:r w:rsidRPr="00101B00">
        <w:rPr>
          <w:lang w:val="fr-CH"/>
        </w:rPr>
        <w:t>permettant de mener, sous l</w:t>
      </w:r>
      <w:r w:rsidR="005F0D9B" w:rsidRPr="00101B00">
        <w:rPr>
          <w:lang w:val="fr-CH"/>
        </w:rPr>
        <w:t>’</w:t>
      </w:r>
      <w:r w:rsidRPr="00101B00">
        <w:rPr>
          <w:lang w:val="fr-CH"/>
        </w:rPr>
        <w:t>encadrement de l</w:t>
      </w:r>
      <w:r w:rsidR="005F0D9B" w:rsidRPr="00101B00">
        <w:rPr>
          <w:lang w:val="fr-CH"/>
        </w:rPr>
        <w:t>’</w:t>
      </w:r>
      <w:r w:rsidRPr="00101B00">
        <w:rPr>
          <w:lang w:val="fr-CH"/>
        </w:rPr>
        <w:t>organisme de contrôle RDW, des projets pilotes STI sur les voies publiques sous réserve de l</w:t>
      </w:r>
      <w:r w:rsidR="005F0D9B" w:rsidRPr="00101B00">
        <w:rPr>
          <w:lang w:val="fr-CH"/>
        </w:rPr>
        <w:t>’</w:t>
      </w:r>
      <w:r w:rsidRPr="00101B00">
        <w:rPr>
          <w:lang w:val="fr-CH"/>
        </w:rPr>
        <w:t>obtention de permis spéciaux octroyés après analyse et tests favorables.</w:t>
      </w:r>
    </w:p>
    <w:p w:rsidR="00554873" w:rsidRPr="00101B00" w:rsidRDefault="00554873" w:rsidP="004C4024">
      <w:pPr>
        <w:pStyle w:val="SingleTxt"/>
        <w:numPr>
          <w:ilvl w:val="0"/>
          <w:numId w:val="7"/>
        </w:numPr>
        <w:tabs>
          <w:tab w:val="clear" w:pos="475"/>
          <w:tab w:val="num" w:pos="1742"/>
        </w:tabs>
        <w:ind w:left="1267"/>
        <w:rPr>
          <w:lang w:val="fr-CH"/>
        </w:rPr>
      </w:pPr>
      <w:r w:rsidRPr="00101B00">
        <w:rPr>
          <w:lang w:val="fr-CH"/>
        </w:rPr>
        <w:t xml:space="preserve">Le Comité a </w:t>
      </w:r>
      <w:r w:rsidRPr="00101B00">
        <w:rPr>
          <w:b/>
          <w:lang w:val="fr-CH"/>
        </w:rPr>
        <w:t>invité</w:t>
      </w:r>
      <w:r w:rsidRPr="00101B00">
        <w:rPr>
          <w:lang w:val="fr-CH"/>
        </w:rPr>
        <w:t xml:space="preserve"> ses organes subsidiaires à </w:t>
      </w:r>
      <w:r w:rsidRPr="00101B00">
        <w:rPr>
          <w:b/>
          <w:lang w:val="fr-CH"/>
        </w:rPr>
        <w:t>renforcer</w:t>
      </w:r>
      <w:r w:rsidRPr="00101B00">
        <w:rPr>
          <w:lang w:val="fr-CH"/>
        </w:rPr>
        <w:t xml:space="preserve"> leurs activités dans le domaine des systèmes de transport intelligents en lien avec les infrastructures et l</w:t>
      </w:r>
      <w:r w:rsidR="005F0D9B" w:rsidRPr="00101B00">
        <w:rPr>
          <w:lang w:val="fr-CH"/>
        </w:rPr>
        <w:t>’</w:t>
      </w:r>
      <w:r w:rsidRPr="00101B00">
        <w:rPr>
          <w:lang w:val="fr-CH"/>
        </w:rPr>
        <w:t xml:space="preserve">ensemble des modes de transport en abordant les questions relatives à ces systèmes de manière intégrée, et à rendre compte des progrès réalisés à la </w:t>
      </w:r>
      <w:r w:rsidR="004C4024" w:rsidRPr="00101B00">
        <w:rPr>
          <w:lang w:val="fr-CH"/>
        </w:rPr>
        <w:t xml:space="preserve">prochaine </w:t>
      </w:r>
      <w:r w:rsidRPr="00101B00">
        <w:rPr>
          <w:lang w:val="fr-CH"/>
        </w:rPr>
        <w:t>session annuelle du Comité.</w:t>
      </w:r>
    </w:p>
    <w:p w:rsidR="00554873" w:rsidRPr="00101B00" w:rsidRDefault="00554873" w:rsidP="00554873">
      <w:pPr>
        <w:pStyle w:val="SingleTxt"/>
        <w:spacing w:after="0" w:line="120" w:lineRule="exact"/>
        <w:rPr>
          <w:sz w:val="10"/>
          <w:lang w:val="fr-CH"/>
        </w:rPr>
      </w:pPr>
    </w:p>
    <w:p w:rsidR="00554873" w:rsidRPr="00101B00" w:rsidRDefault="00554873" w:rsidP="00554873">
      <w:pPr>
        <w:pStyle w:val="SingleTxt"/>
        <w:spacing w:after="0" w:line="120" w:lineRule="exact"/>
        <w:rPr>
          <w:sz w:val="10"/>
          <w:lang w:val="fr-CH"/>
        </w:rPr>
      </w:pPr>
    </w:p>
    <w:p w:rsidR="00554873" w:rsidRPr="00101B00" w:rsidRDefault="00554873" w:rsidP="0055487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1B00">
        <w:rPr>
          <w:lang w:val="fr-CH"/>
        </w:rPr>
        <w:tab/>
        <w:t>E.</w:t>
      </w:r>
      <w:r w:rsidRPr="00101B00">
        <w:rPr>
          <w:lang w:val="fr-CH"/>
        </w:rPr>
        <w:tab/>
        <w:t>Assistance aux pays à économie en transition</w:t>
      </w:r>
    </w:p>
    <w:p w:rsidR="00554873" w:rsidRPr="00101B00" w:rsidRDefault="00554873" w:rsidP="00554873">
      <w:pPr>
        <w:pStyle w:val="SingleTxt"/>
        <w:spacing w:after="0" w:line="120" w:lineRule="exact"/>
        <w:rPr>
          <w:i/>
          <w:sz w:val="10"/>
          <w:lang w:val="fr-CH"/>
        </w:rPr>
      </w:pPr>
    </w:p>
    <w:p w:rsidR="00554873" w:rsidRPr="00101B00" w:rsidRDefault="00554873" w:rsidP="00554873">
      <w:pPr>
        <w:pStyle w:val="SingleTxt"/>
        <w:spacing w:after="0" w:line="120" w:lineRule="exact"/>
        <w:rPr>
          <w:i/>
          <w:sz w:val="10"/>
          <w:lang w:val="fr-CH"/>
        </w:rPr>
      </w:pPr>
    </w:p>
    <w:p w:rsidR="00554873" w:rsidRPr="00101B00" w:rsidRDefault="00554873" w:rsidP="004F173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1B00">
        <w:rPr>
          <w:lang w:val="fr-CH"/>
        </w:rPr>
        <w:tab/>
      </w:r>
      <w:r w:rsidRPr="00101B00">
        <w:rPr>
          <w:lang w:val="fr-CH"/>
        </w:rPr>
        <w:tab/>
        <w:t>Document</w:t>
      </w:r>
      <w:r w:rsidR="005F0D9B" w:rsidRPr="00101B00">
        <w:rPr>
          <w:lang w:val="fr-CH"/>
        </w:rPr>
        <w:t> </w:t>
      </w:r>
      <w:r w:rsidR="005F0D9B" w:rsidRPr="00101B00">
        <w:rPr>
          <w:i w:val="0"/>
          <w:iCs/>
          <w:lang w:val="fr-CH"/>
        </w:rPr>
        <w:t>:</w:t>
      </w:r>
      <w:r w:rsidR="004F173B" w:rsidRPr="00101B00">
        <w:rPr>
          <w:i w:val="0"/>
          <w:iCs/>
          <w:lang w:val="fr-CH"/>
        </w:rPr>
        <w:tab/>
      </w:r>
      <w:r w:rsidRPr="00101B00">
        <w:rPr>
          <w:i w:val="0"/>
          <w:iCs/>
          <w:lang w:val="fr-CH"/>
        </w:rPr>
        <w:t>ECE/TRANS/2015/8.</w:t>
      </w:r>
    </w:p>
    <w:p w:rsidR="00554873" w:rsidRPr="00101B00" w:rsidRDefault="00554873" w:rsidP="00554873">
      <w:pPr>
        <w:pStyle w:val="SingleTxt"/>
        <w:spacing w:after="0" w:line="120" w:lineRule="exact"/>
        <w:rPr>
          <w:sz w:val="10"/>
          <w:lang w:val="fr-CH"/>
        </w:rPr>
      </w:pPr>
    </w:p>
    <w:p w:rsidR="00554873" w:rsidRPr="00101B00" w:rsidRDefault="00554873" w:rsidP="004C4024">
      <w:pPr>
        <w:pStyle w:val="SingleTxt"/>
        <w:numPr>
          <w:ilvl w:val="0"/>
          <w:numId w:val="7"/>
        </w:numPr>
        <w:tabs>
          <w:tab w:val="clear" w:pos="475"/>
          <w:tab w:val="num" w:pos="1742"/>
        </w:tabs>
        <w:ind w:left="1267"/>
        <w:rPr>
          <w:lang w:val="fr-CH"/>
        </w:rPr>
      </w:pPr>
      <w:r w:rsidRPr="00101B00">
        <w:rPr>
          <w:lang w:val="fr-CH"/>
        </w:rPr>
        <w:t xml:space="preserve">Le Comité a </w:t>
      </w:r>
      <w:r w:rsidRPr="00996B39">
        <w:rPr>
          <w:b/>
          <w:bCs/>
          <w:lang w:val="fr-CH"/>
        </w:rPr>
        <w:t>pris note</w:t>
      </w:r>
      <w:r w:rsidRPr="00101B00">
        <w:rPr>
          <w:lang w:val="fr-CH"/>
        </w:rPr>
        <w:t xml:space="preserve"> des activités d</w:t>
      </w:r>
      <w:r w:rsidR="005F0D9B" w:rsidRPr="00101B00">
        <w:rPr>
          <w:lang w:val="fr-CH"/>
        </w:rPr>
        <w:t>’</w:t>
      </w:r>
      <w:r w:rsidRPr="00101B00">
        <w:rPr>
          <w:lang w:val="fr-CH"/>
        </w:rPr>
        <w:t>assistance technique et de renforcement des capacités et a appuyé la stratégie élaborée pour les prochaines années, dont l</w:t>
      </w:r>
      <w:r w:rsidR="005F0D9B" w:rsidRPr="00101B00">
        <w:rPr>
          <w:lang w:val="fr-CH"/>
        </w:rPr>
        <w:t>’</w:t>
      </w:r>
      <w:r w:rsidRPr="00101B00">
        <w:rPr>
          <w:lang w:val="fr-CH"/>
        </w:rPr>
        <w:t>un des éléments est le Groupe de travail sur les transports et la facilitation des passages aux frontières (PWG-TBC)</w:t>
      </w:r>
      <w:r w:rsidR="004C4024" w:rsidRPr="00101B00">
        <w:rPr>
          <w:lang w:val="fr-CH"/>
        </w:rPr>
        <w:t>,</w:t>
      </w:r>
      <w:r w:rsidRPr="00101B00">
        <w:rPr>
          <w:lang w:val="fr-CH"/>
        </w:rPr>
        <w:t xml:space="preserve"> qui relève du Programme spécial pour les économies d</w:t>
      </w:r>
      <w:r w:rsidR="005F0D9B" w:rsidRPr="00101B00">
        <w:rPr>
          <w:lang w:val="fr-CH"/>
        </w:rPr>
        <w:t>’</w:t>
      </w:r>
      <w:r w:rsidR="004C4024" w:rsidRPr="00101B00">
        <w:rPr>
          <w:lang w:val="fr-CH"/>
        </w:rPr>
        <w:t>Asie centrale (SPECA)</w:t>
      </w:r>
      <w:r w:rsidRPr="00101B00">
        <w:rPr>
          <w:lang w:val="fr-CH"/>
        </w:rPr>
        <w:t xml:space="preserve"> et dont les services sont assurés conjointement avec la Commission économique et sociale pour l</w:t>
      </w:r>
      <w:r w:rsidR="005F0D9B" w:rsidRPr="00101B00">
        <w:rPr>
          <w:lang w:val="fr-CH"/>
        </w:rPr>
        <w:t>’</w:t>
      </w:r>
      <w:r w:rsidRPr="00101B00">
        <w:rPr>
          <w:lang w:val="fr-CH"/>
        </w:rPr>
        <w:t>Asie et le Pacifique</w:t>
      </w:r>
      <w:r w:rsidR="004C4024" w:rsidRPr="00101B00">
        <w:rPr>
          <w:lang w:val="fr-CH"/>
        </w:rPr>
        <w:t xml:space="preserve"> (CESAP)</w:t>
      </w:r>
      <w:r w:rsidRPr="00101B00">
        <w:rPr>
          <w:lang w:val="fr-CH"/>
        </w:rPr>
        <w:t xml:space="preserve">. </w:t>
      </w:r>
    </w:p>
    <w:p w:rsidR="00554873" w:rsidRPr="00101B00" w:rsidRDefault="00554873" w:rsidP="004C4024">
      <w:pPr>
        <w:pStyle w:val="SingleTxt"/>
        <w:numPr>
          <w:ilvl w:val="0"/>
          <w:numId w:val="7"/>
        </w:numPr>
        <w:tabs>
          <w:tab w:val="clear" w:pos="475"/>
          <w:tab w:val="num" w:pos="1742"/>
        </w:tabs>
        <w:ind w:left="1267"/>
        <w:rPr>
          <w:lang w:val="fr-CH"/>
        </w:rPr>
      </w:pPr>
      <w:r w:rsidRPr="00101B00">
        <w:rPr>
          <w:lang w:val="fr-CH"/>
        </w:rPr>
        <w:t xml:space="preserve">Le Comité a </w:t>
      </w:r>
      <w:r w:rsidRPr="00101B00">
        <w:rPr>
          <w:b/>
          <w:lang w:val="fr-CH"/>
        </w:rPr>
        <w:t>été informé</w:t>
      </w:r>
      <w:r w:rsidRPr="00101B00">
        <w:rPr>
          <w:lang w:val="fr-CH"/>
        </w:rPr>
        <w:t xml:space="preserve"> des projets</w:t>
      </w:r>
      <w:r w:rsidR="004C4024" w:rsidRPr="00101B00">
        <w:rPr>
          <w:lang w:val="fr-CH"/>
        </w:rPr>
        <w:t>, en cours et prévus,</w:t>
      </w:r>
      <w:r w:rsidRPr="00101B00">
        <w:rPr>
          <w:lang w:val="fr-CH"/>
        </w:rPr>
        <w:t xml:space="preserve"> financés par le Compte </w:t>
      </w:r>
      <w:r w:rsidR="004C4024" w:rsidRPr="00101B00">
        <w:rPr>
          <w:lang w:val="fr-CH"/>
        </w:rPr>
        <w:t xml:space="preserve">de l’ONU </w:t>
      </w:r>
      <w:r w:rsidRPr="00101B00">
        <w:rPr>
          <w:lang w:val="fr-CH"/>
        </w:rPr>
        <w:t>pour le développement (ECE/TRANS/2014/8).</w:t>
      </w:r>
    </w:p>
    <w:p w:rsidR="00554873" w:rsidRPr="00101B00" w:rsidRDefault="00554873" w:rsidP="00554873">
      <w:pPr>
        <w:pStyle w:val="SingleTxt"/>
        <w:spacing w:after="0" w:line="120" w:lineRule="exact"/>
        <w:rPr>
          <w:sz w:val="10"/>
          <w:lang w:val="fr-CH"/>
        </w:rPr>
      </w:pPr>
    </w:p>
    <w:p w:rsidR="00554873" w:rsidRPr="00101B00" w:rsidRDefault="00554873" w:rsidP="00554873">
      <w:pPr>
        <w:pStyle w:val="SingleTxt"/>
        <w:spacing w:after="0" w:line="120" w:lineRule="exact"/>
        <w:rPr>
          <w:sz w:val="10"/>
          <w:lang w:val="fr-CH"/>
        </w:rPr>
      </w:pPr>
    </w:p>
    <w:p w:rsidR="00554873" w:rsidRPr="00101B00" w:rsidRDefault="00554873" w:rsidP="0055487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1B00">
        <w:rPr>
          <w:lang w:val="fr-CH"/>
        </w:rPr>
        <w:tab/>
        <w:t>F.</w:t>
      </w:r>
      <w:r w:rsidRPr="00101B00">
        <w:rPr>
          <w:lang w:val="fr-CH"/>
        </w:rPr>
        <w:tab/>
        <w:t>Examen décennal de la mise en œuvre du Programme d</w:t>
      </w:r>
      <w:r w:rsidR="005F0D9B" w:rsidRPr="00101B00">
        <w:rPr>
          <w:lang w:val="fr-CH"/>
        </w:rPr>
        <w:t>’</w:t>
      </w:r>
      <w:r w:rsidRPr="00101B00">
        <w:rPr>
          <w:lang w:val="fr-CH"/>
        </w:rPr>
        <w:t>action d</w:t>
      </w:r>
      <w:r w:rsidR="005F0D9B" w:rsidRPr="00101B00">
        <w:rPr>
          <w:lang w:val="fr-CH"/>
        </w:rPr>
        <w:t>’</w:t>
      </w:r>
      <w:r w:rsidRPr="00101B00">
        <w:rPr>
          <w:lang w:val="fr-CH"/>
        </w:rPr>
        <w:t>Almaty et nouveau Programme d</w:t>
      </w:r>
      <w:r w:rsidR="005F0D9B" w:rsidRPr="00101B00">
        <w:rPr>
          <w:lang w:val="fr-CH"/>
        </w:rPr>
        <w:t>’</w:t>
      </w:r>
      <w:r w:rsidRPr="00101B00">
        <w:rPr>
          <w:lang w:val="fr-CH"/>
        </w:rPr>
        <w:t>action de Vienne</w:t>
      </w:r>
    </w:p>
    <w:p w:rsidR="00554873" w:rsidRPr="00101B00" w:rsidRDefault="00554873" w:rsidP="00554873">
      <w:pPr>
        <w:pStyle w:val="SingleTxt"/>
        <w:spacing w:after="0" w:line="120" w:lineRule="exact"/>
        <w:rPr>
          <w:i/>
          <w:sz w:val="10"/>
          <w:lang w:val="fr-CH"/>
        </w:rPr>
      </w:pPr>
    </w:p>
    <w:p w:rsidR="00554873" w:rsidRPr="00101B00" w:rsidRDefault="00554873" w:rsidP="00554873">
      <w:pPr>
        <w:pStyle w:val="SingleTxt"/>
        <w:spacing w:after="0" w:line="120" w:lineRule="exact"/>
        <w:rPr>
          <w:i/>
          <w:sz w:val="10"/>
          <w:lang w:val="fr-CH"/>
        </w:rPr>
      </w:pPr>
    </w:p>
    <w:p w:rsidR="00554873" w:rsidRPr="00101B00" w:rsidRDefault="00554873" w:rsidP="0055487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val="0"/>
          <w:iCs/>
          <w:lang w:val="fr-CH"/>
        </w:rPr>
      </w:pPr>
      <w:r w:rsidRPr="00101B00">
        <w:rPr>
          <w:lang w:val="fr-CH"/>
        </w:rPr>
        <w:tab/>
      </w:r>
      <w:r w:rsidRPr="00101B00">
        <w:rPr>
          <w:lang w:val="fr-CH"/>
        </w:rPr>
        <w:tab/>
        <w:t>Document</w:t>
      </w:r>
      <w:r w:rsidR="005F0D9B" w:rsidRPr="00101B00">
        <w:rPr>
          <w:lang w:val="fr-CH"/>
        </w:rPr>
        <w:t> </w:t>
      </w:r>
      <w:r w:rsidR="005F0D9B" w:rsidRPr="00101B00">
        <w:rPr>
          <w:i w:val="0"/>
          <w:iCs/>
          <w:lang w:val="fr-CH"/>
        </w:rPr>
        <w:t>:</w:t>
      </w:r>
      <w:r w:rsidRPr="00101B00">
        <w:rPr>
          <w:i w:val="0"/>
          <w:iCs/>
          <w:lang w:val="fr-CH"/>
        </w:rPr>
        <w:tab/>
        <w:t>ECE/TRANS/2015/9.</w:t>
      </w:r>
    </w:p>
    <w:p w:rsidR="00554873" w:rsidRPr="00101B00" w:rsidRDefault="00554873" w:rsidP="00554873">
      <w:pPr>
        <w:pStyle w:val="SingleTxt"/>
        <w:spacing w:after="0" w:line="120" w:lineRule="exact"/>
        <w:rPr>
          <w:sz w:val="10"/>
          <w:lang w:val="fr-CH"/>
        </w:rPr>
      </w:pPr>
    </w:p>
    <w:p w:rsidR="00554873" w:rsidRPr="00101B00" w:rsidRDefault="00554873" w:rsidP="004C4024">
      <w:pPr>
        <w:pStyle w:val="SingleTxt"/>
        <w:numPr>
          <w:ilvl w:val="0"/>
          <w:numId w:val="7"/>
        </w:numPr>
        <w:tabs>
          <w:tab w:val="clear" w:pos="475"/>
          <w:tab w:val="num" w:pos="1742"/>
        </w:tabs>
        <w:ind w:left="1267"/>
        <w:rPr>
          <w:lang w:val="fr-CH"/>
        </w:rPr>
      </w:pPr>
      <w:r w:rsidRPr="00101B00">
        <w:rPr>
          <w:lang w:val="fr-CH"/>
        </w:rPr>
        <w:t>Le Comité a</w:t>
      </w:r>
      <w:r w:rsidRPr="00101B00">
        <w:rPr>
          <w:b/>
          <w:lang w:val="fr-CH"/>
        </w:rPr>
        <w:t xml:space="preserve"> pris note</w:t>
      </w:r>
      <w:r w:rsidRPr="00101B00">
        <w:rPr>
          <w:lang w:val="fr-CH"/>
        </w:rPr>
        <w:t xml:space="preserve"> de l</w:t>
      </w:r>
      <w:r w:rsidR="005F0D9B" w:rsidRPr="00101B00">
        <w:rPr>
          <w:lang w:val="fr-CH"/>
        </w:rPr>
        <w:t>’</w:t>
      </w:r>
      <w:r w:rsidRPr="00101B00">
        <w:rPr>
          <w:lang w:val="fr-CH"/>
        </w:rPr>
        <w:t>examen décennal complet de la mise en œuvre du Programme d</w:t>
      </w:r>
      <w:r w:rsidR="005F0D9B" w:rsidRPr="00101B00">
        <w:rPr>
          <w:lang w:val="fr-CH"/>
        </w:rPr>
        <w:t>’</w:t>
      </w:r>
      <w:r w:rsidRPr="00101B00">
        <w:rPr>
          <w:lang w:val="fr-CH"/>
        </w:rPr>
        <w:t>action d</w:t>
      </w:r>
      <w:r w:rsidR="005F0D9B" w:rsidRPr="00101B00">
        <w:rPr>
          <w:lang w:val="fr-CH"/>
        </w:rPr>
        <w:t>’</w:t>
      </w:r>
      <w:r w:rsidRPr="00101B00">
        <w:rPr>
          <w:lang w:val="fr-CH"/>
        </w:rPr>
        <w:t>Almaty (Vienne, 3</w:t>
      </w:r>
      <w:r w:rsidR="004C4024" w:rsidRPr="00101B00">
        <w:rPr>
          <w:lang w:val="fr-CH"/>
        </w:rPr>
        <w:t>-5 </w:t>
      </w:r>
      <w:r w:rsidRPr="00101B00">
        <w:rPr>
          <w:lang w:val="fr-CH"/>
        </w:rPr>
        <w:t xml:space="preserve">novembre 2014) et a </w:t>
      </w:r>
      <w:r w:rsidRPr="00101B00">
        <w:rPr>
          <w:b/>
          <w:lang w:val="fr-CH"/>
        </w:rPr>
        <w:t>souscrit</w:t>
      </w:r>
      <w:r w:rsidRPr="00101B00">
        <w:rPr>
          <w:lang w:val="fr-CH"/>
        </w:rPr>
        <w:t xml:space="preserve"> au nouveau Programme d</w:t>
      </w:r>
      <w:r w:rsidR="005F0D9B" w:rsidRPr="00101B00">
        <w:rPr>
          <w:lang w:val="fr-CH"/>
        </w:rPr>
        <w:t>’</w:t>
      </w:r>
      <w:r w:rsidRPr="00101B00">
        <w:rPr>
          <w:lang w:val="fr-CH"/>
        </w:rPr>
        <w:t>action de Vienne pour la période</w:t>
      </w:r>
      <w:r w:rsidRPr="00101B00">
        <w:rPr>
          <w:b/>
          <w:lang w:val="fr-CH"/>
        </w:rPr>
        <w:t xml:space="preserve"> </w:t>
      </w:r>
      <w:r w:rsidRPr="00101B00">
        <w:rPr>
          <w:lang w:val="fr-CH"/>
        </w:rPr>
        <w:t>2014</w:t>
      </w:r>
      <w:r w:rsidR="004C4024" w:rsidRPr="00101B00">
        <w:rPr>
          <w:lang w:val="fr-CH"/>
        </w:rPr>
        <w:t>-</w:t>
      </w:r>
      <w:r w:rsidRPr="00101B00">
        <w:rPr>
          <w:lang w:val="fr-CH"/>
        </w:rPr>
        <w:t>2024.</w:t>
      </w:r>
    </w:p>
    <w:p w:rsidR="00554873" w:rsidRPr="00101B00" w:rsidRDefault="00554873" w:rsidP="004C4024">
      <w:pPr>
        <w:pStyle w:val="SingleTxt"/>
        <w:numPr>
          <w:ilvl w:val="0"/>
          <w:numId w:val="7"/>
        </w:numPr>
        <w:tabs>
          <w:tab w:val="clear" w:pos="475"/>
          <w:tab w:val="num" w:pos="1742"/>
        </w:tabs>
        <w:ind w:left="1267"/>
        <w:rPr>
          <w:lang w:val="fr-CH"/>
        </w:rPr>
      </w:pPr>
      <w:r w:rsidRPr="00101B00">
        <w:rPr>
          <w:lang w:val="fr-CH"/>
        </w:rPr>
        <w:t xml:space="preserve">Le Comité a </w:t>
      </w:r>
      <w:r w:rsidRPr="00101B00">
        <w:rPr>
          <w:b/>
          <w:lang w:val="fr-CH"/>
        </w:rPr>
        <w:t>été</w:t>
      </w:r>
      <w:r w:rsidRPr="00101B00">
        <w:rPr>
          <w:lang w:val="fr-CH"/>
        </w:rPr>
        <w:t xml:space="preserve"> </w:t>
      </w:r>
      <w:r w:rsidRPr="00101B00">
        <w:rPr>
          <w:b/>
          <w:lang w:val="fr-CH"/>
        </w:rPr>
        <w:t>informé</w:t>
      </w:r>
      <w:r w:rsidRPr="00101B00">
        <w:rPr>
          <w:lang w:val="fr-CH"/>
        </w:rPr>
        <w:t xml:space="preserve"> des </w:t>
      </w:r>
      <w:r w:rsidR="004C4024" w:rsidRPr="00101B00">
        <w:rPr>
          <w:lang w:val="fr-CH"/>
        </w:rPr>
        <w:t xml:space="preserve">actions </w:t>
      </w:r>
      <w:r w:rsidRPr="00101B00">
        <w:rPr>
          <w:lang w:val="fr-CH"/>
        </w:rPr>
        <w:t xml:space="preserve">futures </w:t>
      </w:r>
      <w:r w:rsidR="004C4024" w:rsidRPr="00101B00">
        <w:rPr>
          <w:lang w:val="fr-CH"/>
        </w:rPr>
        <w:t xml:space="preserve">de </w:t>
      </w:r>
      <w:r w:rsidRPr="00101B00">
        <w:rPr>
          <w:lang w:val="fr-CH"/>
        </w:rPr>
        <w:t>l</w:t>
      </w:r>
      <w:r w:rsidR="005F0D9B" w:rsidRPr="00101B00">
        <w:rPr>
          <w:lang w:val="fr-CH"/>
        </w:rPr>
        <w:t>’</w:t>
      </w:r>
      <w:r w:rsidRPr="00101B00">
        <w:rPr>
          <w:lang w:val="fr-CH"/>
        </w:rPr>
        <w:t>ONU dans les pays en développement sans littoral et du rôle attendu des commissions régionales dans ce processus au cours de la décennie à venir.</w:t>
      </w:r>
    </w:p>
    <w:p w:rsidR="00554873" w:rsidRPr="00101B00" w:rsidRDefault="00554873" w:rsidP="004C4024">
      <w:pPr>
        <w:pStyle w:val="SingleTxt"/>
        <w:numPr>
          <w:ilvl w:val="0"/>
          <w:numId w:val="7"/>
        </w:numPr>
        <w:tabs>
          <w:tab w:val="clear" w:pos="475"/>
          <w:tab w:val="num" w:pos="1742"/>
        </w:tabs>
        <w:ind w:left="1267"/>
        <w:rPr>
          <w:lang w:val="fr-CH"/>
        </w:rPr>
      </w:pPr>
      <w:r w:rsidRPr="00101B00">
        <w:rPr>
          <w:lang w:val="fr-CH"/>
        </w:rPr>
        <w:t>Afin de mieux contribuer à la mise en œuvre du Programme d</w:t>
      </w:r>
      <w:r w:rsidR="005F0D9B" w:rsidRPr="00101B00">
        <w:rPr>
          <w:lang w:val="fr-CH"/>
        </w:rPr>
        <w:t>’</w:t>
      </w:r>
      <w:r w:rsidRPr="00101B00">
        <w:rPr>
          <w:lang w:val="fr-CH"/>
        </w:rPr>
        <w:t>action de Vienne pour la période 2014</w:t>
      </w:r>
      <w:r w:rsidR="004C4024" w:rsidRPr="00101B00">
        <w:rPr>
          <w:lang w:val="fr-CH"/>
        </w:rPr>
        <w:t>-</w:t>
      </w:r>
      <w:r w:rsidRPr="00101B00">
        <w:rPr>
          <w:lang w:val="fr-CH"/>
        </w:rPr>
        <w:t xml:space="preserve">2024, le Comité a </w:t>
      </w:r>
      <w:r w:rsidRPr="00101B00">
        <w:rPr>
          <w:b/>
          <w:lang w:val="fr-CH"/>
        </w:rPr>
        <w:t>invité</w:t>
      </w:r>
      <w:r w:rsidRPr="00101B00">
        <w:rPr>
          <w:lang w:val="fr-CH"/>
        </w:rPr>
        <w:t xml:space="preserve"> les pays en développement sans littoral </w:t>
      </w:r>
      <w:r w:rsidR="004C4024" w:rsidRPr="00101B00">
        <w:rPr>
          <w:lang w:val="fr-CH"/>
        </w:rPr>
        <w:t xml:space="preserve">de </w:t>
      </w:r>
      <w:r w:rsidRPr="00101B00">
        <w:rPr>
          <w:lang w:val="fr-CH"/>
        </w:rPr>
        <w:t xml:space="preserve">la région de la CEE </w:t>
      </w:r>
      <w:r w:rsidR="004C4024" w:rsidRPr="00101B00">
        <w:rPr>
          <w:lang w:val="fr-CH"/>
        </w:rPr>
        <w:t xml:space="preserve">qui ne sont pas </w:t>
      </w:r>
      <w:r w:rsidRPr="00101B00">
        <w:rPr>
          <w:lang w:val="fr-CH"/>
        </w:rPr>
        <w:t>encore parties aux instruments juridiques de</w:t>
      </w:r>
      <w:r w:rsidR="004C4024" w:rsidRPr="00101B00">
        <w:rPr>
          <w:lang w:val="fr-CH"/>
        </w:rPr>
        <w:t xml:space="preserve"> l’ONU relatifs aux </w:t>
      </w:r>
      <w:r w:rsidRPr="00101B00">
        <w:rPr>
          <w:lang w:val="fr-CH"/>
        </w:rPr>
        <w:t>transports à envisager d</w:t>
      </w:r>
      <w:r w:rsidR="005F0D9B" w:rsidRPr="00101B00">
        <w:rPr>
          <w:lang w:val="fr-CH"/>
        </w:rPr>
        <w:t>’</w:t>
      </w:r>
      <w:r w:rsidRPr="00101B00">
        <w:rPr>
          <w:lang w:val="fr-CH"/>
        </w:rPr>
        <w:t xml:space="preserve">y adhérer, et a </w:t>
      </w:r>
      <w:r w:rsidRPr="00101B00">
        <w:rPr>
          <w:b/>
          <w:lang w:val="fr-CH"/>
        </w:rPr>
        <w:t>invité</w:t>
      </w:r>
      <w:r w:rsidRPr="00101B00">
        <w:rPr>
          <w:lang w:val="fr-CH"/>
        </w:rPr>
        <w:t xml:space="preserve"> les représentants auprès du Comité des transports intérieurs à prendre part à l</w:t>
      </w:r>
      <w:r w:rsidR="005F0D9B" w:rsidRPr="00101B00">
        <w:rPr>
          <w:lang w:val="fr-CH"/>
        </w:rPr>
        <w:t>’</w:t>
      </w:r>
      <w:r w:rsidRPr="00101B00">
        <w:rPr>
          <w:lang w:val="fr-CH"/>
        </w:rPr>
        <w:t>atelier du 27 février</w:t>
      </w:r>
      <w:r w:rsidR="004C4024" w:rsidRPr="00101B00">
        <w:rPr>
          <w:lang w:val="fr-CH"/>
        </w:rPr>
        <w:t xml:space="preserve"> </w:t>
      </w:r>
      <w:r w:rsidRPr="00101B00">
        <w:rPr>
          <w:lang w:val="fr-CH"/>
        </w:rPr>
        <w:t>2015 consacré à ces instruments.</w:t>
      </w:r>
    </w:p>
    <w:p w:rsidR="00554873" w:rsidRPr="00101B00" w:rsidRDefault="00554873" w:rsidP="00554873">
      <w:pPr>
        <w:pStyle w:val="SingleTxt"/>
        <w:spacing w:after="0" w:line="120" w:lineRule="exact"/>
        <w:rPr>
          <w:sz w:val="10"/>
          <w:lang w:val="fr-CH"/>
        </w:rPr>
      </w:pPr>
    </w:p>
    <w:p w:rsidR="00554873" w:rsidRPr="00101B00" w:rsidRDefault="00554873" w:rsidP="00554873">
      <w:pPr>
        <w:pStyle w:val="SingleTxt"/>
        <w:spacing w:after="0" w:line="120" w:lineRule="exact"/>
        <w:rPr>
          <w:sz w:val="10"/>
          <w:lang w:val="fr-CH"/>
        </w:rPr>
      </w:pPr>
    </w:p>
    <w:p w:rsidR="00554873" w:rsidRPr="00101B00" w:rsidRDefault="00554873" w:rsidP="0055487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1B00">
        <w:rPr>
          <w:lang w:val="fr-CH"/>
        </w:rPr>
        <w:tab/>
        <w:t>G.</w:t>
      </w:r>
      <w:r w:rsidRPr="00101B00">
        <w:rPr>
          <w:lang w:val="fr-CH"/>
        </w:rPr>
        <w:tab/>
        <w:t>Sûreté des transports intérieurs</w:t>
      </w:r>
    </w:p>
    <w:p w:rsidR="00554873" w:rsidRPr="00101B00" w:rsidRDefault="00554873" w:rsidP="00554873">
      <w:pPr>
        <w:pStyle w:val="SingleTxt"/>
        <w:spacing w:after="0" w:line="120" w:lineRule="exact"/>
        <w:rPr>
          <w:sz w:val="10"/>
          <w:lang w:val="fr-CH"/>
        </w:rPr>
      </w:pPr>
    </w:p>
    <w:p w:rsidR="00554873" w:rsidRPr="00101B00" w:rsidRDefault="00554873" w:rsidP="00554873">
      <w:pPr>
        <w:pStyle w:val="SingleTxt"/>
        <w:spacing w:after="0" w:line="120" w:lineRule="exact"/>
        <w:rPr>
          <w:sz w:val="10"/>
          <w:lang w:val="fr-CH"/>
        </w:rPr>
      </w:pPr>
    </w:p>
    <w:p w:rsidR="00554873" w:rsidRPr="00101B00" w:rsidRDefault="00554873" w:rsidP="004C4024">
      <w:pPr>
        <w:pStyle w:val="SingleTxt"/>
        <w:numPr>
          <w:ilvl w:val="0"/>
          <w:numId w:val="7"/>
        </w:numPr>
        <w:tabs>
          <w:tab w:val="clear" w:pos="475"/>
          <w:tab w:val="num" w:pos="1742"/>
        </w:tabs>
        <w:ind w:left="1267"/>
        <w:rPr>
          <w:lang w:val="fr-CH"/>
        </w:rPr>
      </w:pPr>
      <w:r w:rsidRPr="00101B00">
        <w:rPr>
          <w:lang w:val="fr-CH"/>
        </w:rPr>
        <w:t xml:space="preserve">Le Comité a </w:t>
      </w:r>
      <w:r w:rsidRPr="00101B00">
        <w:rPr>
          <w:b/>
          <w:lang w:val="fr-CH"/>
        </w:rPr>
        <w:t>été</w:t>
      </w:r>
      <w:r w:rsidRPr="00101B00">
        <w:rPr>
          <w:lang w:val="fr-CH"/>
        </w:rPr>
        <w:t xml:space="preserve"> </w:t>
      </w:r>
      <w:r w:rsidRPr="00101B00">
        <w:rPr>
          <w:b/>
          <w:lang w:val="fr-CH"/>
        </w:rPr>
        <w:t>informé</w:t>
      </w:r>
      <w:r w:rsidRPr="00101B00">
        <w:rPr>
          <w:lang w:val="fr-CH"/>
        </w:rPr>
        <w:t xml:space="preserve"> de la participation du secrétariat à la onzième session du Groupe de travail international de la sûreté des transports terrestres, tenue à </w:t>
      </w:r>
      <w:r w:rsidR="004C4024" w:rsidRPr="00101B00">
        <w:rPr>
          <w:lang w:val="fr-CH"/>
        </w:rPr>
        <w:t>L</w:t>
      </w:r>
      <w:r w:rsidRPr="00101B00">
        <w:rPr>
          <w:lang w:val="fr-CH"/>
        </w:rPr>
        <w:t>a Haye (Pays-Bas) du 14 au 16 mai</w:t>
      </w:r>
      <w:r w:rsidR="004C4024" w:rsidRPr="00101B00">
        <w:rPr>
          <w:lang w:val="fr-CH"/>
        </w:rPr>
        <w:t xml:space="preserve"> </w:t>
      </w:r>
      <w:r w:rsidRPr="00101B00">
        <w:rPr>
          <w:lang w:val="fr-CH"/>
        </w:rPr>
        <w:t>2014. Le G</w:t>
      </w:r>
      <w:r w:rsidR="004C4024" w:rsidRPr="00101B00">
        <w:rPr>
          <w:lang w:val="fr-CH"/>
        </w:rPr>
        <w:t>-8</w:t>
      </w:r>
      <w:r w:rsidRPr="00101B00">
        <w:rPr>
          <w:lang w:val="fr-CH"/>
        </w:rPr>
        <w:t xml:space="preserve"> a créé </w:t>
      </w:r>
      <w:r w:rsidR="004C4024" w:rsidRPr="00101B00">
        <w:rPr>
          <w:lang w:val="fr-CH"/>
        </w:rPr>
        <w:t xml:space="preserve">ce groupe de travail pour encourager ses </w:t>
      </w:r>
      <w:r w:rsidRPr="00101B00">
        <w:rPr>
          <w:lang w:val="fr-CH"/>
        </w:rPr>
        <w:t xml:space="preserve">membres </w:t>
      </w:r>
      <w:r w:rsidR="004C4024" w:rsidRPr="00101B00">
        <w:rPr>
          <w:lang w:val="fr-CH"/>
        </w:rPr>
        <w:t>à coopérer en vue de réaliser des</w:t>
      </w:r>
      <w:r w:rsidRPr="00101B00">
        <w:rPr>
          <w:lang w:val="fr-CH"/>
        </w:rPr>
        <w:t xml:space="preserve"> projets et d</w:t>
      </w:r>
      <w:r w:rsidR="004C4024" w:rsidRPr="00101B00">
        <w:rPr>
          <w:lang w:val="fr-CH"/>
        </w:rPr>
        <w:t xml:space="preserve">es </w:t>
      </w:r>
      <w:r w:rsidRPr="00101B00">
        <w:rPr>
          <w:lang w:val="fr-CH"/>
        </w:rPr>
        <w:t>objectifs communs</w:t>
      </w:r>
      <w:r w:rsidR="004C4024" w:rsidRPr="00101B00">
        <w:rPr>
          <w:lang w:val="fr-CH"/>
        </w:rPr>
        <w:t xml:space="preserve"> </w:t>
      </w:r>
      <w:r w:rsidRPr="00101B00">
        <w:rPr>
          <w:lang w:val="fr-CH"/>
        </w:rPr>
        <w:t>et</w:t>
      </w:r>
      <w:r w:rsidR="004C4024" w:rsidRPr="00101B00">
        <w:rPr>
          <w:lang w:val="fr-CH"/>
        </w:rPr>
        <w:t xml:space="preserve"> à échanger des informations sur des </w:t>
      </w:r>
      <w:r w:rsidRPr="00101B00">
        <w:rPr>
          <w:lang w:val="fr-CH"/>
        </w:rPr>
        <w:t>politiques communes dans le domaine de la sûreté des transports terrestres. La onzième session portait sur les menaces à venir</w:t>
      </w:r>
      <w:r w:rsidR="004C4024" w:rsidRPr="00101B00">
        <w:rPr>
          <w:lang w:val="fr-CH"/>
        </w:rPr>
        <w:t xml:space="preserve"> concernant la sécurité</w:t>
      </w:r>
      <w:r w:rsidRPr="00101B00">
        <w:rPr>
          <w:lang w:val="fr-CH"/>
        </w:rPr>
        <w:t>.</w:t>
      </w:r>
    </w:p>
    <w:p w:rsidR="00554873" w:rsidRPr="00101B00" w:rsidRDefault="00554873" w:rsidP="00767377">
      <w:pPr>
        <w:pStyle w:val="SingleTxt"/>
        <w:numPr>
          <w:ilvl w:val="0"/>
          <w:numId w:val="7"/>
        </w:numPr>
        <w:tabs>
          <w:tab w:val="clear" w:pos="475"/>
          <w:tab w:val="num" w:pos="1742"/>
        </w:tabs>
        <w:ind w:left="1267"/>
        <w:rPr>
          <w:b/>
          <w:lang w:val="fr-CH"/>
        </w:rPr>
      </w:pPr>
      <w:r w:rsidRPr="00101B00">
        <w:rPr>
          <w:lang w:val="fr-CH"/>
        </w:rPr>
        <w:lastRenderedPageBreak/>
        <w:t>Le Comité s</w:t>
      </w:r>
      <w:r w:rsidR="005F0D9B" w:rsidRPr="00101B00">
        <w:rPr>
          <w:lang w:val="fr-CH"/>
        </w:rPr>
        <w:t>’</w:t>
      </w:r>
      <w:r w:rsidRPr="00101B00">
        <w:rPr>
          <w:lang w:val="fr-CH"/>
        </w:rPr>
        <w:t xml:space="preserve">est </w:t>
      </w:r>
      <w:r w:rsidRPr="00101B00">
        <w:rPr>
          <w:b/>
          <w:lang w:val="fr-CH"/>
        </w:rPr>
        <w:t>félicité</w:t>
      </w:r>
      <w:r w:rsidRPr="00101B00">
        <w:rPr>
          <w:lang w:val="fr-CH"/>
        </w:rPr>
        <w:t xml:space="preserve"> des activités entreprises dans le domaine de la sûreté des transports intérieurs par les groupes de travail compétents, et en particulier des résultats des travaux entrepris par le Groupe de travail des transports par chemin de fer (SC.2) dans le domaine de la sûreté des chemins de fer, et a </w:t>
      </w:r>
      <w:r w:rsidRPr="00101B00">
        <w:rPr>
          <w:b/>
          <w:lang w:val="fr-CH"/>
        </w:rPr>
        <w:t>prié</w:t>
      </w:r>
      <w:r w:rsidRPr="00101B00">
        <w:rPr>
          <w:lang w:val="fr-CH"/>
        </w:rPr>
        <w:t xml:space="preserve"> le secrétariat de les porter à l</w:t>
      </w:r>
      <w:r w:rsidR="005F0D9B" w:rsidRPr="00101B00">
        <w:rPr>
          <w:lang w:val="fr-CH"/>
        </w:rPr>
        <w:t>’</w:t>
      </w:r>
      <w:r w:rsidRPr="00101B00">
        <w:rPr>
          <w:lang w:val="fr-CH"/>
        </w:rPr>
        <w:t>ordre du jour de la session du Forum de discussion sur la sûreté des transports intérieurs à l</w:t>
      </w:r>
      <w:r w:rsidR="005F0D9B" w:rsidRPr="00101B00">
        <w:rPr>
          <w:lang w:val="fr-CH"/>
        </w:rPr>
        <w:t>’</w:t>
      </w:r>
      <w:r w:rsidRPr="00101B00">
        <w:rPr>
          <w:lang w:val="fr-CH"/>
        </w:rPr>
        <w:t>automne</w:t>
      </w:r>
      <w:r w:rsidR="00767377" w:rsidRPr="00101B00">
        <w:rPr>
          <w:lang w:val="fr-CH"/>
        </w:rPr>
        <w:t xml:space="preserve"> </w:t>
      </w:r>
      <w:r w:rsidRPr="00101B00">
        <w:rPr>
          <w:lang w:val="fr-CH"/>
        </w:rPr>
        <w:t>2015.</w:t>
      </w:r>
    </w:p>
    <w:p w:rsidR="00554873" w:rsidRPr="00101B00" w:rsidRDefault="00554873" w:rsidP="00767377">
      <w:pPr>
        <w:pStyle w:val="SingleTxt"/>
        <w:numPr>
          <w:ilvl w:val="0"/>
          <w:numId w:val="7"/>
        </w:numPr>
        <w:tabs>
          <w:tab w:val="clear" w:pos="475"/>
          <w:tab w:val="num" w:pos="1742"/>
        </w:tabs>
        <w:ind w:left="1267"/>
        <w:rPr>
          <w:lang w:val="fr-CH"/>
        </w:rPr>
      </w:pPr>
      <w:r w:rsidRPr="00101B00">
        <w:rPr>
          <w:lang w:val="fr-CH"/>
        </w:rPr>
        <w:t xml:space="preserve">Le Comité a </w:t>
      </w:r>
      <w:r w:rsidRPr="00101B00">
        <w:rPr>
          <w:b/>
          <w:lang w:val="fr-CH"/>
        </w:rPr>
        <w:t>noté</w:t>
      </w:r>
      <w:r w:rsidRPr="00101B00">
        <w:rPr>
          <w:lang w:val="fr-CH"/>
        </w:rPr>
        <w:t xml:space="preserve"> qu</w:t>
      </w:r>
      <w:r w:rsidR="005F0D9B" w:rsidRPr="00101B00">
        <w:rPr>
          <w:lang w:val="fr-CH"/>
        </w:rPr>
        <w:t>’</w:t>
      </w:r>
      <w:r w:rsidRPr="00101B00">
        <w:rPr>
          <w:lang w:val="fr-CH"/>
        </w:rPr>
        <w:t>il importait que se poursuivent ses interactions avec l</w:t>
      </w:r>
      <w:r w:rsidR="005F0D9B" w:rsidRPr="00101B00">
        <w:rPr>
          <w:lang w:val="fr-CH"/>
        </w:rPr>
        <w:t>’</w:t>
      </w:r>
      <w:r w:rsidRPr="00101B00">
        <w:rPr>
          <w:lang w:val="fr-CH"/>
        </w:rPr>
        <w:t xml:space="preserve">UIC dans le domaine de la sûreté des chemins de fer et a </w:t>
      </w:r>
      <w:r w:rsidRPr="00101B00">
        <w:rPr>
          <w:b/>
          <w:lang w:val="fr-CH"/>
        </w:rPr>
        <w:t>recommandé</w:t>
      </w:r>
      <w:r w:rsidRPr="00101B00">
        <w:rPr>
          <w:lang w:val="fr-CH"/>
        </w:rPr>
        <w:t xml:space="preserve"> que le Groupe d</w:t>
      </w:r>
      <w:r w:rsidR="005F0D9B" w:rsidRPr="00101B00">
        <w:rPr>
          <w:lang w:val="fr-CH"/>
        </w:rPr>
        <w:t>’</w:t>
      </w:r>
      <w:r w:rsidRPr="00101B00">
        <w:rPr>
          <w:lang w:val="fr-CH"/>
        </w:rPr>
        <w:t xml:space="preserve">experts du renforcement de la sécurité aux passages à niveau utilise </w:t>
      </w:r>
      <w:r w:rsidR="00767377" w:rsidRPr="00101B00">
        <w:rPr>
          <w:lang w:val="fr-CH"/>
        </w:rPr>
        <w:t xml:space="preserve">les documents établis </w:t>
      </w:r>
      <w:r w:rsidRPr="00101B00">
        <w:rPr>
          <w:lang w:val="fr-CH"/>
        </w:rPr>
        <w:t>par l</w:t>
      </w:r>
      <w:r w:rsidR="005F0D9B" w:rsidRPr="00101B00">
        <w:rPr>
          <w:lang w:val="fr-CH"/>
        </w:rPr>
        <w:t>’</w:t>
      </w:r>
      <w:r w:rsidRPr="00101B00">
        <w:rPr>
          <w:lang w:val="fr-CH"/>
        </w:rPr>
        <w:t>UIC aux fins de la P</w:t>
      </w:r>
      <w:r w:rsidR="002B2830">
        <w:rPr>
          <w:lang w:val="fr-CH"/>
        </w:rPr>
        <w:t>latef</w:t>
      </w:r>
      <w:r w:rsidRPr="00101B00">
        <w:rPr>
          <w:lang w:val="fr-CH"/>
        </w:rPr>
        <w:t>orme pour la sûreté, y compris la Liste des notions et termes de base.</w:t>
      </w:r>
    </w:p>
    <w:p w:rsidR="004F173B" w:rsidRPr="00101B00" w:rsidRDefault="004F173B" w:rsidP="004F173B">
      <w:pPr>
        <w:pStyle w:val="SingleTxt"/>
        <w:spacing w:after="0" w:line="120" w:lineRule="exact"/>
        <w:rPr>
          <w:sz w:val="10"/>
          <w:lang w:val="fr-CH"/>
        </w:rPr>
      </w:pPr>
    </w:p>
    <w:p w:rsidR="004F173B" w:rsidRPr="00101B00" w:rsidRDefault="004F173B" w:rsidP="004F173B">
      <w:pPr>
        <w:pStyle w:val="SingleTxt"/>
        <w:spacing w:after="0" w:line="120" w:lineRule="exact"/>
        <w:rPr>
          <w:sz w:val="10"/>
          <w:lang w:val="fr-CH"/>
        </w:rPr>
      </w:pPr>
    </w:p>
    <w:p w:rsidR="00554873" w:rsidRPr="00101B00" w:rsidRDefault="00554873" w:rsidP="004F17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1B00">
        <w:rPr>
          <w:lang w:val="fr-CH"/>
        </w:rPr>
        <w:tab/>
        <w:t>H.</w:t>
      </w:r>
      <w:r w:rsidRPr="00101B00">
        <w:rPr>
          <w:lang w:val="fr-CH"/>
        </w:rPr>
        <w:tab/>
        <w:t xml:space="preserve">État des adhésions aux conventions et accords internationaux </w:t>
      </w:r>
      <w:r w:rsidR="004F173B" w:rsidRPr="00101B00">
        <w:rPr>
          <w:lang w:val="fr-CH"/>
        </w:rPr>
        <w:br/>
      </w:r>
      <w:r w:rsidRPr="00101B00">
        <w:rPr>
          <w:lang w:val="fr-CH"/>
        </w:rPr>
        <w:t>de la CEE sur les transports</w:t>
      </w:r>
    </w:p>
    <w:p w:rsidR="004F173B" w:rsidRPr="00101B00" w:rsidRDefault="004F173B" w:rsidP="004F173B">
      <w:pPr>
        <w:pStyle w:val="SingleTxt"/>
        <w:spacing w:after="0" w:line="120" w:lineRule="exact"/>
        <w:rPr>
          <w:i/>
          <w:sz w:val="10"/>
          <w:lang w:val="fr-CH"/>
        </w:rPr>
      </w:pPr>
    </w:p>
    <w:p w:rsidR="004F173B" w:rsidRPr="00101B00" w:rsidRDefault="004F173B" w:rsidP="004F173B">
      <w:pPr>
        <w:pStyle w:val="SingleTxt"/>
        <w:spacing w:after="0" w:line="120" w:lineRule="exact"/>
        <w:rPr>
          <w:i/>
          <w:sz w:val="10"/>
          <w:highlight w:val="yellow"/>
          <w:lang w:val="fr-CH"/>
        </w:rPr>
      </w:pPr>
    </w:p>
    <w:p w:rsidR="00554873" w:rsidRPr="00101B00" w:rsidRDefault="004F173B" w:rsidP="004F173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val="0"/>
          <w:iCs/>
          <w:lang w:val="fr-CH"/>
        </w:rPr>
      </w:pPr>
      <w:r w:rsidRPr="00101B00">
        <w:rPr>
          <w:lang w:val="fr-CH"/>
        </w:rPr>
        <w:tab/>
      </w:r>
      <w:r w:rsidRPr="00101B00">
        <w:rPr>
          <w:lang w:val="fr-CH"/>
        </w:rPr>
        <w:tab/>
      </w:r>
      <w:r w:rsidR="00554873" w:rsidRPr="00101B00">
        <w:rPr>
          <w:lang w:val="fr-CH"/>
        </w:rPr>
        <w:t>Document</w:t>
      </w:r>
      <w:r w:rsidR="005F0D9B" w:rsidRPr="00101B00">
        <w:rPr>
          <w:lang w:val="fr-CH"/>
        </w:rPr>
        <w:t> </w:t>
      </w:r>
      <w:r w:rsidR="005F0D9B" w:rsidRPr="00101B00">
        <w:rPr>
          <w:i w:val="0"/>
          <w:iCs/>
          <w:lang w:val="fr-CH"/>
        </w:rPr>
        <w:t>:</w:t>
      </w:r>
      <w:r w:rsidRPr="00101B00">
        <w:rPr>
          <w:i w:val="0"/>
          <w:iCs/>
          <w:lang w:val="fr-CH"/>
        </w:rPr>
        <w:tab/>
      </w:r>
      <w:r w:rsidR="00554873" w:rsidRPr="00101B00">
        <w:rPr>
          <w:i w:val="0"/>
          <w:iCs/>
          <w:lang w:val="fr-CH"/>
        </w:rPr>
        <w:t>ECE/TRANS/2015/10.</w:t>
      </w:r>
    </w:p>
    <w:p w:rsidR="004F173B" w:rsidRPr="00101B00" w:rsidRDefault="004F173B" w:rsidP="004F173B">
      <w:pPr>
        <w:pStyle w:val="SingleTxt"/>
        <w:spacing w:after="0" w:line="120" w:lineRule="exact"/>
        <w:rPr>
          <w:sz w:val="10"/>
          <w:lang w:val="fr-CH"/>
        </w:rPr>
      </w:pPr>
    </w:p>
    <w:p w:rsidR="00554873" w:rsidRPr="00101B00" w:rsidRDefault="00554873" w:rsidP="00767377">
      <w:pPr>
        <w:pStyle w:val="SingleTxt"/>
        <w:numPr>
          <w:ilvl w:val="0"/>
          <w:numId w:val="7"/>
        </w:numPr>
        <w:tabs>
          <w:tab w:val="clear" w:pos="475"/>
          <w:tab w:val="num" w:pos="1742"/>
        </w:tabs>
        <w:ind w:left="1267"/>
        <w:rPr>
          <w:lang w:val="fr-CH"/>
        </w:rPr>
      </w:pPr>
      <w:r w:rsidRPr="00101B00">
        <w:rPr>
          <w:lang w:val="fr-CH"/>
        </w:rPr>
        <w:t xml:space="preserve">Le Comité a </w:t>
      </w:r>
      <w:r w:rsidRPr="00101B00">
        <w:rPr>
          <w:b/>
          <w:lang w:val="fr-CH"/>
        </w:rPr>
        <w:t>pris</w:t>
      </w:r>
      <w:r w:rsidRPr="00101B00">
        <w:rPr>
          <w:lang w:val="fr-CH"/>
        </w:rPr>
        <w:t xml:space="preserve"> </w:t>
      </w:r>
      <w:r w:rsidRPr="00101B00">
        <w:rPr>
          <w:b/>
          <w:lang w:val="fr-CH"/>
        </w:rPr>
        <w:t>acte</w:t>
      </w:r>
      <w:r w:rsidRPr="00101B00">
        <w:rPr>
          <w:lang w:val="fr-CH"/>
        </w:rPr>
        <w:t xml:space="preserve"> de l</w:t>
      </w:r>
      <w:r w:rsidR="005F0D9B" w:rsidRPr="00101B00">
        <w:rPr>
          <w:lang w:val="fr-CH"/>
        </w:rPr>
        <w:t>’</w:t>
      </w:r>
      <w:r w:rsidRPr="00101B00">
        <w:rPr>
          <w:lang w:val="fr-CH"/>
        </w:rPr>
        <w:t>état des signatures et ratifications des instruments juridiques de l</w:t>
      </w:r>
      <w:r w:rsidR="005F0D9B" w:rsidRPr="00101B00">
        <w:rPr>
          <w:lang w:val="fr-CH"/>
        </w:rPr>
        <w:t>’</w:t>
      </w:r>
      <w:r w:rsidRPr="00101B00">
        <w:rPr>
          <w:lang w:val="fr-CH"/>
        </w:rPr>
        <w:t>ONU qui relèvent de sa compétence et de celle de ses organes subsidiaires dans le domaine des transports intérieurs, au 31 décembre</w:t>
      </w:r>
      <w:r w:rsidR="00767377" w:rsidRPr="00101B00">
        <w:rPr>
          <w:lang w:val="fr-CH"/>
        </w:rPr>
        <w:t xml:space="preserve"> </w:t>
      </w:r>
      <w:r w:rsidRPr="00101B00">
        <w:rPr>
          <w:lang w:val="fr-CH"/>
        </w:rPr>
        <w:t xml:space="preserve">2014, ainsi que des adhésions à ceux-ci, et a </w:t>
      </w:r>
      <w:r w:rsidRPr="00101B00">
        <w:rPr>
          <w:b/>
          <w:lang w:val="fr-CH"/>
        </w:rPr>
        <w:t>invité</w:t>
      </w:r>
      <w:r w:rsidRPr="00101B00">
        <w:rPr>
          <w:lang w:val="fr-CH"/>
        </w:rPr>
        <w:t xml:space="preserve"> les pays qui ne l</w:t>
      </w:r>
      <w:r w:rsidR="005F0D9B" w:rsidRPr="00101B00">
        <w:rPr>
          <w:lang w:val="fr-CH"/>
        </w:rPr>
        <w:t>’</w:t>
      </w:r>
      <w:r w:rsidRPr="00101B00">
        <w:rPr>
          <w:lang w:val="fr-CH"/>
        </w:rPr>
        <w:t>avaient pas encore fait à y adhérer.</w:t>
      </w:r>
    </w:p>
    <w:p w:rsidR="004F173B" w:rsidRPr="00101B00" w:rsidRDefault="004F173B" w:rsidP="004F173B">
      <w:pPr>
        <w:pStyle w:val="SingleTxt"/>
        <w:spacing w:after="0" w:line="120" w:lineRule="exact"/>
        <w:rPr>
          <w:sz w:val="10"/>
          <w:lang w:val="fr-CH"/>
        </w:rPr>
      </w:pPr>
    </w:p>
    <w:p w:rsidR="004F173B" w:rsidRPr="00101B00" w:rsidRDefault="004F173B" w:rsidP="004F173B">
      <w:pPr>
        <w:pStyle w:val="SingleTxt"/>
        <w:spacing w:after="0" w:line="120" w:lineRule="exact"/>
        <w:rPr>
          <w:sz w:val="10"/>
          <w:lang w:val="fr-CH"/>
        </w:rPr>
      </w:pPr>
    </w:p>
    <w:p w:rsidR="00554873" w:rsidRPr="00101B00" w:rsidRDefault="00554873" w:rsidP="004F173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1B00">
        <w:rPr>
          <w:lang w:val="fr-CH"/>
        </w:rPr>
        <w:tab/>
        <w:t>VII.</w:t>
      </w:r>
      <w:r w:rsidRPr="00101B00">
        <w:rPr>
          <w:lang w:val="fr-CH"/>
        </w:rPr>
        <w:tab/>
        <w:t xml:space="preserve">Questions stratégiques à caractère modal et thématique </w:t>
      </w:r>
      <w:r w:rsidR="004F173B" w:rsidRPr="00101B00">
        <w:rPr>
          <w:lang w:val="fr-CH"/>
        </w:rPr>
        <w:br/>
      </w:r>
      <w:r w:rsidRPr="00101B00">
        <w:rPr>
          <w:lang w:val="fr-CH"/>
        </w:rPr>
        <w:t>(point 5 de l</w:t>
      </w:r>
      <w:r w:rsidR="005F0D9B" w:rsidRPr="00101B00">
        <w:rPr>
          <w:lang w:val="fr-CH"/>
        </w:rPr>
        <w:t>’</w:t>
      </w:r>
      <w:r w:rsidRPr="00101B00">
        <w:rPr>
          <w:lang w:val="fr-CH"/>
        </w:rPr>
        <w:t>ordre du jour)</w:t>
      </w:r>
    </w:p>
    <w:p w:rsidR="004F173B" w:rsidRPr="00101B00" w:rsidRDefault="004F173B" w:rsidP="004F173B">
      <w:pPr>
        <w:pStyle w:val="SingleTxt"/>
        <w:spacing w:after="0" w:line="120" w:lineRule="exact"/>
        <w:rPr>
          <w:sz w:val="10"/>
          <w:lang w:val="fr-CH"/>
        </w:rPr>
      </w:pPr>
    </w:p>
    <w:p w:rsidR="004F173B" w:rsidRPr="00101B00" w:rsidRDefault="004F173B" w:rsidP="004F173B">
      <w:pPr>
        <w:pStyle w:val="SingleTxt"/>
        <w:spacing w:after="0" w:line="120" w:lineRule="exact"/>
        <w:rPr>
          <w:sz w:val="10"/>
          <w:lang w:val="fr-CH"/>
        </w:rPr>
      </w:pPr>
    </w:p>
    <w:p w:rsidR="00554873" w:rsidRPr="00101B00" w:rsidRDefault="00554873" w:rsidP="004F17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1B00">
        <w:rPr>
          <w:lang w:val="fr-CH"/>
        </w:rPr>
        <w:tab/>
        <w:t>A.</w:t>
      </w:r>
      <w:r w:rsidRPr="00101B00">
        <w:rPr>
          <w:lang w:val="fr-CH"/>
        </w:rPr>
        <w:tab/>
        <w:t>Activités se rapportant aux projets</w:t>
      </w:r>
    </w:p>
    <w:p w:rsidR="004F173B" w:rsidRPr="00101B00" w:rsidRDefault="004F173B" w:rsidP="004F173B">
      <w:pPr>
        <w:pStyle w:val="SingleTxt"/>
        <w:spacing w:after="0" w:line="120" w:lineRule="exact"/>
        <w:rPr>
          <w:sz w:val="10"/>
          <w:lang w:val="fr-CH"/>
        </w:rPr>
      </w:pPr>
    </w:p>
    <w:p w:rsidR="004F173B" w:rsidRPr="00101B00" w:rsidRDefault="004F173B" w:rsidP="004F173B">
      <w:pPr>
        <w:pStyle w:val="SingleTxt"/>
        <w:spacing w:after="0" w:line="120" w:lineRule="exact"/>
        <w:rPr>
          <w:sz w:val="10"/>
          <w:lang w:val="fr-CH"/>
        </w:rPr>
      </w:pPr>
    </w:p>
    <w:p w:rsidR="00554873" w:rsidRPr="00101B00" w:rsidRDefault="00554873" w:rsidP="004F17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1B00">
        <w:rPr>
          <w:lang w:val="fr-CH"/>
        </w:rPr>
        <w:tab/>
        <w:t>1.</w:t>
      </w:r>
      <w:r w:rsidRPr="00101B00">
        <w:rPr>
          <w:lang w:val="fr-CH"/>
        </w:rPr>
        <w:tab/>
        <w:t>Projets d</w:t>
      </w:r>
      <w:r w:rsidR="005F0D9B" w:rsidRPr="00101B00">
        <w:rPr>
          <w:lang w:val="fr-CH"/>
        </w:rPr>
        <w:t>’</w:t>
      </w:r>
      <w:r w:rsidRPr="00101B00">
        <w:rPr>
          <w:lang w:val="fr-CH"/>
        </w:rPr>
        <w:t xml:space="preserve">autoroute transeuropéenne (TEM) et de chemin de fer </w:t>
      </w:r>
      <w:r w:rsidR="004F173B" w:rsidRPr="00101B00">
        <w:rPr>
          <w:lang w:val="fr-CH"/>
        </w:rPr>
        <w:br/>
      </w:r>
      <w:r w:rsidRPr="00101B00">
        <w:rPr>
          <w:lang w:val="fr-CH"/>
        </w:rPr>
        <w:t>transeuropéen (TER)</w:t>
      </w:r>
    </w:p>
    <w:p w:rsidR="004F173B" w:rsidRPr="00101B00" w:rsidRDefault="004F173B" w:rsidP="004F173B">
      <w:pPr>
        <w:pStyle w:val="SingleTxt"/>
        <w:spacing w:after="0" w:line="120" w:lineRule="exact"/>
        <w:rPr>
          <w:i/>
          <w:sz w:val="10"/>
          <w:lang w:val="fr-CH"/>
        </w:rPr>
      </w:pPr>
    </w:p>
    <w:p w:rsidR="00554873" w:rsidRPr="00101B00" w:rsidRDefault="004F173B" w:rsidP="004F173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val="0"/>
          <w:iCs/>
          <w:lang w:val="fr-CH"/>
        </w:rPr>
      </w:pPr>
      <w:r w:rsidRPr="00101B00">
        <w:rPr>
          <w:lang w:val="fr-CH"/>
        </w:rPr>
        <w:tab/>
      </w:r>
      <w:r w:rsidRPr="00101B00">
        <w:rPr>
          <w:lang w:val="fr-CH"/>
        </w:rPr>
        <w:tab/>
      </w:r>
      <w:r w:rsidR="00554873" w:rsidRPr="00101B00">
        <w:rPr>
          <w:lang w:val="fr-CH"/>
        </w:rPr>
        <w:t>Document</w:t>
      </w:r>
      <w:r w:rsidR="005F0D9B" w:rsidRPr="00101B00">
        <w:rPr>
          <w:lang w:val="fr-CH"/>
        </w:rPr>
        <w:t> </w:t>
      </w:r>
      <w:r w:rsidR="005F0D9B" w:rsidRPr="00101B00">
        <w:rPr>
          <w:i w:val="0"/>
          <w:iCs/>
          <w:lang w:val="fr-CH"/>
        </w:rPr>
        <w:t>:</w:t>
      </w:r>
      <w:r w:rsidRPr="00101B00">
        <w:rPr>
          <w:i w:val="0"/>
          <w:iCs/>
          <w:lang w:val="fr-CH"/>
        </w:rPr>
        <w:tab/>
        <w:t>Document informel n</w:t>
      </w:r>
      <w:r w:rsidRPr="00101B00">
        <w:rPr>
          <w:i w:val="0"/>
          <w:iCs/>
          <w:vertAlign w:val="superscript"/>
          <w:lang w:val="fr-CH"/>
        </w:rPr>
        <w:t>o</w:t>
      </w:r>
      <w:r w:rsidR="00554873" w:rsidRPr="00101B00">
        <w:rPr>
          <w:i w:val="0"/>
          <w:iCs/>
          <w:lang w:val="fr-CH"/>
        </w:rPr>
        <w:t> 9.</w:t>
      </w:r>
    </w:p>
    <w:p w:rsidR="004F173B" w:rsidRPr="00101B00" w:rsidRDefault="004F173B" w:rsidP="004F173B">
      <w:pPr>
        <w:pStyle w:val="SingleTxt"/>
        <w:spacing w:after="0" w:line="120" w:lineRule="exact"/>
        <w:rPr>
          <w:sz w:val="10"/>
          <w:lang w:val="fr-CH"/>
        </w:rPr>
      </w:pPr>
    </w:p>
    <w:p w:rsidR="00554873" w:rsidRPr="00101B00" w:rsidRDefault="00554873" w:rsidP="00767377">
      <w:pPr>
        <w:pStyle w:val="SingleTxt"/>
        <w:numPr>
          <w:ilvl w:val="0"/>
          <w:numId w:val="7"/>
        </w:numPr>
        <w:tabs>
          <w:tab w:val="clear" w:pos="475"/>
          <w:tab w:val="num" w:pos="1742"/>
        </w:tabs>
        <w:ind w:left="1267"/>
        <w:rPr>
          <w:lang w:val="fr-CH"/>
        </w:rPr>
      </w:pPr>
      <w:r w:rsidRPr="00101B00">
        <w:rPr>
          <w:lang w:val="fr-CH"/>
        </w:rPr>
        <w:t>Le Comité a</w:t>
      </w:r>
      <w:r w:rsidRPr="00101B00">
        <w:rPr>
          <w:b/>
          <w:lang w:val="fr-CH"/>
        </w:rPr>
        <w:t xml:space="preserve"> exprimé son soutien </w:t>
      </w:r>
      <w:r w:rsidRPr="00101B00">
        <w:rPr>
          <w:lang w:val="fr-CH"/>
        </w:rPr>
        <w:t>aux activités menées dans le cadre des Projets d</w:t>
      </w:r>
      <w:r w:rsidR="005F0D9B" w:rsidRPr="00101B00">
        <w:rPr>
          <w:lang w:val="fr-CH"/>
        </w:rPr>
        <w:t>’</w:t>
      </w:r>
      <w:r w:rsidRPr="00101B00">
        <w:rPr>
          <w:lang w:val="fr-CH"/>
        </w:rPr>
        <w:t xml:space="preserve">autoroute transeuropéenne (TEM) et de chemin de fer transeuropéen (TER) et a </w:t>
      </w:r>
      <w:r w:rsidRPr="00101B00">
        <w:rPr>
          <w:b/>
          <w:lang w:val="fr-CH"/>
        </w:rPr>
        <w:t>appelé instamment</w:t>
      </w:r>
      <w:r w:rsidRPr="00101B00">
        <w:rPr>
          <w:lang w:val="fr-CH"/>
        </w:rPr>
        <w:t xml:space="preserve"> toutes les parties intéressées à résoudre les problèmes en suspens en ce qui concerne la gestion de ces projets ainsi que l</w:t>
      </w:r>
      <w:r w:rsidR="005F0D9B" w:rsidRPr="00101B00">
        <w:rPr>
          <w:lang w:val="fr-CH"/>
        </w:rPr>
        <w:t>’</w:t>
      </w:r>
      <w:r w:rsidRPr="00101B00">
        <w:rPr>
          <w:lang w:val="fr-CH"/>
        </w:rPr>
        <w:t xml:space="preserve">emplacement du </w:t>
      </w:r>
      <w:r w:rsidR="00767377" w:rsidRPr="00101B00">
        <w:rPr>
          <w:lang w:val="fr-CH"/>
        </w:rPr>
        <w:t>b</w:t>
      </w:r>
      <w:r w:rsidRPr="00101B00">
        <w:rPr>
          <w:lang w:val="fr-CH"/>
        </w:rPr>
        <w:t xml:space="preserve">ureau du Projet TER; il a, en outre, </w:t>
      </w:r>
      <w:r w:rsidRPr="00101B00">
        <w:rPr>
          <w:b/>
          <w:lang w:val="fr-CH"/>
        </w:rPr>
        <w:t xml:space="preserve">demandé </w:t>
      </w:r>
      <w:r w:rsidRPr="00101B00">
        <w:rPr>
          <w:lang w:val="fr-CH"/>
        </w:rPr>
        <w:t>aux coordonnateurs des projets de hâter l</w:t>
      </w:r>
      <w:r w:rsidR="005F0D9B" w:rsidRPr="00101B00">
        <w:rPr>
          <w:lang w:val="fr-CH"/>
        </w:rPr>
        <w:t>’</w:t>
      </w:r>
      <w:r w:rsidRPr="00101B00">
        <w:rPr>
          <w:lang w:val="fr-CH"/>
        </w:rPr>
        <w:t>obtention de résultats tangibles, a</w:t>
      </w:r>
      <w:r w:rsidRPr="00101B00">
        <w:rPr>
          <w:b/>
          <w:lang w:val="fr-CH"/>
        </w:rPr>
        <w:t xml:space="preserve"> souligné</w:t>
      </w:r>
      <w:r w:rsidRPr="00101B00">
        <w:rPr>
          <w:lang w:val="fr-CH"/>
        </w:rPr>
        <w:t xml:space="preserve"> l</w:t>
      </w:r>
      <w:r w:rsidR="005F0D9B" w:rsidRPr="00101B00">
        <w:rPr>
          <w:lang w:val="fr-CH"/>
        </w:rPr>
        <w:t>’</w:t>
      </w:r>
      <w:r w:rsidRPr="00101B00">
        <w:rPr>
          <w:lang w:val="fr-CH"/>
        </w:rPr>
        <w:t xml:space="preserve">importance de la coopération avec les autres initiatives visant à établir des couloirs de transport de </w:t>
      </w:r>
      <w:r w:rsidR="00767377" w:rsidRPr="00101B00">
        <w:rPr>
          <w:lang w:val="fr-CH"/>
        </w:rPr>
        <w:t xml:space="preserve">nature à </w:t>
      </w:r>
      <w:r w:rsidRPr="00101B00">
        <w:rPr>
          <w:lang w:val="fr-CH"/>
        </w:rPr>
        <w:t xml:space="preserve">favoriser les synergies et a </w:t>
      </w:r>
      <w:r w:rsidRPr="00101B00">
        <w:rPr>
          <w:b/>
          <w:lang w:val="fr-CH"/>
        </w:rPr>
        <w:t>prié</w:t>
      </w:r>
      <w:r w:rsidR="00767377" w:rsidRPr="00101B00">
        <w:rPr>
          <w:lang w:val="fr-CH"/>
        </w:rPr>
        <w:t xml:space="preserve"> le secrétariat, </w:t>
      </w:r>
      <w:r w:rsidRPr="00101B00">
        <w:rPr>
          <w:lang w:val="fr-CH"/>
        </w:rPr>
        <w:t>les pays hôtes et donateurs fournissant des contributions en nature d</w:t>
      </w:r>
      <w:r w:rsidR="005F0D9B" w:rsidRPr="00101B00">
        <w:rPr>
          <w:lang w:val="fr-CH"/>
        </w:rPr>
        <w:t>’</w:t>
      </w:r>
      <w:r w:rsidRPr="00101B00">
        <w:rPr>
          <w:lang w:val="fr-CH"/>
        </w:rPr>
        <w:t>achever sans plus tarder les procédures administratives pertinentes.</w:t>
      </w:r>
    </w:p>
    <w:p w:rsidR="004F173B" w:rsidRPr="00101B00" w:rsidRDefault="004F173B" w:rsidP="004F173B">
      <w:pPr>
        <w:pStyle w:val="SingleTxt"/>
        <w:spacing w:after="0" w:line="120" w:lineRule="exact"/>
        <w:rPr>
          <w:sz w:val="10"/>
          <w:lang w:val="fr-CH"/>
        </w:rPr>
      </w:pPr>
    </w:p>
    <w:p w:rsidR="00554873" w:rsidRPr="00101B00" w:rsidRDefault="00554873" w:rsidP="004F17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1B00">
        <w:rPr>
          <w:lang w:val="fr-CH"/>
        </w:rPr>
        <w:tab/>
        <w:t>2.</w:t>
      </w:r>
      <w:r w:rsidRPr="00101B00">
        <w:rPr>
          <w:lang w:val="fr-CH"/>
        </w:rPr>
        <w:tab/>
        <w:t>Projet concernant les liaisons de transport Europe-Asie</w:t>
      </w:r>
    </w:p>
    <w:p w:rsidR="004F173B" w:rsidRPr="00101B00" w:rsidRDefault="004F173B" w:rsidP="004F173B">
      <w:pPr>
        <w:pStyle w:val="SingleTxt"/>
        <w:spacing w:after="0" w:line="120" w:lineRule="exact"/>
        <w:rPr>
          <w:i/>
          <w:sz w:val="10"/>
          <w:lang w:val="fr-CH"/>
        </w:rPr>
      </w:pPr>
    </w:p>
    <w:p w:rsidR="00554873" w:rsidRPr="00101B00" w:rsidRDefault="004F173B" w:rsidP="004F173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i w:val="0"/>
          <w:iCs/>
          <w:lang w:val="fr-CH"/>
        </w:rPr>
      </w:pPr>
      <w:r w:rsidRPr="00101B00">
        <w:rPr>
          <w:lang w:val="fr-CH"/>
        </w:rPr>
        <w:tab/>
      </w:r>
      <w:r w:rsidRPr="00101B00">
        <w:rPr>
          <w:lang w:val="fr-CH"/>
        </w:rPr>
        <w:tab/>
      </w:r>
      <w:r w:rsidR="00554873" w:rsidRPr="00101B00">
        <w:rPr>
          <w:lang w:val="fr-CH"/>
        </w:rPr>
        <w:t>Document</w:t>
      </w:r>
      <w:r w:rsidR="005F0D9B" w:rsidRPr="00101B00">
        <w:rPr>
          <w:lang w:val="fr-CH"/>
        </w:rPr>
        <w:t> </w:t>
      </w:r>
      <w:r w:rsidR="005F0D9B" w:rsidRPr="00970907">
        <w:rPr>
          <w:i w:val="0"/>
          <w:iCs/>
          <w:lang w:val="fr-CH"/>
        </w:rPr>
        <w:t>:</w:t>
      </w:r>
      <w:r w:rsidRPr="00101B00">
        <w:rPr>
          <w:i w:val="0"/>
          <w:iCs/>
          <w:lang w:val="fr-CH"/>
        </w:rPr>
        <w:tab/>
      </w:r>
      <w:r w:rsidR="00554873" w:rsidRPr="00101B00">
        <w:rPr>
          <w:i w:val="0"/>
          <w:iCs/>
          <w:lang w:val="fr-CH"/>
        </w:rPr>
        <w:t>ECE/TRANS/2015/11.</w:t>
      </w:r>
    </w:p>
    <w:p w:rsidR="004F173B" w:rsidRPr="00101B00" w:rsidRDefault="004F173B" w:rsidP="004F173B">
      <w:pPr>
        <w:pStyle w:val="SingleTxt"/>
        <w:spacing w:after="0" w:line="120" w:lineRule="exact"/>
        <w:rPr>
          <w:sz w:val="10"/>
          <w:lang w:val="fr-CH"/>
        </w:rPr>
      </w:pPr>
    </w:p>
    <w:p w:rsidR="00554873" w:rsidRPr="00101B00" w:rsidRDefault="00554873" w:rsidP="00D16BB1">
      <w:pPr>
        <w:pStyle w:val="SingleTxt"/>
        <w:numPr>
          <w:ilvl w:val="0"/>
          <w:numId w:val="7"/>
        </w:numPr>
        <w:tabs>
          <w:tab w:val="clear" w:pos="475"/>
          <w:tab w:val="num" w:pos="1742"/>
        </w:tabs>
        <w:ind w:left="1267"/>
        <w:rPr>
          <w:spacing w:val="3"/>
          <w:lang w:val="fr-CH"/>
        </w:rPr>
      </w:pPr>
      <w:r w:rsidRPr="00101B00">
        <w:rPr>
          <w:spacing w:val="3"/>
          <w:lang w:val="fr-CH"/>
        </w:rPr>
        <w:t>Le Comité a</w:t>
      </w:r>
      <w:r w:rsidRPr="00101B00">
        <w:rPr>
          <w:b/>
          <w:spacing w:val="3"/>
          <w:lang w:val="fr-CH"/>
        </w:rPr>
        <w:t xml:space="preserve"> exprimé son soutien </w:t>
      </w:r>
      <w:r w:rsidRPr="00101B00">
        <w:rPr>
          <w:spacing w:val="3"/>
          <w:lang w:val="fr-CH"/>
        </w:rPr>
        <w:t>aux activités menées au titre du projet concernant les liaisons de transport Europe-Asie (LTEA)</w:t>
      </w:r>
      <w:r w:rsidR="00767377" w:rsidRPr="00101B00">
        <w:rPr>
          <w:spacing w:val="3"/>
          <w:lang w:val="fr-CH"/>
        </w:rPr>
        <w:t>,</w:t>
      </w:r>
      <w:r w:rsidRPr="00101B00">
        <w:rPr>
          <w:spacing w:val="3"/>
          <w:lang w:val="fr-CH"/>
        </w:rPr>
        <w:t xml:space="preserve"> qui permettent d</w:t>
      </w:r>
      <w:r w:rsidR="005F0D9B" w:rsidRPr="00101B00">
        <w:rPr>
          <w:spacing w:val="3"/>
          <w:lang w:val="fr-CH"/>
        </w:rPr>
        <w:t>’</w:t>
      </w:r>
      <w:r w:rsidRPr="00101B00">
        <w:rPr>
          <w:spacing w:val="3"/>
          <w:lang w:val="fr-CH"/>
        </w:rPr>
        <w:t>apporter une réponse harmonisée à l</w:t>
      </w:r>
      <w:r w:rsidR="005F0D9B" w:rsidRPr="00101B00">
        <w:rPr>
          <w:spacing w:val="3"/>
          <w:lang w:val="fr-CH"/>
        </w:rPr>
        <w:t>’</w:t>
      </w:r>
      <w:r w:rsidRPr="00101B00">
        <w:rPr>
          <w:spacing w:val="3"/>
          <w:lang w:val="fr-CH"/>
        </w:rPr>
        <w:t>échelon international à la demande de transport générée par le commerce florissant entre l</w:t>
      </w:r>
      <w:r w:rsidR="005F0D9B" w:rsidRPr="00101B00">
        <w:rPr>
          <w:spacing w:val="3"/>
          <w:lang w:val="fr-CH"/>
        </w:rPr>
        <w:t>’</w:t>
      </w:r>
      <w:r w:rsidRPr="00101B00">
        <w:rPr>
          <w:spacing w:val="3"/>
          <w:lang w:val="fr-CH"/>
        </w:rPr>
        <w:t>Europe et l</w:t>
      </w:r>
      <w:r w:rsidR="005F0D9B" w:rsidRPr="00101B00">
        <w:rPr>
          <w:spacing w:val="3"/>
          <w:lang w:val="fr-CH"/>
        </w:rPr>
        <w:t>’</w:t>
      </w:r>
      <w:r w:rsidRPr="00101B00">
        <w:rPr>
          <w:spacing w:val="3"/>
          <w:lang w:val="fr-CH"/>
        </w:rPr>
        <w:t xml:space="preserve">Asie; il a </w:t>
      </w:r>
      <w:r w:rsidRPr="00101B00">
        <w:rPr>
          <w:b/>
          <w:spacing w:val="3"/>
          <w:lang w:val="fr-CH"/>
        </w:rPr>
        <w:t>salué</w:t>
      </w:r>
      <w:r w:rsidRPr="00101B00">
        <w:rPr>
          <w:spacing w:val="3"/>
          <w:lang w:val="fr-CH"/>
        </w:rPr>
        <w:t xml:space="preserve"> l</w:t>
      </w:r>
      <w:r w:rsidR="005F0D9B" w:rsidRPr="00101B00">
        <w:rPr>
          <w:spacing w:val="3"/>
          <w:lang w:val="fr-CH"/>
        </w:rPr>
        <w:t>’</w:t>
      </w:r>
      <w:r w:rsidRPr="00101B00">
        <w:rPr>
          <w:spacing w:val="3"/>
          <w:lang w:val="fr-CH"/>
        </w:rPr>
        <w:t>appui financier apporté par certains gouvernements et organisations, tels que la Fédération de Russie et l</w:t>
      </w:r>
      <w:r w:rsidR="005F0D9B" w:rsidRPr="00101B00">
        <w:rPr>
          <w:spacing w:val="3"/>
          <w:lang w:val="fr-CH"/>
        </w:rPr>
        <w:t>’</w:t>
      </w:r>
      <w:r w:rsidRPr="00101B00">
        <w:rPr>
          <w:spacing w:val="3"/>
          <w:lang w:val="fr-CH"/>
        </w:rPr>
        <w:t xml:space="preserve">OSCE, a </w:t>
      </w:r>
      <w:r w:rsidRPr="00101B00">
        <w:rPr>
          <w:b/>
          <w:spacing w:val="3"/>
          <w:lang w:val="fr-CH"/>
        </w:rPr>
        <w:t>encouragé</w:t>
      </w:r>
      <w:r w:rsidRPr="00101B00">
        <w:rPr>
          <w:spacing w:val="3"/>
          <w:lang w:val="fr-CH"/>
        </w:rPr>
        <w:t xml:space="preserve"> les autres donateurs à appuyer le projet LTEA au moyen de contributions </w:t>
      </w:r>
      <w:r w:rsidRPr="00101B00">
        <w:rPr>
          <w:spacing w:val="3"/>
          <w:lang w:val="fr-CH"/>
        </w:rPr>
        <w:lastRenderedPageBreak/>
        <w:t xml:space="preserve">financières ou en nature et a </w:t>
      </w:r>
      <w:r w:rsidRPr="00101B00">
        <w:rPr>
          <w:b/>
          <w:spacing w:val="3"/>
          <w:lang w:val="fr-CH"/>
        </w:rPr>
        <w:t>invité</w:t>
      </w:r>
      <w:r w:rsidRPr="00101B00">
        <w:rPr>
          <w:spacing w:val="3"/>
          <w:lang w:val="fr-CH"/>
        </w:rPr>
        <w:t xml:space="preserve"> les gouvernements à augmenter leur participation au cours de la dernière année du mandat du Groupe d</w:t>
      </w:r>
      <w:r w:rsidR="005F0D9B" w:rsidRPr="00101B00">
        <w:rPr>
          <w:spacing w:val="3"/>
          <w:lang w:val="fr-CH"/>
        </w:rPr>
        <w:t>’</w:t>
      </w:r>
      <w:r w:rsidRPr="00101B00">
        <w:rPr>
          <w:spacing w:val="3"/>
          <w:lang w:val="fr-CH"/>
        </w:rPr>
        <w:t>experts du projet LTEA.</w:t>
      </w:r>
    </w:p>
    <w:p w:rsidR="00554873" w:rsidRPr="00101B00" w:rsidRDefault="00554873" w:rsidP="00D16BB1">
      <w:pPr>
        <w:pStyle w:val="SingleTxt"/>
        <w:numPr>
          <w:ilvl w:val="0"/>
          <w:numId w:val="7"/>
        </w:numPr>
        <w:tabs>
          <w:tab w:val="clear" w:pos="475"/>
          <w:tab w:val="num" w:pos="1742"/>
        </w:tabs>
        <w:ind w:left="1267"/>
        <w:rPr>
          <w:lang w:val="fr-CH"/>
        </w:rPr>
      </w:pPr>
      <w:r w:rsidRPr="00101B00">
        <w:rPr>
          <w:lang w:val="fr-CH"/>
        </w:rPr>
        <w:t xml:space="preserve">Le Comité a </w:t>
      </w:r>
      <w:r w:rsidRPr="00101B00">
        <w:rPr>
          <w:b/>
          <w:lang w:val="fr-CH"/>
        </w:rPr>
        <w:t>invité</w:t>
      </w:r>
      <w:r w:rsidRPr="00101B00">
        <w:rPr>
          <w:lang w:val="fr-CH"/>
        </w:rPr>
        <w:t xml:space="preserve"> tous les groupes de travail à réfléchir à la manière de contribuer au projet LTEA et a </w:t>
      </w:r>
      <w:r w:rsidRPr="00101B00">
        <w:rPr>
          <w:b/>
          <w:lang w:val="fr-CH"/>
        </w:rPr>
        <w:t>demandé</w:t>
      </w:r>
      <w:r w:rsidRPr="00101B00">
        <w:rPr>
          <w:lang w:val="fr-CH"/>
        </w:rPr>
        <w:t xml:space="preserve"> au Groupe d</w:t>
      </w:r>
      <w:r w:rsidR="005F0D9B" w:rsidRPr="00101B00">
        <w:rPr>
          <w:lang w:val="fr-CH"/>
        </w:rPr>
        <w:t>’</w:t>
      </w:r>
      <w:r w:rsidRPr="00101B00">
        <w:rPr>
          <w:lang w:val="fr-CH"/>
        </w:rPr>
        <w:t>experts de s</w:t>
      </w:r>
      <w:r w:rsidR="005F0D9B" w:rsidRPr="00101B00">
        <w:rPr>
          <w:lang w:val="fr-CH"/>
        </w:rPr>
        <w:t>’</w:t>
      </w:r>
      <w:r w:rsidRPr="00101B00">
        <w:rPr>
          <w:lang w:val="fr-CH"/>
        </w:rPr>
        <w:t>intéresser non seulement aux routes et aux chemins de fer, mais aussi au transport intermodal, afin de pouvoir obtenir des résultats tangibles au terme du projet, et de faire en sorte que ceux-ci soient durables.</w:t>
      </w:r>
    </w:p>
    <w:p w:rsidR="00554873" w:rsidRPr="00101B00" w:rsidRDefault="00554873" w:rsidP="00767377">
      <w:pPr>
        <w:pStyle w:val="SingleTxt"/>
        <w:numPr>
          <w:ilvl w:val="0"/>
          <w:numId w:val="7"/>
        </w:numPr>
        <w:tabs>
          <w:tab w:val="clear" w:pos="475"/>
          <w:tab w:val="num" w:pos="1742"/>
        </w:tabs>
        <w:ind w:left="1267"/>
        <w:rPr>
          <w:lang w:val="fr-CH"/>
        </w:rPr>
      </w:pPr>
      <w:r w:rsidRPr="00101B00">
        <w:rPr>
          <w:lang w:val="fr-CH"/>
        </w:rPr>
        <w:t xml:space="preserve">Le Comité a </w:t>
      </w:r>
      <w:r w:rsidRPr="00101B00">
        <w:rPr>
          <w:b/>
          <w:lang w:val="fr-CH"/>
        </w:rPr>
        <w:t xml:space="preserve">noté </w:t>
      </w:r>
      <w:r w:rsidRPr="00101B00">
        <w:rPr>
          <w:lang w:val="fr-CH"/>
        </w:rPr>
        <w:t xml:space="preserve">que la troisième rencontre des ministres des </w:t>
      </w:r>
      <w:r w:rsidR="00767377" w:rsidRPr="00101B00">
        <w:rPr>
          <w:lang w:val="fr-CH"/>
        </w:rPr>
        <w:t>t</w:t>
      </w:r>
      <w:r w:rsidRPr="00101B00">
        <w:rPr>
          <w:lang w:val="fr-CH"/>
        </w:rPr>
        <w:t>ransports de l</w:t>
      </w:r>
      <w:r w:rsidR="005F0D9B" w:rsidRPr="00101B00">
        <w:rPr>
          <w:lang w:val="fr-CH"/>
        </w:rPr>
        <w:t>’</w:t>
      </w:r>
      <w:r w:rsidRPr="00101B00">
        <w:rPr>
          <w:lang w:val="fr-CH"/>
        </w:rPr>
        <w:t>ASEM se tiendrait à Rig</w:t>
      </w:r>
      <w:r w:rsidR="00767377" w:rsidRPr="00101B00">
        <w:rPr>
          <w:lang w:val="fr-CH"/>
        </w:rPr>
        <w:t xml:space="preserve">a les 29 et 30 avril </w:t>
      </w:r>
      <w:r w:rsidRPr="00101B00">
        <w:rPr>
          <w:lang w:val="fr-CH"/>
        </w:rPr>
        <w:t>2015 pendant la présidence lettonne de l</w:t>
      </w:r>
      <w:r w:rsidR="005F0D9B" w:rsidRPr="00101B00">
        <w:rPr>
          <w:lang w:val="fr-CH"/>
        </w:rPr>
        <w:t>’</w:t>
      </w:r>
      <w:r w:rsidRPr="00101B00">
        <w:rPr>
          <w:lang w:val="fr-CH"/>
        </w:rPr>
        <w:t xml:space="preserve">Union européenne et a </w:t>
      </w:r>
      <w:r w:rsidRPr="00101B00">
        <w:rPr>
          <w:b/>
          <w:lang w:val="fr-CH"/>
        </w:rPr>
        <w:t>salué</w:t>
      </w:r>
      <w:r w:rsidRPr="00101B00">
        <w:rPr>
          <w:lang w:val="fr-CH"/>
        </w:rPr>
        <w:t xml:space="preserve"> l</w:t>
      </w:r>
      <w:r w:rsidR="005F0D9B" w:rsidRPr="00101B00">
        <w:rPr>
          <w:lang w:val="fr-CH"/>
        </w:rPr>
        <w:t>’</w:t>
      </w:r>
      <w:r w:rsidRPr="00101B00">
        <w:rPr>
          <w:lang w:val="fr-CH"/>
        </w:rPr>
        <w:t>initiative visant à organiser une activité parallèle sur le projet LTEA.</w:t>
      </w:r>
    </w:p>
    <w:p w:rsidR="004F173B" w:rsidRPr="00101B00" w:rsidRDefault="004F173B" w:rsidP="004F173B">
      <w:pPr>
        <w:pStyle w:val="SingleTxt"/>
        <w:spacing w:after="0" w:line="120" w:lineRule="exact"/>
        <w:rPr>
          <w:sz w:val="10"/>
          <w:lang w:val="fr-CH"/>
        </w:rPr>
      </w:pPr>
    </w:p>
    <w:p w:rsidR="004F173B" w:rsidRPr="00101B00" w:rsidRDefault="004F173B" w:rsidP="004F173B">
      <w:pPr>
        <w:pStyle w:val="SingleTxt"/>
        <w:spacing w:after="0" w:line="120" w:lineRule="exact"/>
        <w:rPr>
          <w:sz w:val="10"/>
          <w:lang w:val="fr-CH"/>
        </w:rPr>
      </w:pPr>
    </w:p>
    <w:p w:rsidR="00554873" w:rsidRPr="00101B00" w:rsidRDefault="00554873" w:rsidP="004F17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1B00">
        <w:rPr>
          <w:lang w:val="fr-CH"/>
        </w:rPr>
        <w:tab/>
        <w:t>B.</w:t>
      </w:r>
      <w:r w:rsidRPr="00101B00">
        <w:rPr>
          <w:lang w:val="fr-CH"/>
        </w:rPr>
        <w:tab/>
        <w:t>Harmonisation des règlements concernant les véhicules</w:t>
      </w:r>
    </w:p>
    <w:p w:rsidR="004F173B" w:rsidRPr="00101B00" w:rsidRDefault="004F173B" w:rsidP="004F173B">
      <w:pPr>
        <w:pStyle w:val="SingleTxt"/>
        <w:spacing w:after="0" w:line="120" w:lineRule="exact"/>
        <w:rPr>
          <w:i/>
          <w:sz w:val="10"/>
          <w:lang w:val="fr-CH"/>
        </w:rPr>
      </w:pPr>
    </w:p>
    <w:p w:rsidR="004F173B" w:rsidRPr="00101B00" w:rsidRDefault="004F173B" w:rsidP="004F173B">
      <w:pPr>
        <w:pStyle w:val="SingleTxt"/>
        <w:spacing w:after="0" w:line="120" w:lineRule="exact"/>
        <w:rPr>
          <w:i/>
          <w:sz w:val="10"/>
          <w:lang w:val="fr-CH"/>
        </w:rPr>
      </w:pPr>
    </w:p>
    <w:p w:rsidR="00554873" w:rsidRPr="00101B00" w:rsidRDefault="004F173B" w:rsidP="0097090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693" w:right="1260" w:hanging="2693"/>
        <w:rPr>
          <w:i w:val="0"/>
          <w:iCs/>
          <w:lang w:val="fr-CH"/>
        </w:rPr>
      </w:pPr>
      <w:r w:rsidRPr="00101B00">
        <w:rPr>
          <w:lang w:val="fr-CH"/>
        </w:rPr>
        <w:tab/>
      </w:r>
      <w:r w:rsidRPr="00101B00">
        <w:rPr>
          <w:lang w:val="fr-CH"/>
        </w:rPr>
        <w:tab/>
      </w:r>
      <w:r w:rsidR="00554873" w:rsidRPr="00101B00">
        <w:rPr>
          <w:lang w:val="fr-CH"/>
        </w:rPr>
        <w:t>Documents</w:t>
      </w:r>
      <w:r w:rsidR="005F0D9B" w:rsidRPr="00101B00">
        <w:rPr>
          <w:lang w:val="fr-CH"/>
        </w:rPr>
        <w:t> </w:t>
      </w:r>
      <w:r w:rsidR="005F0D9B" w:rsidRPr="00101B00">
        <w:rPr>
          <w:i w:val="0"/>
          <w:iCs/>
          <w:lang w:val="fr-CH"/>
        </w:rPr>
        <w:t>:</w:t>
      </w:r>
      <w:r w:rsidRPr="00101B00">
        <w:rPr>
          <w:i w:val="0"/>
          <w:iCs/>
          <w:lang w:val="fr-CH"/>
        </w:rPr>
        <w:tab/>
      </w:r>
      <w:r w:rsidR="00554873" w:rsidRPr="00101B00">
        <w:rPr>
          <w:i w:val="0"/>
          <w:iCs/>
          <w:lang w:val="fr-CH"/>
        </w:rPr>
        <w:t>ECE/TRANS/WP.29/2014/1/Rev.2, ECE/TRANS/2015/12, ECE/TRANS/WP.29/2015/40 et ECE/TRANS/WP.29/2015/41.</w:t>
      </w:r>
    </w:p>
    <w:p w:rsidR="004F173B" w:rsidRPr="00101B00" w:rsidRDefault="004F173B" w:rsidP="004F173B">
      <w:pPr>
        <w:pStyle w:val="SingleTxt"/>
        <w:spacing w:after="0" w:line="120" w:lineRule="exact"/>
        <w:rPr>
          <w:sz w:val="10"/>
          <w:lang w:val="fr-CH"/>
        </w:rPr>
      </w:pPr>
    </w:p>
    <w:p w:rsidR="00554873" w:rsidRPr="00101B00" w:rsidRDefault="00554873" w:rsidP="00767377">
      <w:pPr>
        <w:pStyle w:val="SingleTxt"/>
        <w:numPr>
          <w:ilvl w:val="0"/>
          <w:numId w:val="7"/>
        </w:numPr>
        <w:tabs>
          <w:tab w:val="clear" w:pos="475"/>
          <w:tab w:val="num" w:pos="1742"/>
        </w:tabs>
        <w:ind w:left="1267"/>
        <w:rPr>
          <w:lang w:val="fr-CH"/>
        </w:rPr>
      </w:pPr>
      <w:r w:rsidRPr="00101B00">
        <w:rPr>
          <w:lang w:val="fr-CH"/>
        </w:rPr>
        <w:t>M. Antonio Erario, Vice-Président du Forum mondial de l</w:t>
      </w:r>
      <w:r w:rsidR="005F0D9B" w:rsidRPr="00101B00">
        <w:rPr>
          <w:lang w:val="fr-CH"/>
        </w:rPr>
        <w:t>’</w:t>
      </w:r>
      <w:r w:rsidRPr="00101B00">
        <w:rPr>
          <w:lang w:val="fr-CH"/>
        </w:rPr>
        <w:t>harmonisation des Règlements concernant les véhicules (WP.29) et de l</w:t>
      </w:r>
      <w:r w:rsidR="005F0D9B" w:rsidRPr="00101B00">
        <w:rPr>
          <w:lang w:val="fr-CH"/>
        </w:rPr>
        <w:t>’</w:t>
      </w:r>
      <w:r w:rsidRPr="00101B00">
        <w:rPr>
          <w:lang w:val="fr-CH"/>
        </w:rPr>
        <w:t xml:space="preserve">AC.1, a </w:t>
      </w:r>
      <w:r w:rsidRPr="00101B00">
        <w:rPr>
          <w:b/>
          <w:lang w:val="fr-CH"/>
        </w:rPr>
        <w:t>informé</w:t>
      </w:r>
      <w:r w:rsidRPr="00101B00">
        <w:rPr>
          <w:lang w:val="fr-CH"/>
        </w:rPr>
        <w:t xml:space="preserve"> le Comité des tout derniers travaux accomplis par le WP.29 et ses six </w:t>
      </w:r>
      <w:r w:rsidR="000E1762" w:rsidRPr="00101B00">
        <w:rPr>
          <w:lang w:val="fr-CH"/>
        </w:rPr>
        <w:t xml:space="preserve">Groupes </w:t>
      </w:r>
      <w:r w:rsidRPr="00101B00">
        <w:rPr>
          <w:lang w:val="fr-CH"/>
        </w:rPr>
        <w:t>de travail subsidiaires (GRB, GRE, GRPE, GRRF, GRSG et GRSP), le Comité d</w:t>
      </w:r>
      <w:r w:rsidR="005F0D9B" w:rsidRPr="00101B00">
        <w:rPr>
          <w:lang w:val="fr-CH"/>
        </w:rPr>
        <w:t>’</w:t>
      </w:r>
      <w:r w:rsidRPr="00101B00">
        <w:rPr>
          <w:lang w:val="fr-CH"/>
        </w:rPr>
        <w:t>administration de l</w:t>
      </w:r>
      <w:r w:rsidR="005F0D9B" w:rsidRPr="00101B00">
        <w:rPr>
          <w:lang w:val="fr-CH"/>
        </w:rPr>
        <w:t>’</w:t>
      </w:r>
      <w:r w:rsidRPr="00101B00">
        <w:rPr>
          <w:lang w:val="fr-CH"/>
        </w:rPr>
        <w:t>Accord de 1958, le Comité d</w:t>
      </w:r>
      <w:r w:rsidR="005F0D9B" w:rsidRPr="00101B00">
        <w:rPr>
          <w:lang w:val="fr-CH"/>
        </w:rPr>
        <w:t>’</w:t>
      </w:r>
      <w:r w:rsidRPr="00101B00">
        <w:rPr>
          <w:lang w:val="fr-CH"/>
        </w:rPr>
        <w:t>administration de l</w:t>
      </w:r>
      <w:r w:rsidR="005F0D9B" w:rsidRPr="00101B00">
        <w:rPr>
          <w:lang w:val="fr-CH"/>
        </w:rPr>
        <w:t>’</w:t>
      </w:r>
      <w:r w:rsidRPr="00101B00">
        <w:rPr>
          <w:lang w:val="fr-CH"/>
        </w:rPr>
        <w:t>Accord de 1997 et le Comité exécutif de l</w:t>
      </w:r>
      <w:r w:rsidR="005F0D9B" w:rsidRPr="00101B00">
        <w:rPr>
          <w:lang w:val="fr-CH"/>
        </w:rPr>
        <w:t>’</w:t>
      </w:r>
      <w:r w:rsidRPr="00101B00">
        <w:rPr>
          <w:lang w:val="fr-CH"/>
        </w:rPr>
        <w:t xml:space="preserve">Accord de 1998. Il a aussi été </w:t>
      </w:r>
      <w:r w:rsidRPr="00101B00">
        <w:rPr>
          <w:b/>
          <w:lang w:val="fr-CH"/>
        </w:rPr>
        <w:t>informé</w:t>
      </w:r>
      <w:r w:rsidRPr="00101B00">
        <w:rPr>
          <w:lang w:val="fr-CH"/>
        </w:rPr>
        <w:t xml:space="preserve"> des activités du Forum mondial et de ses groupes de travail subsidiaires telles qu</w:t>
      </w:r>
      <w:r w:rsidR="005F0D9B" w:rsidRPr="00101B00">
        <w:rPr>
          <w:lang w:val="fr-CH"/>
        </w:rPr>
        <w:t>’</w:t>
      </w:r>
      <w:r w:rsidRPr="00101B00">
        <w:rPr>
          <w:lang w:val="fr-CH"/>
        </w:rPr>
        <w:t xml:space="preserve">elles étaient présentées dans le programme de travail du Forum (ECE/TRANS/WP.29/2014/1/Rev.2). Le Comité a </w:t>
      </w:r>
      <w:r w:rsidRPr="000E1762">
        <w:rPr>
          <w:b/>
          <w:bCs/>
          <w:lang w:val="fr-CH"/>
        </w:rPr>
        <w:t>noté</w:t>
      </w:r>
      <w:r w:rsidRPr="00101B00">
        <w:rPr>
          <w:lang w:val="fr-CH"/>
        </w:rPr>
        <w:t xml:space="preserve"> qu</w:t>
      </w:r>
      <w:r w:rsidR="005F0D9B" w:rsidRPr="00101B00">
        <w:rPr>
          <w:lang w:val="fr-CH"/>
        </w:rPr>
        <w:t>’</w:t>
      </w:r>
      <w:r w:rsidRPr="00101B00">
        <w:rPr>
          <w:lang w:val="fr-CH"/>
        </w:rPr>
        <w:t>en 2014 une quarantaine de groupes de travail informels avaient mené des activités parallèles à celles du Forum mondial et de ses organes subsidiaires afin d</w:t>
      </w:r>
      <w:r w:rsidR="005F0D9B" w:rsidRPr="00101B00">
        <w:rPr>
          <w:lang w:val="fr-CH"/>
        </w:rPr>
        <w:t>’</w:t>
      </w:r>
      <w:r w:rsidRPr="00101B00">
        <w:rPr>
          <w:lang w:val="fr-CH"/>
        </w:rPr>
        <w:t>aider ces derniers à élaborer de nouveaux règlements et à actualiser le</w:t>
      </w:r>
      <w:r w:rsidR="00767377" w:rsidRPr="00101B00">
        <w:rPr>
          <w:lang w:val="fr-CH"/>
        </w:rPr>
        <w:t>s 134 </w:t>
      </w:r>
      <w:r w:rsidRPr="00101B00">
        <w:rPr>
          <w:lang w:val="fr-CH"/>
        </w:rPr>
        <w:t>Règlements ONU existants annexés à l</w:t>
      </w:r>
      <w:r w:rsidR="005F0D9B" w:rsidRPr="00101B00">
        <w:rPr>
          <w:lang w:val="fr-CH"/>
        </w:rPr>
        <w:t>’</w:t>
      </w:r>
      <w:r w:rsidR="00767377" w:rsidRPr="00101B00">
        <w:rPr>
          <w:lang w:val="fr-CH"/>
        </w:rPr>
        <w:t>Accord de 1958, les 15 </w:t>
      </w:r>
      <w:r w:rsidRPr="00101B00">
        <w:rPr>
          <w:lang w:val="fr-CH"/>
        </w:rPr>
        <w:t>Règlements techniques mondiaux ONU associés à l</w:t>
      </w:r>
      <w:r w:rsidR="005F0D9B" w:rsidRPr="00101B00">
        <w:rPr>
          <w:lang w:val="fr-CH"/>
        </w:rPr>
        <w:t>’</w:t>
      </w:r>
      <w:r w:rsidRPr="00101B00">
        <w:rPr>
          <w:lang w:val="fr-CH"/>
        </w:rPr>
        <w:t xml:space="preserve">Accord de 1998 et les </w:t>
      </w:r>
      <w:r w:rsidR="00767377" w:rsidRPr="00101B00">
        <w:rPr>
          <w:lang w:val="fr-CH"/>
        </w:rPr>
        <w:t>2 </w:t>
      </w:r>
      <w:r w:rsidRPr="00101B00">
        <w:rPr>
          <w:lang w:val="fr-CH"/>
        </w:rPr>
        <w:t>Règles ONU annexées à l</w:t>
      </w:r>
      <w:r w:rsidR="005F0D9B" w:rsidRPr="00101B00">
        <w:rPr>
          <w:lang w:val="fr-CH"/>
        </w:rPr>
        <w:t>’</w:t>
      </w:r>
      <w:r w:rsidRPr="00101B00">
        <w:rPr>
          <w:lang w:val="fr-CH"/>
        </w:rPr>
        <w:t>Accord de 1997.</w:t>
      </w:r>
    </w:p>
    <w:p w:rsidR="00554873" w:rsidRPr="00101B00" w:rsidRDefault="00554873" w:rsidP="00D16BB1">
      <w:pPr>
        <w:pStyle w:val="SingleTxt"/>
        <w:numPr>
          <w:ilvl w:val="0"/>
          <w:numId w:val="7"/>
        </w:numPr>
        <w:tabs>
          <w:tab w:val="clear" w:pos="475"/>
          <w:tab w:val="num" w:pos="1742"/>
        </w:tabs>
        <w:ind w:left="1267"/>
        <w:rPr>
          <w:lang w:val="fr-CH"/>
        </w:rPr>
      </w:pPr>
      <w:r w:rsidRPr="00101B00">
        <w:rPr>
          <w:lang w:val="fr-CH"/>
        </w:rPr>
        <w:t xml:space="preserve">Le Comité a </w:t>
      </w:r>
      <w:r w:rsidRPr="00101B00">
        <w:rPr>
          <w:b/>
          <w:lang w:val="fr-CH"/>
        </w:rPr>
        <w:t>relevé</w:t>
      </w:r>
      <w:r w:rsidRPr="00101B00">
        <w:rPr>
          <w:lang w:val="fr-CH"/>
        </w:rPr>
        <w:t xml:space="preserve"> que le nombre de Parties contractantes à l</w:t>
      </w:r>
      <w:r w:rsidR="005F0D9B" w:rsidRPr="00101B00">
        <w:rPr>
          <w:lang w:val="fr-CH"/>
        </w:rPr>
        <w:t>’</w:t>
      </w:r>
      <w:r w:rsidRPr="00101B00">
        <w:rPr>
          <w:lang w:val="fr-CH"/>
        </w:rPr>
        <w:t>Accord de 1958, à l</w:t>
      </w:r>
      <w:r w:rsidR="005F0D9B" w:rsidRPr="00101B00">
        <w:rPr>
          <w:lang w:val="fr-CH"/>
        </w:rPr>
        <w:t>’</w:t>
      </w:r>
      <w:r w:rsidRPr="00101B00">
        <w:rPr>
          <w:lang w:val="fr-CH"/>
        </w:rPr>
        <w:t>Accord de 1998 et à l</w:t>
      </w:r>
      <w:r w:rsidR="005F0D9B" w:rsidRPr="00101B00">
        <w:rPr>
          <w:lang w:val="fr-CH"/>
        </w:rPr>
        <w:t>’</w:t>
      </w:r>
      <w:r w:rsidRPr="00101B00">
        <w:rPr>
          <w:lang w:val="fr-CH"/>
        </w:rPr>
        <w:t>Accord de 1997 était de 51, 34 et 12</w:t>
      </w:r>
      <w:r w:rsidR="00767377" w:rsidRPr="00101B00">
        <w:rPr>
          <w:lang w:val="fr-CH"/>
        </w:rPr>
        <w:t>,</w:t>
      </w:r>
      <w:r w:rsidRPr="00101B00">
        <w:rPr>
          <w:lang w:val="fr-CH"/>
        </w:rPr>
        <w:t xml:space="preserve"> respectivement. </w:t>
      </w:r>
    </w:p>
    <w:p w:rsidR="00554873" w:rsidRPr="00101B00" w:rsidRDefault="00554873" w:rsidP="00767377">
      <w:pPr>
        <w:pStyle w:val="SingleTxt"/>
        <w:numPr>
          <w:ilvl w:val="0"/>
          <w:numId w:val="7"/>
        </w:numPr>
        <w:tabs>
          <w:tab w:val="clear" w:pos="475"/>
          <w:tab w:val="num" w:pos="1742"/>
        </w:tabs>
        <w:ind w:left="1267"/>
        <w:rPr>
          <w:b/>
          <w:lang w:val="fr-CH"/>
        </w:rPr>
      </w:pPr>
      <w:r w:rsidRPr="00101B00">
        <w:rPr>
          <w:lang w:val="fr-CH"/>
        </w:rPr>
        <w:t>Le Comité s</w:t>
      </w:r>
      <w:r w:rsidR="005F0D9B" w:rsidRPr="00101B00">
        <w:rPr>
          <w:lang w:val="fr-CH"/>
        </w:rPr>
        <w:t>’</w:t>
      </w:r>
      <w:r w:rsidRPr="00101B00">
        <w:rPr>
          <w:lang w:val="fr-CH"/>
        </w:rPr>
        <w:t xml:space="preserve">est </w:t>
      </w:r>
      <w:r w:rsidRPr="00101B00">
        <w:rPr>
          <w:b/>
          <w:lang w:val="fr-CH"/>
        </w:rPr>
        <w:t>félicité</w:t>
      </w:r>
      <w:r w:rsidRPr="00101B00">
        <w:rPr>
          <w:lang w:val="fr-CH"/>
        </w:rPr>
        <w:t xml:space="preserve"> des débats sur l</w:t>
      </w:r>
      <w:r w:rsidR="005F0D9B" w:rsidRPr="00101B00">
        <w:rPr>
          <w:lang w:val="fr-CH"/>
        </w:rPr>
        <w:t>’</w:t>
      </w:r>
      <w:r w:rsidRPr="00101B00">
        <w:rPr>
          <w:lang w:val="fr-CH"/>
        </w:rPr>
        <w:t xml:space="preserve">importance </w:t>
      </w:r>
      <w:r w:rsidR="00767377" w:rsidRPr="00101B00">
        <w:rPr>
          <w:lang w:val="fr-CH"/>
        </w:rPr>
        <w:t>de contrôle technique périodique</w:t>
      </w:r>
      <w:r w:rsidRPr="00101B00">
        <w:rPr>
          <w:lang w:val="fr-CH"/>
        </w:rPr>
        <w:t xml:space="preserve"> et de l</w:t>
      </w:r>
      <w:r w:rsidR="005F0D9B" w:rsidRPr="00101B00">
        <w:rPr>
          <w:lang w:val="fr-CH"/>
        </w:rPr>
        <w:t>’</w:t>
      </w:r>
      <w:r w:rsidRPr="00101B00">
        <w:rPr>
          <w:lang w:val="fr-CH"/>
        </w:rPr>
        <w:t>Accord de 1997 pour la sûreté des routes et la protection de l</w:t>
      </w:r>
      <w:r w:rsidR="005F0D9B" w:rsidRPr="00101B00">
        <w:rPr>
          <w:lang w:val="fr-CH"/>
        </w:rPr>
        <w:t>’</w:t>
      </w:r>
      <w:r w:rsidRPr="00101B00">
        <w:rPr>
          <w:lang w:val="fr-CH"/>
        </w:rPr>
        <w:t xml:space="preserve">environnement et a </w:t>
      </w:r>
      <w:r w:rsidRPr="00101B00">
        <w:rPr>
          <w:b/>
          <w:lang w:val="fr-CH"/>
        </w:rPr>
        <w:t>demandé</w:t>
      </w:r>
      <w:r w:rsidRPr="00101B00">
        <w:rPr>
          <w:lang w:val="fr-CH"/>
        </w:rPr>
        <w:t xml:space="preserve"> au WP.29 d</w:t>
      </w:r>
      <w:r w:rsidR="005F0D9B" w:rsidRPr="00101B00">
        <w:rPr>
          <w:lang w:val="fr-CH"/>
        </w:rPr>
        <w:t>’</w:t>
      </w:r>
      <w:r w:rsidRPr="00101B00">
        <w:rPr>
          <w:lang w:val="fr-CH"/>
        </w:rPr>
        <w:t>envisager d</w:t>
      </w:r>
      <w:r w:rsidR="005F0D9B" w:rsidRPr="00101B00">
        <w:rPr>
          <w:lang w:val="fr-CH"/>
        </w:rPr>
        <w:t>’</w:t>
      </w:r>
      <w:r w:rsidRPr="00101B00">
        <w:rPr>
          <w:lang w:val="fr-CH"/>
        </w:rPr>
        <w:t>adopter des règles harmonisées concernant les équipements d</w:t>
      </w:r>
      <w:r w:rsidR="005F0D9B" w:rsidRPr="00101B00">
        <w:rPr>
          <w:lang w:val="fr-CH"/>
        </w:rPr>
        <w:t>’</w:t>
      </w:r>
      <w:r w:rsidRPr="00101B00">
        <w:rPr>
          <w:lang w:val="fr-CH"/>
        </w:rPr>
        <w:t>essai, les compétences, la formation et la certification des inspecteurs, ainsi que les mesures de contrôle amélioré grâce aux récentes évolutions.</w:t>
      </w:r>
    </w:p>
    <w:p w:rsidR="00554873" w:rsidRPr="00101B00" w:rsidRDefault="00554873" w:rsidP="00767377">
      <w:pPr>
        <w:pStyle w:val="SingleTxt"/>
        <w:numPr>
          <w:ilvl w:val="0"/>
          <w:numId w:val="7"/>
        </w:numPr>
        <w:tabs>
          <w:tab w:val="clear" w:pos="475"/>
          <w:tab w:val="num" w:pos="1742"/>
        </w:tabs>
        <w:ind w:left="1267"/>
        <w:rPr>
          <w:lang w:val="fr-CH"/>
        </w:rPr>
      </w:pPr>
      <w:r w:rsidRPr="00101B00">
        <w:rPr>
          <w:lang w:val="fr-CH"/>
        </w:rPr>
        <w:t xml:space="preserve">Le Comité a </w:t>
      </w:r>
      <w:r w:rsidRPr="00101B00">
        <w:rPr>
          <w:b/>
          <w:lang w:val="fr-CH"/>
        </w:rPr>
        <w:t>noté</w:t>
      </w:r>
      <w:r w:rsidRPr="00101B00">
        <w:rPr>
          <w:lang w:val="fr-CH"/>
        </w:rPr>
        <w:t xml:space="preserve"> que les Règlements de l</w:t>
      </w:r>
      <w:r w:rsidR="005F0D9B" w:rsidRPr="00101B00">
        <w:rPr>
          <w:lang w:val="fr-CH"/>
        </w:rPr>
        <w:t>’</w:t>
      </w:r>
      <w:r w:rsidRPr="00101B00">
        <w:rPr>
          <w:lang w:val="fr-CH"/>
        </w:rPr>
        <w:t>ONU sur les dispositifs antipollution de mise à niveau (DAM) et sur l</w:t>
      </w:r>
      <w:r w:rsidR="005F0D9B" w:rsidRPr="00101B00">
        <w:rPr>
          <w:lang w:val="fr-CH"/>
        </w:rPr>
        <w:t>’</w:t>
      </w:r>
      <w:r w:rsidRPr="00101B00">
        <w:rPr>
          <w:lang w:val="fr-CH"/>
        </w:rPr>
        <w:t xml:space="preserve">aptitude des véhicules à la réutilisation, au recyclage et à la valorisation </w:t>
      </w:r>
      <w:r w:rsidR="00767377" w:rsidRPr="00101B00">
        <w:rPr>
          <w:lang w:val="fr-CH"/>
        </w:rPr>
        <w:t>étaient entrés en vigueur le 17 </w:t>
      </w:r>
      <w:r w:rsidRPr="00101B00">
        <w:rPr>
          <w:lang w:val="fr-CH"/>
        </w:rPr>
        <w:t xml:space="preserve">juin 2014. Il a aussi </w:t>
      </w:r>
      <w:r w:rsidRPr="00101B00">
        <w:rPr>
          <w:b/>
          <w:lang w:val="fr-CH"/>
        </w:rPr>
        <w:t>noté</w:t>
      </w:r>
      <w:r w:rsidRPr="00101B00">
        <w:rPr>
          <w:lang w:val="fr-CH"/>
        </w:rPr>
        <w:t xml:space="preserve"> qu</w:t>
      </w:r>
      <w:r w:rsidR="005F0D9B" w:rsidRPr="00101B00">
        <w:rPr>
          <w:lang w:val="fr-CH"/>
        </w:rPr>
        <w:t>’</w:t>
      </w:r>
      <w:r w:rsidRPr="00101B00">
        <w:rPr>
          <w:lang w:val="fr-CH"/>
        </w:rPr>
        <w:t>en novembre 2014 le Forum mondial avait adopté de nouveaux Règlements sur les véhicules à hydrogène et à pile à combustible et sur les essais de choc latéral contre un poteau. Les nouveaux Règlements annexés à l</w:t>
      </w:r>
      <w:r w:rsidR="005F0D9B" w:rsidRPr="00101B00">
        <w:rPr>
          <w:lang w:val="fr-CH"/>
        </w:rPr>
        <w:t>’</w:t>
      </w:r>
      <w:r w:rsidRPr="00101B00">
        <w:rPr>
          <w:lang w:val="fr-CH"/>
        </w:rPr>
        <w:t xml:space="preserve">Accord de 1958 devaient entrer en vigueur à la mi-2015. Le Comité a également </w:t>
      </w:r>
      <w:r w:rsidRPr="00101B00">
        <w:rPr>
          <w:b/>
          <w:lang w:val="fr-CH"/>
        </w:rPr>
        <w:t>noté</w:t>
      </w:r>
      <w:r w:rsidRPr="00101B00">
        <w:rPr>
          <w:lang w:val="fr-CH"/>
        </w:rPr>
        <w:t xml:space="preserve"> que le Comité exécutif de l</w:t>
      </w:r>
      <w:r w:rsidR="005F0D9B" w:rsidRPr="00101B00">
        <w:rPr>
          <w:lang w:val="fr-CH"/>
        </w:rPr>
        <w:t>’</w:t>
      </w:r>
      <w:r w:rsidRPr="00101B00">
        <w:rPr>
          <w:lang w:val="fr-CH"/>
        </w:rPr>
        <w:t>Accord de 1998 avait établi de nouveaux Règlements techniques mondiaux (RTM) sur la Procédure d</w:t>
      </w:r>
      <w:r w:rsidR="005F0D9B" w:rsidRPr="00101B00">
        <w:rPr>
          <w:lang w:val="fr-CH"/>
        </w:rPr>
        <w:t>’</w:t>
      </w:r>
      <w:r w:rsidRPr="00101B00">
        <w:rPr>
          <w:lang w:val="fr-CH"/>
        </w:rPr>
        <w:t>essai mondiale harmonisée pour les voitures particulières et véhicules utilitaires légers (WLTP), en mars 2014, et sur les pneumatiques, en novembre 2014.</w:t>
      </w:r>
    </w:p>
    <w:p w:rsidR="00554873" w:rsidRPr="00101B00" w:rsidRDefault="00554873" w:rsidP="00767377">
      <w:pPr>
        <w:pStyle w:val="SingleTxt"/>
        <w:keepLines/>
        <w:numPr>
          <w:ilvl w:val="0"/>
          <w:numId w:val="7"/>
        </w:numPr>
        <w:tabs>
          <w:tab w:val="clear" w:pos="475"/>
          <w:tab w:val="num" w:pos="1742"/>
        </w:tabs>
        <w:ind w:left="1267"/>
        <w:rPr>
          <w:lang w:val="fr-CH"/>
        </w:rPr>
      </w:pPr>
      <w:r w:rsidRPr="00101B00">
        <w:rPr>
          <w:lang w:val="fr-CH"/>
        </w:rPr>
        <w:lastRenderedPageBreak/>
        <w:t>De façon générale, le Comité s</w:t>
      </w:r>
      <w:r w:rsidR="005F0D9B" w:rsidRPr="00101B00">
        <w:rPr>
          <w:lang w:val="fr-CH"/>
        </w:rPr>
        <w:t>’</w:t>
      </w:r>
      <w:r w:rsidRPr="00101B00">
        <w:rPr>
          <w:lang w:val="fr-CH"/>
        </w:rPr>
        <w:t xml:space="preserve">est </w:t>
      </w:r>
      <w:r w:rsidRPr="00101B00">
        <w:rPr>
          <w:b/>
          <w:lang w:val="fr-CH"/>
        </w:rPr>
        <w:t>félicité</w:t>
      </w:r>
      <w:r w:rsidRPr="00101B00">
        <w:rPr>
          <w:lang w:val="fr-CH"/>
        </w:rPr>
        <w:t xml:space="preserve"> de l</w:t>
      </w:r>
      <w:r w:rsidR="005F0D9B" w:rsidRPr="00101B00">
        <w:rPr>
          <w:lang w:val="fr-CH"/>
        </w:rPr>
        <w:t>’</w:t>
      </w:r>
      <w:r w:rsidRPr="00101B00">
        <w:rPr>
          <w:lang w:val="fr-CH"/>
        </w:rPr>
        <w:t xml:space="preserve">adoption, en 2014, de quatre nouveaux Règlements concernant les véhicules et de 70 amendements et a </w:t>
      </w:r>
      <w:r w:rsidRPr="00101B00">
        <w:rPr>
          <w:b/>
          <w:lang w:val="fr-CH"/>
        </w:rPr>
        <w:t>prié</w:t>
      </w:r>
      <w:r w:rsidRPr="00101B00">
        <w:rPr>
          <w:lang w:val="fr-CH"/>
        </w:rPr>
        <w:t xml:space="preserve"> le secrétariat de s</w:t>
      </w:r>
      <w:r w:rsidR="005F0D9B" w:rsidRPr="00101B00">
        <w:rPr>
          <w:lang w:val="fr-CH"/>
        </w:rPr>
        <w:t>’</w:t>
      </w:r>
      <w:r w:rsidRPr="00101B00">
        <w:rPr>
          <w:lang w:val="fr-CH"/>
        </w:rPr>
        <w:t>attacher à accroître la visibilité des Règlements concernant les véhicules à l</w:t>
      </w:r>
      <w:r w:rsidR="005F0D9B" w:rsidRPr="00101B00">
        <w:rPr>
          <w:lang w:val="fr-CH"/>
        </w:rPr>
        <w:t>’</w:t>
      </w:r>
      <w:r w:rsidRPr="00101B00">
        <w:rPr>
          <w:lang w:val="fr-CH"/>
        </w:rPr>
        <w:t>échelon mondial.</w:t>
      </w:r>
    </w:p>
    <w:p w:rsidR="00554873" w:rsidRPr="00101B00" w:rsidRDefault="00554873" w:rsidP="00767377">
      <w:pPr>
        <w:pStyle w:val="SingleTxt"/>
        <w:numPr>
          <w:ilvl w:val="0"/>
          <w:numId w:val="7"/>
        </w:numPr>
        <w:tabs>
          <w:tab w:val="clear" w:pos="475"/>
          <w:tab w:val="num" w:pos="1742"/>
        </w:tabs>
        <w:ind w:left="1267"/>
        <w:rPr>
          <w:lang w:val="fr-CH"/>
        </w:rPr>
      </w:pPr>
      <w:r w:rsidRPr="00101B00">
        <w:rPr>
          <w:lang w:val="fr-CH"/>
        </w:rPr>
        <w:t xml:space="preserve">Le Comité a </w:t>
      </w:r>
      <w:r w:rsidRPr="00101B00">
        <w:rPr>
          <w:b/>
          <w:lang w:val="fr-CH"/>
        </w:rPr>
        <w:t xml:space="preserve">fait le point </w:t>
      </w:r>
      <w:r w:rsidRPr="00101B00">
        <w:rPr>
          <w:lang w:val="fr-CH"/>
        </w:rPr>
        <w:t xml:space="preserve">sur </w:t>
      </w:r>
      <w:r w:rsidR="00767377" w:rsidRPr="00101B00">
        <w:rPr>
          <w:lang w:val="fr-CH"/>
        </w:rPr>
        <w:t>l’état d’avancement</w:t>
      </w:r>
      <w:r w:rsidRPr="00101B00">
        <w:rPr>
          <w:lang w:val="fr-CH"/>
        </w:rPr>
        <w:t xml:space="preserve"> de l</w:t>
      </w:r>
      <w:r w:rsidR="005F0D9B" w:rsidRPr="00101B00">
        <w:rPr>
          <w:lang w:val="fr-CH"/>
        </w:rPr>
        <w:t>’</w:t>
      </w:r>
      <w:r w:rsidRPr="00101B00">
        <w:rPr>
          <w:lang w:val="fr-CH"/>
        </w:rPr>
        <w:t>élaboration des propositions d</w:t>
      </w:r>
      <w:r w:rsidR="005F0D9B" w:rsidRPr="00101B00">
        <w:rPr>
          <w:lang w:val="fr-CH"/>
        </w:rPr>
        <w:t>’</w:t>
      </w:r>
      <w:r w:rsidRPr="00101B00">
        <w:rPr>
          <w:lang w:val="fr-CH"/>
        </w:rPr>
        <w:t>amendements à l</w:t>
      </w:r>
      <w:r w:rsidR="005F0D9B" w:rsidRPr="00101B00">
        <w:rPr>
          <w:lang w:val="fr-CH"/>
        </w:rPr>
        <w:t>’</w:t>
      </w:r>
      <w:r w:rsidRPr="00101B00">
        <w:rPr>
          <w:lang w:val="fr-CH"/>
        </w:rPr>
        <w:t xml:space="preserve">Accord de 1958 et a </w:t>
      </w:r>
      <w:r w:rsidRPr="00101B00">
        <w:rPr>
          <w:b/>
          <w:lang w:val="fr-CH"/>
        </w:rPr>
        <w:t>invité</w:t>
      </w:r>
      <w:r w:rsidRPr="00101B00">
        <w:rPr>
          <w:lang w:val="fr-CH"/>
        </w:rPr>
        <w:t xml:space="preserve"> les gouvernements et le secrétariat à s</w:t>
      </w:r>
      <w:r w:rsidR="005F0D9B" w:rsidRPr="00101B00">
        <w:rPr>
          <w:lang w:val="fr-CH"/>
        </w:rPr>
        <w:t>’</w:t>
      </w:r>
      <w:r w:rsidRPr="00101B00">
        <w:rPr>
          <w:lang w:val="fr-CH"/>
        </w:rPr>
        <w:t>employer à renforcer l</w:t>
      </w:r>
      <w:r w:rsidR="005F0D9B" w:rsidRPr="00101B00">
        <w:rPr>
          <w:lang w:val="fr-CH"/>
        </w:rPr>
        <w:t>’</w:t>
      </w:r>
      <w:r w:rsidRPr="00101B00">
        <w:rPr>
          <w:lang w:val="fr-CH"/>
        </w:rPr>
        <w:t>application de l</w:t>
      </w:r>
      <w:r w:rsidR="005F0D9B" w:rsidRPr="00101B00">
        <w:rPr>
          <w:lang w:val="fr-CH"/>
        </w:rPr>
        <w:t>’</w:t>
      </w:r>
      <w:r w:rsidRPr="00101B00">
        <w:rPr>
          <w:lang w:val="fr-CH"/>
        </w:rPr>
        <w:t>Accord.</w:t>
      </w:r>
    </w:p>
    <w:p w:rsidR="00554873" w:rsidRPr="00101B00" w:rsidRDefault="00554873" w:rsidP="00F10092">
      <w:pPr>
        <w:pStyle w:val="SingleTxt"/>
        <w:numPr>
          <w:ilvl w:val="0"/>
          <w:numId w:val="7"/>
        </w:numPr>
        <w:tabs>
          <w:tab w:val="clear" w:pos="475"/>
          <w:tab w:val="num" w:pos="1742"/>
        </w:tabs>
        <w:ind w:left="1267"/>
        <w:rPr>
          <w:b/>
          <w:lang w:val="fr-CH"/>
        </w:rPr>
      </w:pPr>
      <w:r w:rsidRPr="00101B00">
        <w:rPr>
          <w:lang w:val="fr-CH"/>
        </w:rPr>
        <w:t xml:space="preserve">En particulier, le Comité a </w:t>
      </w:r>
      <w:r w:rsidRPr="00101B00">
        <w:rPr>
          <w:b/>
          <w:lang w:val="fr-CH"/>
        </w:rPr>
        <w:t>été</w:t>
      </w:r>
      <w:r w:rsidRPr="00101B00">
        <w:rPr>
          <w:lang w:val="fr-CH"/>
        </w:rPr>
        <w:t xml:space="preserve"> </w:t>
      </w:r>
      <w:r w:rsidRPr="00101B00">
        <w:rPr>
          <w:b/>
          <w:lang w:val="fr-CH"/>
        </w:rPr>
        <w:t>informé</w:t>
      </w:r>
      <w:r w:rsidRPr="00101B00">
        <w:rPr>
          <w:lang w:val="fr-CH"/>
        </w:rPr>
        <w:t xml:space="preserve"> des progrès accomplis par le Forum mondial en ce qui concerne le projet de révision 3 de l</w:t>
      </w:r>
      <w:r w:rsidR="005F0D9B" w:rsidRPr="00101B00">
        <w:rPr>
          <w:lang w:val="fr-CH"/>
        </w:rPr>
        <w:t>’</w:t>
      </w:r>
      <w:r w:rsidRPr="00101B00">
        <w:rPr>
          <w:lang w:val="fr-CH"/>
        </w:rPr>
        <w:t>Accord de 1958, dans lequel il est tenu compte de l</w:t>
      </w:r>
      <w:r w:rsidR="005F0D9B" w:rsidRPr="00101B00">
        <w:rPr>
          <w:lang w:val="fr-CH"/>
        </w:rPr>
        <w:t>’</w:t>
      </w:r>
      <w:r w:rsidRPr="00101B00">
        <w:rPr>
          <w:lang w:val="fr-CH"/>
        </w:rPr>
        <w:t>idée d</w:t>
      </w:r>
      <w:r w:rsidR="005F0D9B" w:rsidRPr="00101B00">
        <w:rPr>
          <w:lang w:val="fr-CH"/>
        </w:rPr>
        <w:t>’</w:t>
      </w:r>
      <w:r w:rsidRPr="00101B00">
        <w:rPr>
          <w:lang w:val="fr-CH"/>
        </w:rPr>
        <w:t>homologation de type de l</w:t>
      </w:r>
      <w:r w:rsidR="005F0D9B" w:rsidRPr="00101B00">
        <w:rPr>
          <w:lang w:val="fr-CH"/>
        </w:rPr>
        <w:t>’</w:t>
      </w:r>
      <w:r w:rsidRPr="00101B00">
        <w:rPr>
          <w:lang w:val="fr-CH"/>
        </w:rPr>
        <w:t>ensemble du véhicule (IWVTA) et qui</w:t>
      </w:r>
      <w:r w:rsidR="00F10092" w:rsidRPr="00101B00">
        <w:rPr>
          <w:lang w:val="fr-CH"/>
        </w:rPr>
        <w:t>, pour inciter</w:t>
      </w:r>
      <w:r w:rsidRPr="00101B00">
        <w:rPr>
          <w:lang w:val="fr-CH"/>
        </w:rPr>
        <w:t xml:space="preserve"> les pays émergents à adhérer à l</w:t>
      </w:r>
      <w:r w:rsidR="005F0D9B" w:rsidRPr="00101B00">
        <w:rPr>
          <w:lang w:val="fr-CH"/>
        </w:rPr>
        <w:t>’</w:t>
      </w:r>
      <w:r w:rsidRPr="00101B00">
        <w:rPr>
          <w:lang w:val="fr-CH"/>
        </w:rPr>
        <w:t>Accord</w:t>
      </w:r>
      <w:r w:rsidR="00F10092" w:rsidRPr="00101B00">
        <w:rPr>
          <w:lang w:val="fr-CH"/>
        </w:rPr>
        <w:t xml:space="preserve">, </w:t>
      </w:r>
      <w:r w:rsidRPr="00101B00">
        <w:rPr>
          <w:lang w:val="fr-CH"/>
        </w:rPr>
        <w:t>permet</w:t>
      </w:r>
      <w:r w:rsidR="00F10092" w:rsidRPr="00101B00">
        <w:rPr>
          <w:lang w:val="fr-CH"/>
        </w:rPr>
        <w:t xml:space="preserve"> à ceux-ci</w:t>
      </w:r>
      <w:r w:rsidRPr="00101B00">
        <w:rPr>
          <w:lang w:val="fr-CH"/>
        </w:rPr>
        <w:t xml:space="preserve"> d</w:t>
      </w:r>
      <w:r w:rsidR="005F0D9B" w:rsidRPr="00101B00">
        <w:rPr>
          <w:lang w:val="fr-CH"/>
        </w:rPr>
        <w:t>’</w:t>
      </w:r>
      <w:r w:rsidRPr="00101B00">
        <w:rPr>
          <w:lang w:val="fr-CH"/>
        </w:rPr>
        <w:t>appliquer des versions antérieures des Règlements de l</w:t>
      </w:r>
      <w:r w:rsidR="005F0D9B" w:rsidRPr="00101B00">
        <w:rPr>
          <w:lang w:val="fr-CH"/>
        </w:rPr>
        <w:t>’</w:t>
      </w:r>
      <w:r w:rsidRPr="00101B00">
        <w:rPr>
          <w:lang w:val="fr-CH"/>
        </w:rPr>
        <w:t>ONU (ECE/TRANS/</w:t>
      </w:r>
      <w:r w:rsidR="00F10092" w:rsidRPr="00101B00">
        <w:rPr>
          <w:lang w:val="fr-CH"/>
        </w:rPr>
        <w:br/>
      </w:r>
      <w:r w:rsidRPr="00101B00">
        <w:rPr>
          <w:lang w:val="fr-CH"/>
        </w:rPr>
        <w:t>2015/12, ECE/TRANS/WP.29/2015/40 et ECE/TRANS/WP.29/2015/41).</w:t>
      </w:r>
    </w:p>
    <w:p w:rsidR="004F173B" w:rsidRPr="00101B00" w:rsidRDefault="004F173B" w:rsidP="004F173B">
      <w:pPr>
        <w:pStyle w:val="SingleTxt"/>
        <w:spacing w:after="0" w:line="120" w:lineRule="exact"/>
        <w:rPr>
          <w:sz w:val="10"/>
          <w:lang w:val="fr-CH"/>
        </w:rPr>
      </w:pPr>
    </w:p>
    <w:p w:rsidR="004F173B" w:rsidRPr="00101B00" w:rsidRDefault="004F173B" w:rsidP="004F173B">
      <w:pPr>
        <w:pStyle w:val="SingleTxt"/>
        <w:spacing w:after="0" w:line="120" w:lineRule="exact"/>
        <w:rPr>
          <w:sz w:val="10"/>
          <w:lang w:val="fr-CH"/>
        </w:rPr>
      </w:pPr>
    </w:p>
    <w:p w:rsidR="00554873" w:rsidRPr="00101B00" w:rsidRDefault="00554873" w:rsidP="004F17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1B00">
        <w:rPr>
          <w:lang w:val="fr-CH"/>
        </w:rPr>
        <w:tab/>
        <w:t>C.</w:t>
      </w:r>
      <w:r w:rsidRPr="00101B00">
        <w:rPr>
          <w:lang w:val="fr-CH"/>
        </w:rPr>
        <w:tab/>
        <w:t>Sécurité routière</w:t>
      </w:r>
    </w:p>
    <w:p w:rsidR="004F173B" w:rsidRPr="00101B00" w:rsidRDefault="004F173B" w:rsidP="004F173B">
      <w:pPr>
        <w:pStyle w:val="SingleTxt"/>
        <w:spacing w:after="0" w:line="120" w:lineRule="exact"/>
        <w:rPr>
          <w:i/>
          <w:sz w:val="10"/>
          <w:lang w:val="fr-CH"/>
        </w:rPr>
      </w:pPr>
    </w:p>
    <w:p w:rsidR="004F173B" w:rsidRPr="00101B00" w:rsidRDefault="004F173B" w:rsidP="004F173B">
      <w:pPr>
        <w:pStyle w:val="SingleTxt"/>
        <w:spacing w:after="0" w:line="120" w:lineRule="exact"/>
        <w:rPr>
          <w:i/>
          <w:sz w:val="10"/>
          <w:lang w:val="fr-CH"/>
        </w:rPr>
      </w:pPr>
    </w:p>
    <w:p w:rsidR="00554873" w:rsidRPr="00101B00" w:rsidRDefault="004F173B" w:rsidP="004F173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i w:val="0"/>
          <w:iCs/>
          <w:lang w:val="fr-CH"/>
        </w:rPr>
      </w:pPr>
      <w:r w:rsidRPr="00101B00">
        <w:rPr>
          <w:lang w:val="fr-CH"/>
        </w:rPr>
        <w:tab/>
      </w:r>
      <w:r w:rsidRPr="00101B00">
        <w:rPr>
          <w:lang w:val="fr-CH"/>
        </w:rPr>
        <w:tab/>
      </w:r>
      <w:r w:rsidR="00554873" w:rsidRPr="00101B00">
        <w:rPr>
          <w:lang w:val="fr-CH"/>
        </w:rPr>
        <w:t>Documents</w:t>
      </w:r>
      <w:r w:rsidR="005F0D9B" w:rsidRPr="00101B00">
        <w:rPr>
          <w:lang w:val="fr-CH"/>
        </w:rPr>
        <w:t> </w:t>
      </w:r>
      <w:r w:rsidR="005F0D9B" w:rsidRPr="00970907">
        <w:rPr>
          <w:i w:val="0"/>
          <w:iCs/>
          <w:lang w:val="fr-CH"/>
        </w:rPr>
        <w:t>:</w:t>
      </w:r>
      <w:r w:rsidRPr="00101B00">
        <w:rPr>
          <w:i w:val="0"/>
          <w:iCs/>
          <w:lang w:val="fr-CH"/>
        </w:rPr>
        <w:tab/>
      </w:r>
      <w:r w:rsidR="00554873" w:rsidRPr="00101B00">
        <w:rPr>
          <w:i w:val="0"/>
          <w:iCs/>
          <w:lang w:val="fr-CH"/>
        </w:rPr>
        <w:t>ECE/TRANS/2015/13, ECE/TRANS/2012/4 et Corr. 1 et 2.</w:t>
      </w:r>
    </w:p>
    <w:p w:rsidR="004F173B" w:rsidRPr="00101B00" w:rsidRDefault="004F173B" w:rsidP="004F173B">
      <w:pPr>
        <w:pStyle w:val="SingleTxt"/>
        <w:spacing w:after="0" w:line="120" w:lineRule="exact"/>
        <w:rPr>
          <w:sz w:val="10"/>
          <w:lang w:val="fr-CH"/>
        </w:rPr>
      </w:pPr>
    </w:p>
    <w:p w:rsidR="00554873" w:rsidRPr="00101B00" w:rsidRDefault="00554873" w:rsidP="00F10092">
      <w:pPr>
        <w:pStyle w:val="SingleTxt"/>
        <w:numPr>
          <w:ilvl w:val="0"/>
          <w:numId w:val="7"/>
        </w:numPr>
        <w:tabs>
          <w:tab w:val="clear" w:pos="475"/>
          <w:tab w:val="num" w:pos="1742"/>
        </w:tabs>
        <w:ind w:left="1267"/>
        <w:rPr>
          <w:lang w:val="fr-CH"/>
        </w:rPr>
      </w:pPr>
      <w:r w:rsidRPr="00101B00">
        <w:rPr>
          <w:lang w:val="fr-CH"/>
        </w:rPr>
        <w:t>M</w:t>
      </w:r>
      <w:r w:rsidRPr="00101B00">
        <w:rPr>
          <w:vertAlign w:val="superscript"/>
          <w:lang w:val="fr-CH"/>
        </w:rPr>
        <w:t>me</w:t>
      </w:r>
      <w:r w:rsidRPr="00101B00">
        <w:rPr>
          <w:lang w:val="fr-CH"/>
        </w:rPr>
        <w:t xml:space="preserve"> Luciana Iorio, Présidente du WP.1, a </w:t>
      </w:r>
      <w:r w:rsidRPr="00101B00">
        <w:rPr>
          <w:b/>
          <w:lang w:val="fr-CH"/>
        </w:rPr>
        <w:t>informé</w:t>
      </w:r>
      <w:r w:rsidRPr="00101B00">
        <w:rPr>
          <w:lang w:val="fr-CH"/>
        </w:rPr>
        <w:t xml:space="preserve"> le Comité des principales réalisations du WP.1 </w:t>
      </w:r>
      <w:r w:rsidR="00F10092" w:rsidRPr="00101B00">
        <w:rPr>
          <w:lang w:val="fr-CH"/>
        </w:rPr>
        <w:t>en</w:t>
      </w:r>
      <w:r w:rsidRPr="00101B00">
        <w:rPr>
          <w:lang w:val="fr-CH"/>
        </w:rPr>
        <w:t xml:space="preserve"> 2014. Le Comité a </w:t>
      </w:r>
      <w:r w:rsidRPr="00101B00">
        <w:rPr>
          <w:b/>
          <w:lang w:val="fr-CH"/>
        </w:rPr>
        <w:t>rappelé</w:t>
      </w:r>
      <w:r w:rsidRPr="00101B00">
        <w:rPr>
          <w:lang w:val="fr-CH"/>
        </w:rPr>
        <w:t xml:space="preserve"> qu</w:t>
      </w:r>
      <w:r w:rsidR="005F0D9B" w:rsidRPr="00101B00">
        <w:rPr>
          <w:lang w:val="fr-CH"/>
        </w:rPr>
        <w:t>’</w:t>
      </w:r>
      <w:r w:rsidRPr="00101B00">
        <w:rPr>
          <w:lang w:val="fr-CH"/>
        </w:rPr>
        <w:t>il avait adopté le Plan de la CEE pour la mise en œuvre de la Décennie d</w:t>
      </w:r>
      <w:r w:rsidR="005F0D9B" w:rsidRPr="00101B00">
        <w:rPr>
          <w:lang w:val="fr-CH"/>
        </w:rPr>
        <w:t>’</w:t>
      </w:r>
      <w:r w:rsidRPr="00101B00">
        <w:rPr>
          <w:lang w:val="fr-CH"/>
        </w:rPr>
        <w:t>action des Nations Unies pour la sécurité routière (ECE/TRANS/2012/4 et Corr.1 et 2) en 2012. Directement inspiré du Plan mondial pour la Décennie d</w:t>
      </w:r>
      <w:r w:rsidR="005F0D9B" w:rsidRPr="00101B00">
        <w:rPr>
          <w:lang w:val="fr-CH"/>
        </w:rPr>
        <w:t>’</w:t>
      </w:r>
      <w:r w:rsidRPr="00101B00">
        <w:rPr>
          <w:lang w:val="fr-CH"/>
        </w:rPr>
        <w:t>action pour la sécurité routière établi par l</w:t>
      </w:r>
      <w:r w:rsidR="005F0D9B" w:rsidRPr="00101B00">
        <w:rPr>
          <w:lang w:val="fr-CH"/>
        </w:rPr>
        <w:t>’</w:t>
      </w:r>
      <w:r w:rsidRPr="00101B00">
        <w:rPr>
          <w:lang w:val="fr-CH"/>
        </w:rPr>
        <w:t>ONU, ce plan devait permettre à la CEE d</w:t>
      </w:r>
      <w:r w:rsidR="005F0D9B" w:rsidRPr="00101B00">
        <w:rPr>
          <w:lang w:val="fr-CH"/>
        </w:rPr>
        <w:t>’</w:t>
      </w:r>
      <w:r w:rsidRPr="00101B00">
        <w:rPr>
          <w:lang w:val="fr-CH"/>
        </w:rPr>
        <w:t>atteindre ses objectifs globaux en matière de sécurité routière en tenant compte des domaines d</w:t>
      </w:r>
      <w:r w:rsidR="005F0D9B" w:rsidRPr="00101B00">
        <w:rPr>
          <w:lang w:val="fr-CH"/>
        </w:rPr>
        <w:t>’</w:t>
      </w:r>
      <w:r w:rsidRPr="00101B00">
        <w:rPr>
          <w:lang w:val="fr-CH"/>
        </w:rPr>
        <w:t xml:space="preserve">action prioritaires, tout en mettant en œuvre des activités et en déterminant </w:t>
      </w:r>
      <w:r w:rsidR="00F10092" w:rsidRPr="00101B00">
        <w:rPr>
          <w:lang w:val="fr-CH"/>
        </w:rPr>
        <w:t>l</w:t>
      </w:r>
      <w:r w:rsidRPr="00101B00">
        <w:rPr>
          <w:lang w:val="fr-CH"/>
        </w:rPr>
        <w:t>es mesures à prendre à l</w:t>
      </w:r>
      <w:r w:rsidR="005F0D9B" w:rsidRPr="00101B00">
        <w:rPr>
          <w:lang w:val="fr-CH"/>
        </w:rPr>
        <w:t>’</w:t>
      </w:r>
      <w:r w:rsidRPr="00101B00">
        <w:rPr>
          <w:lang w:val="fr-CH"/>
        </w:rPr>
        <w:t>avenir pour chaque objectif dans sa zone géographique et au-delà. Le secrétariat a présenté au Comité un rapport sur l</w:t>
      </w:r>
      <w:r w:rsidR="005F0D9B" w:rsidRPr="00101B00">
        <w:rPr>
          <w:lang w:val="fr-CH"/>
        </w:rPr>
        <w:t>’</w:t>
      </w:r>
      <w:r w:rsidRPr="00101B00">
        <w:rPr>
          <w:lang w:val="fr-CH"/>
        </w:rPr>
        <w:t>état d</w:t>
      </w:r>
      <w:r w:rsidR="005F0D9B" w:rsidRPr="00101B00">
        <w:rPr>
          <w:lang w:val="fr-CH"/>
        </w:rPr>
        <w:t>’</w:t>
      </w:r>
      <w:r w:rsidRPr="00101B00">
        <w:rPr>
          <w:lang w:val="fr-CH"/>
        </w:rPr>
        <w:t>avancement de la mise en œuvre des objectifs de la CEE en matière de sécurité routière dans ses différents domaines d</w:t>
      </w:r>
      <w:r w:rsidR="005F0D9B" w:rsidRPr="00101B00">
        <w:rPr>
          <w:lang w:val="fr-CH"/>
        </w:rPr>
        <w:t>’</w:t>
      </w:r>
      <w:r w:rsidRPr="00101B00">
        <w:rPr>
          <w:lang w:val="fr-CH"/>
        </w:rPr>
        <w:t>activité prioritaires entre 2011 et 2014 (ECE/TRANS/2015/13). Le Comité s</w:t>
      </w:r>
      <w:r w:rsidR="005F0D9B" w:rsidRPr="00101B00">
        <w:rPr>
          <w:lang w:val="fr-CH"/>
        </w:rPr>
        <w:t>’</w:t>
      </w:r>
      <w:r w:rsidRPr="00101B00">
        <w:rPr>
          <w:lang w:val="fr-CH"/>
        </w:rPr>
        <w:t xml:space="preserve">est </w:t>
      </w:r>
      <w:r w:rsidRPr="00101B00">
        <w:rPr>
          <w:b/>
          <w:lang w:val="fr-CH"/>
        </w:rPr>
        <w:t>félicité</w:t>
      </w:r>
      <w:r w:rsidRPr="00101B00">
        <w:rPr>
          <w:lang w:val="fr-CH"/>
        </w:rPr>
        <w:t xml:space="preserve"> des progrès communiqués à ce titre et a </w:t>
      </w:r>
      <w:r w:rsidRPr="00101B00">
        <w:rPr>
          <w:b/>
          <w:lang w:val="fr-CH"/>
        </w:rPr>
        <w:t>demandé</w:t>
      </w:r>
      <w:r w:rsidRPr="00101B00">
        <w:rPr>
          <w:lang w:val="fr-CH"/>
        </w:rPr>
        <w:t xml:space="preserve"> l</w:t>
      </w:r>
      <w:r w:rsidR="005F0D9B" w:rsidRPr="00101B00">
        <w:rPr>
          <w:lang w:val="fr-CH"/>
        </w:rPr>
        <w:t>’</w:t>
      </w:r>
      <w:r w:rsidRPr="00101B00">
        <w:rPr>
          <w:lang w:val="fr-CH"/>
        </w:rPr>
        <w:t>élaboration d</w:t>
      </w:r>
      <w:r w:rsidR="005F0D9B" w:rsidRPr="00101B00">
        <w:rPr>
          <w:lang w:val="fr-CH"/>
        </w:rPr>
        <w:t>’</w:t>
      </w:r>
      <w:r w:rsidRPr="00101B00">
        <w:rPr>
          <w:lang w:val="fr-CH"/>
        </w:rPr>
        <w:t>une publication mettant en exergue les activités m</w:t>
      </w:r>
      <w:r w:rsidR="00F10092" w:rsidRPr="00101B00">
        <w:rPr>
          <w:lang w:val="fr-CH"/>
        </w:rPr>
        <w:t>enées</w:t>
      </w:r>
      <w:r w:rsidRPr="00101B00">
        <w:rPr>
          <w:lang w:val="fr-CH"/>
        </w:rPr>
        <w:t xml:space="preserve"> dans la région de la CEE au titre de la Décennie d</w:t>
      </w:r>
      <w:r w:rsidR="005F0D9B" w:rsidRPr="00101B00">
        <w:rPr>
          <w:lang w:val="fr-CH"/>
        </w:rPr>
        <w:t>’</w:t>
      </w:r>
      <w:r w:rsidRPr="00101B00">
        <w:rPr>
          <w:lang w:val="fr-CH"/>
        </w:rPr>
        <w:t>action, qu</w:t>
      </w:r>
      <w:r w:rsidR="005F0D9B" w:rsidRPr="00101B00">
        <w:rPr>
          <w:lang w:val="fr-CH"/>
        </w:rPr>
        <w:t>’</w:t>
      </w:r>
      <w:r w:rsidRPr="00101B00">
        <w:rPr>
          <w:lang w:val="fr-CH"/>
        </w:rPr>
        <w:t>il pourrait présenter dans le cadre de l</w:t>
      </w:r>
      <w:r w:rsidR="005F0D9B" w:rsidRPr="00101B00">
        <w:rPr>
          <w:lang w:val="fr-CH"/>
        </w:rPr>
        <w:t>’</w:t>
      </w:r>
      <w:r w:rsidRPr="00101B00">
        <w:rPr>
          <w:lang w:val="fr-CH"/>
        </w:rPr>
        <w:t>évaluation à mi-parcours de ce programme, à l</w:t>
      </w:r>
      <w:r w:rsidR="005F0D9B" w:rsidRPr="00101B00">
        <w:rPr>
          <w:lang w:val="fr-CH"/>
        </w:rPr>
        <w:t>’</w:t>
      </w:r>
      <w:r w:rsidRPr="00101B00">
        <w:rPr>
          <w:lang w:val="fr-CH"/>
        </w:rPr>
        <w:t>occasion de la deuxième Conférence mondiale de haut</w:t>
      </w:r>
      <w:r w:rsidR="00F10092" w:rsidRPr="00101B00">
        <w:rPr>
          <w:lang w:val="fr-CH"/>
        </w:rPr>
        <w:t xml:space="preserve"> </w:t>
      </w:r>
      <w:r w:rsidRPr="00101B00">
        <w:rPr>
          <w:lang w:val="fr-CH"/>
        </w:rPr>
        <w:t xml:space="preserve">niveau sur la sécurité routière, qui devait se tenir à Brasilia </w:t>
      </w:r>
      <w:r w:rsidR="00F10092" w:rsidRPr="00101B00">
        <w:rPr>
          <w:lang w:val="fr-CH"/>
        </w:rPr>
        <w:t>les 18 et 19 </w:t>
      </w:r>
      <w:r w:rsidRPr="00101B00">
        <w:rPr>
          <w:lang w:val="fr-CH"/>
        </w:rPr>
        <w:t>novembre 2015. Cette publication serait établie sur la base du document ECE/TRANS/2015/13.</w:t>
      </w:r>
    </w:p>
    <w:p w:rsidR="00554873" w:rsidRPr="00101B00" w:rsidRDefault="00554873" w:rsidP="00D16BB1">
      <w:pPr>
        <w:pStyle w:val="SingleTxt"/>
        <w:numPr>
          <w:ilvl w:val="0"/>
          <w:numId w:val="7"/>
        </w:numPr>
        <w:tabs>
          <w:tab w:val="clear" w:pos="475"/>
          <w:tab w:val="num" w:pos="1742"/>
        </w:tabs>
        <w:ind w:left="1267"/>
        <w:rPr>
          <w:lang w:val="fr-CH"/>
        </w:rPr>
      </w:pPr>
      <w:r w:rsidRPr="00101B00">
        <w:rPr>
          <w:lang w:val="fr-CH"/>
        </w:rPr>
        <w:t xml:space="preserve">Le Comité a </w:t>
      </w:r>
      <w:r w:rsidRPr="00101B00">
        <w:rPr>
          <w:b/>
          <w:lang w:val="fr-CH"/>
        </w:rPr>
        <w:t>pris acte</w:t>
      </w:r>
      <w:r w:rsidRPr="00101B00">
        <w:rPr>
          <w:lang w:val="fr-CH"/>
        </w:rPr>
        <w:t xml:space="preserve"> de la proposition d</w:t>
      </w:r>
      <w:r w:rsidR="005F0D9B" w:rsidRPr="00101B00">
        <w:rPr>
          <w:lang w:val="fr-CH"/>
        </w:rPr>
        <w:t>’</w:t>
      </w:r>
      <w:r w:rsidRPr="00101B00">
        <w:rPr>
          <w:lang w:val="fr-CH"/>
        </w:rPr>
        <w:t xml:space="preserve">amendement à la Convention sur la circulation routière de 1968 présentée par le WP.1 </w:t>
      </w:r>
      <w:r w:rsidR="00F10092" w:rsidRPr="00101B00">
        <w:rPr>
          <w:lang w:val="fr-CH"/>
        </w:rPr>
        <w:t xml:space="preserve">et </w:t>
      </w:r>
      <w:r w:rsidRPr="00101B00">
        <w:rPr>
          <w:lang w:val="fr-CH"/>
        </w:rPr>
        <w:t>concernant les systèmes d</w:t>
      </w:r>
      <w:r w:rsidR="005F0D9B" w:rsidRPr="00101B00">
        <w:rPr>
          <w:lang w:val="fr-CH"/>
        </w:rPr>
        <w:t>’</w:t>
      </w:r>
      <w:r w:rsidRPr="00101B00">
        <w:rPr>
          <w:lang w:val="fr-CH"/>
        </w:rPr>
        <w:t>aide à la conduite et les plaques d</w:t>
      </w:r>
      <w:r w:rsidR="005F0D9B" w:rsidRPr="00101B00">
        <w:rPr>
          <w:lang w:val="fr-CH"/>
        </w:rPr>
        <w:t>’</w:t>
      </w:r>
      <w:r w:rsidRPr="00101B00">
        <w:rPr>
          <w:lang w:val="fr-CH"/>
        </w:rPr>
        <w:t>immatriculation. Le secrétariat évoquera également l</w:t>
      </w:r>
      <w:r w:rsidR="005F0D9B" w:rsidRPr="00101B00">
        <w:rPr>
          <w:lang w:val="fr-CH"/>
        </w:rPr>
        <w:t>’</w:t>
      </w:r>
      <w:r w:rsidRPr="00101B00">
        <w:rPr>
          <w:lang w:val="fr-CH"/>
        </w:rPr>
        <w:t>incompatibilité apparente entre les catégories de permis d</w:t>
      </w:r>
      <w:r w:rsidR="00F10092" w:rsidRPr="00101B00">
        <w:rPr>
          <w:lang w:val="fr-CH"/>
        </w:rPr>
        <w:t>e conduire définies aux annexes </w:t>
      </w:r>
      <w:r w:rsidRPr="00101B00">
        <w:rPr>
          <w:lang w:val="fr-CH"/>
        </w:rPr>
        <w:t>6 et 7 de la Convention de 1968 sur la circulation routière (en ce qui concerne les permis de conduire nationaux et internationaux) et celles définies dans la Directive de l</w:t>
      </w:r>
      <w:r w:rsidR="005F0D9B" w:rsidRPr="00101B00">
        <w:rPr>
          <w:lang w:val="fr-CH"/>
        </w:rPr>
        <w:t>’</w:t>
      </w:r>
      <w:r w:rsidRPr="00101B00">
        <w:rPr>
          <w:lang w:val="fr-CH"/>
        </w:rPr>
        <w:t xml:space="preserve">Union européenne sur les permis de conduire (2006/126/CE). Le Comité a </w:t>
      </w:r>
      <w:r w:rsidRPr="00101B00">
        <w:rPr>
          <w:b/>
          <w:lang w:val="fr-CH"/>
        </w:rPr>
        <w:t>été informé</w:t>
      </w:r>
      <w:r w:rsidRPr="00101B00">
        <w:rPr>
          <w:lang w:val="fr-CH"/>
        </w:rPr>
        <w:t xml:space="preserve"> d</w:t>
      </w:r>
      <w:r w:rsidR="005F0D9B" w:rsidRPr="00101B00">
        <w:rPr>
          <w:lang w:val="fr-CH"/>
        </w:rPr>
        <w:t>’</w:t>
      </w:r>
      <w:r w:rsidRPr="00101B00">
        <w:rPr>
          <w:lang w:val="fr-CH"/>
        </w:rPr>
        <w:t>une proposition approuvée par le WP.1 concernant les « liens de correspondance », qui permettra la délivrance de permis de conduire internationaux.</w:t>
      </w:r>
    </w:p>
    <w:p w:rsidR="00554873" w:rsidRPr="00101B00" w:rsidRDefault="00554873" w:rsidP="00F10092">
      <w:pPr>
        <w:pStyle w:val="SingleTxt"/>
        <w:numPr>
          <w:ilvl w:val="0"/>
          <w:numId w:val="7"/>
        </w:numPr>
        <w:tabs>
          <w:tab w:val="clear" w:pos="475"/>
          <w:tab w:val="num" w:pos="1742"/>
        </w:tabs>
        <w:ind w:left="1267"/>
        <w:rPr>
          <w:lang w:val="fr-CH"/>
        </w:rPr>
      </w:pPr>
      <w:r w:rsidRPr="00101B00">
        <w:rPr>
          <w:lang w:val="fr-CH"/>
        </w:rPr>
        <w:t>Le secrétariat a informé le Comité des travaux et réalisations de deux groupes d</w:t>
      </w:r>
      <w:r w:rsidR="005F0D9B" w:rsidRPr="00101B00">
        <w:rPr>
          <w:lang w:val="fr-CH"/>
        </w:rPr>
        <w:t>’</w:t>
      </w:r>
      <w:r w:rsidRPr="00101B00">
        <w:rPr>
          <w:lang w:val="fr-CH"/>
        </w:rPr>
        <w:t xml:space="preserve">experts, à savoir celui de la signalisation routière et celui pour le renforcement de la sécurité aux passages à niveau. À des fins de sensibilisation, le Comité a </w:t>
      </w:r>
      <w:r w:rsidRPr="000E1762">
        <w:rPr>
          <w:bCs/>
          <w:lang w:val="fr-CH"/>
        </w:rPr>
        <w:t>été</w:t>
      </w:r>
      <w:r w:rsidRPr="00101B00">
        <w:rPr>
          <w:b/>
          <w:lang w:val="fr-CH"/>
        </w:rPr>
        <w:t xml:space="preserve"> </w:t>
      </w:r>
      <w:r w:rsidRPr="000E1762">
        <w:rPr>
          <w:b/>
          <w:lang w:val="fr-CH"/>
        </w:rPr>
        <w:t>invité à visionner</w:t>
      </w:r>
      <w:r w:rsidRPr="00101B00">
        <w:rPr>
          <w:lang w:val="fr-CH"/>
        </w:rPr>
        <w:t xml:space="preserve"> un court</w:t>
      </w:r>
      <w:r w:rsidR="00F10092" w:rsidRPr="00101B00">
        <w:rPr>
          <w:lang w:val="fr-CH"/>
        </w:rPr>
        <w:t xml:space="preserve"> </w:t>
      </w:r>
      <w:r w:rsidRPr="00101B00">
        <w:rPr>
          <w:lang w:val="fr-CH"/>
        </w:rPr>
        <w:t>métrage sur la sécurité aux passages à niveau réalisé par la Division des transports de la CEE en partenariat avec l</w:t>
      </w:r>
      <w:r w:rsidR="005F0D9B" w:rsidRPr="00101B00">
        <w:rPr>
          <w:lang w:val="fr-CH"/>
        </w:rPr>
        <w:t>’</w:t>
      </w:r>
      <w:r w:rsidRPr="00101B00">
        <w:rPr>
          <w:lang w:val="fr-CH"/>
        </w:rPr>
        <w:t xml:space="preserve">Office fédéral </w:t>
      </w:r>
      <w:r w:rsidR="00F10092" w:rsidRPr="00101B00">
        <w:rPr>
          <w:lang w:val="fr-CH"/>
        </w:rPr>
        <w:t xml:space="preserve">suisse </w:t>
      </w:r>
      <w:r w:rsidRPr="00101B00">
        <w:rPr>
          <w:lang w:val="fr-CH"/>
        </w:rPr>
        <w:t>des transports et l</w:t>
      </w:r>
      <w:r w:rsidR="005F0D9B" w:rsidRPr="00101B00">
        <w:rPr>
          <w:lang w:val="fr-CH"/>
        </w:rPr>
        <w:t>’</w:t>
      </w:r>
      <w:r w:rsidRPr="00101B00">
        <w:rPr>
          <w:lang w:val="fr-CH"/>
        </w:rPr>
        <w:t>Union internationale des chemins de fer. Le film mettait en avant les dangers existants et proposait d</w:t>
      </w:r>
      <w:r w:rsidR="005F0D9B" w:rsidRPr="00101B00">
        <w:rPr>
          <w:lang w:val="fr-CH"/>
        </w:rPr>
        <w:t>’</w:t>
      </w:r>
      <w:r w:rsidRPr="00101B00">
        <w:rPr>
          <w:lang w:val="fr-CH"/>
        </w:rPr>
        <w:t>éventuelles solutions.</w:t>
      </w:r>
    </w:p>
    <w:p w:rsidR="00554873" w:rsidRPr="00101B00" w:rsidRDefault="00554873" w:rsidP="00D16BB1">
      <w:pPr>
        <w:pStyle w:val="SingleTxt"/>
        <w:numPr>
          <w:ilvl w:val="0"/>
          <w:numId w:val="7"/>
        </w:numPr>
        <w:tabs>
          <w:tab w:val="clear" w:pos="475"/>
          <w:tab w:val="num" w:pos="1742"/>
        </w:tabs>
        <w:ind w:left="1267"/>
        <w:rPr>
          <w:lang w:val="fr-CH"/>
        </w:rPr>
      </w:pPr>
      <w:r w:rsidRPr="00101B00">
        <w:rPr>
          <w:lang w:val="fr-CH"/>
        </w:rPr>
        <w:lastRenderedPageBreak/>
        <w:t xml:space="preserve">Le Comité a </w:t>
      </w:r>
      <w:r w:rsidRPr="00101B00">
        <w:rPr>
          <w:b/>
          <w:lang w:val="fr-CH"/>
        </w:rPr>
        <w:t>exhorté</w:t>
      </w:r>
      <w:r w:rsidRPr="00101B00">
        <w:rPr>
          <w:lang w:val="fr-CH"/>
        </w:rPr>
        <w:t xml:space="preserve"> les Parties contractantes qui ne l</w:t>
      </w:r>
      <w:r w:rsidR="005F0D9B" w:rsidRPr="00101B00">
        <w:rPr>
          <w:lang w:val="fr-CH"/>
        </w:rPr>
        <w:t>’</w:t>
      </w:r>
      <w:r w:rsidRPr="00101B00">
        <w:rPr>
          <w:lang w:val="fr-CH"/>
        </w:rPr>
        <w:t>avaient pas encore fait à actualiser leur base de données sur la signalisation routière pour permettre au Groupe d</w:t>
      </w:r>
      <w:r w:rsidR="005F0D9B" w:rsidRPr="00101B00">
        <w:rPr>
          <w:lang w:val="fr-CH"/>
        </w:rPr>
        <w:t>’</w:t>
      </w:r>
      <w:r w:rsidRPr="00101B00">
        <w:rPr>
          <w:lang w:val="fr-CH"/>
        </w:rPr>
        <w:t>experts de la signalisation routière de poursuivre ses activités dans des conditions optimales.</w:t>
      </w:r>
    </w:p>
    <w:p w:rsidR="00554873" w:rsidRPr="00101B00" w:rsidRDefault="00554873" w:rsidP="00D16BB1">
      <w:pPr>
        <w:pStyle w:val="SingleTxt"/>
        <w:numPr>
          <w:ilvl w:val="0"/>
          <w:numId w:val="7"/>
        </w:numPr>
        <w:tabs>
          <w:tab w:val="clear" w:pos="475"/>
          <w:tab w:val="num" w:pos="1742"/>
        </w:tabs>
        <w:ind w:left="1267"/>
        <w:rPr>
          <w:lang w:val="fr-CH"/>
        </w:rPr>
      </w:pPr>
      <w:r w:rsidRPr="00101B00">
        <w:rPr>
          <w:lang w:val="fr-CH"/>
        </w:rPr>
        <w:t>À sa soixante-seizième session, le Comité avait demandé qu</w:t>
      </w:r>
      <w:r w:rsidR="005F0D9B" w:rsidRPr="00101B00">
        <w:rPr>
          <w:lang w:val="fr-CH"/>
        </w:rPr>
        <w:t>’</w:t>
      </w:r>
      <w:r w:rsidRPr="00101B00">
        <w:rPr>
          <w:lang w:val="fr-CH"/>
        </w:rPr>
        <w:t>une « Journée des traités sur la sécurité routière » soit organisée par la Division des transports de la CEE, le Bureau des affaires juridiques de l</w:t>
      </w:r>
      <w:r w:rsidR="005F0D9B" w:rsidRPr="00101B00">
        <w:rPr>
          <w:lang w:val="fr-CH"/>
        </w:rPr>
        <w:t>’</w:t>
      </w:r>
      <w:r w:rsidRPr="00101B00">
        <w:rPr>
          <w:lang w:val="fr-CH"/>
        </w:rPr>
        <w:t>ONU, le Bureau des commissions régionales à New York et l</w:t>
      </w:r>
      <w:r w:rsidR="005F0D9B" w:rsidRPr="00101B00">
        <w:rPr>
          <w:lang w:val="fr-CH"/>
        </w:rPr>
        <w:t>’</w:t>
      </w:r>
      <w:r w:rsidRPr="00101B00">
        <w:rPr>
          <w:lang w:val="fr-CH"/>
        </w:rPr>
        <w:t xml:space="preserve">IRU. Le secrétariat a </w:t>
      </w:r>
      <w:r w:rsidRPr="00101B00">
        <w:rPr>
          <w:b/>
          <w:lang w:val="fr-CH"/>
        </w:rPr>
        <w:t>informé</w:t>
      </w:r>
      <w:r w:rsidRPr="00101B00">
        <w:rPr>
          <w:lang w:val="fr-CH"/>
        </w:rPr>
        <w:t xml:space="preserve"> le Comité de </w:t>
      </w:r>
      <w:r w:rsidR="00F10092" w:rsidRPr="00101B00">
        <w:rPr>
          <w:lang w:val="fr-CH"/>
        </w:rPr>
        <w:t>la manifestation organisée le 5 </w:t>
      </w:r>
      <w:r w:rsidRPr="00101B00">
        <w:rPr>
          <w:lang w:val="fr-CH"/>
        </w:rPr>
        <w:t>juin 2014 au Siège de l</w:t>
      </w:r>
      <w:r w:rsidR="005F0D9B" w:rsidRPr="00101B00">
        <w:rPr>
          <w:lang w:val="fr-CH"/>
        </w:rPr>
        <w:t>’</w:t>
      </w:r>
      <w:r w:rsidRPr="00101B00">
        <w:rPr>
          <w:lang w:val="fr-CH"/>
        </w:rPr>
        <w:t>ONU, à New York.</w:t>
      </w:r>
    </w:p>
    <w:p w:rsidR="00554873" w:rsidRPr="00101B00" w:rsidRDefault="00554873" w:rsidP="00D16BB1">
      <w:pPr>
        <w:pStyle w:val="SingleTxt"/>
        <w:numPr>
          <w:ilvl w:val="0"/>
          <w:numId w:val="7"/>
        </w:numPr>
        <w:tabs>
          <w:tab w:val="clear" w:pos="475"/>
          <w:tab w:val="num" w:pos="1742"/>
        </w:tabs>
        <w:ind w:left="1267"/>
        <w:rPr>
          <w:lang w:val="fr-CH"/>
        </w:rPr>
      </w:pPr>
      <w:r w:rsidRPr="00101B00">
        <w:rPr>
          <w:lang w:val="fr-CH"/>
        </w:rPr>
        <w:t xml:space="preserve">Le Comité a </w:t>
      </w:r>
      <w:r w:rsidRPr="00101B00">
        <w:rPr>
          <w:b/>
          <w:lang w:val="fr-CH"/>
        </w:rPr>
        <w:t>été</w:t>
      </w:r>
      <w:r w:rsidRPr="00101B00">
        <w:rPr>
          <w:lang w:val="fr-CH"/>
        </w:rPr>
        <w:t xml:space="preserve"> </w:t>
      </w:r>
      <w:r w:rsidRPr="00101B00">
        <w:rPr>
          <w:b/>
          <w:lang w:val="fr-CH"/>
        </w:rPr>
        <w:t>informé</w:t>
      </w:r>
      <w:r w:rsidRPr="00101B00">
        <w:rPr>
          <w:lang w:val="fr-CH"/>
        </w:rPr>
        <w:t xml:space="preserve"> d</w:t>
      </w:r>
      <w:r w:rsidR="005F0D9B" w:rsidRPr="00101B00">
        <w:rPr>
          <w:lang w:val="fr-CH"/>
        </w:rPr>
        <w:t>’</w:t>
      </w:r>
      <w:r w:rsidRPr="00101B00">
        <w:rPr>
          <w:lang w:val="fr-CH"/>
        </w:rPr>
        <w:t>un atelier régional de renforcement des capacités en matière de sécurité routière organisé en collaboration avec le Gouvernement serbe (Ministère du bâtiment, de la circulation et de l</w:t>
      </w:r>
      <w:r w:rsidR="005F0D9B" w:rsidRPr="00101B00">
        <w:rPr>
          <w:lang w:val="fr-CH"/>
        </w:rPr>
        <w:t>’</w:t>
      </w:r>
      <w:r w:rsidRPr="00101B00">
        <w:rPr>
          <w:lang w:val="fr-CH"/>
        </w:rPr>
        <w:t>infrastructure et Agence nationale de sécurité routière) et le Conseil de coopération régionale. La manifestation, cofinancée par le Mécanisme mondial pour la sécurité routière, s</w:t>
      </w:r>
      <w:r w:rsidR="005F0D9B" w:rsidRPr="00101B00">
        <w:rPr>
          <w:lang w:val="fr-CH"/>
        </w:rPr>
        <w:t>’</w:t>
      </w:r>
      <w:r w:rsidR="00F10092" w:rsidRPr="00101B00">
        <w:rPr>
          <w:lang w:val="fr-CH"/>
        </w:rPr>
        <w:t>était déroulée les 15 et 16 </w:t>
      </w:r>
      <w:r w:rsidRPr="00101B00">
        <w:rPr>
          <w:lang w:val="fr-CH"/>
        </w:rPr>
        <w:t>octobre 2014 à Belgrade.</w:t>
      </w:r>
    </w:p>
    <w:p w:rsidR="00554873" w:rsidRPr="00101B00" w:rsidRDefault="00554873" w:rsidP="00D16BB1">
      <w:pPr>
        <w:pStyle w:val="SingleTxt"/>
        <w:numPr>
          <w:ilvl w:val="0"/>
          <w:numId w:val="7"/>
        </w:numPr>
        <w:tabs>
          <w:tab w:val="clear" w:pos="475"/>
          <w:tab w:val="num" w:pos="1742"/>
        </w:tabs>
        <w:ind w:left="1267"/>
        <w:rPr>
          <w:lang w:val="fr-CH"/>
        </w:rPr>
      </w:pPr>
      <w:r w:rsidRPr="00101B00">
        <w:rPr>
          <w:lang w:val="fr-CH"/>
        </w:rPr>
        <w:t xml:space="preserve">Le Comité a </w:t>
      </w:r>
      <w:r w:rsidRPr="00101B00">
        <w:rPr>
          <w:b/>
          <w:lang w:val="fr-CH"/>
        </w:rPr>
        <w:t>été informé</w:t>
      </w:r>
      <w:r w:rsidRPr="00101B00">
        <w:rPr>
          <w:lang w:val="fr-CH"/>
        </w:rPr>
        <w:t xml:space="preserve"> d</w:t>
      </w:r>
      <w:r w:rsidR="005F0D9B" w:rsidRPr="00101B00">
        <w:rPr>
          <w:lang w:val="fr-CH"/>
        </w:rPr>
        <w:t>’</w:t>
      </w:r>
      <w:r w:rsidRPr="00101B00">
        <w:rPr>
          <w:lang w:val="fr-CH"/>
        </w:rPr>
        <w:t>un atelier de renforcement des capacités, d</w:t>
      </w:r>
      <w:r w:rsidR="005F0D9B" w:rsidRPr="00101B00">
        <w:rPr>
          <w:lang w:val="fr-CH"/>
        </w:rPr>
        <w:t>’</w:t>
      </w:r>
      <w:r w:rsidRPr="00101B00">
        <w:rPr>
          <w:lang w:val="fr-CH"/>
        </w:rPr>
        <w:t>une durée de deux jours, axé sur la sensibilisation des membres de la fonction publique africaine aux instruments juridiques de l</w:t>
      </w:r>
      <w:r w:rsidR="005F0D9B" w:rsidRPr="00101B00">
        <w:rPr>
          <w:lang w:val="fr-CH"/>
        </w:rPr>
        <w:t>’</w:t>
      </w:r>
      <w:r w:rsidRPr="00101B00">
        <w:rPr>
          <w:lang w:val="fr-CH"/>
        </w:rPr>
        <w:t>ONU sur la sécurité routière et aux méthodes efficaces de prévention de l</w:t>
      </w:r>
      <w:r w:rsidR="005F0D9B" w:rsidRPr="00101B00">
        <w:rPr>
          <w:lang w:val="fr-CH"/>
        </w:rPr>
        <w:t>’</w:t>
      </w:r>
      <w:r w:rsidRPr="00101B00">
        <w:rPr>
          <w:lang w:val="fr-CH"/>
        </w:rPr>
        <w:t>alcool au volant. L</w:t>
      </w:r>
      <w:r w:rsidR="005F0D9B" w:rsidRPr="00101B00">
        <w:rPr>
          <w:lang w:val="fr-CH"/>
        </w:rPr>
        <w:t>’</w:t>
      </w:r>
      <w:r w:rsidRPr="00101B00">
        <w:rPr>
          <w:lang w:val="fr-CH"/>
        </w:rPr>
        <w:t>atelier avait été organisé en collaboration avec le Centre international des politiques en matière d</w:t>
      </w:r>
      <w:r w:rsidR="005F0D9B" w:rsidRPr="00101B00">
        <w:rPr>
          <w:lang w:val="fr-CH"/>
        </w:rPr>
        <w:t>’</w:t>
      </w:r>
      <w:r w:rsidRPr="00101B00">
        <w:rPr>
          <w:lang w:val="fr-CH"/>
        </w:rPr>
        <w:t>alcool (ICAP) et généreusement accueilli par la Commission économique pour l</w:t>
      </w:r>
      <w:r w:rsidR="005F0D9B" w:rsidRPr="00101B00">
        <w:rPr>
          <w:lang w:val="fr-CH"/>
        </w:rPr>
        <w:t>’</w:t>
      </w:r>
      <w:r w:rsidR="00F10092" w:rsidRPr="00101B00">
        <w:rPr>
          <w:lang w:val="fr-CH"/>
        </w:rPr>
        <w:t>Afrique (12 et 13 </w:t>
      </w:r>
      <w:r w:rsidRPr="00101B00">
        <w:rPr>
          <w:lang w:val="fr-CH"/>
        </w:rPr>
        <w:t>novembre 2014, Addis-Abeba). Cette manifestation entrait dans le cadre de la coopération entre l</w:t>
      </w:r>
      <w:r w:rsidR="005F0D9B" w:rsidRPr="00101B00">
        <w:rPr>
          <w:lang w:val="fr-CH"/>
        </w:rPr>
        <w:t>’</w:t>
      </w:r>
      <w:r w:rsidRPr="00101B00">
        <w:rPr>
          <w:lang w:val="fr-CH"/>
        </w:rPr>
        <w:t>ICAP et la CEE sur la question des accidents de la route liés à l</w:t>
      </w:r>
      <w:r w:rsidR="005F0D9B" w:rsidRPr="00101B00">
        <w:rPr>
          <w:lang w:val="fr-CH"/>
        </w:rPr>
        <w:t>’</w:t>
      </w:r>
      <w:r w:rsidRPr="00101B00">
        <w:rPr>
          <w:lang w:val="fr-CH"/>
        </w:rPr>
        <w:t>alcool impliquant des usagers de la route vulnérables tels que les piétons, les cyclistes et les motocyclistes.</w:t>
      </w:r>
    </w:p>
    <w:p w:rsidR="00554873" w:rsidRPr="00101B00" w:rsidRDefault="00554873" w:rsidP="00F10092">
      <w:pPr>
        <w:pStyle w:val="SingleTxt"/>
        <w:numPr>
          <w:ilvl w:val="0"/>
          <w:numId w:val="7"/>
        </w:numPr>
        <w:tabs>
          <w:tab w:val="clear" w:pos="475"/>
          <w:tab w:val="num" w:pos="1742"/>
        </w:tabs>
        <w:ind w:left="1267"/>
        <w:rPr>
          <w:lang w:val="fr-CH"/>
        </w:rPr>
      </w:pPr>
      <w:r w:rsidRPr="00101B00">
        <w:rPr>
          <w:lang w:val="fr-CH"/>
        </w:rPr>
        <w:t xml:space="preserve">Le Comité a </w:t>
      </w:r>
      <w:r w:rsidRPr="00101B00">
        <w:rPr>
          <w:b/>
          <w:lang w:val="fr-CH"/>
        </w:rPr>
        <w:t>pris note</w:t>
      </w:r>
      <w:r w:rsidRPr="00101B00">
        <w:rPr>
          <w:lang w:val="fr-CH"/>
        </w:rPr>
        <w:t xml:space="preserve"> d</w:t>
      </w:r>
      <w:r w:rsidR="00F10092" w:rsidRPr="00101B00">
        <w:rPr>
          <w:lang w:val="fr-CH"/>
        </w:rPr>
        <w:t>e l’élaboration</w:t>
      </w:r>
      <w:r w:rsidRPr="00101B00">
        <w:rPr>
          <w:lang w:val="fr-CH"/>
        </w:rPr>
        <w:t xml:space="preserve"> du projet SafeFITS et a </w:t>
      </w:r>
      <w:r w:rsidRPr="00101B00">
        <w:rPr>
          <w:b/>
          <w:lang w:val="fr-CH"/>
        </w:rPr>
        <w:t>encouragé</w:t>
      </w:r>
      <w:r w:rsidRPr="00101B00">
        <w:rPr>
          <w:lang w:val="fr-CH"/>
        </w:rPr>
        <w:t xml:space="preserve"> les États membres à fournir, dans la mesure du possible, un appui à ce projet en communiquant au secrétariat des données et renseignements nationaux pertinents, et a </w:t>
      </w:r>
      <w:r w:rsidRPr="00101B00">
        <w:rPr>
          <w:b/>
          <w:lang w:val="fr-CH"/>
        </w:rPr>
        <w:t>décidé</w:t>
      </w:r>
      <w:r w:rsidRPr="00101B00">
        <w:rPr>
          <w:lang w:val="fr-CH"/>
        </w:rPr>
        <w:t xml:space="preserve"> de présenter ce projet aux organes subsidiaires intéressés (dont le WP.1, le SC.1 et le WP.29).</w:t>
      </w:r>
    </w:p>
    <w:p w:rsidR="00554873" w:rsidRPr="00101B00" w:rsidRDefault="00554873" w:rsidP="00F10092">
      <w:pPr>
        <w:pStyle w:val="SingleTxt"/>
        <w:numPr>
          <w:ilvl w:val="0"/>
          <w:numId w:val="7"/>
        </w:numPr>
        <w:tabs>
          <w:tab w:val="clear" w:pos="475"/>
          <w:tab w:val="num" w:pos="1742"/>
        </w:tabs>
        <w:ind w:left="1267"/>
        <w:rPr>
          <w:lang w:val="fr-CH"/>
        </w:rPr>
      </w:pPr>
      <w:r w:rsidRPr="00101B00">
        <w:rPr>
          <w:lang w:val="fr-CH"/>
        </w:rPr>
        <w:t xml:space="preserve">Le Comité a </w:t>
      </w:r>
      <w:r w:rsidRPr="00101B00">
        <w:rPr>
          <w:b/>
          <w:lang w:val="fr-CH"/>
        </w:rPr>
        <w:t>pris note avec satisfaction</w:t>
      </w:r>
      <w:r w:rsidRPr="00101B00">
        <w:rPr>
          <w:lang w:val="fr-CH"/>
        </w:rPr>
        <w:t xml:space="preserve"> du </w:t>
      </w:r>
      <w:r w:rsidR="00F10092" w:rsidRPr="00101B00">
        <w:rPr>
          <w:lang w:val="fr-CH"/>
        </w:rPr>
        <w:t>démarrage</w:t>
      </w:r>
      <w:r w:rsidRPr="00101B00">
        <w:rPr>
          <w:lang w:val="fr-CH"/>
        </w:rPr>
        <w:t xml:space="preserve"> imminent d</w:t>
      </w:r>
      <w:r w:rsidR="005F0D9B" w:rsidRPr="00101B00">
        <w:rPr>
          <w:lang w:val="fr-CH"/>
        </w:rPr>
        <w:t>’</w:t>
      </w:r>
      <w:r w:rsidRPr="00101B00">
        <w:rPr>
          <w:lang w:val="fr-CH"/>
        </w:rPr>
        <w:t xml:space="preserve">un nouveau projet </w:t>
      </w:r>
      <w:r w:rsidR="00F10092" w:rsidRPr="00101B00">
        <w:rPr>
          <w:lang w:val="fr-CH"/>
        </w:rPr>
        <w:t xml:space="preserve">concernant </w:t>
      </w:r>
      <w:r w:rsidRPr="00101B00">
        <w:rPr>
          <w:lang w:val="fr-CH"/>
        </w:rPr>
        <w:t xml:space="preserve">la sécurité routière </w:t>
      </w:r>
      <w:r w:rsidR="00F10092" w:rsidRPr="00101B00">
        <w:rPr>
          <w:lang w:val="fr-CH"/>
        </w:rPr>
        <w:t xml:space="preserve">et </w:t>
      </w:r>
      <w:r w:rsidRPr="00101B00">
        <w:rPr>
          <w:lang w:val="fr-CH"/>
        </w:rPr>
        <w:t xml:space="preserve">financé par le Compte </w:t>
      </w:r>
      <w:r w:rsidR="00F10092" w:rsidRPr="00101B00">
        <w:rPr>
          <w:lang w:val="fr-CH"/>
        </w:rPr>
        <w:t xml:space="preserve">de l’ONU </w:t>
      </w:r>
      <w:r w:rsidRPr="00101B00">
        <w:rPr>
          <w:lang w:val="fr-CH"/>
        </w:rPr>
        <w:t>pour le développement; il s</w:t>
      </w:r>
      <w:r w:rsidR="005F0D9B" w:rsidRPr="00101B00">
        <w:rPr>
          <w:lang w:val="fr-CH"/>
        </w:rPr>
        <w:t>’</w:t>
      </w:r>
      <w:r w:rsidRPr="00101B00">
        <w:rPr>
          <w:lang w:val="fr-CH"/>
        </w:rPr>
        <w:t xml:space="preserve">est toutefois </w:t>
      </w:r>
      <w:r w:rsidRPr="00101B00">
        <w:rPr>
          <w:b/>
          <w:lang w:val="fr-CH"/>
        </w:rPr>
        <w:t>dit</w:t>
      </w:r>
      <w:r w:rsidRPr="00101B00">
        <w:rPr>
          <w:lang w:val="fr-CH"/>
        </w:rPr>
        <w:t xml:space="preserve"> </w:t>
      </w:r>
      <w:r w:rsidRPr="00101B00">
        <w:rPr>
          <w:b/>
          <w:lang w:val="fr-CH"/>
        </w:rPr>
        <w:t>déçu</w:t>
      </w:r>
      <w:r w:rsidRPr="00101B00">
        <w:rPr>
          <w:lang w:val="fr-CH"/>
        </w:rPr>
        <w:t xml:space="preserve"> de la quantité limitée des ressources financières allouées à l</w:t>
      </w:r>
      <w:r w:rsidR="005F0D9B" w:rsidRPr="00101B00">
        <w:rPr>
          <w:lang w:val="fr-CH"/>
        </w:rPr>
        <w:t>’</w:t>
      </w:r>
      <w:r w:rsidRPr="00101B00">
        <w:rPr>
          <w:lang w:val="fr-CH"/>
        </w:rPr>
        <w:t xml:space="preserve">amélioration de la sécurité routière dans quatre pays, et a </w:t>
      </w:r>
      <w:r w:rsidRPr="00101B00">
        <w:rPr>
          <w:b/>
          <w:lang w:val="fr-CH"/>
        </w:rPr>
        <w:t>invité</w:t>
      </w:r>
      <w:r w:rsidRPr="00101B00">
        <w:rPr>
          <w:lang w:val="fr-CH"/>
        </w:rPr>
        <w:t xml:space="preserve"> les gouvernements et les autres parties concerné</w:t>
      </w:r>
      <w:r w:rsidR="00F10092" w:rsidRPr="00101B00">
        <w:rPr>
          <w:lang w:val="fr-CH"/>
        </w:rPr>
        <w:t>e</w:t>
      </w:r>
      <w:r w:rsidRPr="00101B00">
        <w:rPr>
          <w:lang w:val="fr-CH"/>
        </w:rPr>
        <w:t xml:space="preserve">s à </w:t>
      </w:r>
      <w:r w:rsidR="00F10092" w:rsidRPr="00101B00">
        <w:rPr>
          <w:lang w:val="fr-CH"/>
        </w:rPr>
        <w:t xml:space="preserve">financer </w:t>
      </w:r>
      <w:r w:rsidRPr="00101B00">
        <w:rPr>
          <w:lang w:val="fr-CH"/>
        </w:rPr>
        <w:t xml:space="preserve">la </w:t>
      </w:r>
      <w:r w:rsidR="00F10092" w:rsidRPr="00101B00">
        <w:rPr>
          <w:lang w:val="fr-CH"/>
        </w:rPr>
        <w:t xml:space="preserve">réalisation </w:t>
      </w:r>
      <w:r w:rsidRPr="00101B00">
        <w:rPr>
          <w:lang w:val="fr-CH"/>
        </w:rPr>
        <w:t>d</w:t>
      </w:r>
      <w:r w:rsidR="005F0D9B" w:rsidRPr="00101B00">
        <w:rPr>
          <w:lang w:val="fr-CH"/>
        </w:rPr>
        <w:t>’</w:t>
      </w:r>
      <w:r w:rsidRPr="00101B00">
        <w:rPr>
          <w:lang w:val="fr-CH"/>
        </w:rPr>
        <w:t>analyses approfondies susceptibles de servir de base à des mesures de politique générale.</w:t>
      </w:r>
    </w:p>
    <w:p w:rsidR="00554873" w:rsidRPr="00101B00" w:rsidRDefault="00554873" w:rsidP="00D16BB1">
      <w:pPr>
        <w:pStyle w:val="SingleTxt"/>
        <w:numPr>
          <w:ilvl w:val="0"/>
          <w:numId w:val="7"/>
        </w:numPr>
        <w:tabs>
          <w:tab w:val="clear" w:pos="475"/>
          <w:tab w:val="num" w:pos="1742"/>
        </w:tabs>
        <w:ind w:left="1267"/>
        <w:rPr>
          <w:lang w:val="fr-CH"/>
        </w:rPr>
      </w:pPr>
      <w:r w:rsidRPr="00101B00">
        <w:rPr>
          <w:lang w:val="fr-CH"/>
        </w:rPr>
        <w:t xml:space="preserve">Le Comité a </w:t>
      </w:r>
      <w:r w:rsidRPr="00101B00">
        <w:rPr>
          <w:b/>
          <w:lang w:val="fr-CH"/>
        </w:rPr>
        <w:t>invité</w:t>
      </w:r>
      <w:r w:rsidRPr="00101B00">
        <w:rPr>
          <w:lang w:val="fr-CH"/>
        </w:rPr>
        <w:t xml:space="preserve"> les États membres à échanger des renseignements sur leurs stratégies de sécurité routière.</w:t>
      </w:r>
    </w:p>
    <w:p w:rsidR="00554873" w:rsidRPr="00101B00" w:rsidRDefault="00554873" w:rsidP="00D16BB1">
      <w:pPr>
        <w:pStyle w:val="SingleTxt"/>
        <w:numPr>
          <w:ilvl w:val="0"/>
          <w:numId w:val="7"/>
        </w:numPr>
        <w:tabs>
          <w:tab w:val="clear" w:pos="475"/>
          <w:tab w:val="num" w:pos="1742"/>
        </w:tabs>
        <w:ind w:left="1267"/>
        <w:rPr>
          <w:lang w:val="fr-CH"/>
        </w:rPr>
      </w:pPr>
      <w:r w:rsidRPr="00101B00">
        <w:rPr>
          <w:lang w:val="fr-CH"/>
        </w:rPr>
        <w:t xml:space="preserve">Le Comité a </w:t>
      </w:r>
      <w:r w:rsidRPr="00101B00">
        <w:rPr>
          <w:b/>
          <w:lang w:val="fr-CH"/>
        </w:rPr>
        <w:t>encouragé</w:t>
      </w:r>
      <w:r w:rsidRPr="00101B00">
        <w:rPr>
          <w:lang w:val="fr-CH"/>
        </w:rPr>
        <w:t xml:space="preserve"> les gouvernements et les autres parties prenantes à étendre leur participation aux activités de la CEE afin de contribuer à la réalisation des objectifs de la Décennie d</w:t>
      </w:r>
      <w:r w:rsidR="005F0D9B" w:rsidRPr="00101B00">
        <w:rPr>
          <w:lang w:val="fr-CH"/>
        </w:rPr>
        <w:t>’</w:t>
      </w:r>
      <w:r w:rsidRPr="00101B00">
        <w:rPr>
          <w:lang w:val="fr-CH"/>
        </w:rPr>
        <w:t xml:space="preserve">action des Nations Unies pour la sécurité routière et a </w:t>
      </w:r>
      <w:r w:rsidRPr="00101B00">
        <w:rPr>
          <w:b/>
          <w:lang w:val="fr-CH"/>
        </w:rPr>
        <w:t>invité</w:t>
      </w:r>
      <w:r w:rsidRPr="00101B00">
        <w:rPr>
          <w:lang w:val="fr-CH"/>
        </w:rPr>
        <w:t xml:space="preserve"> les gouvernements et les autres donateurs à contribuer à la mise en œuvre du Plan d</w:t>
      </w:r>
      <w:r w:rsidR="005F0D9B" w:rsidRPr="00101B00">
        <w:rPr>
          <w:lang w:val="fr-CH"/>
        </w:rPr>
        <w:t>’</w:t>
      </w:r>
      <w:r w:rsidRPr="00101B00">
        <w:rPr>
          <w:lang w:val="fr-CH"/>
        </w:rPr>
        <w:t>action de la CEE pour la sécurité routière.</w:t>
      </w:r>
    </w:p>
    <w:p w:rsidR="004F173B" w:rsidRPr="00101B00" w:rsidRDefault="004F173B" w:rsidP="004F173B">
      <w:pPr>
        <w:pStyle w:val="SingleTxt"/>
        <w:spacing w:after="0" w:line="120" w:lineRule="exact"/>
        <w:rPr>
          <w:sz w:val="10"/>
          <w:lang w:val="fr-CH"/>
        </w:rPr>
      </w:pPr>
    </w:p>
    <w:p w:rsidR="004F173B" w:rsidRPr="00101B00" w:rsidRDefault="004F173B" w:rsidP="004F173B">
      <w:pPr>
        <w:pStyle w:val="SingleTxt"/>
        <w:spacing w:after="0" w:line="120" w:lineRule="exact"/>
        <w:rPr>
          <w:sz w:val="10"/>
          <w:lang w:val="fr-CH"/>
        </w:rPr>
      </w:pPr>
    </w:p>
    <w:p w:rsidR="00554873" w:rsidRPr="00101B00" w:rsidRDefault="00554873" w:rsidP="004F17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1B00">
        <w:rPr>
          <w:lang w:val="fr-CH"/>
        </w:rPr>
        <w:tab/>
        <w:t>D.</w:t>
      </w:r>
      <w:r w:rsidRPr="00101B00">
        <w:rPr>
          <w:lang w:val="fr-CH"/>
        </w:rPr>
        <w:tab/>
        <w:t>Transport routier</w:t>
      </w:r>
    </w:p>
    <w:p w:rsidR="004F173B" w:rsidRPr="00101B00" w:rsidRDefault="004F173B" w:rsidP="004F173B">
      <w:pPr>
        <w:pStyle w:val="SingleTxt"/>
        <w:spacing w:after="0" w:line="120" w:lineRule="exact"/>
        <w:rPr>
          <w:i/>
          <w:sz w:val="10"/>
          <w:lang w:val="fr-CH"/>
        </w:rPr>
      </w:pPr>
    </w:p>
    <w:p w:rsidR="004F173B" w:rsidRPr="00101B00" w:rsidRDefault="004F173B" w:rsidP="004F173B">
      <w:pPr>
        <w:pStyle w:val="SingleTxt"/>
        <w:spacing w:after="0" w:line="120" w:lineRule="exact"/>
        <w:rPr>
          <w:i/>
          <w:sz w:val="10"/>
          <w:lang w:val="fr-CH"/>
        </w:rPr>
      </w:pPr>
    </w:p>
    <w:p w:rsidR="00554873" w:rsidRPr="00101B00" w:rsidRDefault="004F173B" w:rsidP="004F173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i w:val="0"/>
          <w:iCs/>
          <w:lang w:val="fr-CH"/>
        </w:rPr>
      </w:pPr>
      <w:r w:rsidRPr="00101B00">
        <w:rPr>
          <w:lang w:val="fr-CH"/>
        </w:rPr>
        <w:tab/>
      </w:r>
      <w:r w:rsidRPr="00101B00">
        <w:rPr>
          <w:lang w:val="fr-CH"/>
        </w:rPr>
        <w:tab/>
      </w:r>
      <w:r w:rsidR="00554873" w:rsidRPr="00101B00">
        <w:rPr>
          <w:lang w:val="fr-CH"/>
        </w:rPr>
        <w:t>Document</w:t>
      </w:r>
      <w:r w:rsidR="005F0D9B" w:rsidRPr="00101B00">
        <w:rPr>
          <w:lang w:val="fr-CH"/>
        </w:rPr>
        <w:t> </w:t>
      </w:r>
      <w:r w:rsidR="005F0D9B" w:rsidRPr="00101B00">
        <w:rPr>
          <w:i w:val="0"/>
          <w:iCs/>
          <w:lang w:val="fr-CH"/>
        </w:rPr>
        <w:t>:</w:t>
      </w:r>
      <w:r w:rsidRPr="00101B00">
        <w:rPr>
          <w:i w:val="0"/>
          <w:iCs/>
          <w:lang w:val="fr-CH"/>
        </w:rPr>
        <w:tab/>
      </w:r>
      <w:r w:rsidR="00554873" w:rsidRPr="00101B00">
        <w:rPr>
          <w:i w:val="0"/>
          <w:iCs/>
          <w:lang w:val="fr-CH"/>
        </w:rPr>
        <w:t>ECE/TRANS/2015/14.</w:t>
      </w:r>
    </w:p>
    <w:p w:rsidR="004F173B" w:rsidRPr="00101B00" w:rsidRDefault="004F173B" w:rsidP="004F173B">
      <w:pPr>
        <w:pStyle w:val="SingleTxt"/>
        <w:spacing w:after="0" w:line="120" w:lineRule="exact"/>
        <w:rPr>
          <w:sz w:val="10"/>
          <w:lang w:val="fr-CH"/>
        </w:rPr>
      </w:pPr>
    </w:p>
    <w:p w:rsidR="00554873" w:rsidRPr="00101B00" w:rsidRDefault="00554873" w:rsidP="00F10092">
      <w:pPr>
        <w:pStyle w:val="SingleTxt"/>
        <w:numPr>
          <w:ilvl w:val="0"/>
          <w:numId w:val="7"/>
        </w:numPr>
        <w:tabs>
          <w:tab w:val="clear" w:pos="475"/>
          <w:tab w:val="num" w:pos="1742"/>
        </w:tabs>
        <w:ind w:left="1267"/>
        <w:rPr>
          <w:lang w:val="fr-CH"/>
        </w:rPr>
      </w:pPr>
      <w:r w:rsidRPr="00101B00">
        <w:rPr>
          <w:lang w:val="fr-CH"/>
        </w:rPr>
        <w:t xml:space="preserve">Le Comité a </w:t>
      </w:r>
      <w:r w:rsidRPr="00101B00">
        <w:rPr>
          <w:b/>
          <w:lang w:val="fr-CH"/>
        </w:rPr>
        <w:t>pris note</w:t>
      </w:r>
      <w:r w:rsidRPr="00101B00">
        <w:rPr>
          <w:lang w:val="fr-CH"/>
        </w:rPr>
        <w:t xml:space="preserve"> des résultats des travaux du Groupe d</w:t>
      </w:r>
      <w:r w:rsidR="005F0D9B" w:rsidRPr="00101B00">
        <w:rPr>
          <w:lang w:val="fr-CH"/>
        </w:rPr>
        <w:t>’</w:t>
      </w:r>
      <w:r w:rsidRPr="00101B00">
        <w:rPr>
          <w:lang w:val="fr-CH"/>
        </w:rPr>
        <w:t>experts de l</w:t>
      </w:r>
      <w:r w:rsidR="005F0D9B" w:rsidRPr="00101B00">
        <w:rPr>
          <w:lang w:val="fr-CH"/>
        </w:rPr>
        <w:t>’</w:t>
      </w:r>
      <w:r w:rsidRPr="00101B00">
        <w:rPr>
          <w:lang w:val="fr-CH"/>
        </w:rPr>
        <w:t xml:space="preserve">Accord européen relatif au travail des équipages des véhicules effectuant des transports internationaux par route (AETR). Il a, notamment, </w:t>
      </w:r>
      <w:r w:rsidRPr="00101B00">
        <w:rPr>
          <w:b/>
          <w:lang w:val="fr-CH"/>
        </w:rPr>
        <w:t>été informé</w:t>
      </w:r>
      <w:r w:rsidRPr="00101B00">
        <w:rPr>
          <w:lang w:val="fr-CH"/>
        </w:rPr>
        <w:t xml:space="preserve"> de l</w:t>
      </w:r>
      <w:r w:rsidR="005F0D9B" w:rsidRPr="00101B00">
        <w:rPr>
          <w:lang w:val="fr-CH"/>
        </w:rPr>
        <w:t>’</w:t>
      </w:r>
      <w:r w:rsidRPr="00101B00">
        <w:rPr>
          <w:lang w:val="fr-CH"/>
        </w:rPr>
        <w:t xml:space="preserve">adoption par le </w:t>
      </w:r>
      <w:r w:rsidRPr="00101B00">
        <w:rPr>
          <w:lang w:val="fr-CH"/>
        </w:rPr>
        <w:lastRenderedPageBreak/>
        <w:t>Groupe de travail des transports routiers (SC.1) (28</w:t>
      </w:r>
      <w:r w:rsidR="00F10092" w:rsidRPr="00101B00">
        <w:rPr>
          <w:lang w:val="fr-CH"/>
        </w:rPr>
        <w:t xml:space="preserve"> et </w:t>
      </w:r>
      <w:r w:rsidRPr="00101B00">
        <w:rPr>
          <w:lang w:val="fr-CH"/>
        </w:rPr>
        <w:t>29</w:t>
      </w:r>
      <w:r w:rsidR="00F10092" w:rsidRPr="00101B00">
        <w:rPr>
          <w:lang w:val="fr-CH"/>
        </w:rPr>
        <w:t> </w:t>
      </w:r>
      <w:r w:rsidRPr="00101B00">
        <w:rPr>
          <w:lang w:val="fr-CH"/>
        </w:rPr>
        <w:t>octobre 2014) du rapport de ce groupe d</w:t>
      </w:r>
      <w:r w:rsidR="005F0D9B" w:rsidRPr="00101B00">
        <w:rPr>
          <w:lang w:val="fr-CH"/>
        </w:rPr>
        <w:t>’</w:t>
      </w:r>
      <w:r w:rsidRPr="00101B00">
        <w:rPr>
          <w:lang w:val="fr-CH"/>
        </w:rPr>
        <w:t xml:space="preserve">experts sur ses activités et réalisations (ECE/TRANS/2015/14). Le Comité a également </w:t>
      </w:r>
      <w:r w:rsidRPr="00101B00">
        <w:rPr>
          <w:b/>
          <w:lang w:val="fr-CH"/>
        </w:rPr>
        <w:t>été informé</w:t>
      </w:r>
      <w:r w:rsidRPr="00101B00">
        <w:rPr>
          <w:lang w:val="fr-CH"/>
        </w:rPr>
        <w:t xml:space="preserve"> de la recommandation faite </w:t>
      </w:r>
      <w:r w:rsidR="00F10092" w:rsidRPr="00101B00">
        <w:rPr>
          <w:lang w:val="fr-CH"/>
        </w:rPr>
        <w:t xml:space="preserve">du </w:t>
      </w:r>
      <w:r w:rsidRPr="00101B00">
        <w:rPr>
          <w:lang w:val="fr-CH"/>
        </w:rPr>
        <w:t xml:space="preserve">SC.1 </w:t>
      </w:r>
      <w:r w:rsidR="00F10092" w:rsidRPr="00101B00">
        <w:rPr>
          <w:lang w:val="fr-CH"/>
        </w:rPr>
        <w:t xml:space="preserve">tendant </w:t>
      </w:r>
      <w:r w:rsidRPr="00101B00">
        <w:rPr>
          <w:lang w:val="fr-CH"/>
        </w:rPr>
        <w:t>à proroger le mandat du Groupe d</w:t>
      </w:r>
      <w:r w:rsidR="005F0D9B" w:rsidRPr="00101B00">
        <w:rPr>
          <w:lang w:val="fr-CH"/>
        </w:rPr>
        <w:t>’</w:t>
      </w:r>
      <w:r w:rsidRPr="00101B00">
        <w:rPr>
          <w:lang w:val="fr-CH"/>
        </w:rPr>
        <w:t>experts de l</w:t>
      </w:r>
      <w:r w:rsidR="005F0D9B" w:rsidRPr="00101B00">
        <w:rPr>
          <w:lang w:val="fr-CH"/>
        </w:rPr>
        <w:t>’</w:t>
      </w:r>
      <w:r w:rsidRPr="00101B00">
        <w:rPr>
          <w:lang w:val="fr-CH"/>
        </w:rPr>
        <w:t>AETR jusqu</w:t>
      </w:r>
      <w:r w:rsidR="005F0D9B" w:rsidRPr="00101B00">
        <w:rPr>
          <w:lang w:val="fr-CH"/>
        </w:rPr>
        <w:t>’</w:t>
      </w:r>
      <w:r w:rsidR="00F10092" w:rsidRPr="00101B00">
        <w:rPr>
          <w:lang w:val="fr-CH"/>
        </w:rPr>
        <w:t xml:space="preserve">au mois de juin </w:t>
      </w:r>
      <w:r w:rsidRPr="00101B00">
        <w:rPr>
          <w:lang w:val="fr-CH"/>
        </w:rPr>
        <w:t>2017. Conformément au document ECE/EX/2/Rev.1, le Comité a procédé à l</w:t>
      </w:r>
      <w:r w:rsidR="005F0D9B" w:rsidRPr="00101B00">
        <w:rPr>
          <w:lang w:val="fr-CH"/>
        </w:rPr>
        <w:t>’</w:t>
      </w:r>
      <w:r w:rsidRPr="00101B00">
        <w:rPr>
          <w:lang w:val="fr-CH"/>
        </w:rPr>
        <w:t xml:space="preserve">évaluation du rapport susmentionné et a </w:t>
      </w:r>
      <w:r w:rsidRPr="00101B00">
        <w:rPr>
          <w:b/>
          <w:lang w:val="fr-CH"/>
        </w:rPr>
        <w:t>décidé</w:t>
      </w:r>
      <w:r w:rsidRPr="00101B00">
        <w:rPr>
          <w:lang w:val="fr-CH"/>
        </w:rPr>
        <w:t xml:space="preserve"> de la prorogation du mandat du Groupe d</w:t>
      </w:r>
      <w:r w:rsidR="005F0D9B" w:rsidRPr="00101B00">
        <w:rPr>
          <w:lang w:val="fr-CH"/>
        </w:rPr>
        <w:t>’</w:t>
      </w:r>
      <w:r w:rsidRPr="00101B00">
        <w:rPr>
          <w:lang w:val="fr-CH"/>
        </w:rPr>
        <w:t xml:space="preserve">experts afin de permettre à celui-ci de poursuivre ses travaux. Le Comité a </w:t>
      </w:r>
      <w:r w:rsidRPr="00101B00">
        <w:rPr>
          <w:b/>
          <w:lang w:val="fr-CH"/>
        </w:rPr>
        <w:t>pris note</w:t>
      </w:r>
      <w:r w:rsidRPr="00101B00">
        <w:rPr>
          <w:lang w:val="fr-CH"/>
        </w:rPr>
        <w:t xml:space="preserve"> de la préoccupation exprimée par la Fédération de Russie au sujet de l</w:t>
      </w:r>
      <w:r w:rsidR="005F0D9B" w:rsidRPr="00101B00">
        <w:rPr>
          <w:lang w:val="fr-CH"/>
        </w:rPr>
        <w:t>’</w:t>
      </w:r>
      <w:r w:rsidRPr="00101B00">
        <w:rPr>
          <w:lang w:val="fr-CH"/>
        </w:rPr>
        <w:t>insuffisance des progrès accomplis par le Groupe d</w:t>
      </w:r>
      <w:r w:rsidR="005F0D9B" w:rsidRPr="00101B00">
        <w:rPr>
          <w:lang w:val="fr-CH"/>
        </w:rPr>
        <w:t>’</w:t>
      </w:r>
      <w:r w:rsidRPr="00101B00">
        <w:rPr>
          <w:lang w:val="fr-CH"/>
        </w:rPr>
        <w:t>experts de l</w:t>
      </w:r>
      <w:r w:rsidR="005F0D9B" w:rsidRPr="00101B00">
        <w:rPr>
          <w:lang w:val="fr-CH"/>
        </w:rPr>
        <w:t>’</w:t>
      </w:r>
      <w:r w:rsidRPr="00101B00">
        <w:rPr>
          <w:lang w:val="fr-CH"/>
        </w:rPr>
        <w:t>AETR en ce qui concerne la révision de l</w:t>
      </w:r>
      <w:r w:rsidR="005F0D9B" w:rsidRPr="00101B00">
        <w:rPr>
          <w:lang w:val="fr-CH"/>
        </w:rPr>
        <w:t>’</w:t>
      </w:r>
      <w:r w:rsidR="00F10092" w:rsidRPr="00101B00">
        <w:rPr>
          <w:lang w:val="fr-CH"/>
        </w:rPr>
        <w:t>article 22 </w:t>
      </w:r>
      <w:r w:rsidRPr="00101B00">
        <w:rPr>
          <w:i/>
          <w:iCs/>
          <w:lang w:val="fr-CH"/>
        </w:rPr>
        <w:t>bis</w:t>
      </w:r>
      <w:r w:rsidRPr="00101B00">
        <w:rPr>
          <w:lang w:val="fr-CH"/>
        </w:rPr>
        <w:t>, qui, selon la délégation russe, ne permettai</w:t>
      </w:r>
      <w:r w:rsidR="00F10092" w:rsidRPr="00101B00">
        <w:rPr>
          <w:lang w:val="fr-CH"/>
        </w:rPr>
        <w:t>t</w:t>
      </w:r>
      <w:r w:rsidRPr="00101B00">
        <w:rPr>
          <w:lang w:val="fr-CH"/>
        </w:rPr>
        <w:t xml:space="preserve"> ni une participation équitable de tous les pays à l</w:t>
      </w:r>
      <w:r w:rsidR="005F0D9B" w:rsidRPr="00101B00">
        <w:rPr>
          <w:lang w:val="fr-CH"/>
        </w:rPr>
        <w:t>’</w:t>
      </w:r>
      <w:r w:rsidRPr="00101B00">
        <w:rPr>
          <w:lang w:val="fr-CH"/>
        </w:rPr>
        <w:t>élaboration de prescriptions uniformes relatives aux tachygraphes numériques dans le cadre de l</w:t>
      </w:r>
      <w:r w:rsidR="005F0D9B" w:rsidRPr="00101B00">
        <w:rPr>
          <w:lang w:val="fr-CH"/>
        </w:rPr>
        <w:t>’</w:t>
      </w:r>
      <w:r w:rsidRPr="00101B00">
        <w:rPr>
          <w:lang w:val="fr-CH"/>
        </w:rPr>
        <w:t>AETR, ni la création d</w:t>
      </w:r>
      <w:r w:rsidR="005F0D9B" w:rsidRPr="00101B00">
        <w:rPr>
          <w:lang w:val="fr-CH"/>
        </w:rPr>
        <w:t>’</w:t>
      </w:r>
      <w:r w:rsidRPr="00101B00">
        <w:rPr>
          <w:lang w:val="fr-CH"/>
        </w:rPr>
        <w:t>un régime unifié aux fins de leur certification.</w:t>
      </w:r>
    </w:p>
    <w:p w:rsidR="00554873" w:rsidRPr="00101B00" w:rsidRDefault="00554873" w:rsidP="00F10092">
      <w:pPr>
        <w:pStyle w:val="SingleTxt"/>
        <w:numPr>
          <w:ilvl w:val="0"/>
          <w:numId w:val="7"/>
        </w:numPr>
        <w:tabs>
          <w:tab w:val="clear" w:pos="475"/>
          <w:tab w:val="num" w:pos="1742"/>
        </w:tabs>
        <w:ind w:left="1267"/>
        <w:rPr>
          <w:lang w:val="fr-CH"/>
        </w:rPr>
      </w:pPr>
      <w:r w:rsidRPr="00101B00">
        <w:rPr>
          <w:lang w:val="fr-CH"/>
        </w:rPr>
        <w:t xml:space="preserve">Le Comité a </w:t>
      </w:r>
      <w:r w:rsidRPr="00101B00">
        <w:rPr>
          <w:b/>
          <w:lang w:val="fr-CH"/>
        </w:rPr>
        <w:t>été informé</w:t>
      </w:r>
      <w:r w:rsidRPr="00101B00">
        <w:rPr>
          <w:lang w:val="fr-CH"/>
        </w:rPr>
        <w:t xml:space="preserve"> </w:t>
      </w:r>
      <w:r w:rsidR="00F10092" w:rsidRPr="00101B00">
        <w:rPr>
          <w:lang w:val="fr-CH"/>
        </w:rPr>
        <w:t xml:space="preserve">que </w:t>
      </w:r>
      <w:r w:rsidRPr="00101B00">
        <w:rPr>
          <w:lang w:val="fr-CH"/>
        </w:rPr>
        <w:t xml:space="preserve">le SC.1 </w:t>
      </w:r>
      <w:r w:rsidR="00F10092" w:rsidRPr="00101B00">
        <w:rPr>
          <w:lang w:val="fr-CH"/>
        </w:rPr>
        <w:t xml:space="preserve">a demandé </w:t>
      </w:r>
      <w:r w:rsidRPr="00101B00">
        <w:rPr>
          <w:lang w:val="fr-CH"/>
        </w:rPr>
        <w:t>de tenir une session spéciale (</w:t>
      </w:r>
      <w:r w:rsidR="00F10092" w:rsidRPr="00101B00">
        <w:rPr>
          <w:lang w:val="fr-CH"/>
        </w:rPr>
        <w:t>le 27 </w:t>
      </w:r>
      <w:r w:rsidRPr="00101B00">
        <w:rPr>
          <w:lang w:val="fr-CH"/>
        </w:rPr>
        <w:t>avril 2015) consacrée à la prolongation du Mémorandum d</w:t>
      </w:r>
      <w:r w:rsidR="005F0D9B" w:rsidRPr="00101B00">
        <w:rPr>
          <w:lang w:val="fr-CH"/>
        </w:rPr>
        <w:t>’</w:t>
      </w:r>
      <w:r w:rsidRPr="00101B00">
        <w:rPr>
          <w:lang w:val="fr-CH"/>
        </w:rPr>
        <w:t>accord conclu entre la CEE et les services de la Commission européenne</w:t>
      </w:r>
      <w:r w:rsidR="00F10092" w:rsidRPr="00101B00">
        <w:rPr>
          <w:lang w:val="fr-CH"/>
        </w:rPr>
        <w:t>,</w:t>
      </w:r>
      <w:r w:rsidRPr="00101B00">
        <w:rPr>
          <w:lang w:val="fr-CH"/>
        </w:rPr>
        <w:t xml:space="preserve"> qui reconnaît le Centre commun de recherche (CCR) comme étant l</w:t>
      </w:r>
      <w:r w:rsidR="005F0D9B" w:rsidRPr="00101B00">
        <w:rPr>
          <w:lang w:val="fr-CH"/>
        </w:rPr>
        <w:t>’</w:t>
      </w:r>
      <w:r w:rsidRPr="00101B00">
        <w:rPr>
          <w:lang w:val="fr-CH"/>
        </w:rPr>
        <w:t>autorité responsable de la certification racine et de la certification d</w:t>
      </w:r>
      <w:r w:rsidR="005F0D9B" w:rsidRPr="00101B00">
        <w:rPr>
          <w:lang w:val="fr-CH"/>
        </w:rPr>
        <w:t>’</w:t>
      </w:r>
      <w:r w:rsidRPr="00101B00">
        <w:rPr>
          <w:lang w:val="fr-CH"/>
        </w:rPr>
        <w:t>interopérabilité pour les Parties contractantes à l</w:t>
      </w:r>
      <w:r w:rsidR="005F0D9B" w:rsidRPr="00101B00">
        <w:rPr>
          <w:lang w:val="fr-CH"/>
        </w:rPr>
        <w:t>’</w:t>
      </w:r>
      <w:r w:rsidRPr="00101B00">
        <w:rPr>
          <w:lang w:val="fr-CH"/>
        </w:rPr>
        <w:t>AETR non membres de l</w:t>
      </w:r>
      <w:r w:rsidR="005F0D9B" w:rsidRPr="00101B00">
        <w:rPr>
          <w:lang w:val="fr-CH"/>
        </w:rPr>
        <w:t>’</w:t>
      </w:r>
      <w:r w:rsidRPr="00101B00">
        <w:rPr>
          <w:lang w:val="fr-CH"/>
        </w:rPr>
        <w:t>UE.</w:t>
      </w:r>
    </w:p>
    <w:p w:rsidR="00554873" w:rsidRPr="00101B00" w:rsidRDefault="00554873" w:rsidP="00F10092">
      <w:pPr>
        <w:pStyle w:val="SingleTxt"/>
        <w:numPr>
          <w:ilvl w:val="0"/>
          <w:numId w:val="7"/>
        </w:numPr>
        <w:tabs>
          <w:tab w:val="clear" w:pos="475"/>
          <w:tab w:val="num" w:pos="1742"/>
        </w:tabs>
        <w:ind w:left="1267"/>
        <w:rPr>
          <w:lang w:val="fr-CH"/>
        </w:rPr>
      </w:pPr>
      <w:r w:rsidRPr="00101B00">
        <w:rPr>
          <w:lang w:val="fr-CH"/>
        </w:rPr>
        <w:t xml:space="preserve">Le Comité a </w:t>
      </w:r>
      <w:r w:rsidRPr="00101B00">
        <w:rPr>
          <w:b/>
          <w:lang w:val="fr-CH"/>
        </w:rPr>
        <w:t>été informé</w:t>
      </w:r>
      <w:r w:rsidRPr="00101B00">
        <w:rPr>
          <w:lang w:val="fr-CH"/>
        </w:rPr>
        <w:t xml:space="preserve"> de propositions d</w:t>
      </w:r>
      <w:r w:rsidR="005F0D9B" w:rsidRPr="00101B00">
        <w:rPr>
          <w:lang w:val="fr-CH"/>
        </w:rPr>
        <w:t>’</w:t>
      </w:r>
      <w:r w:rsidRPr="00101B00">
        <w:rPr>
          <w:lang w:val="fr-CH"/>
        </w:rPr>
        <w:t>amendements adoptées par le SC.1 en octobre 2014, qui visaient à introduire certaines dispositions concernant l</w:t>
      </w:r>
      <w:r w:rsidR="005F0D9B" w:rsidRPr="00101B00">
        <w:rPr>
          <w:lang w:val="fr-CH"/>
        </w:rPr>
        <w:t>’</w:t>
      </w:r>
      <w:r w:rsidR="00F10092" w:rsidRPr="00101B00">
        <w:rPr>
          <w:lang w:val="fr-CH"/>
        </w:rPr>
        <w:t>« </w:t>
      </w:r>
      <w:r w:rsidRPr="00101B00">
        <w:rPr>
          <w:lang w:val="fr-CH"/>
        </w:rPr>
        <w:t>électromobilité » dans l</w:t>
      </w:r>
      <w:r w:rsidR="005F0D9B" w:rsidRPr="00101B00">
        <w:rPr>
          <w:lang w:val="fr-CH"/>
        </w:rPr>
        <w:t>’</w:t>
      </w:r>
      <w:r w:rsidRPr="00101B00">
        <w:rPr>
          <w:lang w:val="fr-CH"/>
        </w:rPr>
        <w:t xml:space="preserve">Accord européen sur les grandes routes de trafic international (AGR). Le Comité a </w:t>
      </w:r>
      <w:r w:rsidRPr="00BC6B0B">
        <w:rPr>
          <w:b/>
          <w:bCs/>
          <w:lang w:val="fr-CH"/>
        </w:rPr>
        <w:t>accueilli avec satisfaction</w:t>
      </w:r>
      <w:r w:rsidRPr="00101B00">
        <w:rPr>
          <w:lang w:val="fr-CH"/>
        </w:rPr>
        <w:t xml:space="preserve"> les informations reçues concernant une proposition du SC.1 visant à modifier l</w:t>
      </w:r>
      <w:r w:rsidR="005F0D9B" w:rsidRPr="00101B00">
        <w:rPr>
          <w:lang w:val="fr-CH"/>
        </w:rPr>
        <w:t>’</w:t>
      </w:r>
      <w:r w:rsidRPr="00101B00">
        <w:rPr>
          <w:lang w:val="fr-CH"/>
        </w:rPr>
        <w:t>article 14 de l</w:t>
      </w:r>
      <w:r w:rsidR="005F0D9B" w:rsidRPr="00101B00">
        <w:rPr>
          <w:lang w:val="fr-CH"/>
        </w:rPr>
        <w:t>’</w:t>
      </w:r>
      <w:r w:rsidRPr="00101B00">
        <w:rPr>
          <w:lang w:val="fr-CH"/>
        </w:rPr>
        <w:t>AETR de sorte que l</w:t>
      </w:r>
      <w:r w:rsidR="005F0D9B" w:rsidRPr="00101B00">
        <w:rPr>
          <w:lang w:val="fr-CH"/>
        </w:rPr>
        <w:t>’</w:t>
      </w:r>
      <w:r w:rsidRPr="00101B00">
        <w:rPr>
          <w:lang w:val="fr-CH"/>
        </w:rPr>
        <w:t xml:space="preserve">Algérie, la Jordanie, le Maroc et la Tunisie puissent y adhérer et a </w:t>
      </w:r>
      <w:r w:rsidRPr="00101B00">
        <w:rPr>
          <w:b/>
          <w:lang w:val="fr-CH"/>
        </w:rPr>
        <w:t>prié</w:t>
      </w:r>
      <w:r w:rsidRPr="00101B00">
        <w:rPr>
          <w:lang w:val="fr-CH"/>
        </w:rPr>
        <w:t xml:space="preserve"> le secrétariat de le tenir informé</w:t>
      </w:r>
      <w:r w:rsidR="00F10092" w:rsidRPr="00101B00">
        <w:rPr>
          <w:lang w:val="fr-CH"/>
        </w:rPr>
        <w:t>, à sa session à venir,</w:t>
      </w:r>
      <w:r w:rsidRPr="00101B00">
        <w:rPr>
          <w:lang w:val="fr-CH"/>
        </w:rPr>
        <w:t xml:space="preserve"> des progrès accomplis à cet égard.</w:t>
      </w:r>
    </w:p>
    <w:p w:rsidR="00554873" w:rsidRPr="00101B00" w:rsidRDefault="00554873" w:rsidP="00F10092">
      <w:pPr>
        <w:pStyle w:val="SingleTxt"/>
        <w:numPr>
          <w:ilvl w:val="0"/>
          <w:numId w:val="7"/>
        </w:numPr>
        <w:tabs>
          <w:tab w:val="clear" w:pos="475"/>
          <w:tab w:val="num" w:pos="1742"/>
        </w:tabs>
        <w:ind w:left="1267"/>
        <w:rPr>
          <w:lang w:val="fr-CH"/>
        </w:rPr>
      </w:pPr>
      <w:r w:rsidRPr="00101B00">
        <w:rPr>
          <w:lang w:val="fr-CH"/>
        </w:rPr>
        <w:t xml:space="preserve">Le Comité a </w:t>
      </w:r>
      <w:r w:rsidRPr="00101B00">
        <w:rPr>
          <w:b/>
          <w:lang w:val="fr-CH"/>
        </w:rPr>
        <w:t>été informé</w:t>
      </w:r>
      <w:r w:rsidRPr="00101B00">
        <w:rPr>
          <w:lang w:val="fr-CH"/>
        </w:rPr>
        <w:t xml:space="preserve"> des faits nouveaux relatifs à la proposition du Gouvernement suisse d</w:t>
      </w:r>
      <w:r w:rsidR="005F0D9B" w:rsidRPr="00101B00">
        <w:rPr>
          <w:lang w:val="fr-CH"/>
        </w:rPr>
        <w:t>’</w:t>
      </w:r>
      <w:r w:rsidRPr="00101B00">
        <w:rPr>
          <w:lang w:val="fr-CH"/>
        </w:rPr>
        <w:t xml:space="preserve">élaborer un accord multilatéral mondial sur le transport régulier international de voyageurs par autobus et autocar (OmniBus). Le Comité a en particulier </w:t>
      </w:r>
      <w:r w:rsidRPr="00101B00">
        <w:rPr>
          <w:b/>
          <w:lang w:val="fr-CH"/>
        </w:rPr>
        <w:t>appelé</w:t>
      </w:r>
      <w:r w:rsidRPr="00101B00">
        <w:rPr>
          <w:lang w:val="fr-CH"/>
        </w:rPr>
        <w:t xml:space="preserve"> tous les gouvernements intéressés à participer à une session spéciale du S</w:t>
      </w:r>
      <w:r w:rsidR="00F10092" w:rsidRPr="00101B00">
        <w:rPr>
          <w:lang w:val="fr-CH"/>
        </w:rPr>
        <w:t xml:space="preserve">C.1, les 28 et 29 avril </w:t>
      </w:r>
      <w:r w:rsidRPr="00101B00">
        <w:rPr>
          <w:lang w:val="fr-CH"/>
        </w:rPr>
        <w:t>2015 à Genève, afin d</w:t>
      </w:r>
      <w:r w:rsidR="005F0D9B" w:rsidRPr="00101B00">
        <w:rPr>
          <w:lang w:val="fr-CH"/>
        </w:rPr>
        <w:t>’</w:t>
      </w:r>
      <w:r w:rsidRPr="00101B00">
        <w:rPr>
          <w:lang w:val="fr-CH"/>
        </w:rPr>
        <w:t>examiner plus avant et, si possible, de finaliser le projet d</w:t>
      </w:r>
      <w:r w:rsidR="005F0D9B" w:rsidRPr="00101B00">
        <w:rPr>
          <w:lang w:val="fr-CH"/>
        </w:rPr>
        <w:t>’</w:t>
      </w:r>
      <w:r w:rsidRPr="00101B00">
        <w:rPr>
          <w:lang w:val="fr-CH"/>
        </w:rPr>
        <w:t xml:space="preserve">accord OmniBus. </w:t>
      </w:r>
    </w:p>
    <w:p w:rsidR="00554873" w:rsidRPr="00101B00" w:rsidRDefault="00554873" w:rsidP="00D16BB1">
      <w:pPr>
        <w:pStyle w:val="SingleTxt"/>
        <w:numPr>
          <w:ilvl w:val="0"/>
          <w:numId w:val="7"/>
        </w:numPr>
        <w:tabs>
          <w:tab w:val="clear" w:pos="475"/>
          <w:tab w:val="num" w:pos="1742"/>
        </w:tabs>
        <w:ind w:left="1267"/>
        <w:rPr>
          <w:lang w:val="fr-CH"/>
        </w:rPr>
      </w:pPr>
      <w:r w:rsidRPr="00101B00">
        <w:rPr>
          <w:lang w:val="fr-CH"/>
        </w:rPr>
        <w:t xml:space="preserve">Le Comité, ayant demandé des renseignements actualisés sur les instruments non encore entrés en vigueur, a </w:t>
      </w:r>
      <w:r w:rsidRPr="00101B00">
        <w:rPr>
          <w:b/>
          <w:lang w:val="fr-CH"/>
        </w:rPr>
        <w:t>été informé</w:t>
      </w:r>
      <w:r w:rsidRPr="00101B00">
        <w:rPr>
          <w:lang w:val="fr-CH"/>
        </w:rPr>
        <w:t xml:space="preserve"> que le Protocole à la Convention relative au contrat de transport international de voyageurs et </w:t>
      </w:r>
      <w:r w:rsidR="00F10092" w:rsidRPr="00101B00">
        <w:rPr>
          <w:lang w:val="fr-CH"/>
        </w:rPr>
        <w:t>de bagages par route (CVR) du 5 </w:t>
      </w:r>
      <w:r w:rsidRPr="00101B00">
        <w:rPr>
          <w:lang w:val="fr-CH"/>
        </w:rPr>
        <w:t>juillet 1978 et l</w:t>
      </w:r>
      <w:r w:rsidR="005F0D9B" w:rsidRPr="00101B00">
        <w:rPr>
          <w:lang w:val="fr-CH"/>
        </w:rPr>
        <w:t>’</w:t>
      </w:r>
      <w:r w:rsidRPr="00101B00">
        <w:rPr>
          <w:lang w:val="fr-CH"/>
        </w:rPr>
        <w:t>Accord général portant réglementation économique des transport</w:t>
      </w:r>
      <w:r w:rsidR="00F10092" w:rsidRPr="00101B00">
        <w:rPr>
          <w:lang w:val="fr-CH"/>
        </w:rPr>
        <w:t>s routiers internationaux du 17 </w:t>
      </w:r>
      <w:r w:rsidRPr="00101B00">
        <w:rPr>
          <w:lang w:val="fr-CH"/>
        </w:rPr>
        <w:t>mars 1954 n</w:t>
      </w:r>
      <w:r w:rsidR="005F0D9B" w:rsidRPr="00101B00">
        <w:rPr>
          <w:lang w:val="fr-CH"/>
        </w:rPr>
        <w:t>’</w:t>
      </w:r>
      <w:r w:rsidRPr="00101B00">
        <w:rPr>
          <w:lang w:val="fr-CH"/>
        </w:rPr>
        <w:t>étaient pas encore entrés en vigueur.</w:t>
      </w:r>
    </w:p>
    <w:p w:rsidR="004F173B" w:rsidRPr="00101B00" w:rsidRDefault="004F173B" w:rsidP="004F173B">
      <w:pPr>
        <w:pStyle w:val="SingleTxt"/>
        <w:spacing w:after="0" w:line="120" w:lineRule="exact"/>
        <w:rPr>
          <w:sz w:val="10"/>
          <w:lang w:val="fr-CH"/>
        </w:rPr>
      </w:pPr>
    </w:p>
    <w:p w:rsidR="004F173B" w:rsidRPr="00101B00" w:rsidRDefault="004F173B" w:rsidP="004F173B">
      <w:pPr>
        <w:pStyle w:val="SingleTxt"/>
        <w:spacing w:after="0" w:line="120" w:lineRule="exact"/>
        <w:rPr>
          <w:sz w:val="10"/>
          <w:lang w:val="fr-CH"/>
        </w:rPr>
      </w:pPr>
    </w:p>
    <w:p w:rsidR="00554873" w:rsidRPr="00101B00" w:rsidRDefault="00554873" w:rsidP="004F17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1B00">
        <w:rPr>
          <w:lang w:val="fr-CH"/>
        </w:rPr>
        <w:tab/>
        <w:t>E.</w:t>
      </w:r>
      <w:r w:rsidRPr="00101B00">
        <w:rPr>
          <w:lang w:val="fr-CH"/>
        </w:rPr>
        <w:tab/>
        <w:t>Transport ferroviaire</w:t>
      </w:r>
    </w:p>
    <w:p w:rsidR="004F173B" w:rsidRPr="00101B00" w:rsidRDefault="004F173B" w:rsidP="004F173B">
      <w:pPr>
        <w:pStyle w:val="SingleTxt"/>
        <w:spacing w:after="0" w:line="120" w:lineRule="exact"/>
        <w:rPr>
          <w:i/>
          <w:sz w:val="10"/>
          <w:lang w:val="fr-CH"/>
        </w:rPr>
      </w:pPr>
    </w:p>
    <w:p w:rsidR="004F173B" w:rsidRPr="00101B00" w:rsidRDefault="004F173B" w:rsidP="004F173B">
      <w:pPr>
        <w:pStyle w:val="SingleTxt"/>
        <w:spacing w:after="0" w:line="120" w:lineRule="exact"/>
        <w:rPr>
          <w:i/>
          <w:sz w:val="10"/>
          <w:lang w:val="fr-CH"/>
        </w:rPr>
      </w:pPr>
    </w:p>
    <w:p w:rsidR="00554873" w:rsidRPr="00101B00" w:rsidRDefault="004F173B" w:rsidP="004F173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i w:val="0"/>
          <w:iCs/>
          <w:lang w:val="fr-CH"/>
        </w:rPr>
      </w:pPr>
      <w:r w:rsidRPr="00101B00">
        <w:rPr>
          <w:lang w:val="fr-CH"/>
        </w:rPr>
        <w:tab/>
      </w:r>
      <w:r w:rsidRPr="00101B00">
        <w:rPr>
          <w:lang w:val="fr-CH"/>
        </w:rPr>
        <w:tab/>
      </w:r>
      <w:r w:rsidR="00554873" w:rsidRPr="00101B00">
        <w:rPr>
          <w:lang w:val="fr-CH"/>
        </w:rPr>
        <w:t>Documents</w:t>
      </w:r>
      <w:r w:rsidR="005F0D9B" w:rsidRPr="00101B00">
        <w:rPr>
          <w:lang w:val="fr-CH"/>
        </w:rPr>
        <w:t> </w:t>
      </w:r>
      <w:r w:rsidR="005F0D9B" w:rsidRPr="00101B00">
        <w:rPr>
          <w:i w:val="0"/>
          <w:iCs/>
          <w:lang w:val="fr-CH"/>
        </w:rPr>
        <w:t>:</w:t>
      </w:r>
      <w:r w:rsidRPr="00101B00">
        <w:rPr>
          <w:i w:val="0"/>
          <w:iCs/>
          <w:lang w:val="fr-CH"/>
        </w:rPr>
        <w:tab/>
      </w:r>
      <w:r w:rsidR="00554873" w:rsidRPr="00101B00">
        <w:rPr>
          <w:i w:val="0"/>
          <w:iCs/>
          <w:lang w:val="fr-CH"/>
        </w:rPr>
        <w:t xml:space="preserve">ECE/TRANS/SC.2/222 et ECE/TRANS/2015/15. </w:t>
      </w:r>
    </w:p>
    <w:p w:rsidR="004F173B" w:rsidRPr="00101B00" w:rsidRDefault="004F173B" w:rsidP="004F173B">
      <w:pPr>
        <w:pStyle w:val="SingleTxt"/>
        <w:spacing w:after="0" w:line="120" w:lineRule="exact"/>
        <w:rPr>
          <w:sz w:val="10"/>
          <w:lang w:val="fr-CH"/>
        </w:rPr>
      </w:pPr>
    </w:p>
    <w:p w:rsidR="00554873" w:rsidRPr="00101B00" w:rsidRDefault="00554873" w:rsidP="00093B6D">
      <w:pPr>
        <w:pStyle w:val="SingleTxt"/>
        <w:numPr>
          <w:ilvl w:val="0"/>
          <w:numId w:val="7"/>
        </w:numPr>
        <w:tabs>
          <w:tab w:val="clear" w:pos="475"/>
          <w:tab w:val="num" w:pos="1742"/>
        </w:tabs>
        <w:ind w:left="1267"/>
        <w:rPr>
          <w:lang w:val="fr-CH"/>
        </w:rPr>
      </w:pPr>
      <w:r w:rsidRPr="00101B00">
        <w:rPr>
          <w:lang w:val="fr-CH"/>
        </w:rPr>
        <w:t xml:space="preserve">Le Comité a </w:t>
      </w:r>
      <w:r w:rsidRPr="00101B00">
        <w:rPr>
          <w:b/>
          <w:lang w:val="fr-CH"/>
        </w:rPr>
        <w:t>été informé</w:t>
      </w:r>
      <w:r w:rsidRPr="00101B00">
        <w:rPr>
          <w:lang w:val="fr-CH"/>
        </w:rPr>
        <w:t xml:space="preserve"> des résultats des travaux de la soixante-huitième session du Groupe de travail des transports par chemin de fer (SC.2) (ECE/TRANS/SC.2/222). Le Comité a pris note des activités du SC.2 et a </w:t>
      </w:r>
      <w:r w:rsidRPr="00BC6B0B">
        <w:rPr>
          <w:b/>
          <w:bCs/>
          <w:lang w:val="fr-CH"/>
        </w:rPr>
        <w:t xml:space="preserve">exprimé son appui </w:t>
      </w:r>
      <w:r w:rsidRPr="00101B00">
        <w:rPr>
          <w:lang w:val="fr-CH"/>
        </w:rPr>
        <w:t>aux efforts déployés par ce groupe de travail pour améliorer la compétitivité et l</w:t>
      </w:r>
      <w:r w:rsidR="005F0D9B" w:rsidRPr="00101B00">
        <w:rPr>
          <w:lang w:val="fr-CH"/>
        </w:rPr>
        <w:t>’</w:t>
      </w:r>
      <w:r w:rsidRPr="00101B00">
        <w:rPr>
          <w:lang w:val="fr-CH"/>
        </w:rPr>
        <w:t xml:space="preserve">efficacité des transports ferroviaires. Il a </w:t>
      </w:r>
      <w:r w:rsidRPr="00101B00">
        <w:rPr>
          <w:b/>
          <w:lang w:val="fr-CH"/>
        </w:rPr>
        <w:t>relevé</w:t>
      </w:r>
      <w:r w:rsidRPr="00101B00">
        <w:rPr>
          <w:lang w:val="fr-CH"/>
        </w:rPr>
        <w:t xml:space="preserve"> qu</w:t>
      </w:r>
      <w:r w:rsidR="005F0D9B" w:rsidRPr="00101B00">
        <w:rPr>
          <w:lang w:val="fr-CH"/>
        </w:rPr>
        <w:t>’</w:t>
      </w:r>
      <w:r w:rsidRPr="00101B00">
        <w:rPr>
          <w:lang w:val="fr-CH"/>
        </w:rPr>
        <w:t>il importait d</w:t>
      </w:r>
      <w:r w:rsidR="005F0D9B" w:rsidRPr="00101B00">
        <w:rPr>
          <w:lang w:val="fr-CH"/>
        </w:rPr>
        <w:t>’</w:t>
      </w:r>
      <w:r w:rsidRPr="00101B00">
        <w:rPr>
          <w:lang w:val="fr-CH"/>
        </w:rPr>
        <w:t xml:space="preserve">élaborer un </w:t>
      </w:r>
      <w:r w:rsidR="00093B6D" w:rsidRPr="00101B00">
        <w:rPr>
          <w:lang w:val="fr-CH"/>
        </w:rPr>
        <w:t>p</w:t>
      </w:r>
      <w:r w:rsidRPr="00101B00">
        <w:rPr>
          <w:lang w:val="fr-CH"/>
        </w:rPr>
        <w:t>lan directeur pour les chemins de fer à grande vitesse et de coopérer avec le projet TER.</w:t>
      </w:r>
    </w:p>
    <w:p w:rsidR="00554873" w:rsidRPr="00101B00" w:rsidRDefault="00554873" w:rsidP="00D16BB1">
      <w:pPr>
        <w:pStyle w:val="SingleTxt"/>
        <w:numPr>
          <w:ilvl w:val="0"/>
          <w:numId w:val="7"/>
        </w:numPr>
        <w:tabs>
          <w:tab w:val="clear" w:pos="475"/>
          <w:tab w:val="num" w:pos="1742"/>
        </w:tabs>
        <w:ind w:left="1267"/>
        <w:rPr>
          <w:lang w:val="fr-CH"/>
        </w:rPr>
      </w:pPr>
      <w:r w:rsidRPr="00101B00">
        <w:rPr>
          <w:lang w:val="fr-CH"/>
        </w:rPr>
        <w:t>Le Comité s</w:t>
      </w:r>
      <w:r w:rsidR="005F0D9B" w:rsidRPr="00101B00">
        <w:rPr>
          <w:lang w:val="fr-CH"/>
        </w:rPr>
        <w:t>’</w:t>
      </w:r>
      <w:r w:rsidRPr="00101B00">
        <w:rPr>
          <w:lang w:val="fr-CH"/>
        </w:rPr>
        <w:t xml:space="preserve">est </w:t>
      </w:r>
      <w:r w:rsidRPr="00101B00">
        <w:rPr>
          <w:b/>
          <w:lang w:val="fr-CH"/>
        </w:rPr>
        <w:t>félicité</w:t>
      </w:r>
      <w:r w:rsidRPr="00101B00">
        <w:rPr>
          <w:lang w:val="fr-CH"/>
        </w:rPr>
        <w:t xml:space="preserve"> de la coopération entre le SC.2 et le Groupe de travail des problèmes douaniers intéressant les transports (WP.30) dans le cadre du suivi de la mise en œuvre de l</w:t>
      </w:r>
      <w:r w:rsidR="005F0D9B" w:rsidRPr="00101B00">
        <w:rPr>
          <w:lang w:val="fr-CH"/>
        </w:rPr>
        <w:t>’</w:t>
      </w:r>
      <w:r w:rsidR="00093B6D" w:rsidRPr="00101B00">
        <w:rPr>
          <w:lang w:val="fr-CH"/>
        </w:rPr>
        <w:t>annexe </w:t>
      </w:r>
      <w:r w:rsidRPr="00101B00">
        <w:rPr>
          <w:lang w:val="fr-CH"/>
        </w:rPr>
        <w:t>9 de la Convention internationale sur l</w:t>
      </w:r>
      <w:r w:rsidR="005F0D9B" w:rsidRPr="00101B00">
        <w:rPr>
          <w:lang w:val="fr-CH"/>
        </w:rPr>
        <w:t>’</w:t>
      </w:r>
      <w:r w:rsidRPr="00101B00">
        <w:rPr>
          <w:lang w:val="fr-CH"/>
        </w:rPr>
        <w:t xml:space="preserve">harmonisation des </w:t>
      </w:r>
      <w:r w:rsidRPr="00101B00">
        <w:rPr>
          <w:lang w:val="fr-CH"/>
        </w:rPr>
        <w:lastRenderedPageBreak/>
        <w:t xml:space="preserve">contrôles des marchandises aux frontières (1982) et a </w:t>
      </w:r>
      <w:r w:rsidRPr="00101B00">
        <w:rPr>
          <w:b/>
          <w:lang w:val="fr-CH"/>
        </w:rPr>
        <w:t>prié</w:t>
      </w:r>
      <w:r w:rsidRPr="00101B00">
        <w:rPr>
          <w:lang w:val="fr-CH"/>
        </w:rPr>
        <w:t xml:space="preserve"> le secrétariat d</w:t>
      </w:r>
      <w:r w:rsidR="005F0D9B" w:rsidRPr="00101B00">
        <w:rPr>
          <w:lang w:val="fr-CH"/>
        </w:rPr>
        <w:t>’</w:t>
      </w:r>
      <w:r w:rsidRPr="00101B00">
        <w:rPr>
          <w:lang w:val="fr-CH"/>
        </w:rPr>
        <w:t>établir un rapport pour sa session à venir.</w:t>
      </w:r>
    </w:p>
    <w:p w:rsidR="00554873" w:rsidRPr="00101B00" w:rsidRDefault="00093B6D" w:rsidP="00093B6D">
      <w:pPr>
        <w:pStyle w:val="SingleTxt"/>
        <w:numPr>
          <w:ilvl w:val="0"/>
          <w:numId w:val="7"/>
        </w:numPr>
        <w:tabs>
          <w:tab w:val="clear" w:pos="475"/>
          <w:tab w:val="num" w:pos="1742"/>
        </w:tabs>
        <w:ind w:left="1267"/>
        <w:rPr>
          <w:lang w:val="fr-CH"/>
        </w:rPr>
      </w:pPr>
      <w:r w:rsidRPr="00101B00">
        <w:rPr>
          <w:lang w:val="fr-CH"/>
        </w:rPr>
        <w:t>Conformément à la décision </w:t>
      </w:r>
      <w:r w:rsidR="00554873" w:rsidRPr="00101B00">
        <w:rPr>
          <w:lang w:val="fr-CH"/>
        </w:rPr>
        <w:t xml:space="preserve">25 adoptée à sa soixante-seizième session, le Comité a </w:t>
      </w:r>
      <w:r w:rsidR="00554873" w:rsidRPr="00101B00">
        <w:rPr>
          <w:b/>
          <w:lang w:val="fr-CH"/>
        </w:rPr>
        <w:t>pris note</w:t>
      </w:r>
      <w:r w:rsidR="00554873" w:rsidRPr="00101B00">
        <w:rPr>
          <w:lang w:val="fr-CH"/>
        </w:rPr>
        <w:t xml:space="preserve"> des activités liées à l</w:t>
      </w:r>
      <w:r w:rsidR="005F0D9B" w:rsidRPr="00101B00">
        <w:rPr>
          <w:lang w:val="fr-CH"/>
        </w:rPr>
        <w:t>’</w:t>
      </w:r>
      <w:r w:rsidR="00554873" w:rsidRPr="00101B00">
        <w:rPr>
          <w:lang w:val="fr-CH"/>
        </w:rPr>
        <w:t>élaboration d</w:t>
      </w:r>
      <w:r w:rsidR="005F0D9B" w:rsidRPr="00101B00">
        <w:rPr>
          <w:lang w:val="fr-CH"/>
        </w:rPr>
        <w:t>’</w:t>
      </w:r>
      <w:r w:rsidR="00554873" w:rsidRPr="00101B00">
        <w:rPr>
          <w:lang w:val="fr-CH"/>
        </w:rPr>
        <w:t xml:space="preserve">une nouvelle convention relative à la facilitation du franchissement des frontières par chemin de fer pour les voyageurs et a </w:t>
      </w:r>
      <w:r w:rsidR="00554873" w:rsidRPr="00101B00">
        <w:rPr>
          <w:b/>
          <w:lang w:val="fr-CH"/>
        </w:rPr>
        <w:t>recommandé</w:t>
      </w:r>
      <w:r w:rsidR="00554873" w:rsidRPr="00101B00">
        <w:rPr>
          <w:lang w:val="fr-CH"/>
        </w:rPr>
        <w:t xml:space="preserve"> aux parties intéressées de poursuivre leurs travaux tendant à formuler un projet de convention dans le cadre du Groupe informel d</w:t>
      </w:r>
      <w:r w:rsidR="005F0D9B" w:rsidRPr="00101B00">
        <w:rPr>
          <w:lang w:val="fr-CH"/>
        </w:rPr>
        <w:t>’</w:t>
      </w:r>
      <w:r w:rsidR="00554873" w:rsidRPr="00101B00">
        <w:rPr>
          <w:lang w:val="fr-CH"/>
        </w:rPr>
        <w:t>experts de l</w:t>
      </w:r>
      <w:r w:rsidR="005F0D9B" w:rsidRPr="00101B00">
        <w:rPr>
          <w:lang w:val="fr-CH"/>
        </w:rPr>
        <w:t>’</w:t>
      </w:r>
      <w:r w:rsidR="00554873" w:rsidRPr="00101B00">
        <w:rPr>
          <w:lang w:val="fr-CH"/>
        </w:rPr>
        <w:t>élaboration d</w:t>
      </w:r>
      <w:r w:rsidR="005F0D9B" w:rsidRPr="00101B00">
        <w:rPr>
          <w:lang w:val="fr-CH"/>
        </w:rPr>
        <w:t>’</w:t>
      </w:r>
      <w:r w:rsidR="00554873" w:rsidRPr="00101B00">
        <w:rPr>
          <w:lang w:val="fr-CH"/>
        </w:rPr>
        <w:t>une nouvelle convention relative à la facilitation du franchissement des frontières pour les voyageurs et les bagages transportés par chemin de fer, le but étant d</w:t>
      </w:r>
      <w:r w:rsidR="005F0D9B" w:rsidRPr="00101B00">
        <w:rPr>
          <w:lang w:val="fr-CH"/>
        </w:rPr>
        <w:t>’</w:t>
      </w:r>
      <w:r w:rsidR="00554873" w:rsidRPr="00101B00">
        <w:rPr>
          <w:lang w:val="fr-CH"/>
        </w:rPr>
        <w:t xml:space="preserve">examiner comme il convenait les résultats de ces travaux, </w:t>
      </w:r>
      <w:r w:rsidRPr="00101B00">
        <w:rPr>
          <w:lang w:val="fr-CH"/>
        </w:rPr>
        <w:t xml:space="preserve">d’abord </w:t>
      </w:r>
      <w:r w:rsidR="00554873" w:rsidRPr="00101B00">
        <w:rPr>
          <w:lang w:val="fr-CH"/>
        </w:rPr>
        <w:t>dans le cadre du SC.2 et du WP.30</w:t>
      </w:r>
      <w:r w:rsidRPr="00101B00">
        <w:rPr>
          <w:lang w:val="fr-CH"/>
        </w:rPr>
        <w:t>,</w:t>
      </w:r>
      <w:r w:rsidR="00554873" w:rsidRPr="00101B00">
        <w:rPr>
          <w:lang w:val="fr-CH"/>
        </w:rPr>
        <w:t xml:space="preserve"> puis </w:t>
      </w:r>
      <w:r w:rsidRPr="00101B00">
        <w:rPr>
          <w:lang w:val="fr-CH"/>
        </w:rPr>
        <w:t xml:space="preserve">à </w:t>
      </w:r>
      <w:r w:rsidR="00554873" w:rsidRPr="00101B00">
        <w:rPr>
          <w:lang w:val="fr-CH"/>
        </w:rPr>
        <w:t>la soixante-dix-huitième session du Comité.</w:t>
      </w:r>
    </w:p>
    <w:p w:rsidR="00554873" w:rsidRPr="00101B00" w:rsidRDefault="00554873" w:rsidP="00D16BB1">
      <w:pPr>
        <w:pStyle w:val="SingleTxt"/>
        <w:numPr>
          <w:ilvl w:val="0"/>
          <w:numId w:val="7"/>
        </w:numPr>
        <w:tabs>
          <w:tab w:val="clear" w:pos="475"/>
          <w:tab w:val="num" w:pos="1742"/>
        </w:tabs>
        <w:ind w:left="1267"/>
        <w:rPr>
          <w:lang w:val="fr-CH"/>
        </w:rPr>
      </w:pPr>
      <w:r w:rsidRPr="00101B00">
        <w:rPr>
          <w:lang w:val="fr-CH"/>
        </w:rPr>
        <w:t xml:space="preserve">Le Comité a </w:t>
      </w:r>
      <w:r w:rsidRPr="00101B00">
        <w:rPr>
          <w:b/>
          <w:lang w:val="fr-CH"/>
        </w:rPr>
        <w:t>aussi été informé</w:t>
      </w:r>
      <w:r w:rsidRPr="00101B00">
        <w:rPr>
          <w:lang w:val="fr-CH"/>
        </w:rPr>
        <w:t xml:space="preserve"> des résultats de l</w:t>
      </w:r>
      <w:r w:rsidR="005F0D9B" w:rsidRPr="00101B00">
        <w:rPr>
          <w:lang w:val="fr-CH"/>
        </w:rPr>
        <w:t>’</w:t>
      </w:r>
      <w:r w:rsidRPr="00101B00">
        <w:rPr>
          <w:lang w:val="fr-CH"/>
        </w:rPr>
        <w:t>atelier sur le thème « Comment rendre les transports ferroviaires plus compétitifs »</w:t>
      </w:r>
      <w:r w:rsidR="00093B6D" w:rsidRPr="00101B00">
        <w:rPr>
          <w:lang w:val="fr-CH"/>
        </w:rPr>
        <w:t>,</w:t>
      </w:r>
      <w:r w:rsidRPr="00101B00">
        <w:rPr>
          <w:lang w:val="fr-CH"/>
        </w:rPr>
        <w:t xml:space="preserve"> qui s</w:t>
      </w:r>
      <w:r w:rsidR="005F0D9B" w:rsidRPr="00101B00">
        <w:rPr>
          <w:lang w:val="fr-CH"/>
        </w:rPr>
        <w:t>’</w:t>
      </w:r>
      <w:r w:rsidRPr="00101B00">
        <w:rPr>
          <w:lang w:val="fr-CH"/>
        </w:rPr>
        <w:t>est déroulé pendant la dernière session du SC.2.</w:t>
      </w:r>
    </w:p>
    <w:p w:rsidR="00554873" w:rsidRPr="00101B00" w:rsidRDefault="00554873" w:rsidP="00093B6D">
      <w:pPr>
        <w:pStyle w:val="SingleTxt"/>
        <w:numPr>
          <w:ilvl w:val="0"/>
          <w:numId w:val="7"/>
        </w:numPr>
        <w:tabs>
          <w:tab w:val="clear" w:pos="475"/>
          <w:tab w:val="num" w:pos="1742"/>
        </w:tabs>
        <w:ind w:left="1267"/>
        <w:rPr>
          <w:lang w:val="fr-CH"/>
        </w:rPr>
      </w:pPr>
      <w:r w:rsidRPr="00101B00">
        <w:rPr>
          <w:lang w:val="fr-CH"/>
        </w:rPr>
        <w:t xml:space="preserve">Le Comité a </w:t>
      </w:r>
      <w:r w:rsidRPr="00101B00">
        <w:rPr>
          <w:b/>
          <w:lang w:val="fr-CH"/>
        </w:rPr>
        <w:t>pris acte</w:t>
      </w:r>
      <w:r w:rsidRPr="00101B00">
        <w:rPr>
          <w:lang w:val="fr-CH"/>
        </w:rPr>
        <w:t xml:space="preserve"> des résultats du Groupe d</w:t>
      </w:r>
      <w:r w:rsidR="005F0D9B" w:rsidRPr="00101B00">
        <w:rPr>
          <w:lang w:val="fr-CH"/>
        </w:rPr>
        <w:t>’</w:t>
      </w:r>
      <w:r w:rsidRPr="00101B00">
        <w:rPr>
          <w:lang w:val="fr-CH"/>
        </w:rPr>
        <w:t>experts pour l</w:t>
      </w:r>
      <w:r w:rsidR="005F0D9B" w:rsidRPr="00101B00">
        <w:rPr>
          <w:lang w:val="fr-CH"/>
        </w:rPr>
        <w:t>’</w:t>
      </w:r>
      <w:r w:rsidRPr="00101B00">
        <w:rPr>
          <w:lang w:val="fr-CH"/>
        </w:rPr>
        <w:t xml:space="preserve">uniformisation du droit ferroviaire, et a </w:t>
      </w:r>
      <w:r w:rsidRPr="00101B00">
        <w:rPr>
          <w:b/>
          <w:lang w:val="fr-CH"/>
        </w:rPr>
        <w:t>appelé</w:t>
      </w:r>
      <w:r w:rsidRPr="00101B00">
        <w:rPr>
          <w:lang w:val="fr-CH"/>
        </w:rPr>
        <w:t xml:space="preserve"> toutes les parties prenantes à parfaire le libellé des dispositions dans les trois langues (anglais, français et russe) et à parvenir à une décision concernant un régime de gestion approprié reposant sur un droit ferroviaire uniforme. Il a </w:t>
      </w:r>
      <w:r w:rsidRPr="00101B00">
        <w:rPr>
          <w:b/>
          <w:lang w:val="fr-CH"/>
        </w:rPr>
        <w:t>appelé</w:t>
      </w:r>
      <w:r w:rsidRPr="00101B00">
        <w:rPr>
          <w:lang w:val="fr-CH"/>
        </w:rPr>
        <w:t xml:space="preserve"> le secrétariat à </w:t>
      </w:r>
      <w:r w:rsidRPr="00101B00">
        <w:rPr>
          <w:b/>
          <w:lang w:val="fr-CH"/>
        </w:rPr>
        <w:t>veiller</w:t>
      </w:r>
      <w:r w:rsidRPr="00101B00">
        <w:rPr>
          <w:lang w:val="fr-CH"/>
        </w:rPr>
        <w:t xml:space="preserve"> à </w:t>
      </w:r>
      <w:r w:rsidR="00093B6D" w:rsidRPr="00101B00">
        <w:rPr>
          <w:lang w:val="fr-CH"/>
        </w:rPr>
        <w:t xml:space="preserve">ce que </w:t>
      </w:r>
      <w:r w:rsidRPr="00101B00">
        <w:rPr>
          <w:lang w:val="fr-CH"/>
        </w:rPr>
        <w:t>l</w:t>
      </w:r>
      <w:r w:rsidR="005F0D9B" w:rsidRPr="00101B00">
        <w:rPr>
          <w:lang w:val="fr-CH"/>
        </w:rPr>
        <w:t>’</w:t>
      </w:r>
      <w:r w:rsidRPr="00101B00">
        <w:rPr>
          <w:lang w:val="fr-CH"/>
        </w:rPr>
        <w:t xml:space="preserve">ensemble des documents </w:t>
      </w:r>
      <w:r w:rsidR="00093B6D" w:rsidRPr="00101B00">
        <w:rPr>
          <w:lang w:val="fr-CH"/>
        </w:rPr>
        <w:t xml:space="preserve">destinés aux </w:t>
      </w:r>
      <w:r w:rsidRPr="00101B00">
        <w:rPr>
          <w:lang w:val="fr-CH"/>
        </w:rPr>
        <w:t xml:space="preserve">réunions du Groupe en 2015 (février, juin et novembre), </w:t>
      </w:r>
      <w:r w:rsidR="00093B6D" w:rsidRPr="00101B00">
        <w:rPr>
          <w:lang w:val="fr-CH"/>
        </w:rPr>
        <w:t xml:space="preserve">tels que </w:t>
      </w:r>
      <w:r w:rsidRPr="00101B00">
        <w:rPr>
          <w:lang w:val="fr-CH"/>
        </w:rPr>
        <w:t xml:space="preserve">les ordres du jour, les rapports et les documents officiels, </w:t>
      </w:r>
      <w:r w:rsidR="00093B6D" w:rsidRPr="00101B00">
        <w:rPr>
          <w:lang w:val="fr-CH"/>
        </w:rPr>
        <w:t xml:space="preserve">soient disponibles sans retard dans les trois langues officielles de la CEE. </w:t>
      </w:r>
      <w:r w:rsidRPr="00101B00">
        <w:rPr>
          <w:lang w:val="fr-CH"/>
        </w:rPr>
        <w:t>Dans ce</w:t>
      </w:r>
      <w:r w:rsidR="00093B6D" w:rsidRPr="00101B00">
        <w:rPr>
          <w:lang w:val="fr-CH"/>
        </w:rPr>
        <w:t xml:space="preserve"> contexte</w:t>
      </w:r>
      <w:r w:rsidRPr="00101B00">
        <w:rPr>
          <w:lang w:val="fr-CH"/>
        </w:rPr>
        <w:t xml:space="preserve">, le Comité a </w:t>
      </w:r>
      <w:r w:rsidRPr="00101B00">
        <w:rPr>
          <w:b/>
          <w:lang w:val="fr-CH"/>
        </w:rPr>
        <w:t>examiné</w:t>
      </w:r>
      <w:r w:rsidRPr="00101B00">
        <w:rPr>
          <w:lang w:val="fr-CH"/>
        </w:rPr>
        <w:t xml:space="preserve"> le document ECE/TRANS/2015/15 établi par le secrétariat</w:t>
      </w:r>
      <w:r w:rsidR="00093B6D" w:rsidRPr="00101B00">
        <w:rPr>
          <w:lang w:val="fr-CH"/>
        </w:rPr>
        <w:t xml:space="preserve"> et recensant</w:t>
      </w:r>
      <w:r w:rsidRPr="00101B00">
        <w:rPr>
          <w:lang w:val="fr-CH"/>
        </w:rPr>
        <w:t xml:space="preserve"> toutes les dispositions juridiques pertinentes, négociées et convenues à ce jour qui dev</w:t>
      </w:r>
      <w:r w:rsidR="00093B6D" w:rsidRPr="00101B00">
        <w:rPr>
          <w:lang w:val="fr-CH"/>
        </w:rPr>
        <w:t>r</w:t>
      </w:r>
      <w:r w:rsidRPr="00101B00">
        <w:rPr>
          <w:lang w:val="fr-CH"/>
        </w:rPr>
        <w:t>aient faire partie d</w:t>
      </w:r>
      <w:r w:rsidR="005F0D9B" w:rsidRPr="00101B00">
        <w:rPr>
          <w:lang w:val="fr-CH"/>
        </w:rPr>
        <w:t>’</w:t>
      </w:r>
      <w:r w:rsidRPr="00101B00">
        <w:rPr>
          <w:lang w:val="fr-CH"/>
        </w:rPr>
        <w:t>un nouveau régime ferroviaire international.</w:t>
      </w:r>
    </w:p>
    <w:p w:rsidR="00554873" w:rsidRPr="00101B00" w:rsidRDefault="00554873" w:rsidP="00093B6D">
      <w:pPr>
        <w:pStyle w:val="SingleTxt"/>
        <w:numPr>
          <w:ilvl w:val="0"/>
          <w:numId w:val="7"/>
        </w:numPr>
        <w:tabs>
          <w:tab w:val="clear" w:pos="475"/>
          <w:tab w:val="num" w:pos="1742"/>
        </w:tabs>
        <w:ind w:left="1267"/>
        <w:rPr>
          <w:lang w:val="fr-CH"/>
        </w:rPr>
      </w:pPr>
      <w:r w:rsidRPr="00101B00">
        <w:rPr>
          <w:lang w:val="fr-CH"/>
        </w:rPr>
        <w:t xml:space="preserve">Le Comité a </w:t>
      </w:r>
      <w:r w:rsidRPr="00101B00">
        <w:rPr>
          <w:b/>
          <w:lang w:val="fr-CH"/>
        </w:rPr>
        <w:t>noté</w:t>
      </w:r>
      <w:r w:rsidRPr="00101B00">
        <w:rPr>
          <w:lang w:val="fr-CH"/>
        </w:rPr>
        <w:t xml:space="preserve"> que son Bureau avait, à titre exceptionnel, approuvé la prorogation du mandat du Groupe d</w:t>
      </w:r>
      <w:r w:rsidR="005F0D9B" w:rsidRPr="00101B00">
        <w:rPr>
          <w:lang w:val="fr-CH"/>
        </w:rPr>
        <w:t>’</w:t>
      </w:r>
      <w:r w:rsidRPr="00101B00">
        <w:rPr>
          <w:lang w:val="fr-CH"/>
        </w:rPr>
        <w:t>experts pour une année supplémentaire afin d</w:t>
      </w:r>
      <w:r w:rsidR="005F0D9B" w:rsidRPr="00101B00">
        <w:rPr>
          <w:lang w:val="fr-CH"/>
        </w:rPr>
        <w:t>’</w:t>
      </w:r>
      <w:r w:rsidRPr="00101B00">
        <w:rPr>
          <w:lang w:val="fr-CH"/>
        </w:rPr>
        <w:t>entretenir l</w:t>
      </w:r>
      <w:r w:rsidR="005F0D9B" w:rsidRPr="00101B00">
        <w:rPr>
          <w:lang w:val="fr-CH"/>
        </w:rPr>
        <w:t>’</w:t>
      </w:r>
      <w:r w:rsidRPr="00101B00">
        <w:rPr>
          <w:lang w:val="fr-CH"/>
        </w:rPr>
        <w:t xml:space="preserve">élan acquis; il a </w:t>
      </w:r>
      <w:r w:rsidRPr="00101B00">
        <w:rPr>
          <w:b/>
          <w:lang w:val="fr-CH"/>
        </w:rPr>
        <w:t>présenté</w:t>
      </w:r>
      <w:r w:rsidRPr="00101B00">
        <w:rPr>
          <w:lang w:val="fr-CH"/>
        </w:rPr>
        <w:t xml:space="preserve"> une demande en ce sens au Comité exécutif à sa réunion du 17 décembre</w:t>
      </w:r>
      <w:r w:rsidR="00093B6D" w:rsidRPr="00101B00">
        <w:rPr>
          <w:lang w:val="fr-CH"/>
        </w:rPr>
        <w:t xml:space="preserve"> </w:t>
      </w:r>
      <w:r w:rsidRPr="00101B00">
        <w:rPr>
          <w:lang w:val="fr-CH"/>
        </w:rPr>
        <w:t xml:space="preserve">2014, et a </w:t>
      </w:r>
      <w:r w:rsidRPr="00101B00">
        <w:rPr>
          <w:b/>
          <w:lang w:val="fr-CH"/>
        </w:rPr>
        <w:t>constaté avec</w:t>
      </w:r>
      <w:r w:rsidRPr="00101B00">
        <w:rPr>
          <w:lang w:val="fr-CH"/>
        </w:rPr>
        <w:t xml:space="preserve"> </w:t>
      </w:r>
      <w:r w:rsidRPr="00101B00">
        <w:rPr>
          <w:b/>
          <w:lang w:val="fr-CH"/>
        </w:rPr>
        <w:t>satisfaction</w:t>
      </w:r>
      <w:r w:rsidRPr="00101B00">
        <w:rPr>
          <w:lang w:val="fr-CH"/>
        </w:rPr>
        <w:t xml:space="preserve"> que celui-ci y avait donné une suite favorable.</w:t>
      </w:r>
    </w:p>
    <w:p w:rsidR="004F173B" w:rsidRPr="00101B00" w:rsidRDefault="004F173B" w:rsidP="004F173B">
      <w:pPr>
        <w:pStyle w:val="SingleTxt"/>
        <w:spacing w:after="0" w:line="120" w:lineRule="exact"/>
        <w:rPr>
          <w:sz w:val="10"/>
          <w:lang w:val="fr-CH"/>
        </w:rPr>
      </w:pPr>
    </w:p>
    <w:p w:rsidR="004F173B" w:rsidRPr="00101B00" w:rsidRDefault="004F173B" w:rsidP="004F173B">
      <w:pPr>
        <w:pStyle w:val="SingleTxt"/>
        <w:spacing w:after="0" w:line="120" w:lineRule="exact"/>
        <w:rPr>
          <w:sz w:val="10"/>
          <w:lang w:val="fr-CH"/>
        </w:rPr>
      </w:pPr>
    </w:p>
    <w:p w:rsidR="00554873" w:rsidRPr="00101B00" w:rsidRDefault="00554873" w:rsidP="004F17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1B00">
        <w:rPr>
          <w:lang w:val="fr-CH"/>
        </w:rPr>
        <w:tab/>
        <w:t>F.</w:t>
      </w:r>
      <w:r w:rsidRPr="00101B00">
        <w:rPr>
          <w:lang w:val="fr-CH"/>
        </w:rPr>
        <w:tab/>
        <w:t>Transport intermodal et logistique</w:t>
      </w:r>
    </w:p>
    <w:p w:rsidR="004F173B" w:rsidRPr="00101B00" w:rsidRDefault="004F173B" w:rsidP="004F173B">
      <w:pPr>
        <w:pStyle w:val="SingleTxt"/>
        <w:spacing w:after="0" w:line="120" w:lineRule="exact"/>
        <w:rPr>
          <w:i/>
          <w:sz w:val="10"/>
          <w:lang w:val="fr-CH"/>
        </w:rPr>
      </w:pPr>
    </w:p>
    <w:p w:rsidR="004F173B" w:rsidRPr="00101B00" w:rsidRDefault="004F173B" w:rsidP="004F173B">
      <w:pPr>
        <w:pStyle w:val="SingleTxt"/>
        <w:spacing w:after="0" w:line="120" w:lineRule="exact"/>
        <w:rPr>
          <w:i/>
          <w:sz w:val="10"/>
          <w:lang w:val="fr-CH"/>
        </w:rPr>
      </w:pPr>
    </w:p>
    <w:p w:rsidR="00554873" w:rsidRPr="00101B00" w:rsidRDefault="004F173B" w:rsidP="004F173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693" w:right="1260" w:hanging="2693"/>
        <w:rPr>
          <w:i w:val="0"/>
          <w:iCs/>
          <w:lang w:val="fr-CH"/>
        </w:rPr>
      </w:pPr>
      <w:r w:rsidRPr="00101B00">
        <w:rPr>
          <w:lang w:val="fr-CH"/>
        </w:rPr>
        <w:tab/>
      </w:r>
      <w:r w:rsidRPr="00101B00">
        <w:rPr>
          <w:lang w:val="fr-CH"/>
        </w:rPr>
        <w:tab/>
      </w:r>
      <w:r w:rsidR="00554873" w:rsidRPr="00101B00">
        <w:rPr>
          <w:lang w:val="fr-CH"/>
        </w:rPr>
        <w:t>Documents</w:t>
      </w:r>
      <w:r w:rsidR="005F0D9B" w:rsidRPr="00101B00">
        <w:rPr>
          <w:lang w:val="fr-CH"/>
        </w:rPr>
        <w:t> </w:t>
      </w:r>
      <w:r w:rsidR="005F0D9B" w:rsidRPr="00101B00">
        <w:rPr>
          <w:i w:val="0"/>
          <w:iCs/>
          <w:lang w:val="fr-CH"/>
        </w:rPr>
        <w:t>:</w:t>
      </w:r>
      <w:r w:rsidRPr="00101B00">
        <w:rPr>
          <w:i w:val="0"/>
          <w:iCs/>
          <w:lang w:val="fr-CH"/>
        </w:rPr>
        <w:tab/>
      </w:r>
      <w:r w:rsidR="00554873" w:rsidRPr="00101B00">
        <w:rPr>
          <w:i w:val="0"/>
          <w:iCs/>
          <w:lang w:val="fr-CH"/>
        </w:rPr>
        <w:t>ECE/TRANS/WP.24/135, ECE/TRANS/WP.24/2014/3, document informel n</w:t>
      </w:r>
      <w:r w:rsidRPr="00101B00">
        <w:rPr>
          <w:i w:val="0"/>
          <w:iCs/>
          <w:vertAlign w:val="superscript"/>
          <w:lang w:val="fr-CH"/>
        </w:rPr>
        <w:t>o</w:t>
      </w:r>
      <w:r w:rsidR="00554873" w:rsidRPr="00101B00">
        <w:rPr>
          <w:i w:val="0"/>
          <w:iCs/>
          <w:lang w:val="fr-CH"/>
        </w:rPr>
        <w:t> 10, document informel n</w:t>
      </w:r>
      <w:r w:rsidRPr="00101B00">
        <w:rPr>
          <w:i w:val="0"/>
          <w:iCs/>
          <w:vertAlign w:val="superscript"/>
          <w:lang w:val="fr-CH"/>
        </w:rPr>
        <w:t>o</w:t>
      </w:r>
      <w:r w:rsidR="00554873" w:rsidRPr="00101B00">
        <w:rPr>
          <w:i w:val="0"/>
          <w:iCs/>
          <w:lang w:val="fr-CH"/>
        </w:rPr>
        <w:t> 11 et ECE/TRANS/2015/16.</w:t>
      </w:r>
    </w:p>
    <w:p w:rsidR="004F173B" w:rsidRPr="00101B00" w:rsidRDefault="004F173B" w:rsidP="004F173B">
      <w:pPr>
        <w:pStyle w:val="SingleTxt"/>
        <w:spacing w:after="0" w:line="120" w:lineRule="exact"/>
        <w:rPr>
          <w:sz w:val="10"/>
          <w:lang w:val="fr-CH"/>
        </w:rPr>
      </w:pPr>
    </w:p>
    <w:p w:rsidR="00554873" w:rsidRPr="00101B00" w:rsidRDefault="00554873" w:rsidP="00093B6D">
      <w:pPr>
        <w:pStyle w:val="SingleTxt"/>
        <w:numPr>
          <w:ilvl w:val="0"/>
          <w:numId w:val="7"/>
        </w:numPr>
        <w:tabs>
          <w:tab w:val="clear" w:pos="475"/>
          <w:tab w:val="num" w:pos="1742"/>
        </w:tabs>
        <w:ind w:left="1267"/>
        <w:rPr>
          <w:spacing w:val="3"/>
          <w:lang w:val="fr-CH"/>
        </w:rPr>
      </w:pPr>
      <w:r w:rsidRPr="00101B00">
        <w:rPr>
          <w:spacing w:val="3"/>
          <w:lang w:val="fr-CH"/>
        </w:rPr>
        <w:t xml:space="preserve">Le Comité a </w:t>
      </w:r>
      <w:r w:rsidRPr="00101B00">
        <w:rPr>
          <w:b/>
          <w:spacing w:val="3"/>
          <w:lang w:val="fr-CH"/>
        </w:rPr>
        <w:t>été informé</w:t>
      </w:r>
      <w:r w:rsidRPr="00101B00">
        <w:rPr>
          <w:spacing w:val="3"/>
          <w:lang w:val="fr-CH"/>
        </w:rPr>
        <w:t xml:space="preserve"> des résultats des travaux de la cinquante-septième session du Groupe de travail du transport intermodal et de la logistique (WP.24) (ECE/TRANS/WP.24/135). Le Comité a </w:t>
      </w:r>
      <w:r w:rsidRPr="00101B00">
        <w:rPr>
          <w:b/>
          <w:spacing w:val="3"/>
          <w:lang w:val="fr-CH"/>
        </w:rPr>
        <w:t>décidé</w:t>
      </w:r>
      <w:r w:rsidRPr="00101B00">
        <w:rPr>
          <w:spacing w:val="3"/>
          <w:lang w:val="fr-CH"/>
        </w:rPr>
        <w:t xml:space="preserve"> de tenir compte, pour les différents modes de transport, de la nature intermodale des diverses lettres de voiture et de la numérisation de celles-ci et a </w:t>
      </w:r>
      <w:r w:rsidRPr="00101B00">
        <w:rPr>
          <w:b/>
          <w:spacing w:val="3"/>
          <w:lang w:val="fr-CH"/>
        </w:rPr>
        <w:t>not</w:t>
      </w:r>
      <w:r w:rsidR="00093B6D" w:rsidRPr="00101B00">
        <w:rPr>
          <w:b/>
          <w:spacing w:val="3"/>
          <w:lang w:val="fr-CH"/>
        </w:rPr>
        <w:t>é</w:t>
      </w:r>
      <w:r w:rsidRPr="00101B00">
        <w:rPr>
          <w:spacing w:val="3"/>
          <w:lang w:val="fr-CH"/>
        </w:rPr>
        <w:t xml:space="preserve"> que certains souhaitaient actualiser l</w:t>
      </w:r>
      <w:r w:rsidR="005F0D9B" w:rsidRPr="00101B00">
        <w:rPr>
          <w:spacing w:val="3"/>
          <w:lang w:val="fr-CH"/>
        </w:rPr>
        <w:t>’</w:t>
      </w:r>
      <w:r w:rsidRPr="00101B00">
        <w:rPr>
          <w:spacing w:val="3"/>
          <w:lang w:val="fr-CH"/>
        </w:rPr>
        <w:t>Accord européen sur les grandes lignes de transport international combiné et les installations connexes (AGTC) ainsi que le Protocole s</w:t>
      </w:r>
      <w:r w:rsidR="005F0D9B" w:rsidRPr="00101B00">
        <w:rPr>
          <w:spacing w:val="3"/>
          <w:lang w:val="fr-CH"/>
        </w:rPr>
        <w:t>’</w:t>
      </w:r>
      <w:r w:rsidRPr="00101B00">
        <w:rPr>
          <w:spacing w:val="3"/>
          <w:lang w:val="fr-CH"/>
        </w:rPr>
        <w:t xml:space="preserve">y rapportant, en mettant en ligne les renseignements afin de les rendre plus fonctionnels. Le Comité a </w:t>
      </w:r>
      <w:r w:rsidRPr="00101B00">
        <w:rPr>
          <w:b/>
          <w:spacing w:val="3"/>
          <w:lang w:val="fr-CH"/>
        </w:rPr>
        <w:t>exprimé ses vues</w:t>
      </w:r>
      <w:r w:rsidRPr="00101B00">
        <w:rPr>
          <w:spacing w:val="3"/>
          <w:lang w:val="fr-CH"/>
        </w:rPr>
        <w:t xml:space="preserve"> sur les travaux consacrés aux thèmes suivants</w:t>
      </w:r>
      <w:r w:rsidR="005F0D9B" w:rsidRPr="00101B00">
        <w:rPr>
          <w:spacing w:val="3"/>
          <w:lang w:val="fr-CH"/>
        </w:rPr>
        <w:t> :</w:t>
      </w:r>
      <w:r w:rsidRPr="00101B00">
        <w:rPr>
          <w:spacing w:val="3"/>
          <w:lang w:val="fr-CH"/>
        </w:rPr>
        <w:t xml:space="preserve"> i)</w:t>
      </w:r>
      <w:r w:rsidR="00093B6D" w:rsidRPr="00101B00">
        <w:rPr>
          <w:spacing w:val="3"/>
          <w:lang w:val="fr-CH"/>
        </w:rPr>
        <w:t> </w:t>
      </w:r>
      <w:r w:rsidRPr="00101B00">
        <w:rPr>
          <w:spacing w:val="3"/>
          <w:lang w:val="fr-CH"/>
        </w:rPr>
        <w:t>termina</w:t>
      </w:r>
      <w:r w:rsidR="00093B6D" w:rsidRPr="00101B00">
        <w:rPr>
          <w:spacing w:val="3"/>
          <w:lang w:val="fr-CH"/>
        </w:rPr>
        <w:t>ux de transport intermodal; ii) </w:t>
      </w:r>
      <w:r w:rsidRPr="00101B00">
        <w:rPr>
          <w:spacing w:val="3"/>
          <w:lang w:val="fr-CH"/>
        </w:rPr>
        <w:t>préparation de plans directeurs nationaux sur le transport de marc</w:t>
      </w:r>
      <w:r w:rsidR="00093B6D" w:rsidRPr="00101B00">
        <w:rPr>
          <w:spacing w:val="3"/>
          <w:lang w:val="fr-CH"/>
        </w:rPr>
        <w:t>handises et la logistique; iii) </w:t>
      </w:r>
      <w:r w:rsidRPr="00101B00">
        <w:rPr>
          <w:spacing w:val="3"/>
          <w:lang w:val="fr-CH"/>
        </w:rPr>
        <w:t xml:space="preserve">changements climatiques et transport intermodal. Les centres logistiques se trouvant très souvent dans des agglomérations, le Comité a </w:t>
      </w:r>
      <w:r w:rsidRPr="00101B00">
        <w:rPr>
          <w:b/>
          <w:spacing w:val="3"/>
          <w:lang w:val="fr-CH"/>
        </w:rPr>
        <w:t>donné des orientations</w:t>
      </w:r>
      <w:r w:rsidRPr="00101B00">
        <w:rPr>
          <w:spacing w:val="3"/>
          <w:lang w:val="fr-CH"/>
        </w:rPr>
        <w:t xml:space="preserve"> aux groupes de travail au sujet du lien entre la logistique et les zones urbaines.</w:t>
      </w:r>
    </w:p>
    <w:p w:rsidR="00554873" w:rsidRPr="00101B00" w:rsidRDefault="00554873" w:rsidP="00093B6D">
      <w:pPr>
        <w:pStyle w:val="SingleTxt"/>
        <w:numPr>
          <w:ilvl w:val="0"/>
          <w:numId w:val="7"/>
        </w:numPr>
        <w:tabs>
          <w:tab w:val="clear" w:pos="475"/>
          <w:tab w:val="num" w:pos="1742"/>
        </w:tabs>
        <w:ind w:left="1267"/>
        <w:rPr>
          <w:lang w:val="fr-CH"/>
        </w:rPr>
      </w:pPr>
      <w:r w:rsidRPr="00101B00">
        <w:rPr>
          <w:lang w:val="fr-CH"/>
        </w:rPr>
        <w:t xml:space="preserve">Le Comité a </w:t>
      </w:r>
      <w:r w:rsidRPr="00101B00">
        <w:rPr>
          <w:b/>
          <w:lang w:val="fr-CH"/>
        </w:rPr>
        <w:t>été</w:t>
      </w:r>
      <w:r w:rsidRPr="00101B00">
        <w:rPr>
          <w:lang w:val="fr-CH"/>
        </w:rPr>
        <w:t xml:space="preserve"> </w:t>
      </w:r>
      <w:r w:rsidRPr="00101B00">
        <w:rPr>
          <w:b/>
          <w:lang w:val="fr-CH"/>
        </w:rPr>
        <w:t>informé</w:t>
      </w:r>
      <w:r w:rsidRPr="00101B00">
        <w:rPr>
          <w:lang w:val="fr-CH"/>
        </w:rPr>
        <w:t xml:space="preserve"> des résultats de l</w:t>
      </w:r>
      <w:r w:rsidR="005F0D9B" w:rsidRPr="00101B00">
        <w:rPr>
          <w:lang w:val="fr-CH"/>
        </w:rPr>
        <w:t>’</w:t>
      </w:r>
      <w:r w:rsidRPr="00101B00">
        <w:rPr>
          <w:lang w:val="fr-CH"/>
        </w:rPr>
        <w:t>atelier organisé sur le thème « Le rôle des transitaires et de la logistique dans les chaînes de transport intermodal ». L</w:t>
      </w:r>
      <w:r w:rsidR="005F0D9B" w:rsidRPr="00101B00">
        <w:rPr>
          <w:lang w:val="fr-CH"/>
        </w:rPr>
        <w:t>’</w:t>
      </w:r>
      <w:r w:rsidRPr="00101B00">
        <w:rPr>
          <w:lang w:val="fr-CH"/>
        </w:rPr>
        <w:t xml:space="preserve">atelier, organisé par le Service public fédéral (SPF) </w:t>
      </w:r>
      <w:r w:rsidR="00093B6D" w:rsidRPr="00101B00">
        <w:rPr>
          <w:lang w:val="fr-CH"/>
        </w:rPr>
        <w:t>–</w:t>
      </w:r>
      <w:r w:rsidRPr="00101B00">
        <w:rPr>
          <w:lang w:val="fr-CH"/>
        </w:rPr>
        <w:t xml:space="preserve"> Mobilité et transports de Belgique, </w:t>
      </w:r>
      <w:r w:rsidRPr="00101B00">
        <w:rPr>
          <w:lang w:val="fr-CH"/>
        </w:rPr>
        <w:lastRenderedPageBreak/>
        <w:t>s</w:t>
      </w:r>
      <w:r w:rsidR="005F0D9B" w:rsidRPr="00101B00">
        <w:rPr>
          <w:lang w:val="fr-CH"/>
        </w:rPr>
        <w:t>’</w:t>
      </w:r>
      <w:r w:rsidRPr="00101B00">
        <w:rPr>
          <w:lang w:val="fr-CH"/>
        </w:rPr>
        <w:t>était tenu les 12 et 13 juin</w:t>
      </w:r>
      <w:r w:rsidR="00093B6D" w:rsidRPr="00101B00">
        <w:rPr>
          <w:lang w:val="fr-CH"/>
        </w:rPr>
        <w:t xml:space="preserve"> </w:t>
      </w:r>
      <w:r w:rsidRPr="00101B00">
        <w:rPr>
          <w:lang w:val="fr-CH"/>
        </w:rPr>
        <w:t>2014 à Bruxelles. Y avaient assisté des experts des Gouvernements belge et turc, ainsi que des représentants de l</w:t>
      </w:r>
      <w:r w:rsidR="005F0D9B" w:rsidRPr="00101B00">
        <w:rPr>
          <w:lang w:val="fr-CH"/>
        </w:rPr>
        <w:t>’</w:t>
      </w:r>
      <w:r w:rsidRPr="00101B00">
        <w:rPr>
          <w:lang w:val="fr-CH"/>
        </w:rPr>
        <w:t xml:space="preserve">Union européenne et </w:t>
      </w:r>
      <w:r w:rsidR="00093B6D" w:rsidRPr="00101B00">
        <w:rPr>
          <w:lang w:val="fr-CH"/>
        </w:rPr>
        <w:t xml:space="preserve">de </w:t>
      </w:r>
      <w:r w:rsidRPr="00101B00">
        <w:rPr>
          <w:lang w:val="fr-CH"/>
        </w:rPr>
        <w:t xml:space="preserve">plusieurs organisations non gouvernementales et groupes industriels. Les débats avaient porté sur la situation </w:t>
      </w:r>
      <w:r w:rsidR="00093B6D" w:rsidRPr="00101B00">
        <w:rPr>
          <w:lang w:val="fr-CH"/>
        </w:rPr>
        <w:t>d</w:t>
      </w:r>
      <w:r w:rsidRPr="00101B00">
        <w:rPr>
          <w:lang w:val="fr-CH"/>
        </w:rPr>
        <w:t>es transitaires dans différents pays, la participation directe ou indirecte des transitaires au développement du transport intermodal et de la logistique</w:t>
      </w:r>
      <w:r w:rsidR="00093B6D" w:rsidRPr="00101B00">
        <w:rPr>
          <w:lang w:val="fr-CH"/>
        </w:rPr>
        <w:t xml:space="preserve">, ainsi que les avantages et les inconvénients </w:t>
      </w:r>
      <w:r w:rsidRPr="00101B00">
        <w:rPr>
          <w:lang w:val="fr-CH"/>
        </w:rPr>
        <w:t>de dispositions internationales régissant l</w:t>
      </w:r>
      <w:r w:rsidR="005F0D9B" w:rsidRPr="00101B00">
        <w:rPr>
          <w:lang w:val="fr-CH"/>
        </w:rPr>
        <w:t>’</w:t>
      </w:r>
      <w:r w:rsidRPr="00101B00">
        <w:rPr>
          <w:lang w:val="fr-CH"/>
        </w:rPr>
        <w:t>admission dans la profession.</w:t>
      </w:r>
    </w:p>
    <w:p w:rsidR="00554873" w:rsidRPr="00BC6B0B" w:rsidRDefault="00554873" w:rsidP="00BC6B0B">
      <w:pPr>
        <w:pStyle w:val="SingleTxt"/>
        <w:numPr>
          <w:ilvl w:val="0"/>
          <w:numId w:val="7"/>
        </w:numPr>
        <w:tabs>
          <w:tab w:val="clear" w:pos="475"/>
          <w:tab w:val="num" w:pos="1742"/>
        </w:tabs>
        <w:ind w:left="1267"/>
        <w:rPr>
          <w:spacing w:val="0"/>
          <w:lang w:val="fr-CH"/>
        </w:rPr>
      </w:pPr>
      <w:r w:rsidRPr="00BC6B0B">
        <w:rPr>
          <w:spacing w:val="0"/>
          <w:lang w:val="fr-CH"/>
        </w:rPr>
        <w:t xml:space="preserve">Le Comité a </w:t>
      </w:r>
      <w:r w:rsidRPr="00BC6B0B">
        <w:rPr>
          <w:b/>
          <w:spacing w:val="0"/>
          <w:lang w:val="fr-CH"/>
        </w:rPr>
        <w:t>relevé avec satisfaction</w:t>
      </w:r>
      <w:r w:rsidRPr="00BC6B0B">
        <w:rPr>
          <w:spacing w:val="0"/>
          <w:lang w:val="fr-CH"/>
        </w:rPr>
        <w:t xml:space="preserve"> qu</w:t>
      </w:r>
      <w:r w:rsidR="005F0D9B" w:rsidRPr="00BC6B0B">
        <w:rPr>
          <w:spacing w:val="0"/>
          <w:lang w:val="fr-CH"/>
        </w:rPr>
        <w:t>’</w:t>
      </w:r>
      <w:r w:rsidR="00093B6D" w:rsidRPr="00BC6B0B">
        <w:rPr>
          <w:spacing w:val="0"/>
          <w:lang w:val="fr-CH"/>
        </w:rPr>
        <w:t>après qu’il eut approuvé le Code CTU</w:t>
      </w:r>
      <w:r w:rsidRPr="00BC6B0B">
        <w:rPr>
          <w:spacing w:val="0"/>
          <w:lang w:val="fr-CH"/>
        </w:rPr>
        <w:t xml:space="preserve"> </w:t>
      </w:r>
      <w:r w:rsidR="00093B6D" w:rsidRPr="00BC6B0B">
        <w:rPr>
          <w:spacing w:val="0"/>
          <w:lang w:val="fr-CH"/>
        </w:rPr>
        <w:t>à sa soixante-seizième session</w:t>
      </w:r>
      <w:r w:rsidRPr="00BC6B0B">
        <w:rPr>
          <w:spacing w:val="0"/>
          <w:lang w:val="fr-CH"/>
        </w:rPr>
        <w:t xml:space="preserve"> </w:t>
      </w:r>
      <w:r w:rsidR="00093B6D" w:rsidRPr="00BC6B0B">
        <w:rPr>
          <w:spacing w:val="0"/>
          <w:lang w:val="fr-CH"/>
        </w:rPr>
        <w:t>(ECE/TRANS/240, par. </w:t>
      </w:r>
      <w:r w:rsidRPr="00BC6B0B">
        <w:rPr>
          <w:spacing w:val="0"/>
          <w:lang w:val="fr-CH"/>
        </w:rPr>
        <w:t>59), l</w:t>
      </w:r>
      <w:r w:rsidR="005F0D9B" w:rsidRPr="00BC6B0B">
        <w:rPr>
          <w:spacing w:val="0"/>
          <w:lang w:val="fr-CH"/>
        </w:rPr>
        <w:t>’</w:t>
      </w:r>
      <w:r w:rsidRPr="00BC6B0B">
        <w:rPr>
          <w:spacing w:val="0"/>
          <w:lang w:val="fr-CH"/>
        </w:rPr>
        <w:t>OMI et l</w:t>
      </w:r>
      <w:r w:rsidR="005F0D9B" w:rsidRPr="00BC6B0B">
        <w:rPr>
          <w:spacing w:val="0"/>
          <w:lang w:val="fr-CH"/>
        </w:rPr>
        <w:t>’</w:t>
      </w:r>
      <w:r w:rsidRPr="00BC6B0B">
        <w:rPr>
          <w:spacing w:val="0"/>
          <w:lang w:val="fr-CH"/>
        </w:rPr>
        <w:t xml:space="preserve">OIT avaient </w:t>
      </w:r>
      <w:r w:rsidR="00093B6D" w:rsidRPr="00BC6B0B">
        <w:rPr>
          <w:spacing w:val="0"/>
          <w:lang w:val="fr-CH"/>
        </w:rPr>
        <w:t xml:space="preserve">fait de même en juillet et novembre </w:t>
      </w:r>
      <w:r w:rsidRPr="00BC6B0B">
        <w:rPr>
          <w:spacing w:val="0"/>
          <w:lang w:val="fr-CH"/>
        </w:rPr>
        <w:t>2014</w:t>
      </w:r>
      <w:r w:rsidR="00093B6D" w:rsidRPr="00BC6B0B">
        <w:rPr>
          <w:spacing w:val="0"/>
          <w:lang w:val="fr-CH"/>
        </w:rPr>
        <w:t>,</w:t>
      </w:r>
      <w:r w:rsidRPr="00BC6B0B">
        <w:rPr>
          <w:spacing w:val="0"/>
          <w:lang w:val="fr-CH"/>
        </w:rPr>
        <w:t xml:space="preserve"> respectivement. Le Comité s</w:t>
      </w:r>
      <w:r w:rsidR="005F0D9B" w:rsidRPr="00BC6B0B">
        <w:rPr>
          <w:spacing w:val="0"/>
          <w:lang w:val="fr-CH"/>
        </w:rPr>
        <w:t>’</w:t>
      </w:r>
      <w:r w:rsidRPr="00BC6B0B">
        <w:rPr>
          <w:spacing w:val="0"/>
          <w:lang w:val="fr-CH"/>
        </w:rPr>
        <w:t xml:space="preserve">est </w:t>
      </w:r>
      <w:r w:rsidRPr="00BC6B0B">
        <w:rPr>
          <w:b/>
          <w:spacing w:val="0"/>
          <w:lang w:val="fr-CH"/>
        </w:rPr>
        <w:t>déclaré très favorable</w:t>
      </w:r>
      <w:r w:rsidRPr="00BC6B0B">
        <w:rPr>
          <w:spacing w:val="0"/>
          <w:lang w:val="fr-CH"/>
        </w:rPr>
        <w:t xml:space="preserve"> à ce que le nouveau Code CTU, non obligatoire, soit largement diffusé et appliqué. Il a </w:t>
      </w:r>
      <w:r w:rsidRPr="00BC6B0B">
        <w:rPr>
          <w:b/>
          <w:spacing w:val="0"/>
          <w:lang w:val="fr-CH"/>
        </w:rPr>
        <w:t>invité</w:t>
      </w:r>
      <w:r w:rsidRPr="00BC6B0B">
        <w:rPr>
          <w:spacing w:val="0"/>
          <w:lang w:val="fr-CH"/>
        </w:rPr>
        <w:t xml:space="preserve"> les principales parties prenantes, y compris les administrations et l</w:t>
      </w:r>
      <w:r w:rsidR="005F0D9B" w:rsidRPr="00BC6B0B">
        <w:rPr>
          <w:spacing w:val="0"/>
          <w:lang w:val="fr-CH"/>
        </w:rPr>
        <w:t>’</w:t>
      </w:r>
      <w:r w:rsidRPr="00BC6B0B">
        <w:rPr>
          <w:spacing w:val="0"/>
          <w:lang w:val="fr-CH"/>
        </w:rPr>
        <w:t>industrie des transports, à faire usage de ce code car la sécurité, notamment celle des travailleurs et du public en général, s</w:t>
      </w:r>
      <w:r w:rsidR="005F0D9B" w:rsidRPr="00BC6B0B">
        <w:rPr>
          <w:spacing w:val="0"/>
          <w:lang w:val="fr-CH"/>
        </w:rPr>
        <w:t>’</w:t>
      </w:r>
      <w:r w:rsidRPr="00BC6B0B">
        <w:rPr>
          <w:spacing w:val="0"/>
          <w:lang w:val="fr-CH"/>
        </w:rPr>
        <w:t xml:space="preserve">en trouverait renforcée lors de la manutention et du transport de conteneurs en mer et à terre. </w:t>
      </w:r>
      <w:r w:rsidR="00093B6D" w:rsidRPr="00BC6B0B">
        <w:rPr>
          <w:spacing w:val="0"/>
          <w:lang w:val="fr-CH"/>
        </w:rPr>
        <w:t>Il</w:t>
      </w:r>
      <w:r w:rsidRPr="00BC6B0B">
        <w:rPr>
          <w:spacing w:val="0"/>
          <w:lang w:val="fr-CH"/>
        </w:rPr>
        <w:t xml:space="preserve"> a </w:t>
      </w:r>
      <w:r w:rsidRPr="00BC6B0B">
        <w:rPr>
          <w:b/>
          <w:spacing w:val="0"/>
          <w:lang w:val="fr-CH"/>
        </w:rPr>
        <w:t>invité</w:t>
      </w:r>
      <w:r w:rsidRPr="00BC6B0B">
        <w:rPr>
          <w:spacing w:val="0"/>
          <w:lang w:val="fr-CH"/>
        </w:rPr>
        <w:t xml:space="preserve"> le secrétariat à envisager la possibilité de mettre au point une formation en ligne sur le Code CTU. La CEE héberge un site Web consacré au Code CTU, sur lequel on peut trouver les versions du Code dans d</w:t>
      </w:r>
      <w:r w:rsidR="005F0D9B" w:rsidRPr="00BC6B0B">
        <w:rPr>
          <w:spacing w:val="0"/>
          <w:lang w:val="fr-CH"/>
        </w:rPr>
        <w:t>’</w:t>
      </w:r>
      <w:r w:rsidRPr="00BC6B0B">
        <w:rPr>
          <w:spacing w:val="0"/>
          <w:lang w:val="fr-CH"/>
        </w:rPr>
        <w:t xml:space="preserve">autres langues (voir </w:t>
      </w:r>
      <w:hyperlink r:id="rId16" w:history="1">
        <w:r w:rsidRPr="00BC6B0B">
          <w:rPr>
            <w:rStyle w:val="Hyperlink"/>
            <w:spacing w:val="0"/>
            <w:lang w:val="fr-CH"/>
          </w:rPr>
          <w:t>www2.unece.org/wiki/display/TransportSustainableCTUCode/CTU+Code</w:t>
        </w:r>
      </w:hyperlink>
      <w:r w:rsidRPr="00BC6B0B">
        <w:rPr>
          <w:spacing w:val="0"/>
          <w:lang w:val="fr-CH"/>
        </w:rPr>
        <w:t>).</w:t>
      </w:r>
    </w:p>
    <w:p w:rsidR="004F173B" w:rsidRPr="00101B00" w:rsidRDefault="004F173B" w:rsidP="004F173B">
      <w:pPr>
        <w:pStyle w:val="SingleTxt"/>
        <w:spacing w:after="0" w:line="120" w:lineRule="exact"/>
        <w:rPr>
          <w:sz w:val="10"/>
          <w:lang w:val="fr-CH"/>
        </w:rPr>
      </w:pPr>
    </w:p>
    <w:p w:rsidR="004F173B" w:rsidRPr="00101B00" w:rsidRDefault="004F173B" w:rsidP="004F173B">
      <w:pPr>
        <w:pStyle w:val="SingleTxt"/>
        <w:spacing w:after="0" w:line="120" w:lineRule="exact"/>
        <w:rPr>
          <w:sz w:val="10"/>
          <w:lang w:val="fr-CH"/>
        </w:rPr>
      </w:pPr>
    </w:p>
    <w:p w:rsidR="00554873" w:rsidRPr="00101B00" w:rsidRDefault="00554873" w:rsidP="004F17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1B00">
        <w:rPr>
          <w:lang w:val="fr-CH"/>
        </w:rPr>
        <w:tab/>
        <w:t>G.</w:t>
      </w:r>
      <w:r w:rsidRPr="00101B00">
        <w:rPr>
          <w:lang w:val="fr-CH"/>
        </w:rPr>
        <w:tab/>
        <w:t>Transport par voie navigable</w:t>
      </w:r>
    </w:p>
    <w:p w:rsidR="004F173B" w:rsidRPr="00101B00" w:rsidRDefault="004F173B" w:rsidP="004F173B">
      <w:pPr>
        <w:pStyle w:val="SingleTxt"/>
        <w:spacing w:after="0" w:line="120" w:lineRule="exact"/>
        <w:rPr>
          <w:i/>
          <w:sz w:val="10"/>
          <w:lang w:val="fr-CH"/>
        </w:rPr>
      </w:pPr>
    </w:p>
    <w:p w:rsidR="004F173B" w:rsidRPr="00101B00" w:rsidRDefault="004F173B" w:rsidP="004F173B">
      <w:pPr>
        <w:pStyle w:val="SingleTxt"/>
        <w:spacing w:after="0" w:line="120" w:lineRule="exact"/>
        <w:rPr>
          <w:i/>
          <w:sz w:val="10"/>
          <w:lang w:val="fr-CH"/>
        </w:rPr>
      </w:pPr>
    </w:p>
    <w:p w:rsidR="00554873" w:rsidRPr="00101B00" w:rsidRDefault="004F173B" w:rsidP="004F173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val="0"/>
          <w:iCs/>
          <w:lang w:val="fr-CH"/>
        </w:rPr>
      </w:pPr>
      <w:r w:rsidRPr="00101B00">
        <w:rPr>
          <w:lang w:val="fr-CH"/>
        </w:rPr>
        <w:tab/>
      </w:r>
      <w:r w:rsidRPr="00101B00">
        <w:rPr>
          <w:lang w:val="fr-CH"/>
        </w:rPr>
        <w:tab/>
      </w:r>
      <w:r w:rsidR="00554873" w:rsidRPr="00101B00">
        <w:rPr>
          <w:lang w:val="fr-CH"/>
        </w:rPr>
        <w:t>Document</w:t>
      </w:r>
      <w:r w:rsidR="005F0D9B" w:rsidRPr="00101B00">
        <w:rPr>
          <w:lang w:val="fr-CH"/>
        </w:rPr>
        <w:t> </w:t>
      </w:r>
      <w:r w:rsidR="005F0D9B" w:rsidRPr="00101B00">
        <w:rPr>
          <w:i w:val="0"/>
          <w:iCs/>
          <w:lang w:val="fr-CH"/>
        </w:rPr>
        <w:t>:</w:t>
      </w:r>
      <w:r w:rsidRPr="00101B00">
        <w:rPr>
          <w:i w:val="0"/>
          <w:iCs/>
          <w:lang w:val="fr-CH"/>
        </w:rPr>
        <w:tab/>
      </w:r>
      <w:r w:rsidR="00554873" w:rsidRPr="00101B00">
        <w:rPr>
          <w:i w:val="0"/>
          <w:iCs/>
          <w:lang w:val="fr-CH"/>
        </w:rPr>
        <w:t>ECE/TRANS/SC.3/197.</w:t>
      </w:r>
    </w:p>
    <w:p w:rsidR="004F173B" w:rsidRPr="00101B00" w:rsidRDefault="004F173B" w:rsidP="004F173B">
      <w:pPr>
        <w:pStyle w:val="SingleTxt"/>
        <w:spacing w:after="0" w:line="120" w:lineRule="exact"/>
        <w:rPr>
          <w:sz w:val="10"/>
          <w:lang w:val="fr-CH"/>
        </w:rPr>
      </w:pPr>
    </w:p>
    <w:p w:rsidR="00554873" w:rsidRPr="00101B00" w:rsidRDefault="00554873" w:rsidP="00D16BB1">
      <w:pPr>
        <w:pStyle w:val="SingleTxt"/>
        <w:numPr>
          <w:ilvl w:val="0"/>
          <w:numId w:val="7"/>
        </w:numPr>
        <w:tabs>
          <w:tab w:val="clear" w:pos="475"/>
          <w:tab w:val="num" w:pos="1742"/>
        </w:tabs>
        <w:ind w:left="1267"/>
        <w:rPr>
          <w:lang w:val="fr-CH"/>
        </w:rPr>
      </w:pPr>
      <w:r w:rsidRPr="00101B00">
        <w:rPr>
          <w:lang w:val="fr-CH"/>
        </w:rPr>
        <w:t xml:space="preserve">Le Comité a </w:t>
      </w:r>
      <w:r w:rsidRPr="00101B00">
        <w:rPr>
          <w:b/>
          <w:lang w:val="fr-CH"/>
        </w:rPr>
        <w:t>été informé</w:t>
      </w:r>
      <w:r w:rsidRPr="00101B00">
        <w:rPr>
          <w:lang w:val="fr-CH"/>
        </w:rPr>
        <w:t xml:space="preserve"> des activités les plus récentes du Groupe de travail des transports par voie navigable (SC.3) (ECE/TRANS/SC.3/197). Il a en particulier </w:t>
      </w:r>
      <w:r w:rsidRPr="00101B00">
        <w:rPr>
          <w:b/>
          <w:lang w:val="fr-CH"/>
        </w:rPr>
        <w:t>noté</w:t>
      </w:r>
      <w:r w:rsidRPr="00101B00">
        <w:rPr>
          <w:lang w:val="fr-CH"/>
        </w:rPr>
        <w:t xml:space="preserve"> que les amendements au texte principal de l</w:t>
      </w:r>
      <w:r w:rsidR="005F0D9B" w:rsidRPr="00101B00">
        <w:rPr>
          <w:lang w:val="fr-CH"/>
        </w:rPr>
        <w:t>’</w:t>
      </w:r>
      <w:r w:rsidRPr="00101B00">
        <w:rPr>
          <w:lang w:val="fr-CH"/>
        </w:rPr>
        <w:t>Accord européen sur les grandes voies navigables d</w:t>
      </w:r>
      <w:r w:rsidR="005F0D9B" w:rsidRPr="00101B00">
        <w:rPr>
          <w:lang w:val="fr-CH"/>
        </w:rPr>
        <w:t>’</w:t>
      </w:r>
      <w:r w:rsidRPr="00101B00">
        <w:rPr>
          <w:lang w:val="fr-CH"/>
        </w:rPr>
        <w:t>importance internationale (AGN)</w:t>
      </w:r>
      <w:r w:rsidR="00093B6D" w:rsidRPr="00101B00">
        <w:rPr>
          <w:lang w:val="fr-CH"/>
        </w:rPr>
        <w:t xml:space="preserve"> étaient entrés en vigueur le 7 </w:t>
      </w:r>
      <w:r w:rsidRPr="00101B00">
        <w:rPr>
          <w:lang w:val="fr-CH"/>
        </w:rPr>
        <w:t>novembre 2014.</w:t>
      </w:r>
    </w:p>
    <w:p w:rsidR="00554873" w:rsidRPr="00101B00" w:rsidRDefault="00554873" w:rsidP="00D16BB1">
      <w:pPr>
        <w:pStyle w:val="SingleTxt"/>
        <w:numPr>
          <w:ilvl w:val="0"/>
          <w:numId w:val="7"/>
        </w:numPr>
        <w:tabs>
          <w:tab w:val="clear" w:pos="475"/>
          <w:tab w:val="num" w:pos="1742"/>
        </w:tabs>
        <w:ind w:left="1267"/>
        <w:rPr>
          <w:lang w:val="fr-CH"/>
        </w:rPr>
      </w:pPr>
      <w:r w:rsidRPr="00101B00">
        <w:rPr>
          <w:lang w:val="fr-CH"/>
        </w:rPr>
        <w:t xml:space="preserve">Le Comité a </w:t>
      </w:r>
      <w:r w:rsidRPr="00101B00">
        <w:rPr>
          <w:b/>
          <w:lang w:val="fr-CH"/>
        </w:rPr>
        <w:t xml:space="preserve">rappelé </w:t>
      </w:r>
      <w:r w:rsidRPr="00101B00">
        <w:rPr>
          <w:lang w:val="fr-CH"/>
        </w:rPr>
        <w:t>ses décisions concernant les recommandations du Livre blanc sur l</w:t>
      </w:r>
      <w:r w:rsidR="005F0D9B" w:rsidRPr="00101B00">
        <w:rPr>
          <w:lang w:val="fr-CH"/>
        </w:rPr>
        <w:t>’</w:t>
      </w:r>
      <w:r w:rsidRPr="00101B00">
        <w:rPr>
          <w:lang w:val="fr-CH"/>
        </w:rPr>
        <w:t xml:space="preserve">efficacité et la viabilité des transports par voie navigable en Europe, publié en 2011, et a </w:t>
      </w:r>
      <w:r w:rsidRPr="00101B00">
        <w:rPr>
          <w:b/>
          <w:lang w:val="fr-CH"/>
        </w:rPr>
        <w:t>prié</w:t>
      </w:r>
      <w:r w:rsidRPr="00101B00">
        <w:rPr>
          <w:lang w:val="fr-CH"/>
        </w:rPr>
        <w:t xml:space="preserve"> le Groupe de travail des transports par voie navigable (SC.3), le Groupe de travail de l</w:t>
      </w:r>
      <w:r w:rsidR="005F0D9B" w:rsidRPr="00101B00">
        <w:rPr>
          <w:lang w:val="fr-CH"/>
        </w:rPr>
        <w:t>’</w:t>
      </w:r>
      <w:r w:rsidRPr="00101B00">
        <w:rPr>
          <w:lang w:val="fr-CH"/>
        </w:rPr>
        <w:t>unification des prescriptions techniques et de sécurité en navigation intérieure (WP.3) et le secrétariat de rendre compte de l</w:t>
      </w:r>
      <w:r w:rsidR="005F0D9B" w:rsidRPr="00101B00">
        <w:rPr>
          <w:lang w:val="fr-CH"/>
        </w:rPr>
        <w:t>’</w:t>
      </w:r>
      <w:r w:rsidRPr="00101B00">
        <w:rPr>
          <w:lang w:val="fr-CH"/>
        </w:rPr>
        <w:t>état de la mise en œuvre des recommandations du Livre blanc à sa soixante-dix-huitième session.</w:t>
      </w:r>
    </w:p>
    <w:p w:rsidR="00554873" w:rsidRPr="00101B00" w:rsidRDefault="00554873" w:rsidP="00D16BB1">
      <w:pPr>
        <w:pStyle w:val="SingleTxt"/>
        <w:numPr>
          <w:ilvl w:val="0"/>
          <w:numId w:val="7"/>
        </w:numPr>
        <w:tabs>
          <w:tab w:val="clear" w:pos="475"/>
          <w:tab w:val="num" w:pos="1742"/>
        </w:tabs>
        <w:ind w:left="1267"/>
        <w:rPr>
          <w:lang w:val="fr-CH"/>
        </w:rPr>
      </w:pPr>
      <w:r w:rsidRPr="00101B00">
        <w:rPr>
          <w:lang w:val="fr-CH"/>
        </w:rPr>
        <w:t xml:space="preserve">Le Comité a </w:t>
      </w:r>
      <w:r w:rsidRPr="00101B00">
        <w:rPr>
          <w:b/>
          <w:lang w:val="fr-CH"/>
        </w:rPr>
        <w:t>noté</w:t>
      </w:r>
      <w:r w:rsidRPr="00101B00">
        <w:rPr>
          <w:lang w:val="fr-CH"/>
        </w:rPr>
        <w:t xml:space="preserve"> que le Groupe international d</w:t>
      </w:r>
      <w:r w:rsidR="005F0D9B" w:rsidRPr="00101B00">
        <w:rPr>
          <w:lang w:val="fr-CH"/>
        </w:rPr>
        <w:t>’</w:t>
      </w:r>
      <w:r w:rsidRPr="00101B00">
        <w:rPr>
          <w:lang w:val="fr-CH"/>
        </w:rPr>
        <w:t>experts chargé de la reconnaissance réciproque des certificats de conducteur de bateau et de l</w:t>
      </w:r>
      <w:r w:rsidR="005F0D9B" w:rsidRPr="00101B00">
        <w:rPr>
          <w:lang w:val="fr-CH"/>
        </w:rPr>
        <w:t>’</w:t>
      </w:r>
      <w:r w:rsidRPr="00101B00">
        <w:rPr>
          <w:lang w:val="fr-CH"/>
        </w:rPr>
        <w:t>harmonisation des exigences en matière de qualifications professionnelles dans le domaine de la navigation intérieure s</w:t>
      </w:r>
      <w:r w:rsidR="005F0D9B" w:rsidRPr="00101B00">
        <w:rPr>
          <w:lang w:val="fr-CH"/>
        </w:rPr>
        <w:t>’</w:t>
      </w:r>
      <w:r w:rsidRPr="00101B00">
        <w:rPr>
          <w:lang w:val="fr-CH"/>
        </w:rPr>
        <w:t>était réuni et était convenu, à des fins d</w:t>
      </w:r>
      <w:r w:rsidR="005F0D9B" w:rsidRPr="00101B00">
        <w:rPr>
          <w:lang w:val="fr-CH"/>
        </w:rPr>
        <w:t>’</w:t>
      </w:r>
      <w:r w:rsidRPr="00101B00">
        <w:rPr>
          <w:lang w:val="fr-CH"/>
        </w:rPr>
        <w:t>efficacité, de ne pas créer de groupe officiel mais de poursuivre les travaux à ce sujet dans le cadre d</w:t>
      </w:r>
      <w:r w:rsidR="005F0D9B" w:rsidRPr="00101B00">
        <w:rPr>
          <w:lang w:val="fr-CH"/>
        </w:rPr>
        <w:t>’</w:t>
      </w:r>
      <w:r w:rsidRPr="00101B00">
        <w:rPr>
          <w:lang w:val="fr-CH"/>
        </w:rPr>
        <w:t>un groupe d</w:t>
      </w:r>
      <w:r w:rsidR="005F0D9B" w:rsidRPr="00101B00">
        <w:rPr>
          <w:lang w:val="fr-CH"/>
        </w:rPr>
        <w:t>’</w:t>
      </w:r>
      <w:r w:rsidRPr="00101B00">
        <w:rPr>
          <w:lang w:val="fr-CH"/>
        </w:rPr>
        <w:t>experts informel.</w:t>
      </w:r>
    </w:p>
    <w:p w:rsidR="00554873" w:rsidRPr="00101B00" w:rsidRDefault="00554873" w:rsidP="00093B6D">
      <w:pPr>
        <w:pStyle w:val="SingleTxt"/>
        <w:numPr>
          <w:ilvl w:val="0"/>
          <w:numId w:val="7"/>
        </w:numPr>
        <w:tabs>
          <w:tab w:val="clear" w:pos="475"/>
          <w:tab w:val="num" w:pos="1742"/>
        </w:tabs>
        <w:ind w:left="1267"/>
        <w:rPr>
          <w:lang w:val="fr-CH"/>
        </w:rPr>
      </w:pPr>
      <w:r w:rsidRPr="00101B00">
        <w:rPr>
          <w:lang w:val="fr-CH"/>
        </w:rPr>
        <w:t xml:space="preserve">Le Comité a en outre </w:t>
      </w:r>
      <w:r w:rsidRPr="00101B00">
        <w:rPr>
          <w:b/>
          <w:lang w:val="fr-CH"/>
        </w:rPr>
        <w:t>noté</w:t>
      </w:r>
      <w:r w:rsidRPr="00101B00">
        <w:rPr>
          <w:lang w:val="fr-CH"/>
        </w:rPr>
        <w:t xml:space="preserve"> que, comme suite à sa demande de préparation et d</w:t>
      </w:r>
      <w:r w:rsidR="005F0D9B" w:rsidRPr="00101B00">
        <w:rPr>
          <w:lang w:val="fr-CH"/>
        </w:rPr>
        <w:t>’</w:t>
      </w:r>
      <w:r w:rsidRPr="00101B00">
        <w:rPr>
          <w:lang w:val="fr-CH"/>
        </w:rPr>
        <w:t>organisation d</w:t>
      </w:r>
      <w:r w:rsidR="005F0D9B" w:rsidRPr="00101B00">
        <w:rPr>
          <w:lang w:val="fr-CH"/>
        </w:rPr>
        <w:t>’</w:t>
      </w:r>
      <w:r w:rsidRPr="00101B00">
        <w:rPr>
          <w:lang w:val="fr-CH"/>
        </w:rPr>
        <w:t>une conférence internationale de haut niveau sur la navigation intérieure, le SC.3 avait examiné</w:t>
      </w:r>
      <w:r w:rsidR="00093B6D" w:rsidRPr="00101B00">
        <w:rPr>
          <w:lang w:val="fr-CH"/>
        </w:rPr>
        <w:t>, à sa cinquante-huitième session,</w:t>
      </w:r>
      <w:r w:rsidRPr="00101B00">
        <w:rPr>
          <w:lang w:val="fr-CH"/>
        </w:rPr>
        <w:t xml:space="preserve"> les points essentiels qui pourraient être abordés à cette occasion.</w:t>
      </w:r>
    </w:p>
    <w:p w:rsidR="00554873" w:rsidRPr="00101B00" w:rsidRDefault="00554873" w:rsidP="00093B6D">
      <w:pPr>
        <w:pStyle w:val="SingleTxt"/>
        <w:numPr>
          <w:ilvl w:val="0"/>
          <w:numId w:val="7"/>
        </w:numPr>
        <w:tabs>
          <w:tab w:val="clear" w:pos="475"/>
          <w:tab w:val="num" w:pos="1742"/>
        </w:tabs>
        <w:ind w:left="1267"/>
        <w:rPr>
          <w:lang w:val="fr-CH"/>
        </w:rPr>
      </w:pPr>
      <w:r w:rsidRPr="00101B00">
        <w:rPr>
          <w:lang w:val="fr-CH"/>
        </w:rPr>
        <w:t xml:space="preserve">Le Comité a </w:t>
      </w:r>
      <w:r w:rsidRPr="00101B00">
        <w:rPr>
          <w:b/>
          <w:lang w:val="fr-CH"/>
        </w:rPr>
        <w:t>pris note</w:t>
      </w:r>
      <w:r w:rsidRPr="00101B00">
        <w:rPr>
          <w:lang w:val="fr-CH"/>
        </w:rPr>
        <w:t xml:space="preserve"> de </w:t>
      </w:r>
      <w:r w:rsidR="00093B6D" w:rsidRPr="00101B00">
        <w:rPr>
          <w:lang w:val="fr-CH"/>
        </w:rPr>
        <w:t>la finalisation</w:t>
      </w:r>
      <w:r w:rsidRPr="00101B00">
        <w:rPr>
          <w:lang w:val="fr-CH"/>
        </w:rPr>
        <w:t xml:space="preserve"> de la dernière version du Code européen des voies de naviga</w:t>
      </w:r>
      <w:r w:rsidR="00CC38BF" w:rsidRPr="00101B00">
        <w:rPr>
          <w:lang w:val="fr-CH"/>
        </w:rPr>
        <w:t>tion intérieure (CEVNI Révision </w:t>
      </w:r>
      <w:r w:rsidRPr="00101B00">
        <w:rPr>
          <w:lang w:val="fr-CH"/>
        </w:rPr>
        <w:t xml:space="preserve">5), qui devait être publiée au premier semestre 2015. Cette révision offrait un cadre et un ensemble de règles de base pour la navigation intérieure et la signalisation sur les voies navigables européennes. Le Comité a </w:t>
      </w:r>
      <w:r w:rsidRPr="00101B00">
        <w:rPr>
          <w:b/>
          <w:lang w:val="fr-CH"/>
        </w:rPr>
        <w:t xml:space="preserve">exprimé son appui </w:t>
      </w:r>
      <w:r w:rsidRPr="00101B00">
        <w:rPr>
          <w:lang w:val="fr-CH"/>
        </w:rPr>
        <w:t>aux activités du SC.3 visant à harmoniser les services d</w:t>
      </w:r>
      <w:r w:rsidR="005F0D9B" w:rsidRPr="00101B00">
        <w:rPr>
          <w:lang w:val="fr-CH"/>
        </w:rPr>
        <w:t>’</w:t>
      </w:r>
      <w:r w:rsidRPr="00101B00">
        <w:rPr>
          <w:lang w:val="fr-CH"/>
        </w:rPr>
        <w:t>information fluviale paneuropéens, notamment dans le cadre de la Résolution n</w:t>
      </w:r>
      <w:r w:rsidRPr="00101B00">
        <w:rPr>
          <w:vertAlign w:val="superscript"/>
          <w:lang w:val="fr-CH"/>
        </w:rPr>
        <w:t>o </w:t>
      </w:r>
      <w:r w:rsidRPr="00101B00">
        <w:rPr>
          <w:lang w:val="fr-CH"/>
        </w:rPr>
        <w:t>48 de la CEE sur le système de visualisation des cartes électroniques et d</w:t>
      </w:r>
      <w:r w:rsidR="005F0D9B" w:rsidRPr="00101B00">
        <w:rPr>
          <w:lang w:val="fr-CH"/>
        </w:rPr>
        <w:t>’</w:t>
      </w:r>
      <w:r w:rsidRPr="00101B00">
        <w:rPr>
          <w:lang w:val="fr-CH"/>
        </w:rPr>
        <w:t>informations pour la navigation intérieure (ECDIS Intérieur).</w:t>
      </w:r>
    </w:p>
    <w:p w:rsidR="00554873" w:rsidRPr="00101B00" w:rsidRDefault="00554873" w:rsidP="00CC38BF">
      <w:pPr>
        <w:pStyle w:val="SingleTxt"/>
        <w:numPr>
          <w:ilvl w:val="0"/>
          <w:numId w:val="7"/>
        </w:numPr>
        <w:tabs>
          <w:tab w:val="clear" w:pos="475"/>
          <w:tab w:val="num" w:pos="1742"/>
        </w:tabs>
        <w:ind w:left="1267"/>
        <w:rPr>
          <w:lang w:val="fr-CH"/>
        </w:rPr>
      </w:pPr>
      <w:r w:rsidRPr="00101B00">
        <w:rPr>
          <w:lang w:val="fr-CH"/>
        </w:rPr>
        <w:lastRenderedPageBreak/>
        <w:t xml:space="preserve">Le Comité, ayant demandé des renseignements actualisés sur les instruments non encore entrés en vigueur, a </w:t>
      </w:r>
      <w:r w:rsidRPr="00101B00">
        <w:rPr>
          <w:b/>
          <w:lang w:val="fr-CH"/>
        </w:rPr>
        <w:t>été informé</w:t>
      </w:r>
      <w:r w:rsidRPr="00101B00">
        <w:rPr>
          <w:lang w:val="fr-CH"/>
        </w:rPr>
        <w:t xml:space="preserve"> que le Protocole à la Convention relative à la limitation de la responsabilité des propriétaires de bateaux de n</w:t>
      </w:r>
      <w:r w:rsidR="00CC38BF" w:rsidRPr="00101B00">
        <w:rPr>
          <w:lang w:val="fr-CH"/>
        </w:rPr>
        <w:t>avigation intérieure (CLN) du 5 </w:t>
      </w:r>
      <w:r w:rsidRPr="00101B00">
        <w:rPr>
          <w:lang w:val="fr-CH"/>
        </w:rPr>
        <w:t>juillet 1978, le Protocole à la Convention relative au contrat de transport international de voyageurs et de bagages en n</w:t>
      </w:r>
      <w:r w:rsidR="00CC38BF" w:rsidRPr="00101B00">
        <w:rPr>
          <w:lang w:val="fr-CH"/>
        </w:rPr>
        <w:t>avigation intérieure (CVN) du 5 </w:t>
      </w:r>
      <w:r w:rsidRPr="00101B00">
        <w:rPr>
          <w:lang w:val="fr-CH"/>
        </w:rPr>
        <w:t>juillet 1978, la Convention relative au contrat de transport international de voyageurs et de bagages en n</w:t>
      </w:r>
      <w:r w:rsidR="00CC38BF" w:rsidRPr="00101B00">
        <w:rPr>
          <w:lang w:val="fr-CH"/>
        </w:rPr>
        <w:t>avigation intérieure (CVN) du 6 </w:t>
      </w:r>
      <w:r w:rsidRPr="00101B00">
        <w:rPr>
          <w:lang w:val="fr-CH"/>
        </w:rPr>
        <w:t>février 1976 et la Convention relative à la limitation de la responsabilité des propriétaires de bateaux de navigation intérieure (CLN) du 1</w:t>
      </w:r>
      <w:r w:rsidRPr="00101B00">
        <w:rPr>
          <w:vertAlign w:val="superscript"/>
          <w:lang w:val="fr-CH"/>
        </w:rPr>
        <w:t>er</w:t>
      </w:r>
      <w:r w:rsidR="00CC38BF" w:rsidRPr="00101B00">
        <w:rPr>
          <w:lang w:val="fr-CH"/>
        </w:rPr>
        <w:t xml:space="preserve"> mars </w:t>
      </w:r>
      <w:r w:rsidRPr="00101B00">
        <w:rPr>
          <w:lang w:val="fr-CH"/>
        </w:rPr>
        <w:t>1973, n</w:t>
      </w:r>
      <w:r w:rsidR="005F0D9B" w:rsidRPr="00101B00">
        <w:rPr>
          <w:lang w:val="fr-CH"/>
        </w:rPr>
        <w:t>’</w:t>
      </w:r>
      <w:r w:rsidRPr="00101B00">
        <w:rPr>
          <w:lang w:val="fr-CH"/>
        </w:rPr>
        <w:t>étaient pas encore entrés en vigueur.</w:t>
      </w:r>
    </w:p>
    <w:p w:rsidR="004F173B" w:rsidRPr="00101B00" w:rsidRDefault="004F173B" w:rsidP="004F173B">
      <w:pPr>
        <w:pStyle w:val="SingleTxt"/>
        <w:spacing w:after="0" w:line="120" w:lineRule="exact"/>
        <w:rPr>
          <w:sz w:val="10"/>
          <w:lang w:val="fr-CH"/>
        </w:rPr>
      </w:pPr>
    </w:p>
    <w:p w:rsidR="004F173B" w:rsidRPr="00101B00" w:rsidRDefault="004F173B" w:rsidP="004F173B">
      <w:pPr>
        <w:pStyle w:val="SingleTxt"/>
        <w:spacing w:after="0" w:line="120" w:lineRule="exact"/>
        <w:rPr>
          <w:sz w:val="10"/>
          <w:lang w:val="fr-CH"/>
        </w:rPr>
      </w:pPr>
    </w:p>
    <w:p w:rsidR="00554873" w:rsidRPr="00101B00" w:rsidRDefault="00554873" w:rsidP="004F17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1B00">
        <w:rPr>
          <w:lang w:val="fr-CH"/>
        </w:rPr>
        <w:tab/>
        <w:t>H.</w:t>
      </w:r>
      <w:r w:rsidRPr="00101B00">
        <w:rPr>
          <w:lang w:val="fr-CH"/>
        </w:rPr>
        <w:tab/>
        <w:t xml:space="preserve">Renforcement des mesures de facilitation du franchissement </w:t>
      </w:r>
      <w:r w:rsidR="004F173B" w:rsidRPr="00101B00">
        <w:rPr>
          <w:lang w:val="fr-CH"/>
        </w:rPr>
        <w:br/>
      </w:r>
      <w:r w:rsidRPr="00101B00">
        <w:rPr>
          <w:lang w:val="fr-CH"/>
        </w:rPr>
        <w:t>des frontières (Convention sur l</w:t>
      </w:r>
      <w:r w:rsidR="005F0D9B" w:rsidRPr="00101B00">
        <w:rPr>
          <w:lang w:val="fr-CH"/>
        </w:rPr>
        <w:t>’</w:t>
      </w:r>
      <w:r w:rsidRPr="00101B00">
        <w:rPr>
          <w:lang w:val="fr-CH"/>
        </w:rPr>
        <w:t xml:space="preserve">harmonisation, Convention TIR, </w:t>
      </w:r>
      <w:r w:rsidR="004F173B" w:rsidRPr="00101B00">
        <w:rPr>
          <w:lang w:val="fr-CH"/>
        </w:rPr>
        <w:br/>
      </w:r>
      <w:r w:rsidRPr="00101B00">
        <w:rPr>
          <w:lang w:val="fr-CH"/>
        </w:rPr>
        <w:t>projet eTIR et autres mesures de facilitation du transit douanier)</w:t>
      </w:r>
    </w:p>
    <w:p w:rsidR="004F173B" w:rsidRPr="00101B00" w:rsidRDefault="004F173B" w:rsidP="004F173B">
      <w:pPr>
        <w:pStyle w:val="SingleTxt"/>
        <w:spacing w:after="0" w:line="120" w:lineRule="exact"/>
        <w:rPr>
          <w:i/>
          <w:sz w:val="10"/>
          <w:lang w:val="fr-CH"/>
        </w:rPr>
      </w:pPr>
    </w:p>
    <w:p w:rsidR="004F173B" w:rsidRPr="00101B00" w:rsidRDefault="004F173B" w:rsidP="004F173B">
      <w:pPr>
        <w:pStyle w:val="SingleTxt"/>
        <w:spacing w:after="0" w:line="120" w:lineRule="exact"/>
        <w:rPr>
          <w:i/>
          <w:sz w:val="10"/>
          <w:lang w:val="fr-CH"/>
        </w:rPr>
      </w:pPr>
    </w:p>
    <w:p w:rsidR="00554873" w:rsidRPr="00101B00" w:rsidRDefault="004F173B" w:rsidP="004F173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val="0"/>
          <w:iCs/>
          <w:lang w:val="fr-CH"/>
        </w:rPr>
      </w:pPr>
      <w:r w:rsidRPr="00101B00">
        <w:rPr>
          <w:lang w:val="fr-CH"/>
        </w:rPr>
        <w:tab/>
      </w:r>
      <w:r w:rsidRPr="00101B00">
        <w:rPr>
          <w:lang w:val="fr-CH"/>
        </w:rPr>
        <w:tab/>
      </w:r>
      <w:r w:rsidR="00554873" w:rsidRPr="00101B00">
        <w:rPr>
          <w:lang w:val="fr-CH"/>
        </w:rPr>
        <w:t>Document</w:t>
      </w:r>
      <w:r w:rsidR="005F0D9B" w:rsidRPr="00101B00">
        <w:rPr>
          <w:lang w:val="fr-CH"/>
        </w:rPr>
        <w:t> </w:t>
      </w:r>
      <w:r w:rsidR="005F0D9B" w:rsidRPr="00101B00">
        <w:rPr>
          <w:i w:val="0"/>
          <w:iCs/>
          <w:lang w:val="fr-CH"/>
        </w:rPr>
        <w:t>:</w:t>
      </w:r>
      <w:r w:rsidRPr="00101B00">
        <w:rPr>
          <w:i w:val="0"/>
          <w:iCs/>
          <w:lang w:val="fr-CH"/>
        </w:rPr>
        <w:tab/>
      </w:r>
      <w:r w:rsidR="00554873" w:rsidRPr="00101B00">
        <w:rPr>
          <w:i w:val="0"/>
          <w:iCs/>
          <w:lang w:val="fr-CH"/>
        </w:rPr>
        <w:t>ECE/TRANS/2015/17.</w:t>
      </w:r>
    </w:p>
    <w:p w:rsidR="004F173B" w:rsidRPr="00101B00" w:rsidRDefault="004F173B" w:rsidP="004F173B">
      <w:pPr>
        <w:pStyle w:val="SingleTxt"/>
        <w:spacing w:after="0" w:line="120" w:lineRule="exact"/>
        <w:rPr>
          <w:sz w:val="10"/>
          <w:lang w:val="fr-CH"/>
        </w:rPr>
      </w:pPr>
    </w:p>
    <w:p w:rsidR="00554873" w:rsidRPr="00101B00" w:rsidRDefault="00554873" w:rsidP="00CC38BF">
      <w:pPr>
        <w:pStyle w:val="SingleTxt"/>
        <w:numPr>
          <w:ilvl w:val="0"/>
          <w:numId w:val="7"/>
        </w:numPr>
        <w:tabs>
          <w:tab w:val="clear" w:pos="475"/>
          <w:tab w:val="num" w:pos="1742"/>
        </w:tabs>
        <w:ind w:left="1267"/>
        <w:rPr>
          <w:lang w:val="fr-CH"/>
        </w:rPr>
      </w:pPr>
      <w:r w:rsidRPr="00101B00">
        <w:rPr>
          <w:lang w:val="fr-CH"/>
        </w:rPr>
        <w:t>M</w:t>
      </w:r>
      <w:r w:rsidRPr="00101B00">
        <w:rPr>
          <w:vertAlign w:val="superscript"/>
          <w:lang w:val="fr-CH"/>
        </w:rPr>
        <w:t>me</w:t>
      </w:r>
      <w:r w:rsidRPr="00101B00">
        <w:rPr>
          <w:lang w:val="fr-CH"/>
        </w:rPr>
        <w:t xml:space="preserve"> Helen Metaxa-Mariatou, Présidente du WP.30, et M. Henrik Lindström, Président du WP.30/AC.2, ont </w:t>
      </w:r>
      <w:r w:rsidRPr="00101B00">
        <w:rPr>
          <w:b/>
          <w:lang w:val="fr-CH"/>
        </w:rPr>
        <w:t>informé</w:t>
      </w:r>
      <w:r w:rsidRPr="00101B00">
        <w:rPr>
          <w:lang w:val="fr-CH"/>
        </w:rPr>
        <w:t xml:space="preserve"> le Comité des principales réalisations de ces deux groupes en 2014. Le Comité </w:t>
      </w:r>
      <w:r w:rsidR="00CC38BF" w:rsidRPr="00101B00">
        <w:rPr>
          <w:lang w:val="fr-CH"/>
        </w:rPr>
        <w:t xml:space="preserve">s’est </w:t>
      </w:r>
      <w:r w:rsidR="00CC38BF" w:rsidRPr="00101B00">
        <w:rPr>
          <w:b/>
          <w:bCs/>
          <w:lang w:val="fr-CH"/>
        </w:rPr>
        <w:t>déclaré</w:t>
      </w:r>
      <w:r w:rsidR="00CC38BF" w:rsidRPr="00101B00">
        <w:rPr>
          <w:lang w:val="fr-CH"/>
        </w:rPr>
        <w:t xml:space="preserve"> </w:t>
      </w:r>
      <w:r w:rsidR="00CC38BF" w:rsidRPr="00101B00">
        <w:rPr>
          <w:b/>
          <w:bCs/>
          <w:lang w:val="fr-CH"/>
        </w:rPr>
        <w:t>favorable</w:t>
      </w:r>
      <w:r w:rsidR="00CC38BF" w:rsidRPr="00101B00">
        <w:rPr>
          <w:lang w:val="fr-CH"/>
        </w:rPr>
        <w:t xml:space="preserve"> aux </w:t>
      </w:r>
      <w:r w:rsidRPr="00101B00">
        <w:rPr>
          <w:lang w:val="fr-CH"/>
        </w:rPr>
        <w:t>résultats des activités menées récemment dans le cadre du WP.30, en particulier celles qui visaient à renforcer la Convention internationale sur l</w:t>
      </w:r>
      <w:r w:rsidR="005F0D9B" w:rsidRPr="00101B00">
        <w:rPr>
          <w:lang w:val="fr-CH"/>
        </w:rPr>
        <w:t>’</w:t>
      </w:r>
      <w:r w:rsidRPr="00101B00">
        <w:rPr>
          <w:lang w:val="fr-CH"/>
        </w:rPr>
        <w:t>harmonisation des contrôles des marchandises aux frontières de 1982 ainsi que la Convention TIR de 1975.</w:t>
      </w:r>
    </w:p>
    <w:p w:rsidR="00554873" w:rsidRPr="00101B00" w:rsidRDefault="00554873" w:rsidP="00D16BB1">
      <w:pPr>
        <w:pStyle w:val="SingleTxt"/>
        <w:numPr>
          <w:ilvl w:val="0"/>
          <w:numId w:val="7"/>
        </w:numPr>
        <w:tabs>
          <w:tab w:val="clear" w:pos="475"/>
          <w:tab w:val="num" w:pos="1742"/>
        </w:tabs>
        <w:ind w:left="1267"/>
        <w:rPr>
          <w:lang w:val="fr-CH"/>
        </w:rPr>
      </w:pPr>
      <w:r w:rsidRPr="00101B00">
        <w:rPr>
          <w:lang w:val="fr-CH"/>
        </w:rPr>
        <w:t>À cet égard, le Comité s</w:t>
      </w:r>
      <w:r w:rsidR="005F0D9B" w:rsidRPr="00101B00">
        <w:rPr>
          <w:lang w:val="fr-CH"/>
        </w:rPr>
        <w:t>’</w:t>
      </w:r>
      <w:r w:rsidRPr="00101B00">
        <w:rPr>
          <w:lang w:val="fr-CH"/>
        </w:rPr>
        <w:t xml:space="preserve">est </w:t>
      </w:r>
      <w:r w:rsidRPr="00101B00">
        <w:rPr>
          <w:b/>
          <w:lang w:val="fr-CH"/>
        </w:rPr>
        <w:t>félicité</w:t>
      </w:r>
      <w:r w:rsidRPr="00101B00">
        <w:rPr>
          <w:lang w:val="fr-CH"/>
        </w:rPr>
        <w:t xml:space="preserve"> de l</w:t>
      </w:r>
      <w:r w:rsidR="005F0D9B" w:rsidRPr="00101B00">
        <w:rPr>
          <w:lang w:val="fr-CH"/>
        </w:rPr>
        <w:t>’</w:t>
      </w:r>
      <w:r w:rsidRPr="00101B00">
        <w:rPr>
          <w:lang w:val="fr-CH"/>
        </w:rPr>
        <w:t>état d</w:t>
      </w:r>
      <w:r w:rsidR="005F0D9B" w:rsidRPr="00101B00">
        <w:rPr>
          <w:lang w:val="fr-CH"/>
        </w:rPr>
        <w:t>’</w:t>
      </w:r>
      <w:r w:rsidRPr="00101B00">
        <w:rPr>
          <w:lang w:val="fr-CH"/>
        </w:rPr>
        <w:t>avancement des nouvelles dispositions de l</w:t>
      </w:r>
      <w:r w:rsidR="005F0D9B" w:rsidRPr="00101B00">
        <w:rPr>
          <w:lang w:val="fr-CH"/>
        </w:rPr>
        <w:t>’</w:t>
      </w:r>
      <w:r w:rsidRPr="00101B00">
        <w:rPr>
          <w:lang w:val="fr-CH"/>
        </w:rPr>
        <w:t>annexe 9 de la partie 3 de la Convention TIR</w:t>
      </w:r>
      <w:r w:rsidR="00CC38BF" w:rsidRPr="00101B00">
        <w:rPr>
          <w:lang w:val="fr-CH"/>
        </w:rPr>
        <w:t>,</w:t>
      </w:r>
      <w:r w:rsidRPr="00101B00">
        <w:rPr>
          <w:lang w:val="fr-CH"/>
        </w:rPr>
        <w:t xml:space="preserve"> qui visaient à renforcer la légitimité et la transparence des opérations TIR effectuées par l</w:t>
      </w:r>
      <w:r w:rsidR="005F0D9B" w:rsidRPr="00101B00">
        <w:rPr>
          <w:lang w:val="fr-CH"/>
        </w:rPr>
        <w:t>’</w:t>
      </w:r>
      <w:r w:rsidRPr="00101B00">
        <w:rPr>
          <w:lang w:val="fr-CH"/>
        </w:rPr>
        <w:t>organisme international habilité à mettre en œuvre le régime international de garanties ainsi qu</w:t>
      </w:r>
      <w:r w:rsidR="005F0D9B" w:rsidRPr="00101B00">
        <w:rPr>
          <w:lang w:val="fr-CH"/>
        </w:rPr>
        <w:t>’</w:t>
      </w:r>
      <w:r w:rsidRPr="00101B00">
        <w:rPr>
          <w:lang w:val="fr-CH"/>
        </w:rPr>
        <w:t>à éditer et à délivrer les carnets TIR.</w:t>
      </w:r>
    </w:p>
    <w:p w:rsidR="00554873" w:rsidRPr="00101B00" w:rsidRDefault="00554873" w:rsidP="00CC38BF">
      <w:pPr>
        <w:pStyle w:val="SingleTxt"/>
        <w:numPr>
          <w:ilvl w:val="0"/>
          <w:numId w:val="7"/>
        </w:numPr>
        <w:tabs>
          <w:tab w:val="clear" w:pos="475"/>
          <w:tab w:val="num" w:pos="1742"/>
        </w:tabs>
        <w:ind w:left="1267"/>
        <w:rPr>
          <w:lang w:val="fr-CH"/>
        </w:rPr>
      </w:pPr>
      <w:r w:rsidRPr="00101B00">
        <w:rPr>
          <w:lang w:val="fr-CH"/>
        </w:rPr>
        <w:t xml:space="preserve">En outre, le Comité a </w:t>
      </w:r>
      <w:r w:rsidRPr="00101B00">
        <w:rPr>
          <w:b/>
          <w:lang w:val="fr-CH"/>
        </w:rPr>
        <w:t>pris note</w:t>
      </w:r>
      <w:r w:rsidR="00CC38BF" w:rsidRPr="00101B00">
        <w:rPr>
          <w:bCs/>
          <w:lang w:val="fr-CH"/>
        </w:rPr>
        <w:t>, d’une part,</w:t>
      </w:r>
      <w:r w:rsidRPr="00101B00">
        <w:rPr>
          <w:lang w:val="fr-CH"/>
        </w:rPr>
        <w:t xml:space="preserve"> de la contribution </w:t>
      </w:r>
      <w:r w:rsidR="00CC38BF" w:rsidRPr="00101B00">
        <w:rPr>
          <w:lang w:val="fr-CH"/>
        </w:rPr>
        <w:t xml:space="preserve">que </w:t>
      </w:r>
      <w:r w:rsidRPr="00101B00">
        <w:rPr>
          <w:lang w:val="fr-CH"/>
        </w:rPr>
        <w:t xml:space="preserve">les Parties contractantes à la Convention TIR </w:t>
      </w:r>
      <w:r w:rsidR="00CC38BF" w:rsidRPr="00101B00">
        <w:rPr>
          <w:lang w:val="fr-CH"/>
        </w:rPr>
        <w:t>ont apportée à l’amélioration et à la modification d</w:t>
      </w:r>
      <w:r w:rsidRPr="00101B00">
        <w:rPr>
          <w:lang w:val="fr-CH"/>
        </w:rPr>
        <w:t>es dispositions de la Convention</w:t>
      </w:r>
      <w:r w:rsidR="00CC38BF" w:rsidRPr="00101B00">
        <w:rPr>
          <w:lang w:val="fr-CH"/>
        </w:rPr>
        <w:t xml:space="preserve"> et, d’autre part, </w:t>
      </w:r>
      <w:r w:rsidRPr="00101B00">
        <w:rPr>
          <w:lang w:val="fr-CH"/>
        </w:rPr>
        <w:t>la création d</w:t>
      </w:r>
      <w:r w:rsidR="005F0D9B" w:rsidRPr="00101B00">
        <w:rPr>
          <w:lang w:val="fr-CH"/>
        </w:rPr>
        <w:t>’</w:t>
      </w:r>
      <w:r w:rsidRPr="00101B00">
        <w:rPr>
          <w:lang w:val="fr-CH"/>
        </w:rPr>
        <w:t>un groupe informel de pays désireux de débattre de plusieurs aspects liés à l</w:t>
      </w:r>
      <w:r w:rsidR="005F0D9B" w:rsidRPr="00101B00">
        <w:rPr>
          <w:lang w:val="fr-CH"/>
        </w:rPr>
        <w:t>’</w:t>
      </w:r>
      <w:r w:rsidRPr="00101B00">
        <w:rPr>
          <w:lang w:val="fr-CH"/>
        </w:rPr>
        <w:t>accroissement du nombre de membres de la Commission de contrôle TIR et à l</w:t>
      </w:r>
      <w:r w:rsidR="005F0D9B" w:rsidRPr="00101B00">
        <w:rPr>
          <w:lang w:val="fr-CH"/>
        </w:rPr>
        <w:t>’</w:t>
      </w:r>
      <w:r w:rsidRPr="00101B00">
        <w:rPr>
          <w:lang w:val="fr-CH"/>
        </w:rPr>
        <w:t>élargissement de sa représentation géographique.</w:t>
      </w:r>
    </w:p>
    <w:p w:rsidR="00554873" w:rsidRPr="002B2830" w:rsidRDefault="00554873" w:rsidP="002B2830">
      <w:pPr>
        <w:pStyle w:val="SingleTxt"/>
        <w:numPr>
          <w:ilvl w:val="0"/>
          <w:numId w:val="7"/>
        </w:numPr>
        <w:tabs>
          <w:tab w:val="clear" w:pos="475"/>
          <w:tab w:val="num" w:pos="1742"/>
        </w:tabs>
        <w:ind w:left="1267"/>
        <w:rPr>
          <w:spacing w:val="2"/>
          <w:lang w:val="fr-CH"/>
        </w:rPr>
      </w:pPr>
      <w:r w:rsidRPr="002B2830">
        <w:rPr>
          <w:spacing w:val="2"/>
          <w:lang w:val="fr-CH"/>
        </w:rPr>
        <w:t xml:space="preserve">Le Comité a </w:t>
      </w:r>
      <w:r w:rsidR="00CC38BF" w:rsidRPr="002B2830">
        <w:rPr>
          <w:b/>
          <w:spacing w:val="2"/>
          <w:lang w:val="fr-CH"/>
        </w:rPr>
        <w:t>not</w:t>
      </w:r>
      <w:r w:rsidRPr="002B2830">
        <w:rPr>
          <w:b/>
          <w:spacing w:val="2"/>
          <w:lang w:val="fr-CH"/>
        </w:rPr>
        <w:t>é avec préoccupation</w:t>
      </w:r>
      <w:r w:rsidRPr="002B2830">
        <w:rPr>
          <w:spacing w:val="2"/>
          <w:lang w:val="fr-CH"/>
        </w:rPr>
        <w:t xml:space="preserve"> </w:t>
      </w:r>
      <w:r w:rsidR="00CC38BF" w:rsidRPr="002B2830">
        <w:rPr>
          <w:spacing w:val="2"/>
          <w:lang w:val="fr-CH"/>
        </w:rPr>
        <w:t xml:space="preserve">les problèmes rencontrés dans </w:t>
      </w:r>
      <w:r w:rsidRPr="002B2830">
        <w:rPr>
          <w:spacing w:val="2"/>
          <w:lang w:val="fr-CH"/>
        </w:rPr>
        <w:t xml:space="preserve">la mise en œuvre de la Convention TIR </w:t>
      </w:r>
      <w:r w:rsidR="00CC38BF" w:rsidRPr="002B2830">
        <w:rPr>
          <w:spacing w:val="2"/>
          <w:lang w:val="fr-CH"/>
        </w:rPr>
        <w:t xml:space="preserve">dans </w:t>
      </w:r>
      <w:r w:rsidRPr="002B2830">
        <w:rPr>
          <w:spacing w:val="2"/>
          <w:lang w:val="fr-CH"/>
        </w:rPr>
        <w:t>certaines Parties contractantes, à savoir la Fédération de Russie et l</w:t>
      </w:r>
      <w:r w:rsidR="005F0D9B" w:rsidRPr="002B2830">
        <w:rPr>
          <w:spacing w:val="2"/>
          <w:lang w:val="fr-CH"/>
        </w:rPr>
        <w:t>’</w:t>
      </w:r>
      <w:r w:rsidRPr="002B2830">
        <w:rPr>
          <w:spacing w:val="2"/>
          <w:lang w:val="fr-CH"/>
        </w:rPr>
        <w:t>Ukraine, comme cela a été indiqué dans les rapports du WP.30 et de l</w:t>
      </w:r>
      <w:r w:rsidR="005F0D9B" w:rsidRPr="002B2830">
        <w:rPr>
          <w:spacing w:val="2"/>
          <w:lang w:val="fr-CH"/>
        </w:rPr>
        <w:t>’</w:t>
      </w:r>
      <w:r w:rsidR="00CC38BF" w:rsidRPr="002B2830">
        <w:rPr>
          <w:spacing w:val="2"/>
          <w:lang w:val="fr-CH"/>
        </w:rPr>
        <w:t>AC.2 (ECE/TRANS/WP.30/276, par. </w:t>
      </w:r>
      <w:r w:rsidRPr="002B2830">
        <w:rPr>
          <w:spacing w:val="2"/>
          <w:lang w:val="fr-CH"/>
        </w:rPr>
        <w:t>25 à 31</w:t>
      </w:r>
      <w:r w:rsidR="002B2830" w:rsidRPr="002B2830">
        <w:rPr>
          <w:spacing w:val="2"/>
          <w:lang w:val="fr-CH"/>
        </w:rPr>
        <w:t>,</w:t>
      </w:r>
      <w:r w:rsidRPr="002B2830">
        <w:rPr>
          <w:spacing w:val="2"/>
          <w:lang w:val="fr-CH"/>
        </w:rPr>
        <w:t xml:space="preserve"> et ECE/TRANS/WP.30/</w:t>
      </w:r>
      <w:r w:rsidR="00CC38BF" w:rsidRPr="002B2830">
        <w:rPr>
          <w:spacing w:val="2"/>
          <w:lang w:val="fr-CH"/>
        </w:rPr>
        <w:t>AC.2/121, par. </w:t>
      </w:r>
      <w:r w:rsidRPr="002B2830">
        <w:rPr>
          <w:spacing w:val="2"/>
          <w:lang w:val="fr-CH"/>
        </w:rPr>
        <w:t xml:space="preserve">28 à 31). Il a </w:t>
      </w:r>
      <w:r w:rsidRPr="002B2830">
        <w:rPr>
          <w:b/>
          <w:spacing w:val="2"/>
          <w:lang w:val="fr-CH"/>
        </w:rPr>
        <w:t>pris note</w:t>
      </w:r>
      <w:r w:rsidRPr="002B2830">
        <w:rPr>
          <w:spacing w:val="2"/>
          <w:lang w:val="fr-CH"/>
        </w:rPr>
        <w:t xml:space="preserve"> des efforts déployés et des activités entreprises par les gouvernements, les organes TIR, le secrétariat et d</w:t>
      </w:r>
      <w:r w:rsidR="005F0D9B" w:rsidRPr="002B2830">
        <w:rPr>
          <w:spacing w:val="2"/>
          <w:lang w:val="fr-CH"/>
        </w:rPr>
        <w:t>’</w:t>
      </w:r>
      <w:r w:rsidRPr="002B2830">
        <w:rPr>
          <w:spacing w:val="2"/>
          <w:lang w:val="fr-CH"/>
        </w:rPr>
        <w:t xml:space="preserve">autres parties concernées afin de </w:t>
      </w:r>
      <w:r w:rsidR="00CC38BF" w:rsidRPr="002B2830">
        <w:rPr>
          <w:spacing w:val="2"/>
          <w:lang w:val="fr-CH"/>
        </w:rPr>
        <w:t>trouver</w:t>
      </w:r>
      <w:r w:rsidRPr="002B2830">
        <w:rPr>
          <w:spacing w:val="2"/>
          <w:lang w:val="fr-CH"/>
        </w:rPr>
        <w:t xml:space="preserve"> une solution.</w:t>
      </w:r>
    </w:p>
    <w:p w:rsidR="00554873" w:rsidRPr="00101B00" w:rsidRDefault="00554873" w:rsidP="00CC38BF">
      <w:pPr>
        <w:pStyle w:val="SingleTxt"/>
        <w:numPr>
          <w:ilvl w:val="0"/>
          <w:numId w:val="7"/>
        </w:numPr>
        <w:tabs>
          <w:tab w:val="clear" w:pos="475"/>
          <w:tab w:val="num" w:pos="1742"/>
        </w:tabs>
        <w:ind w:left="1267"/>
        <w:rPr>
          <w:lang w:val="fr-CH"/>
        </w:rPr>
      </w:pPr>
      <w:r w:rsidRPr="00101B00">
        <w:rPr>
          <w:lang w:val="fr-CH"/>
        </w:rPr>
        <w:t xml:space="preserve">Le Comité a </w:t>
      </w:r>
      <w:r w:rsidRPr="00101B00">
        <w:rPr>
          <w:b/>
          <w:lang w:val="fr-CH"/>
        </w:rPr>
        <w:t>de nouveau appelé</w:t>
      </w:r>
      <w:r w:rsidRPr="00101B00">
        <w:rPr>
          <w:lang w:val="fr-CH"/>
        </w:rPr>
        <w:t xml:space="preserve"> à garantir le plein respect des dispositions de la Convention TIR, notamment l</w:t>
      </w:r>
      <w:r w:rsidR="005F0D9B" w:rsidRPr="00101B00">
        <w:rPr>
          <w:lang w:val="fr-CH"/>
        </w:rPr>
        <w:t>’</w:t>
      </w:r>
      <w:r w:rsidRPr="00101B00">
        <w:rPr>
          <w:lang w:val="fr-CH"/>
        </w:rPr>
        <w:t>obligation pour les Parties contractantes, conformément à l</w:t>
      </w:r>
      <w:r w:rsidR="005F0D9B" w:rsidRPr="00101B00">
        <w:rPr>
          <w:lang w:val="fr-CH"/>
        </w:rPr>
        <w:t>’</w:t>
      </w:r>
      <w:r w:rsidR="00CC38BF" w:rsidRPr="00101B00">
        <w:rPr>
          <w:lang w:val="fr-CH"/>
        </w:rPr>
        <w:t>article 42 </w:t>
      </w:r>
      <w:r w:rsidRPr="00101B00">
        <w:rPr>
          <w:i/>
          <w:iCs/>
          <w:lang w:val="fr-CH"/>
        </w:rPr>
        <w:t>bis</w:t>
      </w:r>
      <w:r w:rsidRPr="00101B00">
        <w:rPr>
          <w:lang w:val="fr-CH"/>
        </w:rPr>
        <w:t>, d</w:t>
      </w:r>
      <w:r w:rsidR="005F0D9B" w:rsidRPr="00101B00">
        <w:rPr>
          <w:lang w:val="fr-CH"/>
        </w:rPr>
        <w:t>’</w:t>
      </w:r>
      <w:r w:rsidRPr="00101B00">
        <w:rPr>
          <w:lang w:val="fr-CH"/>
        </w:rPr>
        <w:t>informer rapidement la Commission de contrôle TIR ou le Comité de gestion de la Convention de toute mesure prévue susceptible d</w:t>
      </w:r>
      <w:r w:rsidR="005F0D9B" w:rsidRPr="00101B00">
        <w:rPr>
          <w:lang w:val="fr-CH"/>
        </w:rPr>
        <w:t>’</w:t>
      </w:r>
      <w:r w:rsidRPr="00101B00">
        <w:rPr>
          <w:lang w:val="fr-CH"/>
        </w:rPr>
        <w:t xml:space="preserve">avoir une incidence sur la mise en œuvre de la Convention. À ce titre, le Comité a </w:t>
      </w:r>
      <w:r w:rsidRPr="00101B00">
        <w:rPr>
          <w:b/>
          <w:lang w:val="fr-CH"/>
        </w:rPr>
        <w:t>pris note</w:t>
      </w:r>
      <w:r w:rsidRPr="00101B00">
        <w:rPr>
          <w:lang w:val="fr-CH"/>
        </w:rPr>
        <w:t xml:space="preserve"> de l</w:t>
      </w:r>
      <w:r w:rsidR="005F0D9B" w:rsidRPr="00101B00">
        <w:rPr>
          <w:lang w:val="fr-CH"/>
        </w:rPr>
        <w:t>’</w:t>
      </w:r>
      <w:r w:rsidRPr="00101B00">
        <w:rPr>
          <w:lang w:val="fr-CH"/>
        </w:rPr>
        <w:t>annonce faite par la Fédération de Russie concernant l</w:t>
      </w:r>
      <w:r w:rsidR="005F0D9B" w:rsidRPr="00101B00">
        <w:rPr>
          <w:lang w:val="fr-CH"/>
        </w:rPr>
        <w:t>’</w:t>
      </w:r>
      <w:r w:rsidRPr="00101B00">
        <w:rPr>
          <w:lang w:val="fr-CH"/>
        </w:rPr>
        <w:t>extension</w:t>
      </w:r>
      <w:r w:rsidR="00CC38BF" w:rsidRPr="00101B00">
        <w:rPr>
          <w:lang w:val="fr-CH"/>
        </w:rPr>
        <w:t>,</w:t>
      </w:r>
      <w:r w:rsidRPr="00101B00">
        <w:rPr>
          <w:lang w:val="fr-CH"/>
        </w:rPr>
        <w:t xml:space="preserve"> jusqu</w:t>
      </w:r>
      <w:r w:rsidR="005F0D9B" w:rsidRPr="00101B00">
        <w:rPr>
          <w:lang w:val="fr-CH"/>
        </w:rPr>
        <w:t>’</w:t>
      </w:r>
      <w:r w:rsidR="00CC38BF" w:rsidRPr="00101B00">
        <w:rPr>
          <w:lang w:val="fr-CH"/>
        </w:rPr>
        <w:t xml:space="preserve">au 30 juin </w:t>
      </w:r>
      <w:r w:rsidRPr="00101B00">
        <w:rPr>
          <w:lang w:val="fr-CH"/>
        </w:rPr>
        <w:t>2015</w:t>
      </w:r>
      <w:r w:rsidR="00CC38BF" w:rsidRPr="00101B00">
        <w:rPr>
          <w:lang w:val="fr-CH"/>
        </w:rPr>
        <w:t>,</w:t>
      </w:r>
      <w:r w:rsidRPr="00101B00">
        <w:rPr>
          <w:lang w:val="fr-CH"/>
        </w:rPr>
        <w:t xml:space="preserve"> du contrat entre le Service fédéral des douanes de la Fédération de Russie et l</w:t>
      </w:r>
      <w:r w:rsidR="005F0D9B" w:rsidRPr="00101B00">
        <w:rPr>
          <w:lang w:val="fr-CH"/>
        </w:rPr>
        <w:t>’</w:t>
      </w:r>
      <w:r w:rsidR="00CC38BF" w:rsidRPr="00101B00">
        <w:rPr>
          <w:lang w:val="fr-CH"/>
        </w:rPr>
        <w:t>ASMAP, qui est l’a</w:t>
      </w:r>
      <w:r w:rsidRPr="00101B00">
        <w:rPr>
          <w:lang w:val="fr-CH"/>
        </w:rPr>
        <w:t>ssociation garante russe des transporteurs rou</w:t>
      </w:r>
      <w:r w:rsidR="00CC38BF" w:rsidRPr="00101B00">
        <w:rPr>
          <w:lang w:val="fr-CH"/>
        </w:rPr>
        <w:t>tiers internationaux</w:t>
      </w:r>
      <w:r w:rsidRPr="00101B00">
        <w:rPr>
          <w:lang w:val="fr-CH"/>
        </w:rPr>
        <w:t>.</w:t>
      </w:r>
    </w:p>
    <w:p w:rsidR="00554873" w:rsidRPr="00101B00" w:rsidRDefault="00554873" w:rsidP="00CC38BF">
      <w:pPr>
        <w:pStyle w:val="SingleTxt"/>
        <w:numPr>
          <w:ilvl w:val="0"/>
          <w:numId w:val="7"/>
        </w:numPr>
        <w:tabs>
          <w:tab w:val="clear" w:pos="475"/>
          <w:tab w:val="num" w:pos="1742"/>
        </w:tabs>
        <w:ind w:left="1267"/>
        <w:rPr>
          <w:lang w:val="fr-CH"/>
        </w:rPr>
      </w:pPr>
      <w:r w:rsidRPr="00101B00">
        <w:rPr>
          <w:lang w:val="fr-CH"/>
        </w:rPr>
        <w:t>Le Comité s</w:t>
      </w:r>
      <w:r w:rsidR="005F0D9B" w:rsidRPr="00101B00">
        <w:rPr>
          <w:lang w:val="fr-CH"/>
        </w:rPr>
        <w:t>’</w:t>
      </w:r>
      <w:r w:rsidRPr="00101B00">
        <w:rPr>
          <w:lang w:val="fr-CH"/>
        </w:rPr>
        <w:t xml:space="preserve">est </w:t>
      </w:r>
      <w:r w:rsidRPr="00101B00">
        <w:rPr>
          <w:b/>
          <w:lang w:val="fr-CH"/>
        </w:rPr>
        <w:t>félicité</w:t>
      </w:r>
      <w:r w:rsidRPr="00101B00">
        <w:rPr>
          <w:lang w:val="fr-CH"/>
        </w:rPr>
        <w:t xml:space="preserve"> de l</w:t>
      </w:r>
      <w:r w:rsidR="005F0D9B" w:rsidRPr="00101B00">
        <w:rPr>
          <w:lang w:val="fr-CH"/>
        </w:rPr>
        <w:t>’</w:t>
      </w:r>
      <w:r w:rsidRPr="00101B00">
        <w:rPr>
          <w:lang w:val="fr-CH"/>
        </w:rPr>
        <w:t>état d</w:t>
      </w:r>
      <w:r w:rsidR="005F0D9B" w:rsidRPr="00101B00">
        <w:rPr>
          <w:lang w:val="fr-CH"/>
        </w:rPr>
        <w:t>’</w:t>
      </w:r>
      <w:r w:rsidRPr="00101B00">
        <w:rPr>
          <w:lang w:val="fr-CH"/>
        </w:rPr>
        <w:t>avancement du projet eTIR et, afin qu</w:t>
      </w:r>
      <w:r w:rsidR="00CC38BF" w:rsidRPr="00101B00">
        <w:rPr>
          <w:lang w:val="fr-CH"/>
        </w:rPr>
        <w:t>e celui-ci</w:t>
      </w:r>
      <w:r w:rsidRPr="00101B00">
        <w:rPr>
          <w:lang w:val="fr-CH"/>
        </w:rPr>
        <w:t xml:space="preserve"> puisse se poursuivre, au même titre que les divers projets pilotes actuellement en cours, a </w:t>
      </w:r>
      <w:r w:rsidRPr="00101B00">
        <w:rPr>
          <w:b/>
          <w:lang w:val="fr-CH"/>
        </w:rPr>
        <w:t xml:space="preserve">approuvé </w:t>
      </w:r>
      <w:r w:rsidRPr="00101B00">
        <w:rPr>
          <w:lang w:val="fr-CH"/>
        </w:rPr>
        <w:t>la</w:t>
      </w:r>
      <w:r w:rsidRPr="00101B00">
        <w:rPr>
          <w:b/>
          <w:lang w:val="fr-CH"/>
        </w:rPr>
        <w:t xml:space="preserve"> </w:t>
      </w:r>
      <w:r w:rsidRPr="00101B00">
        <w:rPr>
          <w:lang w:val="fr-CH"/>
        </w:rPr>
        <w:t>prorogation jusqu</w:t>
      </w:r>
      <w:r w:rsidR="005F0D9B" w:rsidRPr="00101B00">
        <w:rPr>
          <w:lang w:val="fr-CH"/>
        </w:rPr>
        <w:t>’</w:t>
      </w:r>
      <w:r w:rsidRPr="00101B00">
        <w:rPr>
          <w:lang w:val="fr-CH"/>
        </w:rPr>
        <w:t xml:space="preserve">en 2015 du mandat du Groupe spécial </w:t>
      </w:r>
      <w:r w:rsidRPr="00101B00">
        <w:rPr>
          <w:lang w:val="fr-CH"/>
        </w:rPr>
        <w:lastRenderedPageBreak/>
        <w:t>informel d</w:t>
      </w:r>
      <w:r w:rsidR="005F0D9B" w:rsidRPr="00101B00">
        <w:rPr>
          <w:lang w:val="fr-CH"/>
        </w:rPr>
        <w:t>’</w:t>
      </w:r>
      <w:r w:rsidRPr="00101B00">
        <w:rPr>
          <w:lang w:val="fr-CH"/>
        </w:rPr>
        <w:t>experts des aspects théoriques et techniques de l</w:t>
      </w:r>
      <w:r w:rsidR="005F0D9B" w:rsidRPr="00101B00">
        <w:rPr>
          <w:lang w:val="fr-CH"/>
        </w:rPr>
        <w:t>’</w:t>
      </w:r>
      <w:r w:rsidRPr="00101B00">
        <w:rPr>
          <w:lang w:val="fr-CH"/>
        </w:rPr>
        <w:t>informatisation du régime TIR (GE.1), qui relève du WP.30.</w:t>
      </w:r>
    </w:p>
    <w:p w:rsidR="00554873" w:rsidRPr="00101B00" w:rsidRDefault="00554873" w:rsidP="00CC38BF">
      <w:pPr>
        <w:pStyle w:val="SingleTxt"/>
        <w:numPr>
          <w:ilvl w:val="0"/>
          <w:numId w:val="7"/>
        </w:numPr>
        <w:tabs>
          <w:tab w:val="clear" w:pos="475"/>
          <w:tab w:val="num" w:pos="1742"/>
        </w:tabs>
        <w:ind w:left="1267"/>
        <w:rPr>
          <w:lang w:val="fr-CH"/>
        </w:rPr>
      </w:pPr>
      <w:r w:rsidRPr="00101B00">
        <w:rPr>
          <w:lang w:val="fr-CH"/>
        </w:rPr>
        <w:t xml:space="preserve">Le Comité a été </w:t>
      </w:r>
      <w:r w:rsidRPr="00101B00">
        <w:rPr>
          <w:b/>
          <w:lang w:val="fr-CH"/>
        </w:rPr>
        <w:t>informé</w:t>
      </w:r>
      <w:r w:rsidRPr="00101B00">
        <w:rPr>
          <w:lang w:val="fr-CH"/>
        </w:rPr>
        <w:t xml:space="preserve"> qu</w:t>
      </w:r>
      <w:r w:rsidR="005F0D9B" w:rsidRPr="00101B00">
        <w:rPr>
          <w:lang w:val="fr-CH"/>
        </w:rPr>
        <w:t>’</w:t>
      </w:r>
      <w:r w:rsidRPr="00101B00">
        <w:rPr>
          <w:lang w:val="fr-CH"/>
        </w:rPr>
        <w:t>en 2014, le WP.30 s</w:t>
      </w:r>
      <w:r w:rsidR="005F0D9B" w:rsidRPr="00101B00">
        <w:rPr>
          <w:lang w:val="fr-CH"/>
        </w:rPr>
        <w:t>’</w:t>
      </w:r>
      <w:r w:rsidRPr="00101B00">
        <w:rPr>
          <w:lang w:val="fr-CH"/>
        </w:rPr>
        <w:t>était attaqué aux principaux aspects juridiques de l</w:t>
      </w:r>
      <w:r w:rsidR="005F0D9B" w:rsidRPr="00101B00">
        <w:rPr>
          <w:lang w:val="fr-CH"/>
        </w:rPr>
        <w:t>’</w:t>
      </w:r>
      <w:r w:rsidRPr="00101B00">
        <w:rPr>
          <w:lang w:val="fr-CH"/>
        </w:rPr>
        <w:t xml:space="preserve">informatisation du régime TIR. Il a </w:t>
      </w:r>
      <w:r w:rsidRPr="00101B00">
        <w:rPr>
          <w:b/>
          <w:lang w:val="fr-CH"/>
        </w:rPr>
        <w:t>noté</w:t>
      </w:r>
      <w:r w:rsidRPr="00101B00">
        <w:rPr>
          <w:lang w:val="fr-CH"/>
        </w:rPr>
        <w:t xml:space="preserve"> que le WP.30, ayant examiné le fondement de la conception du cadre juridique eTIR, avait appuyé la création d</w:t>
      </w:r>
      <w:r w:rsidR="005F0D9B" w:rsidRPr="00101B00">
        <w:rPr>
          <w:lang w:val="fr-CH"/>
        </w:rPr>
        <w:t>’</w:t>
      </w:r>
      <w:r w:rsidRPr="00101B00">
        <w:rPr>
          <w:lang w:val="fr-CH"/>
        </w:rPr>
        <w:t xml:space="preserve">un </w:t>
      </w:r>
      <w:r w:rsidR="00CC38BF" w:rsidRPr="00101B00">
        <w:rPr>
          <w:lang w:val="fr-CH"/>
        </w:rPr>
        <w:t>g</w:t>
      </w:r>
      <w:r w:rsidRPr="00101B00">
        <w:rPr>
          <w:lang w:val="fr-CH"/>
        </w:rPr>
        <w:t>roupe d</w:t>
      </w:r>
      <w:r w:rsidR="005F0D9B" w:rsidRPr="00101B00">
        <w:rPr>
          <w:lang w:val="fr-CH"/>
        </w:rPr>
        <w:t>’</w:t>
      </w:r>
      <w:r w:rsidRPr="00101B00">
        <w:rPr>
          <w:lang w:val="fr-CH"/>
        </w:rPr>
        <w:t>experts officiel chargé d</w:t>
      </w:r>
      <w:r w:rsidR="005F0D9B" w:rsidRPr="00101B00">
        <w:rPr>
          <w:lang w:val="fr-CH"/>
        </w:rPr>
        <w:t>’</w:t>
      </w:r>
      <w:r w:rsidRPr="00101B00">
        <w:rPr>
          <w:lang w:val="fr-CH"/>
        </w:rPr>
        <w:t>élaborer un protocole sur la base duquel les Parties contractantes pourraient négocier et a approuvé le mandat et le plan de travail provisoires de ce groupe d</w:t>
      </w:r>
      <w:r w:rsidR="005F0D9B" w:rsidRPr="00101B00">
        <w:rPr>
          <w:lang w:val="fr-CH"/>
        </w:rPr>
        <w:t>’</w:t>
      </w:r>
      <w:r w:rsidRPr="00101B00">
        <w:rPr>
          <w:lang w:val="fr-CH"/>
        </w:rPr>
        <w:t xml:space="preserve">experts, qui figuraient dans le document ECE/TRANS/WP.30/2014/14. Le Comité a, en outre, </w:t>
      </w:r>
      <w:r w:rsidRPr="00101B00">
        <w:rPr>
          <w:b/>
          <w:lang w:val="fr-CH"/>
        </w:rPr>
        <w:t>approuvé</w:t>
      </w:r>
      <w:r w:rsidRPr="00101B00">
        <w:rPr>
          <w:lang w:val="fr-CH"/>
        </w:rPr>
        <w:t>, sous réserve de l</w:t>
      </w:r>
      <w:r w:rsidR="005F0D9B" w:rsidRPr="00101B00">
        <w:rPr>
          <w:lang w:val="fr-CH"/>
        </w:rPr>
        <w:t>’</w:t>
      </w:r>
      <w:r w:rsidRPr="00101B00">
        <w:rPr>
          <w:lang w:val="fr-CH"/>
        </w:rPr>
        <w:t>accord du Comité exécutif, la création d</w:t>
      </w:r>
      <w:r w:rsidR="005F0D9B" w:rsidRPr="00101B00">
        <w:rPr>
          <w:lang w:val="fr-CH"/>
        </w:rPr>
        <w:t>’</w:t>
      </w:r>
      <w:r w:rsidRPr="00101B00">
        <w:rPr>
          <w:lang w:val="fr-CH"/>
        </w:rPr>
        <w:t xml:space="preserve">un </w:t>
      </w:r>
      <w:r w:rsidR="00CC38BF" w:rsidRPr="00101B00">
        <w:rPr>
          <w:lang w:val="fr-CH"/>
        </w:rPr>
        <w:t>g</w:t>
      </w:r>
      <w:r w:rsidRPr="00101B00">
        <w:rPr>
          <w:lang w:val="fr-CH"/>
        </w:rPr>
        <w:t>roupe d</w:t>
      </w:r>
      <w:r w:rsidR="005F0D9B" w:rsidRPr="00101B00">
        <w:rPr>
          <w:lang w:val="fr-CH"/>
        </w:rPr>
        <w:t>’</w:t>
      </w:r>
      <w:r w:rsidRPr="00101B00">
        <w:rPr>
          <w:lang w:val="fr-CH"/>
        </w:rPr>
        <w:t>experts des aspects juridiques de l</w:t>
      </w:r>
      <w:r w:rsidR="005F0D9B" w:rsidRPr="00101B00">
        <w:rPr>
          <w:lang w:val="fr-CH"/>
        </w:rPr>
        <w:t>’</w:t>
      </w:r>
      <w:r w:rsidRPr="00101B00">
        <w:rPr>
          <w:lang w:val="fr-CH"/>
        </w:rPr>
        <w:t>informatisation du régime TIR, qui servirait principalement de p</w:t>
      </w:r>
      <w:r w:rsidR="002B2830">
        <w:rPr>
          <w:lang w:val="fr-CH"/>
        </w:rPr>
        <w:t>latef</w:t>
      </w:r>
      <w:r w:rsidRPr="00101B00">
        <w:rPr>
          <w:lang w:val="fr-CH"/>
        </w:rPr>
        <w:t>orme spécialisée afin d</w:t>
      </w:r>
      <w:r w:rsidR="005F0D9B" w:rsidRPr="00101B00">
        <w:rPr>
          <w:lang w:val="fr-CH"/>
        </w:rPr>
        <w:t>’</w:t>
      </w:r>
      <w:r w:rsidRPr="00101B00">
        <w:rPr>
          <w:lang w:val="fr-CH"/>
        </w:rPr>
        <w:t>instaurer le cadre juridique de l</w:t>
      </w:r>
      <w:r w:rsidR="005F0D9B" w:rsidRPr="00101B00">
        <w:rPr>
          <w:lang w:val="fr-CH"/>
        </w:rPr>
        <w:t>’</w:t>
      </w:r>
      <w:r w:rsidRPr="00101B00">
        <w:rPr>
          <w:lang w:val="fr-CH"/>
        </w:rPr>
        <w:t xml:space="preserve">eTIR. Compte tenu de ce qui précède, le Comité a </w:t>
      </w:r>
      <w:r w:rsidRPr="00101B00">
        <w:rPr>
          <w:b/>
          <w:lang w:val="fr-CH"/>
        </w:rPr>
        <w:t>aussi noté</w:t>
      </w:r>
      <w:r w:rsidRPr="00101B00">
        <w:rPr>
          <w:lang w:val="fr-CH"/>
        </w:rPr>
        <w:t xml:space="preserve"> que la CEE assurerait le secrétariat du Groupe d</w:t>
      </w:r>
      <w:r w:rsidR="005F0D9B" w:rsidRPr="00101B00">
        <w:rPr>
          <w:lang w:val="fr-CH"/>
        </w:rPr>
        <w:t>’</w:t>
      </w:r>
      <w:r w:rsidRPr="00101B00">
        <w:rPr>
          <w:lang w:val="fr-CH"/>
        </w:rPr>
        <w:t>experts, dans les limites de ses ressources humaines</w:t>
      </w:r>
      <w:r w:rsidR="00CC38BF" w:rsidRPr="00101B00">
        <w:rPr>
          <w:lang w:val="fr-CH"/>
        </w:rPr>
        <w:t>,</w:t>
      </w:r>
      <w:r w:rsidRPr="00101B00">
        <w:rPr>
          <w:lang w:val="fr-CH"/>
        </w:rPr>
        <w:t xml:space="preserve"> et que la traduction des documents nécessaires aux sessions ainsi que l</w:t>
      </w:r>
      <w:r w:rsidR="005F0D9B" w:rsidRPr="00101B00">
        <w:rPr>
          <w:lang w:val="fr-CH"/>
        </w:rPr>
        <w:t>’</w:t>
      </w:r>
      <w:r w:rsidRPr="00101B00">
        <w:rPr>
          <w:lang w:val="fr-CH"/>
        </w:rPr>
        <w:t>interprétation simultanée vers l</w:t>
      </w:r>
      <w:r w:rsidR="005F0D9B" w:rsidRPr="00101B00">
        <w:rPr>
          <w:lang w:val="fr-CH"/>
        </w:rPr>
        <w:t>’</w:t>
      </w:r>
      <w:r w:rsidRPr="00101B00">
        <w:rPr>
          <w:lang w:val="fr-CH"/>
        </w:rPr>
        <w:t>anglais, le français et le russe seraient assurées par le secrétariat, avec l</w:t>
      </w:r>
      <w:r w:rsidR="005F0D9B" w:rsidRPr="00101B00">
        <w:rPr>
          <w:lang w:val="fr-CH"/>
        </w:rPr>
        <w:t>’</w:t>
      </w:r>
      <w:r w:rsidRPr="00101B00">
        <w:rPr>
          <w:lang w:val="fr-CH"/>
        </w:rPr>
        <w:t>appui des services de l</w:t>
      </w:r>
      <w:r w:rsidR="005F0D9B" w:rsidRPr="00101B00">
        <w:rPr>
          <w:lang w:val="fr-CH"/>
        </w:rPr>
        <w:t>’</w:t>
      </w:r>
      <w:r w:rsidRPr="00101B00">
        <w:rPr>
          <w:lang w:val="fr-CH"/>
        </w:rPr>
        <w:t>ONUG.</w:t>
      </w:r>
    </w:p>
    <w:p w:rsidR="00554873" w:rsidRPr="00101B00" w:rsidRDefault="00554873" w:rsidP="00CC38BF">
      <w:pPr>
        <w:pStyle w:val="SingleTxt"/>
        <w:numPr>
          <w:ilvl w:val="0"/>
          <w:numId w:val="7"/>
        </w:numPr>
        <w:tabs>
          <w:tab w:val="clear" w:pos="475"/>
          <w:tab w:val="num" w:pos="1742"/>
        </w:tabs>
        <w:ind w:left="1267"/>
        <w:rPr>
          <w:lang w:val="fr-CH"/>
        </w:rPr>
      </w:pPr>
      <w:r w:rsidRPr="00101B00">
        <w:rPr>
          <w:lang w:val="fr-CH"/>
        </w:rPr>
        <w:t xml:space="preserve">En outre, le Comité a </w:t>
      </w:r>
      <w:r w:rsidRPr="00101B00">
        <w:rPr>
          <w:b/>
          <w:lang w:val="fr-CH"/>
        </w:rPr>
        <w:t>été informé</w:t>
      </w:r>
      <w:r w:rsidRPr="00101B00">
        <w:rPr>
          <w:lang w:val="fr-CH"/>
        </w:rPr>
        <w:t xml:space="preserve"> que certains pays, notamment la Chine et le Pakistan, s</w:t>
      </w:r>
      <w:r w:rsidR="005F0D9B" w:rsidRPr="00101B00">
        <w:rPr>
          <w:lang w:val="fr-CH"/>
        </w:rPr>
        <w:t>’</w:t>
      </w:r>
      <w:r w:rsidRPr="00101B00">
        <w:rPr>
          <w:lang w:val="fr-CH"/>
        </w:rPr>
        <w:t xml:space="preserve">étaient récemment dits intéressés par une possible adhésion à la Convention TIR. Afin de promouvoir plus encore la Convention, le Comité a </w:t>
      </w:r>
      <w:r w:rsidRPr="00101B00">
        <w:rPr>
          <w:b/>
          <w:lang w:val="fr-CH"/>
        </w:rPr>
        <w:t>décidé</w:t>
      </w:r>
      <w:r w:rsidRPr="00101B00">
        <w:rPr>
          <w:lang w:val="fr-CH"/>
        </w:rPr>
        <w:t xml:space="preserve"> que, conformément à la résolution 1984/79</w:t>
      </w:r>
      <w:r w:rsidR="00CC38BF" w:rsidRPr="00101B00">
        <w:rPr>
          <w:lang w:val="fr-CH"/>
        </w:rPr>
        <w:t xml:space="preserve"> du Conseil économique et social</w:t>
      </w:r>
      <w:r w:rsidRPr="00101B00">
        <w:rPr>
          <w:lang w:val="fr-CH"/>
        </w:rPr>
        <w:t xml:space="preserve">, le secrétariat </w:t>
      </w:r>
      <w:r w:rsidR="00CC38BF" w:rsidRPr="00101B00">
        <w:rPr>
          <w:lang w:val="fr-CH"/>
        </w:rPr>
        <w:t xml:space="preserve">continuerait </w:t>
      </w:r>
      <w:r w:rsidRPr="00101B00">
        <w:rPr>
          <w:lang w:val="fr-CH"/>
        </w:rPr>
        <w:t>de veiller à ce que le Manuel TIR soit disponible dans les six langues officielles de l</w:t>
      </w:r>
      <w:r w:rsidR="005F0D9B" w:rsidRPr="00101B00">
        <w:rPr>
          <w:lang w:val="fr-CH"/>
        </w:rPr>
        <w:t>’</w:t>
      </w:r>
      <w:r w:rsidRPr="00101B00">
        <w:rPr>
          <w:lang w:val="fr-CH"/>
        </w:rPr>
        <w:t xml:space="preserve">Organisation des Nations Unies et a </w:t>
      </w:r>
      <w:r w:rsidRPr="00101B00">
        <w:rPr>
          <w:b/>
          <w:lang w:val="fr-CH"/>
        </w:rPr>
        <w:t>demandé</w:t>
      </w:r>
      <w:r w:rsidRPr="00101B00">
        <w:rPr>
          <w:lang w:val="fr-CH"/>
        </w:rPr>
        <w:t xml:space="preserve"> que davantage d</w:t>
      </w:r>
      <w:r w:rsidR="005F0D9B" w:rsidRPr="00101B00">
        <w:rPr>
          <w:lang w:val="fr-CH"/>
        </w:rPr>
        <w:t>’</w:t>
      </w:r>
      <w:r w:rsidRPr="00101B00">
        <w:rPr>
          <w:lang w:val="fr-CH"/>
        </w:rPr>
        <w:t>efforts soient consacrés à la généralisation de l</w:t>
      </w:r>
      <w:r w:rsidR="005F0D9B" w:rsidRPr="00101B00">
        <w:rPr>
          <w:lang w:val="fr-CH"/>
        </w:rPr>
        <w:t>’</w:t>
      </w:r>
      <w:r w:rsidRPr="00101B00">
        <w:rPr>
          <w:lang w:val="fr-CH"/>
        </w:rPr>
        <w:t>utilisation de la Convention TIR, en permettant de nouvelles adhésions au Régime.</w:t>
      </w:r>
    </w:p>
    <w:p w:rsidR="00554873" w:rsidRPr="00101B00" w:rsidRDefault="00554873" w:rsidP="00CC38BF">
      <w:pPr>
        <w:pStyle w:val="SingleTxt"/>
        <w:numPr>
          <w:ilvl w:val="0"/>
          <w:numId w:val="7"/>
        </w:numPr>
        <w:tabs>
          <w:tab w:val="clear" w:pos="475"/>
          <w:tab w:val="num" w:pos="1742"/>
        </w:tabs>
        <w:ind w:left="1267"/>
        <w:rPr>
          <w:lang w:val="fr-CH"/>
        </w:rPr>
      </w:pPr>
      <w:r w:rsidRPr="00101B00">
        <w:rPr>
          <w:lang w:val="fr-CH"/>
        </w:rPr>
        <w:t xml:space="preserve">Le Comité a </w:t>
      </w:r>
      <w:r w:rsidRPr="00101B00">
        <w:rPr>
          <w:b/>
          <w:lang w:val="fr-CH"/>
        </w:rPr>
        <w:t>prié</w:t>
      </w:r>
      <w:r w:rsidRPr="00101B00">
        <w:rPr>
          <w:lang w:val="fr-CH"/>
        </w:rPr>
        <w:t xml:space="preserve"> le secrétariat d</w:t>
      </w:r>
      <w:r w:rsidR="005F0D9B" w:rsidRPr="00101B00">
        <w:rPr>
          <w:lang w:val="fr-CH"/>
        </w:rPr>
        <w:t>’</w:t>
      </w:r>
      <w:r w:rsidRPr="00101B00">
        <w:rPr>
          <w:lang w:val="fr-CH"/>
        </w:rPr>
        <w:t>assurer la traduction en arabe de la Convention douanière relative à l</w:t>
      </w:r>
      <w:r w:rsidR="005F0D9B" w:rsidRPr="00101B00">
        <w:rPr>
          <w:lang w:val="fr-CH"/>
        </w:rPr>
        <w:t>’</w:t>
      </w:r>
      <w:r w:rsidRPr="00101B00">
        <w:rPr>
          <w:lang w:val="fr-CH"/>
        </w:rPr>
        <w:t>importation temporaire des véhicules routiers privés (1954) et de la Convention douanière relative à l</w:t>
      </w:r>
      <w:r w:rsidR="005F0D9B" w:rsidRPr="00101B00">
        <w:rPr>
          <w:lang w:val="fr-CH"/>
        </w:rPr>
        <w:t>’</w:t>
      </w:r>
      <w:r w:rsidRPr="00101B00">
        <w:rPr>
          <w:lang w:val="fr-CH"/>
        </w:rPr>
        <w:t>importation temporaire des véhicules routiers commerciaux (1956), sous réserve de la disponibilité de ressources, afin de favoriser l</w:t>
      </w:r>
      <w:r w:rsidR="005F0D9B" w:rsidRPr="00101B00">
        <w:rPr>
          <w:lang w:val="fr-CH"/>
        </w:rPr>
        <w:t>’</w:t>
      </w:r>
      <w:r w:rsidRPr="00101B00">
        <w:rPr>
          <w:lang w:val="fr-CH"/>
        </w:rPr>
        <w:t>adhésion à la Convention et la mise en œuvre de celle-ci.</w:t>
      </w:r>
    </w:p>
    <w:p w:rsidR="00554873" w:rsidRPr="00101B00" w:rsidRDefault="00554873" w:rsidP="00CC38BF">
      <w:pPr>
        <w:pStyle w:val="SingleTxt"/>
        <w:numPr>
          <w:ilvl w:val="0"/>
          <w:numId w:val="7"/>
        </w:numPr>
        <w:tabs>
          <w:tab w:val="clear" w:pos="475"/>
          <w:tab w:val="num" w:pos="1742"/>
        </w:tabs>
        <w:ind w:left="1267"/>
        <w:rPr>
          <w:lang w:val="fr-CH"/>
        </w:rPr>
      </w:pPr>
      <w:r w:rsidRPr="00101B00">
        <w:rPr>
          <w:lang w:val="fr-CH"/>
        </w:rPr>
        <w:t xml:space="preserve">Le Comité a </w:t>
      </w:r>
      <w:r w:rsidRPr="00101B00">
        <w:rPr>
          <w:b/>
          <w:lang w:val="fr-CH"/>
        </w:rPr>
        <w:t>salué</w:t>
      </w:r>
      <w:r w:rsidRPr="00101B00">
        <w:rPr>
          <w:lang w:val="fr-CH"/>
        </w:rPr>
        <w:t xml:space="preserve"> l</w:t>
      </w:r>
      <w:r w:rsidR="005F0D9B" w:rsidRPr="00101B00">
        <w:rPr>
          <w:lang w:val="fr-CH"/>
        </w:rPr>
        <w:t>’</w:t>
      </w:r>
      <w:r w:rsidRPr="00101B00">
        <w:rPr>
          <w:lang w:val="fr-CH"/>
        </w:rPr>
        <w:t>entrée en vigueur de la Convention sur l</w:t>
      </w:r>
      <w:r w:rsidR="005F0D9B" w:rsidRPr="00101B00">
        <w:rPr>
          <w:lang w:val="fr-CH"/>
        </w:rPr>
        <w:t>’</w:t>
      </w:r>
      <w:r w:rsidRPr="00101B00">
        <w:rPr>
          <w:lang w:val="fr-CH"/>
        </w:rPr>
        <w:t>harmonisation dans trois nouveaux pays (</w:t>
      </w:r>
      <w:r w:rsidR="00CC38BF" w:rsidRPr="00101B00">
        <w:rPr>
          <w:lang w:val="fr-CH"/>
        </w:rPr>
        <w:t xml:space="preserve">Maroc, </w:t>
      </w:r>
      <w:r w:rsidRPr="00101B00">
        <w:rPr>
          <w:lang w:val="fr-CH"/>
        </w:rPr>
        <w:t>République islamique d</w:t>
      </w:r>
      <w:r w:rsidR="005F0D9B" w:rsidRPr="00101B00">
        <w:rPr>
          <w:lang w:val="fr-CH"/>
        </w:rPr>
        <w:t>’</w:t>
      </w:r>
      <w:r w:rsidRPr="00101B00">
        <w:rPr>
          <w:lang w:val="fr-CH"/>
        </w:rPr>
        <w:t xml:space="preserve">Iran et Tadjikistan). Il a, en outre, </w:t>
      </w:r>
      <w:r w:rsidRPr="00101B00">
        <w:rPr>
          <w:b/>
          <w:lang w:val="fr-CH"/>
        </w:rPr>
        <w:t>appuyé</w:t>
      </w:r>
      <w:r w:rsidRPr="00101B00">
        <w:rPr>
          <w:lang w:val="fr-CH"/>
        </w:rPr>
        <w:t xml:space="preserve"> la décision du Comité d</w:t>
      </w:r>
      <w:r w:rsidR="005F0D9B" w:rsidRPr="00101B00">
        <w:rPr>
          <w:lang w:val="fr-CH"/>
        </w:rPr>
        <w:t>’</w:t>
      </w:r>
      <w:r w:rsidRPr="00101B00">
        <w:rPr>
          <w:lang w:val="fr-CH"/>
        </w:rPr>
        <w:t>administration de la Convention d</w:t>
      </w:r>
      <w:r w:rsidR="005F0D9B" w:rsidRPr="00101B00">
        <w:rPr>
          <w:lang w:val="fr-CH"/>
        </w:rPr>
        <w:t>’</w:t>
      </w:r>
      <w:r w:rsidRPr="00101B00">
        <w:rPr>
          <w:lang w:val="fr-CH"/>
        </w:rPr>
        <w:t>étudier la possibilité d</w:t>
      </w:r>
      <w:r w:rsidR="005F0D9B" w:rsidRPr="00101B00">
        <w:rPr>
          <w:lang w:val="fr-CH"/>
        </w:rPr>
        <w:t>’</w:t>
      </w:r>
      <w:r w:rsidRPr="00101B00">
        <w:rPr>
          <w:lang w:val="fr-CH"/>
        </w:rPr>
        <w:t xml:space="preserve">élaborer de nouvelles annexes à la Convention </w:t>
      </w:r>
      <w:r w:rsidR="00CC38BF" w:rsidRPr="00101B00">
        <w:rPr>
          <w:lang w:val="fr-CH"/>
        </w:rPr>
        <w:t xml:space="preserve">portant sur </w:t>
      </w:r>
      <w:r w:rsidRPr="00101B00">
        <w:rPr>
          <w:lang w:val="fr-CH"/>
        </w:rPr>
        <w:t xml:space="preserve">les procédures de passage des frontières dans les ports maritimes ainsi que </w:t>
      </w:r>
      <w:r w:rsidR="00CC38BF" w:rsidRPr="00101B00">
        <w:rPr>
          <w:lang w:val="fr-CH"/>
        </w:rPr>
        <w:t xml:space="preserve">sur </w:t>
      </w:r>
      <w:r w:rsidRPr="00101B00">
        <w:rPr>
          <w:lang w:val="fr-CH"/>
        </w:rPr>
        <w:t>des indicateurs d</w:t>
      </w:r>
      <w:r w:rsidR="005F0D9B" w:rsidRPr="00101B00">
        <w:rPr>
          <w:lang w:val="fr-CH"/>
        </w:rPr>
        <w:t>’</w:t>
      </w:r>
      <w:r w:rsidRPr="00101B00">
        <w:rPr>
          <w:lang w:val="fr-CH"/>
        </w:rPr>
        <w:t>efficacité.</w:t>
      </w:r>
    </w:p>
    <w:p w:rsidR="00554873" w:rsidRPr="00101B00" w:rsidRDefault="00554873" w:rsidP="00D16BB1">
      <w:pPr>
        <w:pStyle w:val="SingleTxt"/>
        <w:numPr>
          <w:ilvl w:val="0"/>
          <w:numId w:val="7"/>
        </w:numPr>
        <w:tabs>
          <w:tab w:val="clear" w:pos="475"/>
          <w:tab w:val="num" w:pos="1742"/>
        </w:tabs>
        <w:ind w:left="1267"/>
        <w:rPr>
          <w:lang w:val="fr-CH"/>
        </w:rPr>
      </w:pPr>
      <w:r w:rsidRPr="00101B00">
        <w:rPr>
          <w:lang w:val="fr-CH"/>
        </w:rPr>
        <w:t xml:space="preserve">Le Comité a </w:t>
      </w:r>
      <w:r w:rsidRPr="00101B00">
        <w:rPr>
          <w:b/>
          <w:lang w:val="fr-CH"/>
        </w:rPr>
        <w:t>encouragé</w:t>
      </w:r>
      <w:r w:rsidRPr="00101B00">
        <w:rPr>
          <w:lang w:val="fr-CH"/>
        </w:rPr>
        <w:t xml:space="preserve"> les Parties contractantes à continuer de réaliser des enquêtes systématiques sur la mise en œuvre des deux annexes les plus importantes de la C</w:t>
      </w:r>
      <w:r w:rsidR="00CC38BF" w:rsidRPr="00101B00">
        <w:rPr>
          <w:lang w:val="fr-CH"/>
        </w:rPr>
        <w:t>onvention, à savoir les annexes </w:t>
      </w:r>
      <w:r w:rsidRPr="00101B00">
        <w:rPr>
          <w:lang w:val="fr-CH"/>
        </w:rPr>
        <w:t>8 et 9, afin d</w:t>
      </w:r>
      <w:r w:rsidR="005F0D9B" w:rsidRPr="00101B00">
        <w:rPr>
          <w:lang w:val="fr-CH"/>
        </w:rPr>
        <w:t>’</w:t>
      </w:r>
      <w:r w:rsidRPr="00101B00">
        <w:rPr>
          <w:lang w:val="fr-CH"/>
        </w:rPr>
        <w:t>en faciliter le suivi.</w:t>
      </w:r>
    </w:p>
    <w:p w:rsidR="00554873" w:rsidRPr="00101B00" w:rsidRDefault="00554873" w:rsidP="00CC38BF">
      <w:pPr>
        <w:pStyle w:val="SingleTxt"/>
        <w:numPr>
          <w:ilvl w:val="0"/>
          <w:numId w:val="7"/>
        </w:numPr>
        <w:tabs>
          <w:tab w:val="clear" w:pos="475"/>
          <w:tab w:val="num" w:pos="1742"/>
        </w:tabs>
        <w:ind w:left="1267"/>
        <w:rPr>
          <w:lang w:val="fr-CH"/>
        </w:rPr>
      </w:pPr>
      <w:r w:rsidRPr="00101B00">
        <w:rPr>
          <w:lang w:val="fr-CH"/>
        </w:rPr>
        <w:t xml:space="preserve">Le Comité, ayant demandé des renseignements actualisés sur les instruments non encore entrés en vigueur, a </w:t>
      </w:r>
      <w:r w:rsidRPr="00101B00">
        <w:rPr>
          <w:b/>
          <w:lang w:val="fr-CH"/>
        </w:rPr>
        <w:t>été informé</w:t>
      </w:r>
      <w:r w:rsidRPr="00101B00">
        <w:rPr>
          <w:lang w:val="fr-CH"/>
        </w:rPr>
        <w:t xml:space="preserve"> que la Convention relative à un régime de transit douanier international pour les marchandises transportées par chemin de fer sous le couvert de lettres de voiture SMGS, signée à Genève le 9 février</w:t>
      </w:r>
      <w:r w:rsidR="00CC38BF" w:rsidRPr="00101B00">
        <w:rPr>
          <w:lang w:val="fr-CH"/>
        </w:rPr>
        <w:t xml:space="preserve"> </w:t>
      </w:r>
      <w:r w:rsidRPr="00101B00">
        <w:rPr>
          <w:lang w:val="fr-CH"/>
        </w:rPr>
        <w:t>2006, n</w:t>
      </w:r>
      <w:r w:rsidR="005F0D9B" w:rsidRPr="00101B00">
        <w:rPr>
          <w:lang w:val="fr-CH"/>
        </w:rPr>
        <w:t>’</w:t>
      </w:r>
      <w:r w:rsidRPr="00101B00">
        <w:rPr>
          <w:lang w:val="fr-CH"/>
        </w:rPr>
        <w:t>était pas encore entrée en vigueur.</w:t>
      </w:r>
    </w:p>
    <w:p w:rsidR="004F173B" w:rsidRPr="00101B00" w:rsidRDefault="004F173B" w:rsidP="004F173B">
      <w:pPr>
        <w:pStyle w:val="SingleTxt"/>
        <w:spacing w:after="0" w:line="120" w:lineRule="exact"/>
        <w:rPr>
          <w:sz w:val="10"/>
          <w:lang w:val="fr-CH"/>
        </w:rPr>
      </w:pPr>
    </w:p>
    <w:p w:rsidR="004F173B" w:rsidRPr="00101B00" w:rsidRDefault="004F173B" w:rsidP="004F173B">
      <w:pPr>
        <w:pStyle w:val="SingleTxt"/>
        <w:spacing w:after="0" w:line="120" w:lineRule="exact"/>
        <w:rPr>
          <w:sz w:val="10"/>
          <w:lang w:val="fr-CH"/>
        </w:rPr>
      </w:pPr>
    </w:p>
    <w:p w:rsidR="00554873" w:rsidRPr="00101B00" w:rsidRDefault="00554873" w:rsidP="001D077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1B00">
        <w:rPr>
          <w:lang w:val="fr-CH"/>
        </w:rPr>
        <w:lastRenderedPageBreak/>
        <w:tab/>
        <w:t>I.</w:t>
      </w:r>
      <w:r w:rsidRPr="00101B00">
        <w:rPr>
          <w:lang w:val="fr-CH"/>
        </w:rPr>
        <w:tab/>
        <w:t>Transport des marchandises dangereuses</w:t>
      </w:r>
    </w:p>
    <w:p w:rsidR="004F173B" w:rsidRPr="00101B00" w:rsidRDefault="004F173B" w:rsidP="00CC38BF">
      <w:pPr>
        <w:pStyle w:val="SingleTxt"/>
        <w:keepNext/>
        <w:spacing w:after="0" w:line="120" w:lineRule="exact"/>
        <w:rPr>
          <w:i/>
          <w:sz w:val="10"/>
          <w:lang w:val="fr-CH"/>
        </w:rPr>
      </w:pPr>
    </w:p>
    <w:p w:rsidR="004F173B" w:rsidRPr="00101B00" w:rsidRDefault="004F173B" w:rsidP="00CC38BF">
      <w:pPr>
        <w:pStyle w:val="SingleTxt"/>
        <w:keepNext/>
        <w:spacing w:after="0" w:line="120" w:lineRule="exact"/>
        <w:rPr>
          <w:i/>
          <w:sz w:val="10"/>
          <w:lang w:val="fr-CH"/>
        </w:rPr>
      </w:pPr>
    </w:p>
    <w:p w:rsidR="00554873" w:rsidRPr="00101B00" w:rsidRDefault="004F173B" w:rsidP="004F173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693" w:right="1260" w:hanging="2693"/>
        <w:rPr>
          <w:i w:val="0"/>
          <w:iCs/>
          <w:lang w:val="fr-CH"/>
        </w:rPr>
      </w:pPr>
      <w:r w:rsidRPr="00101B00">
        <w:rPr>
          <w:lang w:val="fr-CH"/>
        </w:rPr>
        <w:tab/>
      </w:r>
      <w:r w:rsidRPr="00101B00">
        <w:rPr>
          <w:lang w:val="fr-CH"/>
        </w:rPr>
        <w:tab/>
      </w:r>
      <w:r w:rsidR="00554873" w:rsidRPr="00101B00">
        <w:rPr>
          <w:lang w:val="fr-CH"/>
        </w:rPr>
        <w:t>Documents</w:t>
      </w:r>
      <w:r w:rsidR="005F0D9B" w:rsidRPr="00101B00">
        <w:rPr>
          <w:lang w:val="fr-CH"/>
        </w:rPr>
        <w:t> </w:t>
      </w:r>
      <w:r w:rsidR="005F0D9B" w:rsidRPr="00101B00">
        <w:rPr>
          <w:i w:val="0"/>
          <w:iCs/>
          <w:lang w:val="fr-CH"/>
        </w:rPr>
        <w:t>:</w:t>
      </w:r>
      <w:r w:rsidRPr="00101B00">
        <w:rPr>
          <w:i w:val="0"/>
          <w:iCs/>
          <w:lang w:val="fr-CH"/>
        </w:rPr>
        <w:tab/>
      </w:r>
      <w:r w:rsidR="00554873" w:rsidRPr="00101B00">
        <w:rPr>
          <w:i w:val="0"/>
          <w:iCs/>
          <w:lang w:val="fr-CH"/>
        </w:rPr>
        <w:t>ST/SG/AC.10/C.3/90 et Add.1, ST/SG/AC.10/C.3/92 ST/SG/AC.10/C.4/54, ST/SG/AC.10/C.4/56, ST/SG/AC.10/42 et Add.1 à 3, ECE/TRANS/WP.15/222 et Corr.1 et 2 et Add.1 et Add.1/Corr.1, ECE/TRANS/WP.15/224, ECE/TRANS/WP.15/226, ECE/TRANS/WP.15/AC.1/134 et Add.1 et 2, ECE/TRANS/WP.15/AC.1/136 et Corr.1, ECE/TRANS/WP.15/AC.1/2014/52, ECE/TRANS/WP.15/AC.2/52 et Corr.1, ECE/TRANS/WP.15/AC.2/54, ECE/ADN/27 et Corr.1 et Add.1 et Add.1/Corr.1, ECE/ADN/29, ECE/ADN/31, ECE/TRANS/242 et ECE/TRANS/243.</w:t>
      </w:r>
    </w:p>
    <w:p w:rsidR="004F173B" w:rsidRPr="00101B00" w:rsidRDefault="004F173B" w:rsidP="004F173B">
      <w:pPr>
        <w:pStyle w:val="SingleTxt"/>
        <w:spacing w:after="0" w:line="120" w:lineRule="exact"/>
        <w:rPr>
          <w:sz w:val="10"/>
          <w:lang w:val="fr-CH"/>
        </w:rPr>
      </w:pPr>
    </w:p>
    <w:p w:rsidR="00554873" w:rsidRPr="00101B00" w:rsidRDefault="00554873" w:rsidP="00D16BB1">
      <w:pPr>
        <w:pStyle w:val="SingleTxt"/>
        <w:numPr>
          <w:ilvl w:val="0"/>
          <w:numId w:val="7"/>
        </w:numPr>
        <w:tabs>
          <w:tab w:val="clear" w:pos="475"/>
          <w:tab w:val="num" w:pos="1742"/>
        </w:tabs>
        <w:ind w:left="1267"/>
        <w:rPr>
          <w:lang w:val="fr-CH"/>
        </w:rPr>
      </w:pPr>
      <w:r w:rsidRPr="00101B00">
        <w:rPr>
          <w:lang w:val="fr-CH"/>
        </w:rPr>
        <w:t xml:space="preserve">Le Comité </w:t>
      </w:r>
      <w:r w:rsidRPr="00101B00">
        <w:rPr>
          <w:b/>
          <w:lang w:val="fr-CH"/>
        </w:rPr>
        <w:t>a noté</w:t>
      </w:r>
      <w:r w:rsidRPr="00101B00">
        <w:rPr>
          <w:lang w:val="fr-CH"/>
        </w:rPr>
        <w:t xml:space="preserve"> que le Sous-Comité d</w:t>
      </w:r>
      <w:r w:rsidR="005F0D9B" w:rsidRPr="00101B00">
        <w:rPr>
          <w:lang w:val="fr-CH"/>
        </w:rPr>
        <w:t>’</w:t>
      </w:r>
      <w:r w:rsidRPr="00101B00">
        <w:rPr>
          <w:lang w:val="fr-CH"/>
        </w:rPr>
        <w:t>experts du transport des marchandises dangereuses du Conseil économique et social s</w:t>
      </w:r>
      <w:r w:rsidR="005F0D9B" w:rsidRPr="00101B00">
        <w:rPr>
          <w:lang w:val="fr-CH"/>
        </w:rPr>
        <w:t>’</w:t>
      </w:r>
      <w:r w:rsidR="00CC38BF" w:rsidRPr="00101B00">
        <w:rPr>
          <w:lang w:val="fr-CH"/>
        </w:rPr>
        <w:t>était réuni du 23 juin au 2 </w:t>
      </w:r>
      <w:r w:rsidRPr="00101B00">
        <w:rPr>
          <w:lang w:val="fr-CH"/>
        </w:rPr>
        <w:t>juillet 2014 (voir le rapport publié sous la cote ST/SG/AC.10/C.3/90 et Add.1) et du 1</w:t>
      </w:r>
      <w:r w:rsidRPr="00101B00">
        <w:rPr>
          <w:vertAlign w:val="superscript"/>
          <w:lang w:val="fr-CH"/>
        </w:rPr>
        <w:t>er</w:t>
      </w:r>
      <w:r w:rsidR="00CC38BF" w:rsidRPr="00101B00">
        <w:rPr>
          <w:lang w:val="fr-CH"/>
        </w:rPr>
        <w:t xml:space="preserve"> au 9 </w:t>
      </w:r>
      <w:r w:rsidRPr="00101B00">
        <w:rPr>
          <w:lang w:val="fr-CH"/>
        </w:rPr>
        <w:t>décembre 2014 (voir le rapport publié sous la cote ST/SG/AC.10/C.3/92). Le Sous-Comité d</w:t>
      </w:r>
      <w:r w:rsidR="005F0D9B" w:rsidRPr="00101B00">
        <w:rPr>
          <w:lang w:val="fr-CH"/>
        </w:rPr>
        <w:t>’</w:t>
      </w:r>
      <w:r w:rsidRPr="00101B00">
        <w:rPr>
          <w:lang w:val="fr-CH"/>
        </w:rPr>
        <w:t>experts du Système général harmonisé de classification et d</w:t>
      </w:r>
      <w:r w:rsidR="005F0D9B" w:rsidRPr="00101B00">
        <w:rPr>
          <w:lang w:val="fr-CH"/>
        </w:rPr>
        <w:t>’</w:t>
      </w:r>
      <w:r w:rsidRPr="00101B00">
        <w:rPr>
          <w:lang w:val="fr-CH"/>
        </w:rPr>
        <w:t>étiquetage des produits chimiques s</w:t>
      </w:r>
      <w:r w:rsidR="005F0D9B" w:rsidRPr="00101B00">
        <w:rPr>
          <w:lang w:val="fr-CH"/>
        </w:rPr>
        <w:t>’</w:t>
      </w:r>
      <w:r w:rsidR="00CC38BF" w:rsidRPr="00101B00">
        <w:rPr>
          <w:lang w:val="fr-CH"/>
        </w:rPr>
        <w:t>était réuni du 2 au 4 </w:t>
      </w:r>
      <w:r w:rsidRPr="00101B00">
        <w:rPr>
          <w:lang w:val="fr-CH"/>
        </w:rPr>
        <w:t>juillet 2014 (voir le rapport publié sous la cote ST/</w:t>
      </w:r>
      <w:r w:rsidR="00CC38BF" w:rsidRPr="00101B00">
        <w:rPr>
          <w:lang w:val="fr-CH"/>
        </w:rPr>
        <w:t>SG/AC.10/C.4/54) et du 10 au 12 </w:t>
      </w:r>
      <w:r w:rsidRPr="00101B00">
        <w:rPr>
          <w:lang w:val="fr-CH"/>
        </w:rPr>
        <w:t>décembre 2014 (voir le rapport publié sous la cote ST/SG/AC.10/C.4/56).</w:t>
      </w:r>
    </w:p>
    <w:p w:rsidR="00554873" w:rsidRPr="00101B00" w:rsidRDefault="00554873" w:rsidP="00CC38BF">
      <w:pPr>
        <w:pStyle w:val="SingleTxt"/>
        <w:numPr>
          <w:ilvl w:val="0"/>
          <w:numId w:val="7"/>
        </w:numPr>
        <w:tabs>
          <w:tab w:val="clear" w:pos="475"/>
          <w:tab w:val="num" w:pos="1742"/>
        </w:tabs>
        <w:ind w:left="1267"/>
        <w:rPr>
          <w:lang w:val="fr-CH"/>
        </w:rPr>
      </w:pPr>
      <w:r w:rsidRPr="00101B00">
        <w:rPr>
          <w:lang w:val="fr-CH"/>
        </w:rPr>
        <w:t>Le Comité d</w:t>
      </w:r>
      <w:r w:rsidR="005F0D9B" w:rsidRPr="00101B00">
        <w:rPr>
          <w:lang w:val="fr-CH"/>
        </w:rPr>
        <w:t>’</w:t>
      </w:r>
      <w:r w:rsidRPr="00101B00">
        <w:rPr>
          <w:lang w:val="fr-CH"/>
        </w:rPr>
        <w:t>experts du transport des marchandises dangereuses et du Système général harmonisé de classification et d</w:t>
      </w:r>
      <w:r w:rsidR="005F0D9B" w:rsidRPr="00101B00">
        <w:rPr>
          <w:lang w:val="fr-CH"/>
        </w:rPr>
        <w:t>’</w:t>
      </w:r>
      <w:r w:rsidRPr="00101B00">
        <w:rPr>
          <w:lang w:val="fr-CH"/>
        </w:rPr>
        <w:t>étiquetage des produits chimiques avait</w:t>
      </w:r>
      <w:r w:rsidR="00CC38BF" w:rsidRPr="00101B00">
        <w:rPr>
          <w:lang w:val="fr-CH"/>
        </w:rPr>
        <w:t xml:space="preserve"> tenu sa septième session le 12 </w:t>
      </w:r>
      <w:r w:rsidRPr="00101B00">
        <w:rPr>
          <w:lang w:val="fr-CH"/>
        </w:rPr>
        <w:t>décembre 2014, afin d</w:t>
      </w:r>
      <w:r w:rsidR="005F0D9B" w:rsidRPr="00101B00">
        <w:rPr>
          <w:lang w:val="fr-CH"/>
        </w:rPr>
        <w:t>’</w:t>
      </w:r>
      <w:r w:rsidRPr="00101B00">
        <w:rPr>
          <w:lang w:val="fr-CH"/>
        </w:rPr>
        <w:t xml:space="preserve">examiner les travaux accomplis par les deux </w:t>
      </w:r>
      <w:r w:rsidR="002B2830" w:rsidRPr="00101B00">
        <w:rPr>
          <w:lang w:val="fr-CH"/>
        </w:rPr>
        <w:t>Sous</w:t>
      </w:r>
      <w:r w:rsidRPr="00101B00">
        <w:rPr>
          <w:lang w:val="fr-CH"/>
        </w:rPr>
        <w:t>-</w:t>
      </w:r>
      <w:r w:rsidR="002B2830" w:rsidRPr="00101B00">
        <w:rPr>
          <w:lang w:val="fr-CH"/>
        </w:rPr>
        <w:t xml:space="preserve">Comités </w:t>
      </w:r>
      <w:r w:rsidRPr="00101B00">
        <w:rPr>
          <w:lang w:val="fr-CH"/>
        </w:rPr>
        <w:t>durant l</w:t>
      </w:r>
      <w:r w:rsidR="005F0D9B" w:rsidRPr="00101B00">
        <w:rPr>
          <w:lang w:val="fr-CH"/>
        </w:rPr>
        <w:t>’</w:t>
      </w:r>
      <w:r w:rsidRPr="00101B00">
        <w:rPr>
          <w:lang w:val="fr-CH"/>
        </w:rPr>
        <w:t>exercice biennal 2013-2014 (voir le rapport publié sous la cote ST/SG/AC.10/42). Il avait adopté un certain nombre de recommandations (ST/SG/AC.10/42/Add.1 à 3) qui seraient prises en compte dans des publications dont le secrétariat assurerait l</w:t>
      </w:r>
      <w:r w:rsidR="005F0D9B" w:rsidRPr="00101B00">
        <w:rPr>
          <w:lang w:val="fr-CH"/>
        </w:rPr>
        <w:t>’</w:t>
      </w:r>
      <w:r w:rsidR="00CC38BF" w:rsidRPr="00101B00">
        <w:rPr>
          <w:lang w:val="fr-CH"/>
        </w:rPr>
        <w:t>élaboration en 2015 (19</w:t>
      </w:r>
      <w:r w:rsidR="00CC38BF" w:rsidRPr="00101B00">
        <w:rPr>
          <w:vertAlign w:val="superscript"/>
          <w:lang w:val="fr-CH"/>
        </w:rPr>
        <w:t>e</w:t>
      </w:r>
      <w:r w:rsidR="00CC38BF" w:rsidRPr="00101B00">
        <w:rPr>
          <w:lang w:val="fr-CH"/>
        </w:rPr>
        <w:t> édition</w:t>
      </w:r>
      <w:r w:rsidRPr="00101B00">
        <w:rPr>
          <w:lang w:val="fr-CH"/>
        </w:rPr>
        <w:t xml:space="preserve"> révisée des Recommandations relatives au transport des marchandises dangereuses </w:t>
      </w:r>
      <w:r w:rsidR="00CC38BF" w:rsidRPr="00101B00">
        <w:rPr>
          <w:lang w:val="fr-CH"/>
        </w:rPr>
        <w:t>– Règlement type; 6</w:t>
      </w:r>
      <w:r w:rsidR="00CC38BF" w:rsidRPr="00101B00">
        <w:rPr>
          <w:vertAlign w:val="superscript"/>
          <w:lang w:val="fr-CH"/>
        </w:rPr>
        <w:t>e</w:t>
      </w:r>
      <w:r w:rsidR="00CC38BF" w:rsidRPr="00101B00">
        <w:rPr>
          <w:lang w:val="fr-CH"/>
        </w:rPr>
        <w:t> </w:t>
      </w:r>
      <w:r w:rsidRPr="00101B00">
        <w:rPr>
          <w:lang w:val="fr-CH"/>
        </w:rPr>
        <w:t>éd</w:t>
      </w:r>
      <w:r w:rsidR="00CC38BF" w:rsidRPr="00101B00">
        <w:rPr>
          <w:lang w:val="fr-CH"/>
        </w:rPr>
        <w:t xml:space="preserve">ition </w:t>
      </w:r>
      <w:r w:rsidRPr="00101B00">
        <w:rPr>
          <w:lang w:val="fr-CH"/>
        </w:rPr>
        <w:t xml:space="preserve">révisée des Recommandations relatives au transport des marchandises dangereuses </w:t>
      </w:r>
      <w:r w:rsidR="00CC38BF" w:rsidRPr="00101B00">
        <w:rPr>
          <w:lang w:val="fr-CH"/>
        </w:rPr>
        <w:t>–</w:t>
      </w:r>
      <w:r w:rsidRPr="00101B00">
        <w:rPr>
          <w:lang w:val="fr-CH"/>
        </w:rPr>
        <w:t xml:space="preserve"> Manuel d</w:t>
      </w:r>
      <w:r w:rsidR="005F0D9B" w:rsidRPr="00101B00">
        <w:rPr>
          <w:lang w:val="fr-CH"/>
        </w:rPr>
        <w:t>’</w:t>
      </w:r>
      <w:r w:rsidR="00CC38BF" w:rsidRPr="00101B00">
        <w:rPr>
          <w:lang w:val="fr-CH"/>
        </w:rPr>
        <w:t>épreuves et de critères; 6</w:t>
      </w:r>
      <w:r w:rsidR="00CC38BF" w:rsidRPr="00101B00">
        <w:rPr>
          <w:vertAlign w:val="superscript"/>
          <w:lang w:val="fr-CH"/>
        </w:rPr>
        <w:t>e</w:t>
      </w:r>
      <w:r w:rsidR="00CC38BF" w:rsidRPr="00101B00">
        <w:rPr>
          <w:lang w:val="fr-CH"/>
        </w:rPr>
        <w:t> </w:t>
      </w:r>
      <w:r w:rsidRPr="00101B00">
        <w:rPr>
          <w:lang w:val="fr-CH"/>
        </w:rPr>
        <w:t>éd</w:t>
      </w:r>
      <w:r w:rsidR="00CC38BF" w:rsidRPr="00101B00">
        <w:rPr>
          <w:lang w:val="fr-CH"/>
        </w:rPr>
        <w:t>ition</w:t>
      </w:r>
      <w:r w:rsidRPr="00101B00">
        <w:rPr>
          <w:lang w:val="fr-CH"/>
        </w:rPr>
        <w:t xml:space="preserve"> révisée du Système général harmonisé de classification et d</w:t>
      </w:r>
      <w:r w:rsidR="005F0D9B" w:rsidRPr="00101B00">
        <w:rPr>
          <w:lang w:val="fr-CH"/>
        </w:rPr>
        <w:t>’</w:t>
      </w:r>
      <w:r w:rsidRPr="00101B00">
        <w:rPr>
          <w:lang w:val="fr-CH"/>
        </w:rPr>
        <w:t>étiquetage des produits chimiques).</w:t>
      </w:r>
    </w:p>
    <w:p w:rsidR="00554873" w:rsidRPr="00101B00" w:rsidRDefault="00554873" w:rsidP="00C33BFB">
      <w:pPr>
        <w:pStyle w:val="SingleTxt"/>
        <w:numPr>
          <w:ilvl w:val="0"/>
          <w:numId w:val="7"/>
        </w:numPr>
        <w:tabs>
          <w:tab w:val="clear" w:pos="475"/>
          <w:tab w:val="num" w:pos="1742"/>
        </w:tabs>
        <w:ind w:left="1267"/>
        <w:rPr>
          <w:lang w:val="fr-CH"/>
        </w:rPr>
      </w:pPr>
      <w:r w:rsidRPr="00101B00">
        <w:rPr>
          <w:lang w:val="fr-CH"/>
        </w:rPr>
        <w:t xml:space="preserve">Le Comité a </w:t>
      </w:r>
      <w:r w:rsidRPr="00101B00">
        <w:rPr>
          <w:b/>
          <w:lang w:val="fr-CH"/>
        </w:rPr>
        <w:t>noté</w:t>
      </w:r>
      <w:r w:rsidRPr="00101B00">
        <w:rPr>
          <w:lang w:val="fr-CH"/>
        </w:rPr>
        <w:t xml:space="preserve"> que l</w:t>
      </w:r>
      <w:r w:rsidR="005F0D9B" w:rsidRPr="00101B00">
        <w:rPr>
          <w:lang w:val="fr-CH"/>
        </w:rPr>
        <w:t>’</w:t>
      </w:r>
      <w:r w:rsidRPr="00101B00">
        <w:rPr>
          <w:lang w:val="fr-CH"/>
        </w:rPr>
        <w:t>Accord européen relatif au transport international des marchandises dangereuses par r</w:t>
      </w:r>
      <w:r w:rsidR="00CC38BF" w:rsidRPr="00101B00">
        <w:rPr>
          <w:lang w:val="fr-CH"/>
        </w:rPr>
        <w:t>oute (ADR) comptait toujours 48 </w:t>
      </w:r>
      <w:r w:rsidRPr="00101B00">
        <w:rPr>
          <w:lang w:val="fr-CH"/>
        </w:rPr>
        <w:t>Parties contractantes. Le Protocole po</w:t>
      </w:r>
      <w:r w:rsidR="00CC38BF" w:rsidRPr="00101B00">
        <w:rPr>
          <w:lang w:val="fr-CH"/>
        </w:rPr>
        <w:t>rtant modification des articles 1 a), 14 1) et 14 3) </w:t>
      </w:r>
      <w:r w:rsidRPr="00101B00">
        <w:rPr>
          <w:lang w:val="fr-CH"/>
        </w:rPr>
        <w:t>b) de l</w:t>
      </w:r>
      <w:r w:rsidR="005F0D9B" w:rsidRPr="00101B00">
        <w:rPr>
          <w:lang w:val="fr-CH"/>
        </w:rPr>
        <w:t>’</w:t>
      </w:r>
      <w:r w:rsidRPr="00101B00">
        <w:rPr>
          <w:lang w:val="fr-CH"/>
        </w:rPr>
        <w:t xml:space="preserve">Accord, adopté par la Conférence </w:t>
      </w:r>
      <w:r w:rsidR="00CC38BF" w:rsidRPr="00101B00">
        <w:rPr>
          <w:lang w:val="fr-CH"/>
        </w:rPr>
        <w:t>des Parties contractantes le 28 </w:t>
      </w:r>
      <w:r w:rsidRPr="00101B00">
        <w:rPr>
          <w:lang w:val="fr-CH"/>
        </w:rPr>
        <w:t>octobre 1993, n</w:t>
      </w:r>
      <w:r w:rsidR="005F0D9B" w:rsidRPr="00101B00">
        <w:rPr>
          <w:lang w:val="fr-CH"/>
        </w:rPr>
        <w:t>’</w:t>
      </w:r>
      <w:r w:rsidRPr="00101B00">
        <w:rPr>
          <w:lang w:val="fr-CH"/>
        </w:rPr>
        <w:t>était pas encore entré en vigueur, car toutes les Parties contractantes à l</w:t>
      </w:r>
      <w:r w:rsidR="005F0D9B" w:rsidRPr="00101B00">
        <w:rPr>
          <w:lang w:val="fr-CH"/>
        </w:rPr>
        <w:t>’</w:t>
      </w:r>
      <w:r w:rsidRPr="00101B00">
        <w:rPr>
          <w:lang w:val="fr-CH"/>
        </w:rPr>
        <w:t>Accord n</w:t>
      </w:r>
      <w:r w:rsidR="005F0D9B" w:rsidRPr="00101B00">
        <w:rPr>
          <w:lang w:val="fr-CH"/>
        </w:rPr>
        <w:t>’</w:t>
      </w:r>
      <w:r w:rsidRPr="00101B00">
        <w:rPr>
          <w:lang w:val="fr-CH"/>
        </w:rPr>
        <w:t xml:space="preserve">étaient pas encore parties à ce protocole, qui en comptait 33. Le Comité a </w:t>
      </w:r>
      <w:r w:rsidRPr="00101B00">
        <w:rPr>
          <w:b/>
          <w:lang w:val="fr-CH"/>
        </w:rPr>
        <w:t>exhorté</w:t>
      </w:r>
      <w:r w:rsidRPr="00101B00">
        <w:rPr>
          <w:lang w:val="fr-CH"/>
        </w:rPr>
        <w:t xml:space="preserve"> les Parties contractantes à l</w:t>
      </w:r>
      <w:r w:rsidR="005F0D9B" w:rsidRPr="00101B00">
        <w:rPr>
          <w:lang w:val="fr-CH"/>
        </w:rPr>
        <w:t>’</w:t>
      </w:r>
      <w:r w:rsidRPr="00101B00">
        <w:rPr>
          <w:lang w:val="fr-CH"/>
        </w:rPr>
        <w:t>ADR n</w:t>
      </w:r>
      <w:r w:rsidR="005F0D9B" w:rsidRPr="00101B00">
        <w:rPr>
          <w:lang w:val="fr-CH"/>
        </w:rPr>
        <w:t>’</w:t>
      </w:r>
      <w:r w:rsidRPr="00101B00">
        <w:rPr>
          <w:lang w:val="fr-CH"/>
        </w:rPr>
        <w:t>ayant pas encore adhéré au Protocole de 1993 port</w:t>
      </w:r>
      <w:r w:rsidR="00CC38BF" w:rsidRPr="00101B00">
        <w:rPr>
          <w:lang w:val="fr-CH"/>
        </w:rPr>
        <w:t>ant modification des articles 1 a), 14 1) et 14 3) </w:t>
      </w:r>
      <w:r w:rsidRPr="00101B00">
        <w:rPr>
          <w:lang w:val="fr-CH"/>
        </w:rPr>
        <w:t>b) de l</w:t>
      </w:r>
      <w:r w:rsidR="005F0D9B" w:rsidRPr="00101B00">
        <w:rPr>
          <w:lang w:val="fr-CH"/>
        </w:rPr>
        <w:t>’</w:t>
      </w:r>
      <w:r w:rsidRPr="00101B00">
        <w:rPr>
          <w:lang w:val="fr-CH"/>
        </w:rPr>
        <w:t>Accord (Azerbaïdjan, Bélarus, Bosnie-Herzégovine, Croatie, ex-République yougoslave de Macédoine, Islande, Kazakhstan, Malt</w:t>
      </w:r>
      <w:r w:rsidR="00CC38BF" w:rsidRPr="00101B00">
        <w:rPr>
          <w:lang w:val="fr-CH"/>
        </w:rPr>
        <w:t>e</w:t>
      </w:r>
      <w:r w:rsidRPr="00101B00">
        <w:rPr>
          <w:lang w:val="fr-CH"/>
        </w:rPr>
        <w:t xml:space="preserve">, </w:t>
      </w:r>
      <w:r w:rsidR="00C33BFB" w:rsidRPr="00101B00">
        <w:rPr>
          <w:lang w:val="fr-CH"/>
        </w:rPr>
        <w:t>Maroc,</w:t>
      </w:r>
      <w:r w:rsidR="00C33BFB">
        <w:rPr>
          <w:lang w:val="fr-CH"/>
        </w:rPr>
        <w:t xml:space="preserve"> </w:t>
      </w:r>
      <w:r w:rsidRPr="00101B00">
        <w:rPr>
          <w:lang w:val="fr-CH"/>
        </w:rPr>
        <w:t>Monténégro, Serbie, Tadjikistan</w:t>
      </w:r>
      <w:r w:rsidR="00CC38BF" w:rsidRPr="00101B00">
        <w:rPr>
          <w:lang w:val="fr-CH"/>
        </w:rPr>
        <w:t>, Tunisie, Turquie et Ukraine) à</w:t>
      </w:r>
      <w:r w:rsidRPr="00101B00">
        <w:rPr>
          <w:lang w:val="fr-CH"/>
        </w:rPr>
        <w:t xml:space="preserve"> prendre les mesures nécessaires pour y adhérer</w:t>
      </w:r>
      <w:r w:rsidR="00CC38BF" w:rsidRPr="00101B00">
        <w:rPr>
          <w:lang w:val="fr-CH"/>
        </w:rPr>
        <w:t>,</w:t>
      </w:r>
      <w:r w:rsidRPr="00101B00">
        <w:rPr>
          <w:lang w:val="fr-CH"/>
        </w:rPr>
        <w:t xml:space="preserve"> afin qu</w:t>
      </w:r>
      <w:r w:rsidR="005F0D9B" w:rsidRPr="00101B00">
        <w:rPr>
          <w:lang w:val="fr-CH"/>
        </w:rPr>
        <w:t>’</w:t>
      </w:r>
      <w:r w:rsidRPr="00101B00">
        <w:rPr>
          <w:lang w:val="fr-CH"/>
        </w:rPr>
        <w:t>il puisse entrer en vigueur.</w:t>
      </w:r>
    </w:p>
    <w:p w:rsidR="00554873" w:rsidRPr="00101B00" w:rsidRDefault="00554873" w:rsidP="00D16BB1">
      <w:pPr>
        <w:pStyle w:val="SingleTxt"/>
        <w:numPr>
          <w:ilvl w:val="0"/>
          <w:numId w:val="7"/>
        </w:numPr>
        <w:tabs>
          <w:tab w:val="clear" w:pos="475"/>
          <w:tab w:val="num" w:pos="1742"/>
        </w:tabs>
        <w:ind w:left="1267"/>
        <w:rPr>
          <w:lang w:val="fr-CH"/>
        </w:rPr>
      </w:pPr>
      <w:r w:rsidRPr="00101B00">
        <w:rPr>
          <w:lang w:val="fr-CH"/>
        </w:rPr>
        <w:t xml:space="preserve">Le Comité a aussi </w:t>
      </w:r>
      <w:r w:rsidRPr="00101B00">
        <w:rPr>
          <w:b/>
          <w:lang w:val="fr-CH"/>
        </w:rPr>
        <w:t>noté</w:t>
      </w:r>
      <w:r w:rsidRPr="00101B00">
        <w:rPr>
          <w:lang w:val="fr-CH"/>
        </w:rPr>
        <w:t xml:space="preserve"> que la Belgique avait adhéré à l</w:t>
      </w:r>
      <w:r w:rsidR="005F0D9B" w:rsidRPr="00101B00">
        <w:rPr>
          <w:lang w:val="fr-CH"/>
        </w:rPr>
        <w:t>’</w:t>
      </w:r>
      <w:r w:rsidRPr="00101B00">
        <w:rPr>
          <w:lang w:val="fr-CH"/>
        </w:rPr>
        <w:t>Accord européen relatif au transport international des marchandises dangereuses par voie de navigation intérieure (ADN) en juin 2014, ce qui portait le nombre de Parties contractantes à 18.</w:t>
      </w:r>
    </w:p>
    <w:p w:rsidR="00554873" w:rsidRPr="00101B00" w:rsidRDefault="00554873" w:rsidP="00B357E2">
      <w:pPr>
        <w:pStyle w:val="SingleTxt"/>
        <w:numPr>
          <w:ilvl w:val="0"/>
          <w:numId w:val="7"/>
        </w:numPr>
        <w:tabs>
          <w:tab w:val="clear" w:pos="475"/>
          <w:tab w:val="num" w:pos="1742"/>
        </w:tabs>
        <w:ind w:left="1267"/>
        <w:rPr>
          <w:spacing w:val="3"/>
          <w:lang w:val="fr-CH"/>
        </w:rPr>
      </w:pPr>
      <w:r w:rsidRPr="00101B00">
        <w:rPr>
          <w:spacing w:val="3"/>
          <w:lang w:val="fr-CH"/>
        </w:rPr>
        <w:t xml:space="preserve">M. José Alberto Franco (Portugal), Président du WP.15, a </w:t>
      </w:r>
      <w:r w:rsidRPr="00101B00">
        <w:rPr>
          <w:b/>
          <w:spacing w:val="3"/>
          <w:lang w:val="fr-CH"/>
        </w:rPr>
        <w:t>informé</w:t>
      </w:r>
      <w:r w:rsidRPr="00101B00">
        <w:rPr>
          <w:spacing w:val="3"/>
          <w:lang w:val="fr-CH"/>
        </w:rPr>
        <w:t xml:space="preserve"> le Comité des principales réalisation</w:t>
      </w:r>
      <w:r w:rsidR="00B357E2" w:rsidRPr="00101B00">
        <w:rPr>
          <w:spacing w:val="3"/>
          <w:lang w:val="fr-CH"/>
        </w:rPr>
        <w:t>s</w:t>
      </w:r>
      <w:r w:rsidRPr="00101B00">
        <w:rPr>
          <w:spacing w:val="3"/>
          <w:lang w:val="fr-CH"/>
        </w:rPr>
        <w:t xml:space="preserve"> de ce groupe de travail en 2014. Le Comité a </w:t>
      </w:r>
      <w:r w:rsidRPr="00101B00">
        <w:rPr>
          <w:b/>
          <w:spacing w:val="3"/>
          <w:lang w:val="fr-CH"/>
        </w:rPr>
        <w:t>noté</w:t>
      </w:r>
      <w:r w:rsidRPr="00101B00">
        <w:rPr>
          <w:spacing w:val="3"/>
          <w:lang w:val="fr-CH"/>
        </w:rPr>
        <w:t xml:space="preserve"> que les projets d</w:t>
      </w:r>
      <w:r w:rsidR="005F0D9B" w:rsidRPr="00101B00">
        <w:rPr>
          <w:spacing w:val="3"/>
          <w:lang w:val="fr-CH"/>
        </w:rPr>
        <w:t>’</w:t>
      </w:r>
      <w:r w:rsidR="00B357E2" w:rsidRPr="00101B00">
        <w:rPr>
          <w:spacing w:val="3"/>
          <w:lang w:val="fr-CH"/>
        </w:rPr>
        <w:t>amendements aux annexes </w:t>
      </w:r>
      <w:r w:rsidRPr="00101B00">
        <w:rPr>
          <w:spacing w:val="3"/>
          <w:lang w:val="fr-CH"/>
        </w:rPr>
        <w:t>A et B de l</w:t>
      </w:r>
      <w:r w:rsidR="005F0D9B" w:rsidRPr="00101B00">
        <w:rPr>
          <w:spacing w:val="3"/>
          <w:lang w:val="fr-CH"/>
        </w:rPr>
        <w:t>’</w:t>
      </w:r>
      <w:r w:rsidRPr="00101B00">
        <w:rPr>
          <w:spacing w:val="3"/>
          <w:lang w:val="fr-CH"/>
        </w:rPr>
        <w:t xml:space="preserve">ADR adoptés en 2012, 2013 et mai 2014 et </w:t>
      </w:r>
      <w:r w:rsidR="00B357E2" w:rsidRPr="00101B00">
        <w:rPr>
          <w:spacing w:val="3"/>
          <w:lang w:val="fr-CH"/>
        </w:rPr>
        <w:t xml:space="preserve">censés entrer </w:t>
      </w:r>
      <w:r w:rsidRPr="00101B00">
        <w:rPr>
          <w:spacing w:val="3"/>
          <w:lang w:val="fr-CH"/>
        </w:rPr>
        <w:t>en vigueur le 1</w:t>
      </w:r>
      <w:r w:rsidRPr="00101B00">
        <w:rPr>
          <w:spacing w:val="3"/>
          <w:vertAlign w:val="superscript"/>
          <w:lang w:val="fr-CH"/>
        </w:rPr>
        <w:t>er</w:t>
      </w:r>
      <w:r w:rsidR="00B357E2" w:rsidRPr="00101B00">
        <w:rPr>
          <w:spacing w:val="3"/>
          <w:lang w:val="fr-CH"/>
        </w:rPr>
        <w:t> </w:t>
      </w:r>
      <w:r w:rsidRPr="00101B00">
        <w:rPr>
          <w:spacing w:val="3"/>
          <w:lang w:val="fr-CH"/>
        </w:rPr>
        <w:t xml:space="preserve">janvier 2015 </w:t>
      </w:r>
      <w:r w:rsidR="00B357E2" w:rsidRPr="00101B00">
        <w:rPr>
          <w:spacing w:val="3"/>
          <w:lang w:val="fr-CH"/>
        </w:rPr>
        <w:t xml:space="preserve">– </w:t>
      </w:r>
      <w:r w:rsidRPr="00101B00">
        <w:rPr>
          <w:spacing w:val="3"/>
          <w:lang w:val="fr-CH"/>
        </w:rPr>
        <w:t xml:space="preserve">tels que reproduits dans les documents ECE/TRANS/WP.15/222 et Corr.1 et 2 et ECE/TRANS/WP.15/222/Add.1 et Corr.1 </w:t>
      </w:r>
      <w:r w:rsidR="00B357E2" w:rsidRPr="00101B00">
        <w:rPr>
          <w:spacing w:val="3"/>
          <w:lang w:val="fr-CH"/>
        </w:rPr>
        <w:t xml:space="preserve">– </w:t>
      </w:r>
      <w:r w:rsidRPr="00101B00">
        <w:rPr>
          <w:spacing w:val="3"/>
          <w:lang w:val="fr-CH"/>
        </w:rPr>
        <w:t xml:space="preserve">avaient été soumis au Secrétaire général par le Gouvernement portugais, puis </w:t>
      </w:r>
      <w:r w:rsidRPr="00101B00">
        <w:rPr>
          <w:spacing w:val="3"/>
          <w:lang w:val="fr-CH"/>
        </w:rPr>
        <w:lastRenderedPageBreak/>
        <w:t>communiqués par le Secrétaire général aux Parties contractantes pour acceptation. Ils avaient été considérés comme acceptés le 1</w:t>
      </w:r>
      <w:r w:rsidRPr="00101B00">
        <w:rPr>
          <w:spacing w:val="3"/>
          <w:vertAlign w:val="superscript"/>
          <w:lang w:val="fr-CH"/>
        </w:rPr>
        <w:t>er</w:t>
      </w:r>
      <w:r w:rsidR="00B357E2" w:rsidRPr="00101B00">
        <w:rPr>
          <w:spacing w:val="3"/>
          <w:lang w:val="fr-CH"/>
        </w:rPr>
        <w:t> </w:t>
      </w:r>
      <w:r w:rsidRPr="00101B00">
        <w:rPr>
          <w:spacing w:val="3"/>
          <w:lang w:val="fr-CH"/>
        </w:rPr>
        <w:t>octobre 2014 et étaient entrés en vigueur le 1</w:t>
      </w:r>
      <w:r w:rsidRPr="00101B00">
        <w:rPr>
          <w:spacing w:val="3"/>
          <w:vertAlign w:val="superscript"/>
          <w:lang w:val="fr-CH"/>
        </w:rPr>
        <w:t>er</w:t>
      </w:r>
      <w:r w:rsidR="00B357E2" w:rsidRPr="00101B00">
        <w:rPr>
          <w:spacing w:val="3"/>
          <w:lang w:val="fr-CH"/>
        </w:rPr>
        <w:t> </w:t>
      </w:r>
      <w:r w:rsidRPr="00101B00">
        <w:rPr>
          <w:spacing w:val="3"/>
          <w:lang w:val="fr-CH"/>
        </w:rPr>
        <w:t>janvier 2015. Le secrétariat avait en conséquence publié une nouvelle édition 2015 récapitulative de l</w:t>
      </w:r>
      <w:r w:rsidR="005F0D9B" w:rsidRPr="00101B00">
        <w:rPr>
          <w:spacing w:val="3"/>
          <w:lang w:val="fr-CH"/>
        </w:rPr>
        <w:t>’</w:t>
      </w:r>
      <w:r w:rsidRPr="00101B00">
        <w:rPr>
          <w:spacing w:val="3"/>
          <w:lang w:val="fr-CH"/>
        </w:rPr>
        <w:t>Accord, s</w:t>
      </w:r>
      <w:r w:rsidR="00B357E2" w:rsidRPr="00101B00">
        <w:rPr>
          <w:spacing w:val="3"/>
          <w:lang w:val="fr-CH"/>
        </w:rPr>
        <w:t>ous la cote ECE/TRANS/242 (vol. </w:t>
      </w:r>
      <w:r w:rsidRPr="00101B00">
        <w:rPr>
          <w:spacing w:val="3"/>
          <w:lang w:val="fr-CH"/>
        </w:rPr>
        <w:t>I et II).</w:t>
      </w:r>
    </w:p>
    <w:p w:rsidR="00554873" w:rsidRPr="00101B00" w:rsidRDefault="00554873" w:rsidP="00B357E2">
      <w:pPr>
        <w:pStyle w:val="SingleTxt"/>
        <w:numPr>
          <w:ilvl w:val="0"/>
          <w:numId w:val="7"/>
        </w:numPr>
        <w:tabs>
          <w:tab w:val="clear" w:pos="475"/>
          <w:tab w:val="num" w:pos="1742"/>
        </w:tabs>
        <w:ind w:left="1267"/>
        <w:rPr>
          <w:lang w:val="fr-CH"/>
        </w:rPr>
      </w:pPr>
      <w:r w:rsidRPr="00101B00">
        <w:rPr>
          <w:lang w:val="fr-CH"/>
        </w:rPr>
        <w:t>De même, des projets d</w:t>
      </w:r>
      <w:r w:rsidR="005F0D9B" w:rsidRPr="00101B00">
        <w:rPr>
          <w:lang w:val="fr-CH"/>
        </w:rPr>
        <w:t>’</w:t>
      </w:r>
      <w:r w:rsidRPr="00101B00">
        <w:rPr>
          <w:lang w:val="fr-CH"/>
        </w:rPr>
        <w:t>amendements aux Règlements annexés à l</w:t>
      </w:r>
      <w:r w:rsidR="005F0D9B" w:rsidRPr="00101B00">
        <w:rPr>
          <w:lang w:val="fr-CH"/>
        </w:rPr>
        <w:t>’</w:t>
      </w:r>
      <w:r w:rsidRPr="00101B00">
        <w:rPr>
          <w:lang w:val="fr-CH"/>
        </w:rPr>
        <w:t>ADN adoptés en 2012, 2013 et janvier 2014, tels qu</w:t>
      </w:r>
      <w:r w:rsidR="005F0D9B" w:rsidRPr="00101B00">
        <w:rPr>
          <w:lang w:val="fr-CH"/>
        </w:rPr>
        <w:t>’</w:t>
      </w:r>
      <w:r w:rsidRPr="00101B00">
        <w:rPr>
          <w:lang w:val="fr-CH"/>
        </w:rPr>
        <w:t xml:space="preserve">ils figurent dans le document ECE/ADN/27, avaient été </w:t>
      </w:r>
      <w:r w:rsidR="00B357E2" w:rsidRPr="00101B00">
        <w:rPr>
          <w:lang w:val="fr-CH"/>
        </w:rPr>
        <w:t xml:space="preserve">considérés comme </w:t>
      </w:r>
      <w:r w:rsidRPr="00101B00">
        <w:rPr>
          <w:lang w:val="fr-CH"/>
        </w:rPr>
        <w:t>acceptés le 1</w:t>
      </w:r>
      <w:r w:rsidRPr="00101B00">
        <w:rPr>
          <w:vertAlign w:val="superscript"/>
          <w:lang w:val="fr-CH"/>
        </w:rPr>
        <w:t>er</w:t>
      </w:r>
      <w:r w:rsidR="00B357E2" w:rsidRPr="00101B00">
        <w:rPr>
          <w:lang w:val="fr-CH"/>
        </w:rPr>
        <w:t> </w:t>
      </w:r>
      <w:r w:rsidRPr="00101B00">
        <w:rPr>
          <w:lang w:val="fr-CH"/>
        </w:rPr>
        <w:t>octobre 2014 en vue de leur entrée en vigueur le 1</w:t>
      </w:r>
      <w:r w:rsidRPr="00101B00">
        <w:rPr>
          <w:vertAlign w:val="superscript"/>
          <w:lang w:val="fr-CH"/>
        </w:rPr>
        <w:t>er</w:t>
      </w:r>
      <w:r w:rsidRPr="00101B00">
        <w:rPr>
          <w:lang w:val="fr-CH"/>
        </w:rPr>
        <w:t xml:space="preserve"> janvier 2015. D</w:t>
      </w:r>
      <w:r w:rsidR="005F0D9B" w:rsidRPr="00101B00">
        <w:rPr>
          <w:lang w:val="fr-CH"/>
        </w:rPr>
        <w:t>’</w:t>
      </w:r>
      <w:r w:rsidRPr="00101B00">
        <w:rPr>
          <w:lang w:val="fr-CH"/>
        </w:rPr>
        <w:t>autres amendements adoptés en août 2014, reproduits dans les documents ECE/ADN/27/Corr.1 et ECE/ADN/27/Add.1 et Add.1/Corr.1, avaient aussi été communiqués pour acceptation et entrée en vigueur le 1</w:t>
      </w:r>
      <w:r w:rsidRPr="00101B00">
        <w:rPr>
          <w:vertAlign w:val="superscript"/>
          <w:lang w:val="fr-CH"/>
        </w:rPr>
        <w:t>er</w:t>
      </w:r>
      <w:r w:rsidR="00B357E2" w:rsidRPr="00101B00">
        <w:rPr>
          <w:lang w:val="fr-CH"/>
        </w:rPr>
        <w:t> </w:t>
      </w:r>
      <w:r w:rsidRPr="00101B00">
        <w:rPr>
          <w:lang w:val="fr-CH"/>
        </w:rPr>
        <w:t>janvier 2015. Le secrétariat allait donc publier une nouvelle édition 2015 récapitulative de l</w:t>
      </w:r>
      <w:r w:rsidR="005F0D9B" w:rsidRPr="00101B00">
        <w:rPr>
          <w:lang w:val="fr-CH"/>
        </w:rPr>
        <w:t>’</w:t>
      </w:r>
      <w:r w:rsidRPr="00101B00">
        <w:rPr>
          <w:lang w:val="fr-CH"/>
        </w:rPr>
        <w:t>Accord, sous la</w:t>
      </w:r>
      <w:r w:rsidR="00B357E2" w:rsidRPr="00101B00">
        <w:rPr>
          <w:lang w:val="fr-CH"/>
        </w:rPr>
        <w:t xml:space="preserve"> cote ECE/TRANS/243 (vol. </w:t>
      </w:r>
      <w:r w:rsidRPr="00101B00">
        <w:rPr>
          <w:lang w:val="fr-CH"/>
        </w:rPr>
        <w:t>I et II).</w:t>
      </w:r>
    </w:p>
    <w:p w:rsidR="00554873" w:rsidRPr="00101B00" w:rsidRDefault="00554873" w:rsidP="00D16BB1">
      <w:pPr>
        <w:pStyle w:val="SingleTxt"/>
        <w:numPr>
          <w:ilvl w:val="0"/>
          <w:numId w:val="7"/>
        </w:numPr>
        <w:tabs>
          <w:tab w:val="clear" w:pos="475"/>
          <w:tab w:val="num" w:pos="1742"/>
        </w:tabs>
        <w:ind w:left="1267"/>
        <w:rPr>
          <w:lang w:val="fr-CH"/>
        </w:rPr>
      </w:pPr>
      <w:r w:rsidRPr="00101B00">
        <w:rPr>
          <w:lang w:val="fr-CH"/>
        </w:rPr>
        <w:t xml:space="preserve">Le Comité a </w:t>
      </w:r>
      <w:r w:rsidRPr="00101B00">
        <w:rPr>
          <w:b/>
          <w:lang w:val="fr-CH"/>
        </w:rPr>
        <w:t>noté</w:t>
      </w:r>
      <w:r w:rsidRPr="00101B00">
        <w:rPr>
          <w:lang w:val="fr-CH"/>
        </w:rPr>
        <w:t xml:space="preserve"> que d</w:t>
      </w:r>
      <w:r w:rsidR="005F0D9B" w:rsidRPr="00101B00">
        <w:rPr>
          <w:lang w:val="fr-CH"/>
        </w:rPr>
        <w:t>’</w:t>
      </w:r>
      <w:r w:rsidRPr="00101B00">
        <w:rPr>
          <w:lang w:val="fr-CH"/>
        </w:rPr>
        <w:t>autres projets d</w:t>
      </w:r>
      <w:r w:rsidR="005F0D9B" w:rsidRPr="00101B00">
        <w:rPr>
          <w:lang w:val="fr-CH"/>
        </w:rPr>
        <w:t>’</w:t>
      </w:r>
      <w:r w:rsidRPr="00101B00">
        <w:rPr>
          <w:lang w:val="fr-CH"/>
        </w:rPr>
        <w:t>amendements à l</w:t>
      </w:r>
      <w:r w:rsidR="005F0D9B" w:rsidRPr="00101B00">
        <w:rPr>
          <w:lang w:val="fr-CH"/>
        </w:rPr>
        <w:t>’</w:t>
      </w:r>
      <w:r w:rsidRPr="00101B00">
        <w:rPr>
          <w:lang w:val="fr-CH"/>
        </w:rPr>
        <w:t>ADR, au RID et à l</w:t>
      </w:r>
      <w:r w:rsidR="005F0D9B" w:rsidRPr="00101B00">
        <w:rPr>
          <w:lang w:val="fr-CH"/>
        </w:rPr>
        <w:t>’</w:t>
      </w:r>
      <w:r w:rsidRPr="00101B00">
        <w:rPr>
          <w:lang w:val="fr-CH"/>
        </w:rPr>
        <w:t>ADN, dont l</w:t>
      </w:r>
      <w:r w:rsidR="005F0D9B" w:rsidRPr="00101B00">
        <w:rPr>
          <w:lang w:val="fr-CH"/>
        </w:rPr>
        <w:t>’</w:t>
      </w:r>
      <w:r w:rsidRPr="00101B00">
        <w:rPr>
          <w:lang w:val="fr-CH"/>
        </w:rPr>
        <w:t>entrée</w:t>
      </w:r>
      <w:r w:rsidR="00B357E2" w:rsidRPr="00101B00">
        <w:rPr>
          <w:lang w:val="fr-CH"/>
        </w:rPr>
        <w:t xml:space="preserve"> en vigueur était prévue le 1</w:t>
      </w:r>
      <w:r w:rsidR="00B357E2" w:rsidRPr="00101B00">
        <w:rPr>
          <w:vertAlign w:val="superscript"/>
          <w:lang w:val="fr-CH"/>
        </w:rPr>
        <w:t>er</w:t>
      </w:r>
      <w:r w:rsidR="00B357E2" w:rsidRPr="00101B00">
        <w:rPr>
          <w:lang w:val="fr-CH"/>
        </w:rPr>
        <w:t> </w:t>
      </w:r>
      <w:r w:rsidRPr="00101B00">
        <w:rPr>
          <w:lang w:val="fr-CH"/>
        </w:rPr>
        <w:t>janvier 2017, avaient été adoptés par la Réunion commune de la Commission d</w:t>
      </w:r>
      <w:r w:rsidR="005F0D9B" w:rsidRPr="00101B00">
        <w:rPr>
          <w:lang w:val="fr-CH"/>
        </w:rPr>
        <w:t>’</w:t>
      </w:r>
      <w:r w:rsidRPr="00101B00">
        <w:rPr>
          <w:lang w:val="fr-CH"/>
        </w:rPr>
        <w:t>experts du RID et du Groupe de travail des transports de marchandises dangereuses, par le Groupe de travail lui-même et par la Réunion commune d</w:t>
      </w:r>
      <w:r w:rsidR="005F0D9B" w:rsidRPr="00101B00">
        <w:rPr>
          <w:lang w:val="fr-CH"/>
        </w:rPr>
        <w:t>’</w:t>
      </w:r>
      <w:r w:rsidRPr="00101B00">
        <w:rPr>
          <w:lang w:val="fr-CH"/>
        </w:rPr>
        <w:t>experts du Règlement annexé à l</w:t>
      </w:r>
      <w:r w:rsidR="005F0D9B" w:rsidRPr="00101B00">
        <w:rPr>
          <w:lang w:val="fr-CH"/>
        </w:rPr>
        <w:t>’</w:t>
      </w:r>
      <w:r w:rsidRPr="00101B00">
        <w:rPr>
          <w:lang w:val="fr-CH"/>
        </w:rPr>
        <w:t>ADN.</w:t>
      </w:r>
    </w:p>
    <w:p w:rsidR="00554873" w:rsidRPr="00101B00" w:rsidRDefault="00554873" w:rsidP="00B357E2">
      <w:pPr>
        <w:pStyle w:val="SingleTxt"/>
        <w:numPr>
          <w:ilvl w:val="0"/>
          <w:numId w:val="7"/>
        </w:numPr>
        <w:tabs>
          <w:tab w:val="clear" w:pos="475"/>
          <w:tab w:val="num" w:pos="1742"/>
        </w:tabs>
        <w:ind w:left="1267"/>
        <w:rPr>
          <w:lang w:val="fr-CH"/>
        </w:rPr>
      </w:pPr>
      <w:r w:rsidRPr="00101B00">
        <w:rPr>
          <w:lang w:val="fr-CH"/>
        </w:rPr>
        <w:t xml:space="preserve">Le Comité a </w:t>
      </w:r>
      <w:r w:rsidRPr="00101B00">
        <w:rPr>
          <w:b/>
          <w:lang w:val="fr-CH"/>
        </w:rPr>
        <w:t>rappelé</w:t>
      </w:r>
      <w:r w:rsidRPr="00101B00">
        <w:rPr>
          <w:lang w:val="fr-CH"/>
        </w:rPr>
        <w:t xml:space="preserve"> que la Réunion commune de la Commission d</w:t>
      </w:r>
      <w:r w:rsidR="005F0D9B" w:rsidRPr="00101B00">
        <w:rPr>
          <w:lang w:val="fr-CH"/>
        </w:rPr>
        <w:t>’</w:t>
      </w:r>
      <w:r w:rsidRPr="00101B00">
        <w:rPr>
          <w:lang w:val="fr-CH"/>
        </w:rPr>
        <w:t>experts du RID et du Groupe de travail des transports de marchandises dangereuses avait lancé un projet pilote de base de données sur la sécurité, dans le cadre de ses activités liées au signalement obligatoire des incidents lors du transport intérieur de marchandises dangereuses et à l</w:t>
      </w:r>
      <w:r w:rsidR="005F0D9B" w:rsidRPr="00101B00">
        <w:rPr>
          <w:lang w:val="fr-CH"/>
        </w:rPr>
        <w:t>’</w:t>
      </w:r>
      <w:r w:rsidRPr="00101B00">
        <w:rPr>
          <w:lang w:val="fr-CH"/>
        </w:rPr>
        <w:t>évaluation des risques. Il avait été convenu que le secrétariat pourrait héberger cette base et permettre aux États membres d</w:t>
      </w:r>
      <w:r w:rsidR="005F0D9B" w:rsidRPr="00101B00">
        <w:rPr>
          <w:lang w:val="fr-CH"/>
        </w:rPr>
        <w:t>’</w:t>
      </w:r>
      <w:r w:rsidRPr="00101B00">
        <w:rPr>
          <w:lang w:val="fr-CH"/>
        </w:rPr>
        <w:t>y accéder via le site Web de la CEE. Le Comité avait encouragé les Parties contractantes au RID, à l</w:t>
      </w:r>
      <w:r w:rsidR="005F0D9B" w:rsidRPr="00101B00">
        <w:rPr>
          <w:lang w:val="fr-CH"/>
        </w:rPr>
        <w:t>’</w:t>
      </w:r>
      <w:r w:rsidRPr="00101B00">
        <w:rPr>
          <w:lang w:val="fr-CH"/>
        </w:rPr>
        <w:t>ADR et à l</w:t>
      </w:r>
      <w:r w:rsidR="005F0D9B" w:rsidRPr="00101B00">
        <w:rPr>
          <w:lang w:val="fr-CH"/>
        </w:rPr>
        <w:t>’</w:t>
      </w:r>
      <w:r w:rsidRPr="00101B00">
        <w:rPr>
          <w:lang w:val="fr-CH"/>
        </w:rPr>
        <w:t>ADN à participer activement à ce projet afin que le secrétariat archive toutes les données pertinentes, qui étaient essentielles pour prendre des décisions relatives à l</w:t>
      </w:r>
      <w:r w:rsidR="005F0D9B" w:rsidRPr="00101B00">
        <w:rPr>
          <w:lang w:val="fr-CH"/>
        </w:rPr>
        <w:t>’</w:t>
      </w:r>
      <w:r w:rsidRPr="00101B00">
        <w:rPr>
          <w:lang w:val="fr-CH"/>
        </w:rPr>
        <w:t>élaboration de dispositions réglementaires fondées sur l</w:t>
      </w:r>
      <w:r w:rsidR="005F0D9B" w:rsidRPr="00101B00">
        <w:rPr>
          <w:lang w:val="fr-CH"/>
        </w:rPr>
        <w:t>’</w:t>
      </w:r>
      <w:r w:rsidRPr="00101B00">
        <w:rPr>
          <w:lang w:val="fr-CH"/>
        </w:rPr>
        <w:t>analyse et l</w:t>
      </w:r>
      <w:r w:rsidR="005F0D9B" w:rsidRPr="00101B00">
        <w:rPr>
          <w:lang w:val="fr-CH"/>
        </w:rPr>
        <w:t>’</w:t>
      </w:r>
      <w:r w:rsidRPr="00101B00">
        <w:rPr>
          <w:lang w:val="fr-CH"/>
        </w:rPr>
        <w:t xml:space="preserve">évaluation des risques (ECE/TRANS/240, par. 79). Une nouvelle version du module de base de données avait été </w:t>
      </w:r>
      <w:r w:rsidR="00B357E2" w:rsidRPr="00101B00">
        <w:rPr>
          <w:lang w:val="fr-CH"/>
        </w:rPr>
        <w:t>affichée</w:t>
      </w:r>
      <w:r w:rsidRPr="00101B00">
        <w:rPr>
          <w:lang w:val="fr-CH"/>
        </w:rPr>
        <w:t xml:space="preserve"> sur le site Web de la CEE</w:t>
      </w:r>
      <w:r w:rsidR="00B357E2" w:rsidRPr="00101B00">
        <w:rPr>
          <w:lang w:val="fr-CH"/>
        </w:rPr>
        <w:t>, l’objectif étant</w:t>
      </w:r>
      <w:r w:rsidRPr="00101B00">
        <w:rPr>
          <w:lang w:val="fr-CH"/>
        </w:rPr>
        <w:t xml:space="preserve"> de mener à bien le projet pilote à l</w:t>
      </w:r>
      <w:r w:rsidR="005F0D9B" w:rsidRPr="00101B00">
        <w:rPr>
          <w:lang w:val="fr-CH"/>
        </w:rPr>
        <w:t>’</w:t>
      </w:r>
      <w:r w:rsidRPr="00101B00">
        <w:rPr>
          <w:lang w:val="fr-CH"/>
        </w:rPr>
        <w:t xml:space="preserve">aide des données fournies par huit États membres volontaires. Le Comité a </w:t>
      </w:r>
      <w:r w:rsidRPr="00101B00">
        <w:rPr>
          <w:b/>
          <w:lang w:val="fr-CH"/>
        </w:rPr>
        <w:t>noté</w:t>
      </w:r>
      <w:r w:rsidRPr="00101B00">
        <w:rPr>
          <w:lang w:val="fr-CH"/>
        </w:rPr>
        <w:t xml:space="preserve"> que, à sa session du printemps 2015, la Réunion commune examinerait divers modes de saisie des données dans la base et d</w:t>
      </w:r>
      <w:r w:rsidR="005F0D9B" w:rsidRPr="00101B00">
        <w:rPr>
          <w:lang w:val="fr-CH"/>
        </w:rPr>
        <w:t>’</w:t>
      </w:r>
      <w:r w:rsidRPr="00101B00">
        <w:rPr>
          <w:lang w:val="fr-CH"/>
        </w:rPr>
        <w:t>extraction des informations. Trois options avaient été présentées dans le document ECE/TRANS/WP.15/AC.1/2014/52. En ce qui concerne le projet de base de données sur la sécurité en lien avec la déclaration obligatoire des év</w:t>
      </w:r>
      <w:r w:rsidR="00B357E2" w:rsidRPr="00101B00">
        <w:rPr>
          <w:lang w:val="fr-CH"/>
        </w:rPr>
        <w:t>é</w:t>
      </w:r>
      <w:r w:rsidRPr="00101B00">
        <w:rPr>
          <w:lang w:val="fr-CH"/>
        </w:rPr>
        <w:t xml:space="preserve">nements survenant lors du transport intérieur de marchandises dangereuses </w:t>
      </w:r>
      <w:r w:rsidR="00B357E2" w:rsidRPr="00101B00">
        <w:rPr>
          <w:lang w:val="fr-CH"/>
        </w:rPr>
        <w:t xml:space="preserve">ainsi qu’avec </w:t>
      </w:r>
      <w:r w:rsidRPr="00101B00">
        <w:rPr>
          <w:lang w:val="fr-CH"/>
        </w:rPr>
        <w:t>l</w:t>
      </w:r>
      <w:r w:rsidR="005F0D9B" w:rsidRPr="00101B00">
        <w:rPr>
          <w:lang w:val="fr-CH"/>
        </w:rPr>
        <w:t>’</w:t>
      </w:r>
      <w:r w:rsidRPr="00101B00">
        <w:rPr>
          <w:lang w:val="fr-CH"/>
        </w:rPr>
        <w:t xml:space="preserve">évaluation des risques, le Comité a </w:t>
      </w:r>
      <w:r w:rsidRPr="00101B00">
        <w:rPr>
          <w:b/>
          <w:lang w:val="fr-CH"/>
        </w:rPr>
        <w:t>invité</w:t>
      </w:r>
      <w:r w:rsidRPr="00101B00">
        <w:rPr>
          <w:lang w:val="fr-CH"/>
        </w:rPr>
        <w:t xml:space="preserve"> ses États membres à étudier les options présentées dans le document ECE/TRANS/</w:t>
      </w:r>
      <w:r w:rsidR="00B357E2" w:rsidRPr="00101B00">
        <w:rPr>
          <w:lang w:val="fr-CH"/>
        </w:rPr>
        <w:br/>
      </w:r>
      <w:r w:rsidRPr="00101B00">
        <w:rPr>
          <w:lang w:val="fr-CH"/>
        </w:rPr>
        <w:t>WP.15/AC.1/2014/52 en matière de saisie et d</w:t>
      </w:r>
      <w:r w:rsidR="005F0D9B" w:rsidRPr="00101B00">
        <w:rPr>
          <w:lang w:val="fr-CH"/>
        </w:rPr>
        <w:t>’</w:t>
      </w:r>
      <w:r w:rsidRPr="00101B00">
        <w:rPr>
          <w:lang w:val="fr-CH"/>
        </w:rPr>
        <w:t>extraction de données avant la session du printemps 2015 de la réunion commune RID/ADR/ADN</w:t>
      </w:r>
      <w:r w:rsidR="00B357E2" w:rsidRPr="00101B00">
        <w:rPr>
          <w:lang w:val="fr-CH"/>
        </w:rPr>
        <w:t>, afin que puisse être arrêtée</w:t>
      </w:r>
      <w:r w:rsidRPr="00101B00">
        <w:rPr>
          <w:lang w:val="fr-CH"/>
        </w:rPr>
        <w:t xml:space="preserve"> une décision sur la marche à suivre; il a, en outre, </w:t>
      </w:r>
      <w:r w:rsidRPr="00101B00">
        <w:rPr>
          <w:b/>
          <w:lang w:val="fr-CH"/>
        </w:rPr>
        <w:t>encouragé</w:t>
      </w:r>
      <w:r w:rsidRPr="00101B00">
        <w:rPr>
          <w:lang w:val="fr-CH"/>
        </w:rPr>
        <w:t xml:space="preserve"> les États n</w:t>
      </w:r>
      <w:r w:rsidR="005F0D9B" w:rsidRPr="00101B00">
        <w:rPr>
          <w:lang w:val="fr-CH"/>
        </w:rPr>
        <w:t>’</w:t>
      </w:r>
      <w:r w:rsidRPr="00101B00">
        <w:rPr>
          <w:lang w:val="fr-CH"/>
        </w:rPr>
        <w:t>ayant pas encore contribué de manière volontaire à le faire.</w:t>
      </w:r>
    </w:p>
    <w:p w:rsidR="00554873" w:rsidRPr="00101B00" w:rsidRDefault="00554873" w:rsidP="00B357E2">
      <w:pPr>
        <w:pStyle w:val="SingleTxt"/>
        <w:numPr>
          <w:ilvl w:val="0"/>
          <w:numId w:val="7"/>
        </w:numPr>
        <w:tabs>
          <w:tab w:val="clear" w:pos="475"/>
          <w:tab w:val="num" w:pos="1742"/>
        </w:tabs>
        <w:ind w:left="1267"/>
        <w:rPr>
          <w:lang w:val="fr-CH"/>
        </w:rPr>
      </w:pPr>
      <w:r w:rsidRPr="00101B00">
        <w:rPr>
          <w:lang w:val="fr-CH"/>
        </w:rPr>
        <w:t xml:space="preserve">Le Comité, ayant demandé des renseignements actualisés sur les instruments non encore entrés en vigueur, a </w:t>
      </w:r>
      <w:r w:rsidRPr="00101B00">
        <w:rPr>
          <w:b/>
          <w:lang w:val="fr-CH"/>
        </w:rPr>
        <w:t>été informé</w:t>
      </w:r>
      <w:r w:rsidRPr="00101B00">
        <w:rPr>
          <w:lang w:val="fr-CH"/>
        </w:rPr>
        <w:t xml:space="preserve"> que, en plus du Protocole de 1993 portant </w:t>
      </w:r>
      <w:r w:rsidR="00B357E2" w:rsidRPr="00101B00">
        <w:rPr>
          <w:lang w:val="fr-CH"/>
        </w:rPr>
        <w:t>modification des articles 1 a), 14 1) et 14 3) </w:t>
      </w:r>
      <w:r w:rsidRPr="00101B00">
        <w:rPr>
          <w:lang w:val="fr-CH"/>
        </w:rPr>
        <w:t>b) de l</w:t>
      </w:r>
      <w:r w:rsidR="005F0D9B" w:rsidRPr="00101B00">
        <w:rPr>
          <w:lang w:val="fr-CH"/>
        </w:rPr>
        <w:t>’</w:t>
      </w:r>
      <w:r w:rsidRPr="00101B00">
        <w:rPr>
          <w:lang w:val="fr-CH"/>
        </w:rPr>
        <w:t>ADR (voir ci-dessus), la Convention sur la responsabilité civile pour les dommages causés au cours du transport de marchandises dangereuses par route, rail et bateaux de navigation intérieure (CRTD) n</w:t>
      </w:r>
      <w:r w:rsidR="005F0D9B" w:rsidRPr="00101B00">
        <w:rPr>
          <w:lang w:val="fr-CH"/>
        </w:rPr>
        <w:t>’</w:t>
      </w:r>
      <w:r w:rsidRPr="00101B00">
        <w:rPr>
          <w:lang w:val="fr-CH"/>
        </w:rPr>
        <w:t>était pas encore entrée en vigueur. Le Comité l</w:t>
      </w:r>
      <w:r w:rsidR="005F0D9B" w:rsidRPr="00101B00">
        <w:rPr>
          <w:lang w:val="fr-CH"/>
        </w:rPr>
        <w:t>’</w:t>
      </w:r>
      <w:r w:rsidRPr="00101B00">
        <w:rPr>
          <w:lang w:val="fr-CH"/>
        </w:rPr>
        <w:t>avait adoptée le 10 octobre</w:t>
      </w:r>
      <w:r w:rsidR="00B357E2" w:rsidRPr="00101B00">
        <w:rPr>
          <w:lang w:val="fr-CH"/>
        </w:rPr>
        <w:t xml:space="preserve"> </w:t>
      </w:r>
      <w:r w:rsidRPr="00101B00">
        <w:rPr>
          <w:lang w:val="fr-CH"/>
        </w:rPr>
        <w:t>1989 et elle avait été ouverte à la signature le 1</w:t>
      </w:r>
      <w:r w:rsidRPr="00101B00">
        <w:rPr>
          <w:vertAlign w:val="superscript"/>
          <w:lang w:val="fr-CH"/>
        </w:rPr>
        <w:t>er</w:t>
      </w:r>
      <w:r w:rsidRPr="00101B00">
        <w:rPr>
          <w:lang w:val="fr-CH"/>
        </w:rPr>
        <w:t> février</w:t>
      </w:r>
      <w:r w:rsidR="00B357E2" w:rsidRPr="00101B00">
        <w:rPr>
          <w:lang w:val="fr-CH"/>
        </w:rPr>
        <w:t xml:space="preserve"> </w:t>
      </w:r>
      <w:r w:rsidRPr="00101B00">
        <w:rPr>
          <w:lang w:val="fr-CH"/>
        </w:rPr>
        <w:t>1990.</w:t>
      </w:r>
    </w:p>
    <w:p w:rsidR="001D0777" w:rsidRPr="00101B00" w:rsidRDefault="001D0777" w:rsidP="001D0777">
      <w:pPr>
        <w:pStyle w:val="SingleTxt"/>
        <w:spacing w:after="0" w:line="120" w:lineRule="exact"/>
        <w:rPr>
          <w:sz w:val="10"/>
          <w:lang w:val="fr-CH"/>
        </w:rPr>
      </w:pPr>
    </w:p>
    <w:p w:rsidR="001D0777" w:rsidRPr="00101B00" w:rsidRDefault="001D0777" w:rsidP="001D0777">
      <w:pPr>
        <w:pStyle w:val="SingleTxt"/>
        <w:spacing w:after="0" w:line="120" w:lineRule="exact"/>
        <w:rPr>
          <w:sz w:val="10"/>
          <w:lang w:val="fr-CH"/>
        </w:rPr>
      </w:pPr>
    </w:p>
    <w:p w:rsidR="00554873" w:rsidRPr="00101B00" w:rsidRDefault="00554873" w:rsidP="001D077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1B00">
        <w:rPr>
          <w:lang w:val="fr-CH"/>
        </w:rPr>
        <w:lastRenderedPageBreak/>
        <w:tab/>
        <w:t>J.</w:t>
      </w:r>
      <w:r w:rsidRPr="00101B00">
        <w:rPr>
          <w:lang w:val="fr-CH"/>
        </w:rPr>
        <w:tab/>
        <w:t>Transport de denrées périssables</w:t>
      </w:r>
    </w:p>
    <w:p w:rsidR="001D0777" w:rsidRPr="00101B00" w:rsidRDefault="001D0777" w:rsidP="00B357E2">
      <w:pPr>
        <w:pStyle w:val="SingleTxt"/>
        <w:keepNext/>
        <w:spacing w:after="0" w:line="120" w:lineRule="exact"/>
        <w:rPr>
          <w:i/>
          <w:sz w:val="10"/>
          <w:lang w:val="fr-CH"/>
        </w:rPr>
      </w:pPr>
    </w:p>
    <w:p w:rsidR="001D0777" w:rsidRPr="00101B00" w:rsidRDefault="001D0777" w:rsidP="00B357E2">
      <w:pPr>
        <w:pStyle w:val="SingleTxt"/>
        <w:keepNext/>
        <w:spacing w:after="0" w:line="120" w:lineRule="exact"/>
        <w:rPr>
          <w:i/>
          <w:sz w:val="10"/>
          <w:lang w:val="fr-CH"/>
        </w:rPr>
      </w:pPr>
    </w:p>
    <w:p w:rsidR="00554873" w:rsidRPr="00101B00" w:rsidRDefault="001D0777" w:rsidP="001D077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693" w:right="1260" w:hanging="2693"/>
        <w:rPr>
          <w:i w:val="0"/>
          <w:iCs/>
          <w:lang w:val="fr-CH"/>
        </w:rPr>
      </w:pPr>
      <w:r w:rsidRPr="00101B00">
        <w:rPr>
          <w:lang w:val="fr-CH"/>
        </w:rPr>
        <w:tab/>
      </w:r>
      <w:r w:rsidRPr="00101B00">
        <w:rPr>
          <w:lang w:val="fr-CH"/>
        </w:rPr>
        <w:tab/>
      </w:r>
      <w:r w:rsidR="00554873" w:rsidRPr="00101B00">
        <w:rPr>
          <w:lang w:val="fr-CH"/>
        </w:rPr>
        <w:t>Documents</w:t>
      </w:r>
      <w:r w:rsidR="005F0D9B" w:rsidRPr="00101B00">
        <w:rPr>
          <w:lang w:val="fr-CH"/>
        </w:rPr>
        <w:t> </w:t>
      </w:r>
      <w:r w:rsidR="005F0D9B" w:rsidRPr="00101B00">
        <w:rPr>
          <w:i w:val="0"/>
          <w:iCs/>
          <w:lang w:val="fr-CH"/>
        </w:rPr>
        <w:t>:</w:t>
      </w:r>
      <w:r w:rsidRPr="00101B00">
        <w:rPr>
          <w:i w:val="0"/>
          <w:iCs/>
          <w:lang w:val="fr-CH"/>
        </w:rPr>
        <w:tab/>
      </w:r>
      <w:r w:rsidR="00554873" w:rsidRPr="00101B00">
        <w:rPr>
          <w:i w:val="0"/>
          <w:iCs/>
          <w:lang w:val="fr-CH"/>
        </w:rPr>
        <w:t>ECE/TRANS/WP.11/224, ECE/TRANS/WP.11/226 et ECE/TRANS/WP.11/231.</w:t>
      </w:r>
    </w:p>
    <w:p w:rsidR="001D0777" w:rsidRPr="00101B00" w:rsidRDefault="001D0777" w:rsidP="001D0777">
      <w:pPr>
        <w:pStyle w:val="SingleTxt"/>
        <w:spacing w:after="0" w:line="120" w:lineRule="exact"/>
        <w:rPr>
          <w:sz w:val="10"/>
          <w:lang w:val="fr-CH"/>
        </w:rPr>
      </w:pPr>
    </w:p>
    <w:p w:rsidR="00554873" w:rsidRPr="00101B00" w:rsidRDefault="00554873" w:rsidP="00B357E2">
      <w:pPr>
        <w:pStyle w:val="SingleTxt"/>
        <w:numPr>
          <w:ilvl w:val="0"/>
          <w:numId w:val="7"/>
        </w:numPr>
        <w:tabs>
          <w:tab w:val="clear" w:pos="475"/>
          <w:tab w:val="num" w:pos="1742"/>
        </w:tabs>
        <w:ind w:left="1267"/>
        <w:rPr>
          <w:lang w:val="fr-CH"/>
        </w:rPr>
      </w:pPr>
      <w:r w:rsidRPr="00101B00">
        <w:rPr>
          <w:lang w:val="fr-CH"/>
        </w:rPr>
        <w:t xml:space="preserve">Le Comité a </w:t>
      </w:r>
      <w:r w:rsidRPr="00101B00">
        <w:rPr>
          <w:b/>
          <w:lang w:val="fr-CH"/>
        </w:rPr>
        <w:t>noté</w:t>
      </w:r>
      <w:r w:rsidRPr="00101B00">
        <w:rPr>
          <w:lang w:val="fr-CH"/>
        </w:rPr>
        <w:t xml:space="preserve"> que les propositions d</w:t>
      </w:r>
      <w:r w:rsidR="005F0D9B" w:rsidRPr="00101B00">
        <w:rPr>
          <w:lang w:val="fr-CH"/>
        </w:rPr>
        <w:t>’</w:t>
      </w:r>
      <w:r w:rsidRPr="00101B00">
        <w:rPr>
          <w:lang w:val="fr-CH"/>
        </w:rPr>
        <w:t>amendements à l</w:t>
      </w:r>
      <w:r w:rsidR="005F0D9B" w:rsidRPr="00101B00">
        <w:rPr>
          <w:lang w:val="fr-CH"/>
        </w:rPr>
        <w:t>’</w:t>
      </w:r>
      <w:r w:rsidRPr="00101B00">
        <w:rPr>
          <w:lang w:val="fr-CH"/>
        </w:rPr>
        <w:t>Accord relatif aux transports internationaux de denrées périssables et aux engins spéciaux à utiliser pour ces transports (ATP), adoptées à la soixante-neuvième session du Groupe de travail du transport des denrées périssables (WP.11) en 2013</w:t>
      </w:r>
      <w:r w:rsidR="00B357E2" w:rsidRPr="00101B00">
        <w:rPr>
          <w:lang w:val="fr-CH"/>
        </w:rPr>
        <w:t>,</w:t>
      </w:r>
      <w:r w:rsidRPr="00101B00">
        <w:rPr>
          <w:lang w:val="fr-CH"/>
        </w:rPr>
        <w:t xml:space="preserve"> seraient, en l</w:t>
      </w:r>
      <w:r w:rsidR="005F0D9B" w:rsidRPr="00101B00">
        <w:rPr>
          <w:lang w:val="fr-CH"/>
        </w:rPr>
        <w:t>’</w:t>
      </w:r>
      <w:r w:rsidRPr="00101B00">
        <w:rPr>
          <w:lang w:val="fr-CH"/>
        </w:rPr>
        <w:t>absence d</w:t>
      </w:r>
      <w:r w:rsidR="005F0D9B" w:rsidRPr="00101B00">
        <w:rPr>
          <w:lang w:val="fr-CH"/>
        </w:rPr>
        <w:t>’</w:t>
      </w:r>
      <w:r w:rsidRPr="00101B00">
        <w:rPr>
          <w:lang w:val="fr-CH"/>
        </w:rPr>
        <w:t>objections, considérées comme acceptées le 31 mars</w:t>
      </w:r>
      <w:r w:rsidR="00B357E2" w:rsidRPr="00101B00">
        <w:rPr>
          <w:lang w:val="fr-CH"/>
        </w:rPr>
        <w:t xml:space="preserve"> </w:t>
      </w:r>
      <w:r w:rsidRPr="00101B00">
        <w:rPr>
          <w:lang w:val="fr-CH"/>
        </w:rPr>
        <w:t xml:space="preserve">2015. </w:t>
      </w:r>
    </w:p>
    <w:p w:rsidR="00554873" w:rsidRPr="00101B00" w:rsidRDefault="00554873" w:rsidP="00D16BB1">
      <w:pPr>
        <w:pStyle w:val="SingleTxt"/>
        <w:numPr>
          <w:ilvl w:val="0"/>
          <w:numId w:val="7"/>
        </w:numPr>
        <w:tabs>
          <w:tab w:val="clear" w:pos="475"/>
          <w:tab w:val="num" w:pos="1742"/>
        </w:tabs>
        <w:ind w:left="1267"/>
        <w:rPr>
          <w:lang w:val="fr-CH"/>
        </w:rPr>
      </w:pPr>
      <w:r w:rsidRPr="00101B00">
        <w:rPr>
          <w:lang w:val="fr-CH"/>
        </w:rPr>
        <w:t xml:space="preserve">Le Comité a aussi </w:t>
      </w:r>
      <w:r w:rsidRPr="00101B00">
        <w:rPr>
          <w:b/>
          <w:lang w:val="fr-CH"/>
        </w:rPr>
        <w:t>noté</w:t>
      </w:r>
      <w:r w:rsidRPr="00101B00">
        <w:rPr>
          <w:lang w:val="fr-CH"/>
        </w:rPr>
        <w:t xml:space="preserve"> qu</w:t>
      </w:r>
      <w:r w:rsidR="005F0D9B" w:rsidRPr="00101B00">
        <w:rPr>
          <w:lang w:val="fr-CH"/>
        </w:rPr>
        <w:t>’</w:t>
      </w:r>
      <w:r w:rsidRPr="00101B00">
        <w:rPr>
          <w:lang w:val="fr-CH"/>
        </w:rPr>
        <w:t>à sa soixante-dixième session, en 2014, le WP.11 avait adopté de nouvelles dispositions détaillées concernant les modalités d</w:t>
      </w:r>
      <w:r w:rsidR="005F0D9B" w:rsidRPr="00101B00">
        <w:rPr>
          <w:lang w:val="fr-CH"/>
        </w:rPr>
        <w:t>’</w:t>
      </w:r>
      <w:r w:rsidRPr="00101B00">
        <w:rPr>
          <w:lang w:val="fr-CH"/>
        </w:rPr>
        <w:t>essai pour les engins utilisés à la fois pour la réfrigération et le chauffage et était convenu d</w:t>
      </w:r>
      <w:r w:rsidR="005F0D9B" w:rsidRPr="00101B00">
        <w:rPr>
          <w:lang w:val="fr-CH"/>
        </w:rPr>
        <w:t>’</w:t>
      </w:r>
      <w:r w:rsidRPr="00101B00">
        <w:rPr>
          <w:lang w:val="fr-CH"/>
        </w:rPr>
        <w:t>interdire, après une période transitoire adéquate, l</w:t>
      </w:r>
      <w:r w:rsidR="005F0D9B" w:rsidRPr="00101B00">
        <w:rPr>
          <w:lang w:val="fr-CH"/>
        </w:rPr>
        <w:t>’</w:t>
      </w:r>
      <w:r w:rsidRPr="00101B00">
        <w:rPr>
          <w:lang w:val="fr-CH"/>
        </w:rPr>
        <w:t>utilisation d</w:t>
      </w:r>
      <w:r w:rsidR="005F0D9B" w:rsidRPr="00101B00">
        <w:rPr>
          <w:lang w:val="fr-CH"/>
        </w:rPr>
        <w:t>’</w:t>
      </w:r>
      <w:r w:rsidRPr="00101B00">
        <w:rPr>
          <w:lang w:val="fr-CH"/>
        </w:rPr>
        <w:t>engins isothermes à parois non rigides (caisses à rideaux latéraux) pour les transports relevant de l</w:t>
      </w:r>
      <w:r w:rsidR="005F0D9B" w:rsidRPr="00101B00">
        <w:rPr>
          <w:lang w:val="fr-CH"/>
        </w:rPr>
        <w:t>’</w:t>
      </w:r>
      <w:r w:rsidRPr="00101B00">
        <w:rPr>
          <w:lang w:val="fr-CH"/>
        </w:rPr>
        <w:t>ATP (ECE/TRANS/WP.11/231, annexe I).</w:t>
      </w:r>
    </w:p>
    <w:p w:rsidR="00554873" w:rsidRPr="00101B00" w:rsidRDefault="00554873" w:rsidP="00B357E2">
      <w:pPr>
        <w:pStyle w:val="SingleTxt"/>
        <w:numPr>
          <w:ilvl w:val="0"/>
          <w:numId w:val="7"/>
        </w:numPr>
        <w:tabs>
          <w:tab w:val="clear" w:pos="475"/>
          <w:tab w:val="num" w:pos="1742"/>
        </w:tabs>
        <w:ind w:left="1267"/>
        <w:rPr>
          <w:lang w:val="fr-CH"/>
        </w:rPr>
      </w:pPr>
      <w:r w:rsidRPr="00101B00">
        <w:rPr>
          <w:lang w:val="fr-CH"/>
        </w:rPr>
        <w:t xml:space="preserve">Le Comité a </w:t>
      </w:r>
      <w:r w:rsidRPr="00101B00">
        <w:rPr>
          <w:b/>
          <w:lang w:val="fr-CH"/>
        </w:rPr>
        <w:t>noté</w:t>
      </w:r>
      <w:r w:rsidRPr="00101B00">
        <w:rPr>
          <w:lang w:val="fr-CH"/>
        </w:rPr>
        <w:t xml:space="preserve"> que le WP.11 avait examiné ses procédures de prise de décision</w:t>
      </w:r>
      <w:r w:rsidR="008B3681">
        <w:rPr>
          <w:lang w:val="fr-CH"/>
        </w:rPr>
        <w:t>s</w:t>
      </w:r>
      <w:r w:rsidRPr="00101B00">
        <w:rPr>
          <w:lang w:val="fr-CH"/>
        </w:rPr>
        <w:t xml:space="preserve"> et </w:t>
      </w:r>
      <w:r w:rsidR="00B357E2" w:rsidRPr="00101B00">
        <w:rPr>
          <w:lang w:val="fr-CH"/>
        </w:rPr>
        <w:t>constitué</w:t>
      </w:r>
      <w:r w:rsidRPr="00101B00">
        <w:rPr>
          <w:lang w:val="fr-CH"/>
        </w:rPr>
        <w:t xml:space="preserve"> un groupe de travail informel, sous la direction de la Belgique, chargé d</w:t>
      </w:r>
      <w:r w:rsidR="005F0D9B" w:rsidRPr="00101B00">
        <w:rPr>
          <w:lang w:val="fr-CH"/>
        </w:rPr>
        <w:t>’</w:t>
      </w:r>
      <w:r w:rsidRPr="00101B00">
        <w:rPr>
          <w:lang w:val="fr-CH"/>
        </w:rPr>
        <w:t>étudier la question en détail.</w:t>
      </w:r>
    </w:p>
    <w:p w:rsidR="00554873" w:rsidRPr="00101B00" w:rsidRDefault="00554873" w:rsidP="00B357E2">
      <w:pPr>
        <w:pStyle w:val="SingleTxt"/>
        <w:numPr>
          <w:ilvl w:val="0"/>
          <w:numId w:val="7"/>
        </w:numPr>
        <w:tabs>
          <w:tab w:val="clear" w:pos="475"/>
          <w:tab w:val="num" w:pos="1742"/>
        </w:tabs>
        <w:ind w:left="1267"/>
        <w:rPr>
          <w:lang w:val="fr-CH"/>
        </w:rPr>
      </w:pPr>
      <w:r w:rsidRPr="00101B00">
        <w:rPr>
          <w:lang w:val="fr-CH"/>
        </w:rPr>
        <w:t xml:space="preserve">Le Comité a </w:t>
      </w:r>
      <w:r w:rsidRPr="00101B00">
        <w:rPr>
          <w:b/>
          <w:lang w:val="fr-CH"/>
        </w:rPr>
        <w:t xml:space="preserve">noté </w:t>
      </w:r>
      <w:r w:rsidRPr="00101B00">
        <w:rPr>
          <w:lang w:val="fr-CH"/>
        </w:rPr>
        <w:t>qu</w:t>
      </w:r>
      <w:r w:rsidR="005F0D9B" w:rsidRPr="00101B00">
        <w:rPr>
          <w:lang w:val="fr-CH"/>
        </w:rPr>
        <w:t>’</w:t>
      </w:r>
      <w:r w:rsidRPr="00101B00">
        <w:rPr>
          <w:lang w:val="fr-CH"/>
        </w:rPr>
        <w:t>il importait de garantir l</w:t>
      </w:r>
      <w:r w:rsidR="005F0D9B" w:rsidRPr="00101B00">
        <w:rPr>
          <w:lang w:val="fr-CH"/>
        </w:rPr>
        <w:t>’</w:t>
      </w:r>
      <w:r w:rsidRPr="00101B00">
        <w:rPr>
          <w:lang w:val="fr-CH"/>
        </w:rPr>
        <w:t>applicabilité de l</w:t>
      </w:r>
      <w:r w:rsidR="005F0D9B" w:rsidRPr="00101B00">
        <w:rPr>
          <w:lang w:val="fr-CH"/>
        </w:rPr>
        <w:t>’</w:t>
      </w:r>
      <w:r w:rsidRPr="00101B00">
        <w:rPr>
          <w:lang w:val="fr-CH"/>
        </w:rPr>
        <w:t>ATP au transport intermodal. Cet accord n</w:t>
      </w:r>
      <w:r w:rsidR="005F0D9B" w:rsidRPr="00101B00">
        <w:rPr>
          <w:lang w:val="fr-CH"/>
        </w:rPr>
        <w:t>’</w:t>
      </w:r>
      <w:r w:rsidRPr="00101B00">
        <w:rPr>
          <w:lang w:val="fr-CH"/>
        </w:rPr>
        <w:t>était pas encore applicable aux trajets comprenant une tr</w:t>
      </w:r>
      <w:r w:rsidR="00B357E2" w:rsidRPr="00101B00">
        <w:rPr>
          <w:lang w:val="fr-CH"/>
        </w:rPr>
        <w:t>aversée maritime de plus de 150 </w:t>
      </w:r>
      <w:r w:rsidRPr="00101B00">
        <w:rPr>
          <w:lang w:val="fr-CH"/>
        </w:rPr>
        <w:t>k</w:t>
      </w:r>
      <w:r w:rsidR="00B357E2" w:rsidRPr="00101B00">
        <w:rPr>
          <w:lang w:val="fr-CH"/>
        </w:rPr>
        <w:t>ilomètres</w:t>
      </w:r>
      <w:r w:rsidRPr="00101B00">
        <w:rPr>
          <w:lang w:val="fr-CH"/>
        </w:rPr>
        <w:t>. En conséquence, une opération de transport de denrées périssables comprenant une traversée maritime tombait hors du champ de l</w:t>
      </w:r>
      <w:r w:rsidR="005F0D9B" w:rsidRPr="00101B00">
        <w:rPr>
          <w:lang w:val="fr-CH"/>
        </w:rPr>
        <w:t>’</w:t>
      </w:r>
      <w:r w:rsidRPr="00101B00">
        <w:rPr>
          <w:lang w:val="fr-CH"/>
        </w:rPr>
        <w:t>ATP pour un trajet de Rotterdam à Newcastle mais était régie par cet accord pour un trajet de Calais à Douvres.</w:t>
      </w:r>
    </w:p>
    <w:p w:rsidR="00554873" w:rsidRPr="00101B00" w:rsidRDefault="00554873" w:rsidP="00D16BB1">
      <w:pPr>
        <w:pStyle w:val="SingleTxt"/>
        <w:numPr>
          <w:ilvl w:val="0"/>
          <w:numId w:val="7"/>
        </w:numPr>
        <w:tabs>
          <w:tab w:val="clear" w:pos="475"/>
          <w:tab w:val="num" w:pos="1742"/>
        </w:tabs>
        <w:ind w:left="1267"/>
        <w:rPr>
          <w:lang w:val="fr-CH"/>
        </w:rPr>
      </w:pPr>
      <w:r w:rsidRPr="00101B00">
        <w:rPr>
          <w:lang w:val="fr-CH"/>
        </w:rPr>
        <w:t xml:space="preserve">Le Comité a, en outre, </w:t>
      </w:r>
      <w:r w:rsidRPr="00101B00">
        <w:rPr>
          <w:b/>
          <w:lang w:val="fr-CH"/>
        </w:rPr>
        <w:t>noté</w:t>
      </w:r>
      <w:r w:rsidRPr="00101B00">
        <w:rPr>
          <w:lang w:val="fr-CH"/>
        </w:rPr>
        <w:t xml:space="preserve"> que l</w:t>
      </w:r>
      <w:r w:rsidR="005F0D9B" w:rsidRPr="00101B00">
        <w:rPr>
          <w:lang w:val="fr-CH"/>
        </w:rPr>
        <w:t>’</w:t>
      </w:r>
      <w:r w:rsidRPr="00101B00">
        <w:rPr>
          <w:lang w:val="fr-CH"/>
        </w:rPr>
        <w:t>ATP ne contenait aucune définition des « denrées périssables » et n</w:t>
      </w:r>
      <w:r w:rsidR="005F0D9B" w:rsidRPr="00101B00">
        <w:rPr>
          <w:lang w:val="fr-CH"/>
        </w:rPr>
        <w:t>’</w:t>
      </w:r>
      <w:r w:rsidRPr="00101B00">
        <w:rPr>
          <w:lang w:val="fr-CH"/>
        </w:rPr>
        <w:t>était pas applicable au transport de fruits et légumes frais.</w:t>
      </w:r>
    </w:p>
    <w:p w:rsidR="00554873" w:rsidRPr="00101B00" w:rsidRDefault="00554873" w:rsidP="00D16BB1">
      <w:pPr>
        <w:pStyle w:val="SingleTxt"/>
        <w:numPr>
          <w:ilvl w:val="0"/>
          <w:numId w:val="7"/>
        </w:numPr>
        <w:tabs>
          <w:tab w:val="clear" w:pos="475"/>
          <w:tab w:val="num" w:pos="1742"/>
        </w:tabs>
        <w:ind w:left="1267"/>
        <w:rPr>
          <w:lang w:val="fr-CH"/>
        </w:rPr>
      </w:pPr>
      <w:r w:rsidRPr="00101B00">
        <w:rPr>
          <w:lang w:val="fr-CH"/>
        </w:rPr>
        <w:t xml:space="preserve">Le Comité a </w:t>
      </w:r>
      <w:r w:rsidRPr="00101B00">
        <w:rPr>
          <w:b/>
          <w:lang w:val="fr-CH"/>
        </w:rPr>
        <w:t>relevé</w:t>
      </w:r>
      <w:r w:rsidRPr="00101B00">
        <w:rPr>
          <w:lang w:val="fr-CH"/>
        </w:rPr>
        <w:t xml:space="preserve"> que le WP.11 avait examiné diverses possibilités afin d</w:t>
      </w:r>
      <w:r w:rsidR="005F0D9B" w:rsidRPr="00101B00">
        <w:rPr>
          <w:lang w:val="fr-CH"/>
        </w:rPr>
        <w:t>’</w:t>
      </w:r>
      <w:r w:rsidRPr="00101B00">
        <w:rPr>
          <w:lang w:val="fr-CH"/>
        </w:rPr>
        <w:t>étendre le champ d</w:t>
      </w:r>
      <w:r w:rsidR="005F0D9B" w:rsidRPr="00101B00">
        <w:rPr>
          <w:lang w:val="fr-CH"/>
        </w:rPr>
        <w:t>’</w:t>
      </w:r>
      <w:r w:rsidRPr="00101B00">
        <w:rPr>
          <w:lang w:val="fr-CH"/>
        </w:rPr>
        <w:t>application de l</w:t>
      </w:r>
      <w:r w:rsidR="005F0D9B" w:rsidRPr="00101B00">
        <w:rPr>
          <w:lang w:val="fr-CH"/>
        </w:rPr>
        <w:t>’</w:t>
      </w:r>
      <w:r w:rsidRPr="00101B00">
        <w:rPr>
          <w:lang w:val="fr-CH"/>
        </w:rPr>
        <w:t>ATP au transport de fruits et légumes frais, notamment l</w:t>
      </w:r>
      <w:r w:rsidR="005F0D9B" w:rsidRPr="00101B00">
        <w:rPr>
          <w:lang w:val="fr-CH"/>
        </w:rPr>
        <w:t>’</w:t>
      </w:r>
      <w:r w:rsidRPr="00101B00">
        <w:rPr>
          <w:lang w:val="fr-CH"/>
        </w:rPr>
        <w:t>ajout d</w:t>
      </w:r>
      <w:r w:rsidR="005F0D9B" w:rsidRPr="00101B00">
        <w:rPr>
          <w:lang w:val="fr-CH"/>
        </w:rPr>
        <w:t>’</w:t>
      </w:r>
      <w:r w:rsidRPr="00101B00">
        <w:rPr>
          <w:lang w:val="fr-CH"/>
        </w:rPr>
        <w:t>une annexe où seraient recommandées, et non prescrites, les conditions de température pour le transport de ces produits, ou la conclusion, conformément à l</w:t>
      </w:r>
      <w:r w:rsidR="005F0D9B" w:rsidRPr="00101B00">
        <w:rPr>
          <w:lang w:val="fr-CH"/>
        </w:rPr>
        <w:t>’</w:t>
      </w:r>
      <w:r w:rsidR="00B357E2" w:rsidRPr="00101B00">
        <w:rPr>
          <w:lang w:val="fr-CH"/>
        </w:rPr>
        <w:t>article </w:t>
      </w:r>
      <w:r w:rsidRPr="00101B00">
        <w:rPr>
          <w:lang w:val="fr-CH"/>
        </w:rPr>
        <w:t>7 de l</w:t>
      </w:r>
      <w:r w:rsidR="005F0D9B" w:rsidRPr="00101B00">
        <w:rPr>
          <w:lang w:val="fr-CH"/>
        </w:rPr>
        <w:t>’</w:t>
      </w:r>
      <w:r w:rsidRPr="00101B00">
        <w:rPr>
          <w:lang w:val="fr-CH"/>
        </w:rPr>
        <w:t>ATP, d</w:t>
      </w:r>
      <w:r w:rsidR="005F0D9B" w:rsidRPr="00101B00">
        <w:rPr>
          <w:lang w:val="fr-CH"/>
        </w:rPr>
        <w:t>’</w:t>
      </w:r>
      <w:r w:rsidRPr="00101B00">
        <w:rPr>
          <w:lang w:val="fr-CH"/>
        </w:rPr>
        <w:t>accords multilatéraux entre pays désireux d</w:t>
      </w:r>
      <w:r w:rsidR="005F0D9B" w:rsidRPr="00101B00">
        <w:rPr>
          <w:lang w:val="fr-CH"/>
        </w:rPr>
        <w:t>’</w:t>
      </w:r>
      <w:r w:rsidRPr="00101B00">
        <w:rPr>
          <w:lang w:val="fr-CH"/>
        </w:rPr>
        <w:t>étendre le champ d</w:t>
      </w:r>
      <w:r w:rsidR="005F0D9B" w:rsidRPr="00101B00">
        <w:rPr>
          <w:lang w:val="fr-CH"/>
        </w:rPr>
        <w:t>’</w:t>
      </w:r>
      <w:r w:rsidRPr="00101B00">
        <w:rPr>
          <w:lang w:val="fr-CH"/>
        </w:rPr>
        <w:t>application de l</w:t>
      </w:r>
      <w:r w:rsidR="005F0D9B" w:rsidRPr="00101B00">
        <w:rPr>
          <w:lang w:val="fr-CH"/>
        </w:rPr>
        <w:t>’</w:t>
      </w:r>
      <w:r w:rsidRPr="00101B00">
        <w:rPr>
          <w:lang w:val="fr-CH"/>
        </w:rPr>
        <w:t>ATP aux fruits et légumes frais.</w:t>
      </w:r>
    </w:p>
    <w:p w:rsidR="00554873" w:rsidRPr="00101B00" w:rsidRDefault="00554873" w:rsidP="00D90693">
      <w:pPr>
        <w:pStyle w:val="SingleTxt"/>
        <w:numPr>
          <w:ilvl w:val="0"/>
          <w:numId w:val="7"/>
        </w:numPr>
        <w:tabs>
          <w:tab w:val="clear" w:pos="475"/>
          <w:tab w:val="num" w:pos="1742"/>
        </w:tabs>
        <w:ind w:left="1267"/>
        <w:rPr>
          <w:lang w:val="fr-CH"/>
        </w:rPr>
      </w:pPr>
      <w:r w:rsidRPr="00101B00">
        <w:rPr>
          <w:lang w:val="fr-CH"/>
        </w:rPr>
        <w:t xml:space="preserve">Le Comité a aussi </w:t>
      </w:r>
      <w:r w:rsidRPr="00101B00">
        <w:rPr>
          <w:b/>
          <w:lang w:val="fr-CH"/>
        </w:rPr>
        <w:t xml:space="preserve">constaté </w:t>
      </w:r>
      <w:r w:rsidRPr="00101B00">
        <w:rPr>
          <w:lang w:val="fr-CH"/>
        </w:rPr>
        <w:t xml:space="preserve">que le Secrétaire exécutif de la CEE avait adressé aux </w:t>
      </w:r>
      <w:r w:rsidR="00D90693">
        <w:rPr>
          <w:lang w:val="fr-CH"/>
        </w:rPr>
        <w:t>m</w:t>
      </w:r>
      <w:r w:rsidRPr="00101B00">
        <w:rPr>
          <w:lang w:val="fr-CH"/>
        </w:rPr>
        <w:t>inistres des affaires étrangères des Parties contractantes à l</w:t>
      </w:r>
      <w:r w:rsidR="005F0D9B" w:rsidRPr="00101B00">
        <w:rPr>
          <w:lang w:val="fr-CH"/>
        </w:rPr>
        <w:t>’</w:t>
      </w:r>
      <w:r w:rsidRPr="00101B00">
        <w:rPr>
          <w:lang w:val="fr-CH"/>
        </w:rPr>
        <w:t xml:space="preserve">ATP </w:t>
      </w:r>
      <w:r w:rsidR="00B357E2" w:rsidRPr="00101B00">
        <w:rPr>
          <w:lang w:val="fr-CH"/>
        </w:rPr>
        <w:t>un courrier leur demandant</w:t>
      </w:r>
      <w:r w:rsidRPr="00101B00">
        <w:rPr>
          <w:lang w:val="fr-CH"/>
        </w:rPr>
        <w:t xml:space="preserve"> d</w:t>
      </w:r>
      <w:r w:rsidR="005F0D9B" w:rsidRPr="00101B00">
        <w:rPr>
          <w:lang w:val="fr-CH"/>
        </w:rPr>
        <w:t>’</w:t>
      </w:r>
      <w:r w:rsidRPr="00101B00">
        <w:rPr>
          <w:lang w:val="fr-CH"/>
        </w:rPr>
        <w:t>indiquer le nom de l</w:t>
      </w:r>
      <w:r w:rsidR="005F0D9B" w:rsidRPr="00101B00">
        <w:rPr>
          <w:lang w:val="fr-CH"/>
        </w:rPr>
        <w:t>’</w:t>
      </w:r>
      <w:r w:rsidRPr="00101B00">
        <w:rPr>
          <w:lang w:val="fr-CH"/>
        </w:rPr>
        <w:t>autorité nationale habilitée à signer tout futur accord multilatéral conclu dans le cadre de l</w:t>
      </w:r>
      <w:r w:rsidR="005F0D9B" w:rsidRPr="00101B00">
        <w:rPr>
          <w:lang w:val="fr-CH"/>
        </w:rPr>
        <w:t>’</w:t>
      </w:r>
      <w:r w:rsidRPr="00101B00">
        <w:rPr>
          <w:lang w:val="fr-CH"/>
        </w:rPr>
        <w:t>ATP.</w:t>
      </w:r>
    </w:p>
    <w:p w:rsidR="00554873" w:rsidRPr="00101B00" w:rsidRDefault="00554873" w:rsidP="00D16BB1">
      <w:pPr>
        <w:pStyle w:val="SingleTxt"/>
        <w:numPr>
          <w:ilvl w:val="0"/>
          <w:numId w:val="7"/>
        </w:numPr>
        <w:tabs>
          <w:tab w:val="clear" w:pos="475"/>
          <w:tab w:val="num" w:pos="1742"/>
        </w:tabs>
        <w:ind w:left="1267"/>
        <w:rPr>
          <w:lang w:val="fr-CH"/>
        </w:rPr>
      </w:pPr>
      <w:r w:rsidRPr="00101B00">
        <w:rPr>
          <w:lang w:val="fr-CH"/>
        </w:rPr>
        <w:t xml:space="preserve">Le Comité a </w:t>
      </w:r>
      <w:r w:rsidRPr="00101B00">
        <w:rPr>
          <w:b/>
          <w:lang w:val="fr-CH"/>
        </w:rPr>
        <w:t>pris note avec satisfaction</w:t>
      </w:r>
      <w:r w:rsidRPr="00101B00">
        <w:rPr>
          <w:lang w:val="fr-CH"/>
        </w:rPr>
        <w:t xml:space="preserve"> de l</w:t>
      </w:r>
      <w:r w:rsidR="005F0D9B" w:rsidRPr="00101B00">
        <w:rPr>
          <w:lang w:val="fr-CH"/>
        </w:rPr>
        <w:t>’</w:t>
      </w:r>
      <w:r w:rsidRPr="00101B00">
        <w:rPr>
          <w:lang w:val="fr-CH"/>
        </w:rPr>
        <w:t>adhésion de l</w:t>
      </w:r>
      <w:r w:rsidR="005F0D9B" w:rsidRPr="00101B00">
        <w:rPr>
          <w:lang w:val="fr-CH"/>
        </w:rPr>
        <w:t>’</w:t>
      </w:r>
      <w:r w:rsidRPr="00101B00">
        <w:rPr>
          <w:lang w:val="fr-CH"/>
        </w:rPr>
        <w:t>Arabie saoudite à l</w:t>
      </w:r>
      <w:r w:rsidR="005F0D9B" w:rsidRPr="00101B00">
        <w:rPr>
          <w:lang w:val="fr-CH"/>
        </w:rPr>
        <w:t>’</w:t>
      </w:r>
      <w:r w:rsidR="00B357E2" w:rsidRPr="00101B00">
        <w:rPr>
          <w:lang w:val="fr-CH"/>
        </w:rPr>
        <w:t xml:space="preserve">ATP en janvier </w:t>
      </w:r>
      <w:r w:rsidRPr="00101B00">
        <w:rPr>
          <w:lang w:val="fr-CH"/>
        </w:rPr>
        <w:t>2015, ce qui avait porté à 49 le nombre des Parties contractantes à cet accord.</w:t>
      </w:r>
    </w:p>
    <w:p w:rsidR="00554873" w:rsidRPr="00101B00" w:rsidRDefault="00554873" w:rsidP="00B357E2">
      <w:pPr>
        <w:pStyle w:val="SingleTxt"/>
        <w:numPr>
          <w:ilvl w:val="0"/>
          <w:numId w:val="7"/>
        </w:numPr>
        <w:tabs>
          <w:tab w:val="clear" w:pos="475"/>
          <w:tab w:val="num" w:pos="1742"/>
        </w:tabs>
        <w:ind w:left="1267"/>
        <w:rPr>
          <w:lang w:val="fr-CH"/>
        </w:rPr>
      </w:pPr>
      <w:r w:rsidRPr="00101B00">
        <w:rPr>
          <w:lang w:val="fr-CH"/>
        </w:rPr>
        <w:t xml:space="preserve">Le Comité a </w:t>
      </w:r>
      <w:r w:rsidRPr="00101B00">
        <w:rPr>
          <w:b/>
          <w:lang w:val="fr-CH"/>
        </w:rPr>
        <w:t>approuvé</w:t>
      </w:r>
      <w:r w:rsidRPr="00101B00">
        <w:rPr>
          <w:lang w:val="fr-CH"/>
        </w:rPr>
        <w:t xml:space="preserve"> l</w:t>
      </w:r>
      <w:r w:rsidR="005F0D9B" w:rsidRPr="00101B00">
        <w:rPr>
          <w:lang w:val="fr-CH"/>
        </w:rPr>
        <w:t>’</w:t>
      </w:r>
      <w:r w:rsidRPr="00101B00">
        <w:rPr>
          <w:lang w:val="fr-CH"/>
        </w:rPr>
        <w:t>adoption par le</w:t>
      </w:r>
      <w:r w:rsidRPr="00101B00">
        <w:rPr>
          <w:b/>
          <w:lang w:val="fr-CH"/>
        </w:rPr>
        <w:t xml:space="preserve"> </w:t>
      </w:r>
      <w:r w:rsidRPr="00101B00">
        <w:rPr>
          <w:lang w:val="fr-CH"/>
        </w:rPr>
        <w:t>WP.11, à sa dernière session (2014), de son plan de travail pour 2014</w:t>
      </w:r>
      <w:r w:rsidR="00B357E2" w:rsidRPr="00101B00">
        <w:rPr>
          <w:lang w:val="fr-CH"/>
        </w:rPr>
        <w:t>-</w:t>
      </w:r>
      <w:r w:rsidRPr="00101B00">
        <w:rPr>
          <w:lang w:val="fr-CH"/>
        </w:rPr>
        <w:t>20</w:t>
      </w:r>
      <w:r w:rsidR="00B357E2" w:rsidRPr="00101B00">
        <w:rPr>
          <w:lang w:val="fr-CH"/>
        </w:rPr>
        <w:t>18 (ECE/TRANS/WP.11/231, annexe </w:t>
      </w:r>
      <w:r w:rsidRPr="00101B00">
        <w:rPr>
          <w:lang w:val="fr-CH"/>
        </w:rPr>
        <w:t>III), censé remplacer le projet de plan de travail reproduit dans le document ECE/TRANS/2014/26.</w:t>
      </w:r>
    </w:p>
    <w:p w:rsidR="001D0777" w:rsidRPr="00101B00" w:rsidRDefault="001D0777" w:rsidP="001D0777">
      <w:pPr>
        <w:pStyle w:val="SingleTxt"/>
        <w:spacing w:after="0" w:line="120" w:lineRule="exact"/>
        <w:rPr>
          <w:sz w:val="10"/>
          <w:lang w:val="fr-CH"/>
        </w:rPr>
      </w:pPr>
    </w:p>
    <w:p w:rsidR="001D0777" w:rsidRPr="00101B00" w:rsidRDefault="001D0777" w:rsidP="001D0777">
      <w:pPr>
        <w:pStyle w:val="SingleTxt"/>
        <w:spacing w:after="0" w:line="120" w:lineRule="exact"/>
        <w:rPr>
          <w:sz w:val="10"/>
          <w:lang w:val="fr-CH"/>
        </w:rPr>
      </w:pPr>
    </w:p>
    <w:p w:rsidR="00554873" w:rsidRPr="00101B00" w:rsidRDefault="00554873" w:rsidP="001D077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1B00">
        <w:rPr>
          <w:lang w:val="fr-CH"/>
        </w:rPr>
        <w:tab/>
        <w:t>K.</w:t>
      </w:r>
      <w:r w:rsidRPr="00101B00">
        <w:rPr>
          <w:lang w:val="fr-CH"/>
        </w:rPr>
        <w:tab/>
        <w:t>Données et statistiques relatives aux transports</w:t>
      </w:r>
    </w:p>
    <w:p w:rsidR="001D0777" w:rsidRPr="00101B00" w:rsidRDefault="001D0777" w:rsidP="001D0777">
      <w:pPr>
        <w:pStyle w:val="SingleTxt"/>
        <w:spacing w:after="0" w:line="120" w:lineRule="exact"/>
        <w:rPr>
          <w:i/>
          <w:sz w:val="10"/>
          <w:lang w:val="fr-CH"/>
        </w:rPr>
      </w:pPr>
    </w:p>
    <w:p w:rsidR="001D0777" w:rsidRPr="00101B00" w:rsidRDefault="001D0777" w:rsidP="001D0777">
      <w:pPr>
        <w:pStyle w:val="SingleTxt"/>
        <w:spacing w:after="0" w:line="120" w:lineRule="exact"/>
        <w:rPr>
          <w:i/>
          <w:sz w:val="10"/>
          <w:lang w:val="fr-CH"/>
        </w:rPr>
      </w:pPr>
    </w:p>
    <w:p w:rsidR="00554873" w:rsidRPr="00101B00" w:rsidRDefault="001D0777" w:rsidP="001D077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i w:val="0"/>
          <w:iCs/>
          <w:lang w:val="fr-CH"/>
        </w:rPr>
      </w:pPr>
      <w:r w:rsidRPr="00101B00">
        <w:rPr>
          <w:lang w:val="fr-CH"/>
        </w:rPr>
        <w:tab/>
      </w:r>
      <w:r w:rsidRPr="00101B00">
        <w:rPr>
          <w:lang w:val="fr-CH"/>
        </w:rPr>
        <w:tab/>
      </w:r>
      <w:r w:rsidR="00554873" w:rsidRPr="00101B00">
        <w:rPr>
          <w:lang w:val="fr-CH"/>
        </w:rPr>
        <w:t>Document</w:t>
      </w:r>
      <w:r w:rsidR="005F0D9B" w:rsidRPr="00101B00">
        <w:rPr>
          <w:lang w:val="fr-CH"/>
        </w:rPr>
        <w:t> </w:t>
      </w:r>
      <w:r w:rsidR="005F0D9B" w:rsidRPr="00101B00">
        <w:rPr>
          <w:i w:val="0"/>
          <w:iCs/>
          <w:lang w:val="fr-CH"/>
        </w:rPr>
        <w:t>:</w:t>
      </w:r>
      <w:r w:rsidRPr="00101B00">
        <w:rPr>
          <w:i w:val="0"/>
          <w:iCs/>
          <w:lang w:val="fr-CH"/>
        </w:rPr>
        <w:tab/>
      </w:r>
      <w:r w:rsidR="00554873" w:rsidRPr="00101B00">
        <w:rPr>
          <w:i w:val="0"/>
          <w:iCs/>
          <w:lang w:val="fr-CH"/>
        </w:rPr>
        <w:t>Document informel n</w:t>
      </w:r>
      <w:r w:rsidRPr="00101B00">
        <w:rPr>
          <w:i w:val="0"/>
          <w:iCs/>
          <w:vertAlign w:val="superscript"/>
          <w:lang w:val="fr-CH"/>
        </w:rPr>
        <w:t>o</w:t>
      </w:r>
      <w:r w:rsidR="00554873" w:rsidRPr="00101B00">
        <w:rPr>
          <w:i w:val="0"/>
          <w:iCs/>
          <w:lang w:val="fr-CH"/>
        </w:rPr>
        <w:t> 12.</w:t>
      </w:r>
    </w:p>
    <w:p w:rsidR="001D0777" w:rsidRPr="00101B00" w:rsidRDefault="001D0777" w:rsidP="001D0777">
      <w:pPr>
        <w:pStyle w:val="SingleTxt"/>
        <w:spacing w:after="0" w:line="120" w:lineRule="exact"/>
        <w:rPr>
          <w:sz w:val="10"/>
          <w:lang w:val="fr-CH"/>
        </w:rPr>
      </w:pPr>
    </w:p>
    <w:p w:rsidR="00554873" w:rsidRPr="00101B00" w:rsidRDefault="00554873" w:rsidP="00B357E2">
      <w:pPr>
        <w:pStyle w:val="SingleTxt"/>
        <w:numPr>
          <w:ilvl w:val="0"/>
          <w:numId w:val="7"/>
        </w:numPr>
        <w:tabs>
          <w:tab w:val="clear" w:pos="475"/>
          <w:tab w:val="num" w:pos="1742"/>
        </w:tabs>
        <w:ind w:left="1267"/>
        <w:rPr>
          <w:spacing w:val="2"/>
          <w:lang w:val="fr-CH"/>
        </w:rPr>
      </w:pPr>
      <w:r w:rsidRPr="00101B00">
        <w:rPr>
          <w:spacing w:val="2"/>
          <w:lang w:val="fr-CH"/>
        </w:rPr>
        <w:t xml:space="preserve">Le Comité a </w:t>
      </w:r>
      <w:r w:rsidRPr="00101B00">
        <w:rPr>
          <w:b/>
          <w:spacing w:val="2"/>
          <w:lang w:val="fr-CH"/>
        </w:rPr>
        <w:t>été informé</w:t>
      </w:r>
      <w:r w:rsidRPr="00101B00">
        <w:rPr>
          <w:spacing w:val="2"/>
          <w:lang w:val="fr-CH"/>
        </w:rPr>
        <w:t xml:space="preserve"> des activités menées dans le domaine des statistiques des transports et de l</w:t>
      </w:r>
      <w:r w:rsidR="005F0D9B" w:rsidRPr="00101B00">
        <w:rPr>
          <w:spacing w:val="2"/>
          <w:lang w:val="fr-CH"/>
        </w:rPr>
        <w:t>’</w:t>
      </w:r>
      <w:r w:rsidRPr="00101B00">
        <w:rPr>
          <w:spacing w:val="2"/>
          <w:lang w:val="fr-CH"/>
        </w:rPr>
        <w:t xml:space="preserve">état des programmes de recensement 2015 de la circulation sur les </w:t>
      </w:r>
      <w:r w:rsidRPr="00101B00">
        <w:rPr>
          <w:spacing w:val="2"/>
          <w:lang w:val="fr-CH"/>
        </w:rPr>
        <w:lastRenderedPageBreak/>
        <w:t>routes E et du trafic sur les lignes ferroviaires E, conformément aux résolutions n</w:t>
      </w:r>
      <w:r w:rsidRPr="00101B00">
        <w:rPr>
          <w:spacing w:val="2"/>
          <w:vertAlign w:val="superscript"/>
          <w:lang w:val="fr-CH"/>
        </w:rPr>
        <w:t>os</w:t>
      </w:r>
      <w:r w:rsidRPr="00101B00">
        <w:rPr>
          <w:spacing w:val="2"/>
          <w:lang w:val="fr-CH"/>
        </w:rPr>
        <w:t> 261 et 262 adoptées à sa soixante-seizième session en 2014 (document informel n</w:t>
      </w:r>
      <w:r w:rsidR="00B357E2" w:rsidRPr="00101B00">
        <w:rPr>
          <w:spacing w:val="2"/>
          <w:vertAlign w:val="superscript"/>
          <w:lang w:val="fr-CH"/>
        </w:rPr>
        <w:t>o</w:t>
      </w:r>
      <w:r w:rsidRPr="00101B00">
        <w:rPr>
          <w:spacing w:val="2"/>
          <w:lang w:val="fr-CH"/>
        </w:rPr>
        <w:t> 12).</w:t>
      </w:r>
    </w:p>
    <w:p w:rsidR="001D0777" w:rsidRPr="00101B00" w:rsidRDefault="001D0777" w:rsidP="001D0777">
      <w:pPr>
        <w:pStyle w:val="SingleTxt"/>
        <w:spacing w:after="0" w:line="120" w:lineRule="exact"/>
        <w:rPr>
          <w:sz w:val="10"/>
          <w:lang w:val="fr-CH"/>
        </w:rPr>
      </w:pPr>
    </w:p>
    <w:p w:rsidR="001D0777" w:rsidRPr="00101B00" w:rsidRDefault="001D0777" w:rsidP="001D0777">
      <w:pPr>
        <w:pStyle w:val="SingleTxt"/>
        <w:spacing w:after="0" w:line="120" w:lineRule="exact"/>
        <w:rPr>
          <w:sz w:val="10"/>
          <w:lang w:val="fr-CH"/>
        </w:rPr>
      </w:pPr>
    </w:p>
    <w:p w:rsidR="00554873" w:rsidRPr="00101B00" w:rsidRDefault="00554873" w:rsidP="001D07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1B00">
        <w:rPr>
          <w:lang w:val="fr-CH"/>
        </w:rPr>
        <w:tab/>
        <w:t>VIII.</w:t>
      </w:r>
      <w:r w:rsidRPr="00101B00">
        <w:rPr>
          <w:lang w:val="fr-CH"/>
        </w:rPr>
        <w:tab/>
        <w:t>Questions découlant des activités de la Commission économique pour l</w:t>
      </w:r>
      <w:r w:rsidR="005F0D9B" w:rsidRPr="00101B00">
        <w:rPr>
          <w:lang w:val="fr-CH"/>
        </w:rPr>
        <w:t>’</w:t>
      </w:r>
      <w:r w:rsidRPr="00101B00">
        <w:rPr>
          <w:lang w:val="fr-CH"/>
        </w:rPr>
        <w:t xml:space="preserve">Europe (CEE), du Conseil économique </w:t>
      </w:r>
      <w:r w:rsidR="001D0777" w:rsidRPr="00101B00">
        <w:rPr>
          <w:lang w:val="fr-CH"/>
        </w:rPr>
        <w:br/>
      </w:r>
      <w:r w:rsidRPr="00101B00">
        <w:rPr>
          <w:lang w:val="fr-CH"/>
        </w:rPr>
        <w:t>et social et d</w:t>
      </w:r>
      <w:r w:rsidR="005F0D9B" w:rsidRPr="00101B00">
        <w:rPr>
          <w:lang w:val="fr-CH"/>
        </w:rPr>
        <w:t>’</w:t>
      </w:r>
      <w:r w:rsidRPr="00101B00">
        <w:rPr>
          <w:lang w:val="fr-CH"/>
        </w:rPr>
        <w:t>autres organes et conférences des Nations Unies (point 6 de l</w:t>
      </w:r>
      <w:r w:rsidR="005F0D9B" w:rsidRPr="00101B00">
        <w:rPr>
          <w:lang w:val="fr-CH"/>
        </w:rPr>
        <w:t>’</w:t>
      </w:r>
      <w:r w:rsidRPr="00101B00">
        <w:rPr>
          <w:lang w:val="fr-CH"/>
        </w:rPr>
        <w:t>ordre du jour)</w:t>
      </w:r>
    </w:p>
    <w:p w:rsidR="001D0777" w:rsidRPr="00101B00" w:rsidRDefault="001D0777" w:rsidP="001D0777">
      <w:pPr>
        <w:pStyle w:val="SingleTxt"/>
        <w:spacing w:after="0" w:line="120" w:lineRule="exact"/>
        <w:rPr>
          <w:sz w:val="10"/>
          <w:lang w:val="fr-CH"/>
        </w:rPr>
      </w:pPr>
    </w:p>
    <w:p w:rsidR="001D0777" w:rsidRPr="00101B00" w:rsidRDefault="001D0777" w:rsidP="001D0777">
      <w:pPr>
        <w:pStyle w:val="SingleTxt"/>
        <w:spacing w:after="0" w:line="120" w:lineRule="exact"/>
        <w:rPr>
          <w:sz w:val="10"/>
          <w:lang w:val="fr-CH"/>
        </w:rPr>
      </w:pPr>
    </w:p>
    <w:p w:rsidR="00554873" w:rsidRPr="00101B00" w:rsidRDefault="00554873" w:rsidP="00D16BB1">
      <w:pPr>
        <w:pStyle w:val="SingleTxt"/>
        <w:numPr>
          <w:ilvl w:val="0"/>
          <w:numId w:val="7"/>
        </w:numPr>
        <w:tabs>
          <w:tab w:val="clear" w:pos="475"/>
          <w:tab w:val="num" w:pos="1742"/>
        </w:tabs>
        <w:ind w:left="1267"/>
        <w:rPr>
          <w:lang w:val="fr-CH"/>
        </w:rPr>
      </w:pPr>
      <w:r w:rsidRPr="00101B00">
        <w:rPr>
          <w:lang w:val="fr-CH"/>
        </w:rPr>
        <w:t xml:space="preserve">Le secrétariat a </w:t>
      </w:r>
      <w:r w:rsidRPr="00101B00">
        <w:rPr>
          <w:b/>
          <w:lang w:val="fr-CH"/>
        </w:rPr>
        <w:t>informé</w:t>
      </w:r>
      <w:r w:rsidRPr="00101B00">
        <w:rPr>
          <w:lang w:val="fr-CH"/>
        </w:rPr>
        <w:t xml:space="preserve"> le Comité des questions récemment soulevées, découlant des activités de la CEE, du Conseil économique et social et d</w:t>
      </w:r>
      <w:r w:rsidR="005F0D9B" w:rsidRPr="00101B00">
        <w:rPr>
          <w:lang w:val="fr-CH"/>
        </w:rPr>
        <w:t>’</w:t>
      </w:r>
      <w:r w:rsidRPr="00101B00">
        <w:rPr>
          <w:lang w:val="fr-CH"/>
        </w:rPr>
        <w:t>autres organes et conférences des Nations Unies, qui présentaient un intérêt pour le Comité.</w:t>
      </w:r>
    </w:p>
    <w:p w:rsidR="001D0777" w:rsidRPr="00101B00" w:rsidRDefault="001D0777" w:rsidP="001D0777">
      <w:pPr>
        <w:pStyle w:val="SingleTxt"/>
        <w:spacing w:after="0" w:line="120" w:lineRule="exact"/>
        <w:rPr>
          <w:sz w:val="10"/>
          <w:lang w:val="fr-CH"/>
        </w:rPr>
      </w:pPr>
    </w:p>
    <w:p w:rsidR="001D0777" w:rsidRPr="00101B00" w:rsidRDefault="001D0777" w:rsidP="001D0777">
      <w:pPr>
        <w:pStyle w:val="SingleTxt"/>
        <w:spacing w:after="0" w:line="120" w:lineRule="exact"/>
        <w:rPr>
          <w:sz w:val="10"/>
          <w:lang w:val="fr-CH"/>
        </w:rPr>
      </w:pPr>
    </w:p>
    <w:p w:rsidR="00554873" w:rsidRPr="00101B00" w:rsidRDefault="00554873" w:rsidP="001D07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1B00">
        <w:rPr>
          <w:lang w:val="fr-CH"/>
        </w:rPr>
        <w:tab/>
        <w:t>IX.</w:t>
      </w:r>
      <w:r w:rsidRPr="00101B00">
        <w:rPr>
          <w:lang w:val="fr-CH"/>
        </w:rPr>
        <w:tab/>
        <w:t xml:space="preserve">Projet de rapport annuel sur les activités menées par </w:t>
      </w:r>
      <w:r w:rsidR="001D0777" w:rsidRPr="00101B00">
        <w:rPr>
          <w:lang w:val="fr-CH"/>
        </w:rPr>
        <w:br/>
      </w:r>
      <w:r w:rsidRPr="00101B00">
        <w:rPr>
          <w:lang w:val="fr-CH"/>
        </w:rPr>
        <w:t xml:space="preserve">les organes subsidiaires du Comité en 2014 (point 7 </w:t>
      </w:r>
      <w:r w:rsidR="001D0777" w:rsidRPr="00101B00">
        <w:rPr>
          <w:lang w:val="fr-CH"/>
        </w:rPr>
        <w:br/>
      </w:r>
      <w:r w:rsidRPr="00101B00">
        <w:rPr>
          <w:lang w:val="fr-CH"/>
        </w:rPr>
        <w:t>de l</w:t>
      </w:r>
      <w:r w:rsidR="005F0D9B" w:rsidRPr="00101B00">
        <w:rPr>
          <w:lang w:val="fr-CH"/>
        </w:rPr>
        <w:t>’</w:t>
      </w:r>
      <w:r w:rsidRPr="00101B00">
        <w:rPr>
          <w:lang w:val="fr-CH"/>
        </w:rPr>
        <w:t>ordre du jour)</w:t>
      </w:r>
    </w:p>
    <w:p w:rsidR="001D0777" w:rsidRPr="00101B00" w:rsidRDefault="001D0777" w:rsidP="001D0777">
      <w:pPr>
        <w:pStyle w:val="SingleTxt"/>
        <w:spacing w:after="0" w:line="120" w:lineRule="exact"/>
        <w:rPr>
          <w:i/>
          <w:sz w:val="10"/>
          <w:lang w:val="fr-CH"/>
        </w:rPr>
      </w:pPr>
    </w:p>
    <w:p w:rsidR="001D0777" w:rsidRPr="00101B00" w:rsidRDefault="001D0777" w:rsidP="001D0777">
      <w:pPr>
        <w:pStyle w:val="SingleTxt"/>
        <w:spacing w:after="0" w:line="120" w:lineRule="exact"/>
        <w:rPr>
          <w:i/>
          <w:sz w:val="10"/>
          <w:lang w:val="fr-CH"/>
        </w:rPr>
      </w:pPr>
    </w:p>
    <w:p w:rsidR="00554873" w:rsidRPr="00101B00" w:rsidRDefault="001D0777" w:rsidP="001D077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val="0"/>
          <w:iCs/>
          <w:lang w:val="fr-CH"/>
        </w:rPr>
      </w:pPr>
      <w:r w:rsidRPr="00101B00">
        <w:rPr>
          <w:lang w:val="fr-CH"/>
        </w:rPr>
        <w:tab/>
      </w:r>
      <w:r w:rsidRPr="00101B00">
        <w:rPr>
          <w:lang w:val="fr-CH"/>
        </w:rPr>
        <w:tab/>
      </w:r>
      <w:r w:rsidR="00554873" w:rsidRPr="00101B00">
        <w:rPr>
          <w:lang w:val="fr-CH"/>
        </w:rPr>
        <w:t>Documents</w:t>
      </w:r>
      <w:r w:rsidR="005F0D9B" w:rsidRPr="00101B00">
        <w:rPr>
          <w:lang w:val="fr-CH"/>
        </w:rPr>
        <w:t> </w:t>
      </w:r>
      <w:r w:rsidR="005F0D9B" w:rsidRPr="00101B00">
        <w:rPr>
          <w:i w:val="0"/>
          <w:iCs/>
          <w:lang w:val="fr-CH"/>
        </w:rPr>
        <w:t>:</w:t>
      </w:r>
      <w:r w:rsidRPr="00101B00">
        <w:rPr>
          <w:i w:val="0"/>
          <w:iCs/>
          <w:lang w:val="fr-CH"/>
        </w:rPr>
        <w:tab/>
      </w:r>
      <w:r w:rsidR="00554873" w:rsidRPr="00101B00">
        <w:rPr>
          <w:i w:val="0"/>
          <w:iCs/>
          <w:lang w:val="fr-CH"/>
        </w:rPr>
        <w:t>ECE/TRANS/2015/18 et ECE/TRANS/2015/19.</w:t>
      </w:r>
    </w:p>
    <w:p w:rsidR="001D0777" w:rsidRPr="00101B00" w:rsidRDefault="001D0777" w:rsidP="001D0777">
      <w:pPr>
        <w:pStyle w:val="SingleTxt"/>
        <w:spacing w:after="0" w:line="120" w:lineRule="exact"/>
        <w:rPr>
          <w:sz w:val="10"/>
          <w:lang w:val="fr-CH"/>
        </w:rPr>
      </w:pPr>
    </w:p>
    <w:p w:rsidR="00554873" w:rsidRPr="00101B00" w:rsidRDefault="00554873" w:rsidP="00D53389">
      <w:pPr>
        <w:pStyle w:val="SingleTxt"/>
        <w:numPr>
          <w:ilvl w:val="0"/>
          <w:numId w:val="7"/>
        </w:numPr>
        <w:tabs>
          <w:tab w:val="clear" w:pos="475"/>
          <w:tab w:val="num" w:pos="1742"/>
        </w:tabs>
        <w:ind w:left="1267"/>
        <w:rPr>
          <w:lang w:val="fr-CH"/>
        </w:rPr>
      </w:pPr>
      <w:r w:rsidRPr="00101B00">
        <w:rPr>
          <w:lang w:val="fr-CH"/>
        </w:rPr>
        <w:t xml:space="preserve">Le Comité a </w:t>
      </w:r>
      <w:r w:rsidRPr="00101B00">
        <w:rPr>
          <w:b/>
          <w:lang w:val="fr-CH"/>
        </w:rPr>
        <w:t>pris acte avec satisfaction</w:t>
      </w:r>
      <w:r w:rsidRPr="00101B00">
        <w:rPr>
          <w:lang w:val="fr-CH"/>
        </w:rPr>
        <w:t xml:space="preserve"> du rapport complet sur les activités entreprises en 2014 par ses organes subsidiaires pour assurer l</w:t>
      </w:r>
      <w:r w:rsidR="005F0D9B" w:rsidRPr="00101B00">
        <w:rPr>
          <w:lang w:val="fr-CH"/>
        </w:rPr>
        <w:t>’</w:t>
      </w:r>
      <w:r w:rsidRPr="00101B00">
        <w:rPr>
          <w:lang w:val="fr-CH"/>
        </w:rPr>
        <w:t>administration des 58 conventions, accords et autres instruments juridiques des Nations Unies ayant une incidence sur le cadre juridique international relatif au transport routier, ferroviaire, intérieur et intermodal, ainsi qu</w:t>
      </w:r>
      <w:r w:rsidR="005F0D9B" w:rsidRPr="00101B00">
        <w:rPr>
          <w:lang w:val="fr-CH"/>
        </w:rPr>
        <w:t>’</w:t>
      </w:r>
      <w:r w:rsidRPr="00101B00">
        <w:rPr>
          <w:lang w:val="fr-CH"/>
        </w:rPr>
        <w:t xml:space="preserve">au transport des marchandises dangereuses et à la construction des véhicules. Il a </w:t>
      </w:r>
      <w:r w:rsidRPr="00101B00">
        <w:rPr>
          <w:b/>
          <w:lang w:val="fr-CH"/>
        </w:rPr>
        <w:t>estimé qu</w:t>
      </w:r>
      <w:r w:rsidR="005F0D9B" w:rsidRPr="00101B00">
        <w:rPr>
          <w:b/>
          <w:lang w:val="fr-CH"/>
        </w:rPr>
        <w:t>’</w:t>
      </w:r>
      <w:r w:rsidRPr="00101B00">
        <w:rPr>
          <w:b/>
          <w:lang w:val="fr-CH"/>
        </w:rPr>
        <w:t>il importait</w:t>
      </w:r>
      <w:r w:rsidRPr="00101B00">
        <w:rPr>
          <w:lang w:val="fr-CH"/>
        </w:rPr>
        <w:t xml:space="preserve"> d</w:t>
      </w:r>
      <w:r w:rsidR="005F0D9B" w:rsidRPr="00101B00">
        <w:rPr>
          <w:lang w:val="fr-CH"/>
        </w:rPr>
        <w:t>’</w:t>
      </w:r>
      <w:r w:rsidRPr="00101B00">
        <w:rPr>
          <w:lang w:val="fr-CH"/>
        </w:rPr>
        <w:t>intensifier l</w:t>
      </w:r>
      <w:r w:rsidR="005F0D9B" w:rsidRPr="00101B00">
        <w:rPr>
          <w:lang w:val="fr-CH"/>
        </w:rPr>
        <w:t>’</w:t>
      </w:r>
      <w:r w:rsidRPr="00101B00">
        <w:rPr>
          <w:lang w:val="fr-CH"/>
        </w:rPr>
        <w:t>appui technique apporté aux pays désireux d</w:t>
      </w:r>
      <w:r w:rsidR="005F0D9B" w:rsidRPr="00101B00">
        <w:rPr>
          <w:lang w:val="fr-CH"/>
        </w:rPr>
        <w:t>’</w:t>
      </w:r>
      <w:r w:rsidRPr="00101B00">
        <w:rPr>
          <w:lang w:val="fr-CH"/>
        </w:rPr>
        <w:t>adhérer à ces instruments et d</w:t>
      </w:r>
      <w:r w:rsidR="005F0D9B" w:rsidRPr="00101B00">
        <w:rPr>
          <w:lang w:val="fr-CH"/>
        </w:rPr>
        <w:t>’</w:t>
      </w:r>
      <w:r w:rsidRPr="00101B00">
        <w:rPr>
          <w:lang w:val="fr-CH"/>
        </w:rPr>
        <w:t xml:space="preserve">améliorer leur mise en œuvre et a </w:t>
      </w:r>
      <w:r w:rsidRPr="00101B00">
        <w:rPr>
          <w:b/>
          <w:lang w:val="fr-CH"/>
        </w:rPr>
        <w:t>prié</w:t>
      </w:r>
      <w:r w:rsidRPr="00101B00">
        <w:rPr>
          <w:lang w:val="fr-CH"/>
        </w:rPr>
        <w:t xml:space="preserve"> le secrétariat d</w:t>
      </w:r>
      <w:r w:rsidR="005F0D9B" w:rsidRPr="00101B00">
        <w:rPr>
          <w:lang w:val="fr-CH"/>
        </w:rPr>
        <w:t>’</w:t>
      </w:r>
      <w:r w:rsidR="00D53389" w:rsidRPr="00101B00">
        <w:rPr>
          <w:lang w:val="fr-CH"/>
        </w:rPr>
        <w:t>étudier la possibilité</w:t>
      </w:r>
      <w:r w:rsidRPr="00101B00">
        <w:rPr>
          <w:lang w:val="fr-CH"/>
        </w:rPr>
        <w:t xml:space="preserve"> de créer des mécanismes de collecte de fonds, tel qu</w:t>
      </w:r>
      <w:r w:rsidR="005F0D9B" w:rsidRPr="00101B00">
        <w:rPr>
          <w:lang w:val="fr-CH"/>
        </w:rPr>
        <w:t>’</w:t>
      </w:r>
      <w:r w:rsidRPr="00101B00">
        <w:rPr>
          <w:lang w:val="fr-CH"/>
        </w:rPr>
        <w:t>un fonds d</w:t>
      </w:r>
      <w:r w:rsidR="005F0D9B" w:rsidRPr="00101B00">
        <w:rPr>
          <w:lang w:val="fr-CH"/>
        </w:rPr>
        <w:t>’</w:t>
      </w:r>
      <w:r w:rsidRPr="00101B00">
        <w:rPr>
          <w:lang w:val="fr-CH"/>
        </w:rPr>
        <w:t>affectation spéciale, à cette fin.</w:t>
      </w:r>
    </w:p>
    <w:p w:rsidR="00554873" w:rsidRPr="00101B00" w:rsidRDefault="00554873" w:rsidP="00D53389">
      <w:pPr>
        <w:pStyle w:val="SingleTxt"/>
        <w:numPr>
          <w:ilvl w:val="0"/>
          <w:numId w:val="7"/>
        </w:numPr>
        <w:tabs>
          <w:tab w:val="clear" w:pos="475"/>
          <w:tab w:val="num" w:pos="1742"/>
        </w:tabs>
        <w:ind w:left="1267"/>
        <w:rPr>
          <w:lang w:val="fr-CH"/>
        </w:rPr>
      </w:pPr>
      <w:r w:rsidRPr="00101B00">
        <w:rPr>
          <w:lang w:val="fr-CH"/>
        </w:rPr>
        <w:t xml:space="preserve">Le Comité a </w:t>
      </w:r>
      <w:r w:rsidRPr="00101B00">
        <w:rPr>
          <w:b/>
          <w:lang w:val="fr-CH"/>
        </w:rPr>
        <w:t>pris en considération</w:t>
      </w:r>
      <w:r w:rsidRPr="00101B00">
        <w:rPr>
          <w:lang w:val="fr-CH"/>
        </w:rPr>
        <w:t xml:space="preserve"> les difficultés qu</w:t>
      </w:r>
      <w:r w:rsidR="005F0D9B" w:rsidRPr="00101B00">
        <w:rPr>
          <w:lang w:val="fr-CH"/>
        </w:rPr>
        <w:t>’</w:t>
      </w:r>
      <w:r w:rsidRPr="00101B00">
        <w:rPr>
          <w:lang w:val="fr-CH"/>
        </w:rPr>
        <w:t>il pouvait s</w:t>
      </w:r>
      <w:r w:rsidR="005F0D9B" w:rsidRPr="00101B00">
        <w:rPr>
          <w:lang w:val="fr-CH"/>
        </w:rPr>
        <w:t>’</w:t>
      </w:r>
      <w:r w:rsidRPr="00101B00">
        <w:rPr>
          <w:lang w:val="fr-CH"/>
        </w:rPr>
        <w:t xml:space="preserve">attendre à rencontrer, au même titre que ses organes subsidiaires, en 2015 (voir ECE/TRANS/2015/19) et a </w:t>
      </w:r>
      <w:r w:rsidRPr="00101B00">
        <w:rPr>
          <w:b/>
          <w:lang w:val="fr-CH"/>
        </w:rPr>
        <w:t xml:space="preserve">prié </w:t>
      </w:r>
      <w:r w:rsidRPr="00101B00">
        <w:rPr>
          <w:lang w:val="fr-CH"/>
        </w:rPr>
        <w:t>le secrétariat d</w:t>
      </w:r>
      <w:r w:rsidR="005F0D9B" w:rsidRPr="00101B00">
        <w:rPr>
          <w:lang w:val="fr-CH"/>
        </w:rPr>
        <w:t>’</w:t>
      </w:r>
      <w:r w:rsidRPr="00101B00">
        <w:rPr>
          <w:lang w:val="fr-CH"/>
        </w:rPr>
        <w:t xml:space="preserve">étudier </w:t>
      </w:r>
      <w:r w:rsidR="00D53389" w:rsidRPr="00101B00">
        <w:rPr>
          <w:lang w:val="fr-CH"/>
        </w:rPr>
        <w:t xml:space="preserve">les moyens novateurs de </w:t>
      </w:r>
      <w:r w:rsidRPr="00101B00">
        <w:rPr>
          <w:lang w:val="fr-CH"/>
        </w:rPr>
        <w:t>renforcer l</w:t>
      </w:r>
      <w:r w:rsidR="005F0D9B" w:rsidRPr="00101B00">
        <w:rPr>
          <w:lang w:val="fr-CH"/>
        </w:rPr>
        <w:t>’</w:t>
      </w:r>
      <w:r w:rsidRPr="00101B00">
        <w:rPr>
          <w:lang w:val="fr-CH"/>
        </w:rPr>
        <w:t>appui apporté au Comité et à ses organes subsidiaires, ainsi qu</w:t>
      </w:r>
      <w:r w:rsidR="005F0D9B" w:rsidRPr="00101B00">
        <w:rPr>
          <w:lang w:val="fr-CH"/>
        </w:rPr>
        <w:t>’</w:t>
      </w:r>
      <w:r w:rsidRPr="00101B00">
        <w:rPr>
          <w:lang w:val="fr-CH"/>
        </w:rPr>
        <w:t>aux organes conventionnels chargés des instruments juridiques relevant de leur compétence</w:t>
      </w:r>
      <w:r w:rsidR="00D53389" w:rsidRPr="00101B00">
        <w:rPr>
          <w:lang w:val="fr-CH"/>
        </w:rPr>
        <w:t>,</w:t>
      </w:r>
      <w:r w:rsidRPr="00101B00">
        <w:rPr>
          <w:lang w:val="fr-CH"/>
        </w:rPr>
        <w:t xml:space="preserve"> et de présenter ses conclusions dans un document officiel à la prochaine session du Comité.</w:t>
      </w:r>
    </w:p>
    <w:p w:rsidR="001D0777" w:rsidRPr="00101B00" w:rsidRDefault="001D0777" w:rsidP="001D0777">
      <w:pPr>
        <w:pStyle w:val="SingleTxt"/>
        <w:spacing w:after="0" w:line="120" w:lineRule="exact"/>
        <w:rPr>
          <w:sz w:val="10"/>
          <w:lang w:val="fr-CH"/>
        </w:rPr>
      </w:pPr>
    </w:p>
    <w:p w:rsidR="001D0777" w:rsidRPr="00101B00" w:rsidRDefault="001D0777" w:rsidP="001D0777">
      <w:pPr>
        <w:pStyle w:val="SingleTxt"/>
        <w:spacing w:after="0" w:line="120" w:lineRule="exact"/>
        <w:rPr>
          <w:sz w:val="10"/>
          <w:lang w:val="fr-CH"/>
        </w:rPr>
      </w:pPr>
    </w:p>
    <w:p w:rsidR="00554873" w:rsidRPr="00101B00" w:rsidRDefault="00554873" w:rsidP="001D07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1B00">
        <w:rPr>
          <w:lang w:val="fr-CH"/>
        </w:rPr>
        <w:tab/>
        <w:t>X.</w:t>
      </w:r>
      <w:r w:rsidRPr="00101B00">
        <w:rPr>
          <w:lang w:val="fr-CH"/>
        </w:rPr>
        <w:tab/>
        <w:t xml:space="preserve">Questions soumises au Comité pour approbation </w:t>
      </w:r>
      <w:r w:rsidR="001D0777" w:rsidRPr="00101B00">
        <w:rPr>
          <w:lang w:val="fr-CH"/>
        </w:rPr>
        <w:br/>
      </w:r>
      <w:r w:rsidRPr="00101B00">
        <w:rPr>
          <w:lang w:val="fr-CH"/>
        </w:rPr>
        <w:t>et pour information</w:t>
      </w:r>
      <w:r w:rsidR="004C06E5">
        <w:rPr>
          <w:lang w:val="fr-CH"/>
        </w:rPr>
        <w:t> :</w:t>
      </w:r>
      <w:r w:rsidRPr="00101B00">
        <w:rPr>
          <w:lang w:val="fr-CH"/>
        </w:rPr>
        <w:t xml:space="preserve"> Approbation des rapports des organes subsidiaires du Comité (point 8 de l</w:t>
      </w:r>
      <w:r w:rsidR="005F0D9B" w:rsidRPr="00101B00">
        <w:rPr>
          <w:lang w:val="fr-CH"/>
        </w:rPr>
        <w:t>’</w:t>
      </w:r>
      <w:r w:rsidRPr="00101B00">
        <w:rPr>
          <w:lang w:val="fr-CH"/>
        </w:rPr>
        <w:t>ordre du jour)</w:t>
      </w:r>
    </w:p>
    <w:p w:rsidR="001D0777" w:rsidRPr="00101B00" w:rsidRDefault="001D0777" w:rsidP="00D53389">
      <w:pPr>
        <w:pStyle w:val="SingleTxt"/>
        <w:keepNext/>
        <w:spacing w:after="0" w:line="120" w:lineRule="exact"/>
        <w:rPr>
          <w:b/>
          <w:sz w:val="10"/>
          <w:lang w:val="fr-CH"/>
        </w:rPr>
      </w:pPr>
    </w:p>
    <w:p w:rsidR="001D0777" w:rsidRPr="00101B00" w:rsidRDefault="001D0777" w:rsidP="00D53389">
      <w:pPr>
        <w:pStyle w:val="SingleTxt"/>
        <w:keepNext/>
        <w:spacing w:after="0" w:line="120" w:lineRule="exact"/>
        <w:rPr>
          <w:b/>
          <w:sz w:val="10"/>
          <w:lang w:val="fr-CH"/>
        </w:rPr>
      </w:pPr>
    </w:p>
    <w:p w:rsidR="00554873" w:rsidRPr="00101B00" w:rsidRDefault="001D0777" w:rsidP="00970907">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693" w:right="1267" w:hanging="2693"/>
        <w:rPr>
          <w:i w:val="0"/>
          <w:iCs/>
          <w:lang w:val="fr-CH"/>
        </w:rPr>
      </w:pPr>
      <w:r w:rsidRPr="00101B00">
        <w:rPr>
          <w:b/>
          <w:lang w:val="fr-CH"/>
        </w:rPr>
        <w:tab/>
      </w:r>
      <w:r w:rsidRPr="00101B00">
        <w:rPr>
          <w:b/>
          <w:lang w:val="fr-CH"/>
        </w:rPr>
        <w:tab/>
      </w:r>
      <w:r w:rsidR="00554873" w:rsidRPr="00C25CDD">
        <w:rPr>
          <w:bCs/>
          <w:lang w:val="fr-CH"/>
        </w:rPr>
        <w:t>Documents</w:t>
      </w:r>
      <w:r w:rsidR="005F0D9B" w:rsidRPr="00C25CDD">
        <w:rPr>
          <w:bCs/>
          <w:lang w:val="fr-CH"/>
        </w:rPr>
        <w:t> </w:t>
      </w:r>
      <w:r w:rsidR="005F0D9B" w:rsidRPr="00101B00">
        <w:rPr>
          <w:bCs/>
          <w:i w:val="0"/>
          <w:iCs/>
          <w:lang w:val="fr-CH"/>
        </w:rPr>
        <w:t>:</w:t>
      </w:r>
      <w:r w:rsidRPr="00101B00">
        <w:rPr>
          <w:bCs/>
          <w:i w:val="0"/>
          <w:iCs/>
          <w:lang w:val="fr-CH"/>
        </w:rPr>
        <w:tab/>
      </w:r>
      <w:r w:rsidR="00554873" w:rsidRPr="00101B00">
        <w:rPr>
          <w:i w:val="0"/>
          <w:iCs/>
          <w:lang w:val="fr-CH"/>
        </w:rPr>
        <w:t xml:space="preserve">ECE/TRANS/WP.1/147, ECE/TRANS/WP.5/56, ECE/TRANS/WP.6/167, ECE/TRANS/WP.11/231, ECE/TRANS/WP.15/224, ECE/TRANS/WP.15/226, ECE/TRANS/WP.15/AC.1/134 et Add.1 et 2, ECE/TRANS/WP.15/AC.1/136 et Corr.1, ECE/TRANS/WP.15/AC.2/52 et Corr.1, ECE/TRANS/WP.15/AC.2/54, ECE/TRANS/WP.24/135, ECE/TRANS/WP.29/1108, ECE/TRANS/WP.29/1110, ECE/TRANS/WP.29/1112, ECE/TRANS/WP.30/272, ECE/TRANS/WP.30/274, ECE/TRANS/WP.30/276, ECE/TRANS/WP.30/AC.2/117 et Corr.1 et 2, ECE/TRANS/WP.30/AC.2/119, ECE/TRANS/WP.30/AC.2/121 et </w:t>
      </w:r>
      <w:r w:rsidR="00554873" w:rsidRPr="00101B00">
        <w:rPr>
          <w:i w:val="0"/>
          <w:iCs/>
          <w:lang w:val="fr-CH"/>
        </w:rPr>
        <w:lastRenderedPageBreak/>
        <w:t>Corr.1, ECE/TRANS/WP.30/AC.3/20, ECE/TRANS/SC.1/S/394, ECE/TRANS/SC.2/222 et ECE/TRANS/SC.3/197.</w:t>
      </w:r>
    </w:p>
    <w:p w:rsidR="001D0777" w:rsidRPr="00101B00" w:rsidRDefault="001D0777" w:rsidP="001D0777">
      <w:pPr>
        <w:pStyle w:val="SingleTxt"/>
        <w:spacing w:after="0" w:line="120" w:lineRule="exact"/>
        <w:rPr>
          <w:sz w:val="10"/>
          <w:lang w:val="fr-CH"/>
        </w:rPr>
      </w:pPr>
    </w:p>
    <w:p w:rsidR="00554873" w:rsidRPr="00101B00" w:rsidRDefault="00554873" w:rsidP="00D16BB1">
      <w:pPr>
        <w:pStyle w:val="SingleTxt"/>
        <w:numPr>
          <w:ilvl w:val="0"/>
          <w:numId w:val="7"/>
        </w:numPr>
        <w:tabs>
          <w:tab w:val="clear" w:pos="475"/>
          <w:tab w:val="num" w:pos="1742"/>
        </w:tabs>
        <w:ind w:left="1267"/>
        <w:rPr>
          <w:lang w:val="fr-CH"/>
        </w:rPr>
      </w:pPr>
      <w:r w:rsidRPr="00101B00">
        <w:rPr>
          <w:lang w:val="fr-CH"/>
        </w:rPr>
        <w:t xml:space="preserve">Le Comité a </w:t>
      </w:r>
      <w:r w:rsidRPr="00101B00">
        <w:rPr>
          <w:b/>
          <w:lang w:val="fr-CH"/>
        </w:rPr>
        <w:t>approuvé</w:t>
      </w:r>
      <w:r w:rsidRPr="00101B00">
        <w:rPr>
          <w:lang w:val="fr-CH"/>
        </w:rPr>
        <w:t xml:space="preserve"> dans leur ensemble les rapports et activités connexes de ses organes subsidiaires et a </w:t>
      </w:r>
      <w:r w:rsidRPr="00101B00">
        <w:rPr>
          <w:b/>
          <w:lang w:val="fr-CH"/>
        </w:rPr>
        <w:t>prié</w:t>
      </w:r>
      <w:r w:rsidRPr="00101B00">
        <w:rPr>
          <w:lang w:val="fr-CH"/>
        </w:rPr>
        <w:t xml:space="preserve"> le secrétariat d</w:t>
      </w:r>
      <w:r w:rsidR="005F0D9B" w:rsidRPr="00101B00">
        <w:rPr>
          <w:lang w:val="fr-CH"/>
        </w:rPr>
        <w:t>’</w:t>
      </w:r>
      <w:r w:rsidRPr="00101B00">
        <w:rPr>
          <w:lang w:val="fr-CH"/>
        </w:rPr>
        <w:t>incorporer les références correspondantes dans le rapport complet du Comité en tenant compte des annotations respectives figurant dans l</w:t>
      </w:r>
      <w:r w:rsidR="005F0D9B" w:rsidRPr="00101B00">
        <w:rPr>
          <w:lang w:val="fr-CH"/>
        </w:rPr>
        <w:t>’</w:t>
      </w:r>
      <w:r w:rsidRPr="00101B00">
        <w:rPr>
          <w:lang w:val="fr-CH"/>
        </w:rPr>
        <w:t>ordre du jour annoté.</w:t>
      </w:r>
    </w:p>
    <w:p w:rsidR="001D0777" w:rsidRPr="00101B00" w:rsidRDefault="001D0777" w:rsidP="001D0777">
      <w:pPr>
        <w:pStyle w:val="SingleTxt"/>
        <w:spacing w:after="0" w:line="120" w:lineRule="exact"/>
        <w:rPr>
          <w:sz w:val="10"/>
          <w:lang w:val="fr-CH"/>
        </w:rPr>
      </w:pPr>
    </w:p>
    <w:p w:rsidR="001D0777" w:rsidRPr="00101B00" w:rsidRDefault="001D0777" w:rsidP="001D0777">
      <w:pPr>
        <w:pStyle w:val="SingleTxt"/>
        <w:spacing w:after="0" w:line="120" w:lineRule="exact"/>
        <w:rPr>
          <w:sz w:val="10"/>
          <w:lang w:val="fr-CH"/>
        </w:rPr>
      </w:pPr>
    </w:p>
    <w:p w:rsidR="00554873" w:rsidRPr="00101B00" w:rsidRDefault="00554873" w:rsidP="001D07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1B00">
        <w:rPr>
          <w:lang w:val="fr-CH"/>
        </w:rPr>
        <w:tab/>
        <w:t>XI.</w:t>
      </w:r>
      <w:r w:rsidRPr="00101B00">
        <w:rPr>
          <w:lang w:val="fr-CH"/>
        </w:rPr>
        <w:tab/>
        <w:t xml:space="preserve">Résultats des réunions du Bureau du Comité (point 9 </w:t>
      </w:r>
      <w:r w:rsidR="001D0777" w:rsidRPr="00101B00">
        <w:rPr>
          <w:lang w:val="fr-CH"/>
        </w:rPr>
        <w:br/>
      </w:r>
      <w:r w:rsidRPr="00101B00">
        <w:rPr>
          <w:lang w:val="fr-CH"/>
        </w:rPr>
        <w:t>de l</w:t>
      </w:r>
      <w:r w:rsidR="005F0D9B" w:rsidRPr="00101B00">
        <w:rPr>
          <w:lang w:val="fr-CH"/>
        </w:rPr>
        <w:t>’</w:t>
      </w:r>
      <w:r w:rsidRPr="00101B00">
        <w:rPr>
          <w:lang w:val="fr-CH"/>
        </w:rPr>
        <w:t>ordre du jour)</w:t>
      </w:r>
    </w:p>
    <w:p w:rsidR="001D0777" w:rsidRPr="00101B00" w:rsidRDefault="001D0777" w:rsidP="001D0777">
      <w:pPr>
        <w:pStyle w:val="SingleTxt"/>
        <w:spacing w:after="0" w:line="120" w:lineRule="exact"/>
        <w:rPr>
          <w:i/>
          <w:sz w:val="10"/>
          <w:lang w:val="fr-CH"/>
        </w:rPr>
      </w:pPr>
    </w:p>
    <w:p w:rsidR="00554873" w:rsidRPr="00101B00" w:rsidRDefault="001D0777" w:rsidP="001D077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val="0"/>
          <w:iCs/>
          <w:lang w:val="fr-CH"/>
        </w:rPr>
      </w:pPr>
      <w:r w:rsidRPr="00101B00">
        <w:rPr>
          <w:lang w:val="fr-CH"/>
        </w:rPr>
        <w:tab/>
      </w:r>
      <w:r w:rsidRPr="00101B00">
        <w:rPr>
          <w:lang w:val="fr-CH"/>
        </w:rPr>
        <w:tab/>
      </w:r>
      <w:r w:rsidR="00554873" w:rsidRPr="00101B00">
        <w:rPr>
          <w:lang w:val="fr-CH"/>
        </w:rPr>
        <w:t>Document</w:t>
      </w:r>
      <w:r w:rsidR="005F0D9B" w:rsidRPr="00101B00">
        <w:rPr>
          <w:lang w:val="fr-CH"/>
        </w:rPr>
        <w:t> </w:t>
      </w:r>
      <w:r w:rsidR="005F0D9B" w:rsidRPr="00101B00">
        <w:rPr>
          <w:i w:val="0"/>
          <w:iCs/>
          <w:lang w:val="fr-CH"/>
        </w:rPr>
        <w:t>:</w:t>
      </w:r>
      <w:r w:rsidRPr="00101B00">
        <w:rPr>
          <w:i w:val="0"/>
          <w:iCs/>
          <w:lang w:val="fr-CH"/>
        </w:rPr>
        <w:tab/>
      </w:r>
      <w:r w:rsidR="00554873" w:rsidRPr="00101B00">
        <w:rPr>
          <w:i w:val="0"/>
          <w:iCs/>
          <w:lang w:val="fr-CH"/>
        </w:rPr>
        <w:t>ECE/TRANS/2015/20.</w:t>
      </w:r>
    </w:p>
    <w:p w:rsidR="001D0777" w:rsidRPr="00101B00" w:rsidRDefault="001D0777" w:rsidP="001D0777">
      <w:pPr>
        <w:pStyle w:val="SingleTxt"/>
        <w:spacing w:after="0" w:line="120" w:lineRule="exact"/>
        <w:rPr>
          <w:sz w:val="10"/>
          <w:lang w:val="fr-CH"/>
        </w:rPr>
      </w:pPr>
    </w:p>
    <w:p w:rsidR="00554873" w:rsidRPr="00101B00" w:rsidRDefault="00554873" w:rsidP="00D53389">
      <w:pPr>
        <w:pStyle w:val="SingleTxt"/>
        <w:numPr>
          <w:ilvl w:val="0"/>
          <w:numId w:val="7"/>
        </w:numPr>
        <w:tabs>
          <w:tab w:val="clear" w:pos="475"/>
          <w:tab w:val="num" w:pos="1742"/>
        </w:tabs>
        <w:ind w:left="1267"/>
        <w:rPr>
          <w:lang w:val="fr-CH"/>
        </w:rPr>
      </w:pPr>
      <w:r w:rsidRPr="00101B00">
        <w:rPr>
          <w:lang w:val="fr-CH"/>
        </w:rPr>
        <w:t xml:space="preserve">Le Comité a </w:t>
      </w:r>
      <w:r w:rsidRPr="00101B00">
        <w:rPr>
          <w:b/>
          <w:lang w:val="fr-CH"/>
        </w:rPr>
        <w:t>examiné</w:t>
      </w:r>
      <w:r w:rsidRPr="00101B00">
        <w:rPr>
          <w:lang w:val="fr-CH"/>
        </w:rPr>
        <w:t xml:space="preserve"> le document ECE/TRANS/2015/20, dans lequel sont présentés les résultats de</w:t>
      </w:r>
      <w:r w:rsidR="00D53389" w:rsidRPr="00101B00">
        <w:rPr>
          <w:lang w:val="fr-CH"/>
        </w:rPr>
        <w:t>s</w:t>
      </w:r>
      <w:r w:rsidRPr="00101B00">
        <w:rPr>
          <w:lang w:val="fr-CH"/>
        </w:rPr>
        <w:t xml:space="preserve"> réunion</w:t>
      </w:r>
      <w:r w:rsidR="00D53389" w:rsidRPr="00101B00">
        <w:rPr>
          <w:lang w:val="fr-CH"/>
        </w:rPr>
        <w:t>s</w:t>
      </w:r>
      <w:r w:rsidRPr="00101B00">
        <w:rPr>
          <w:lang w:val="fr-CH"/>
        </w:rPr>
        <w:t xml:space="preserve"> de son Bureau</w:t>
      </w:r>
      <w:r w:rsidR="00D53389" w:rsidRPr="00101B00">
        <w:rPr>
          <w:lang w:val="fr-CH"/>
        </w:rPr>
        <w:t xml:space="preserve"> en 2014</w:t>
      </w:r>
      <w:r w:rsidRPr="00101B00">
        <w:rPr>
          <w:lang w:val="fr-CH"/>
        </w:rPr>
        <w:t xml:space="preserve">. Il a </w:t>
      </w:r>
      <w:r w:rsidRPr="00101B00">
        <w:rPr>
          <w:b/>
          <w:lang w:val="fr-CH"/>
        </w:rPr>
        <w:t>abordé</w:t>
      </w:r>
      <w:r w:rsidRPr="00101B00">
        <w:rPr>
          <w:lang w:val="fr-CH"/>
        </w:rPr>
        <w:t xml:space="preserve"> les décisions du Bureau au titre des points correspondants dans son ordre du jour.</w:t>
      </w:r>
    </w:p>
    <w:p w:rsidR="00554873" w:rsidRPr="00101B00" w:rsidRDefault="00554873" w:rsidP="00D16BB1">
      <w:pPr>
        <w:pStyle w:val="SingleTxt"/>
        <w:numPr>
          <w:ilvl w:val="0"/>
          <w:numId w:val="7"/>
        </w:numPr>
        <w:tabs>
          <w:tab w:val="clear" w:pos="475"/>
          <w:tab w:val="num" w:pos="1742"/>
        </w:tabs>
        <w:ind w:left="1267"/>
        <w:rPr>
          <w:lang w:val="fr-CH"/>
        </w:rPr>
      </w:pPr>
      <w:r w:rsidRPr="00101B00">
        <w:rPr>
          <w:lang w:val="fr-CH"/>
        </w:rPr>
        <w:t xml:space="preserve">Le Comité a, en outre, </w:t>
      </w:r>
      <w:r w:rsidRPr="00101B00">
        <w:rPr>
          <w:b/>
          <w:lang w:val="fr-CH"/>
        </w:rPr>
        <w:t>noté</w:t>
      </w:r>
      <w:r w:rsidRPr="00101B00">
        <w:rPr>
          <w:lang w:val="fr-CH"/>
        </w:rPr>
        <w:t xml:space="preserve"> qu</w:t>
      </w:r>
      <w:r w:rsidR="005F0D9B" w:rsidRPr="00101B00">
        <w:rPr>
          <w:lang w:val="fr-CH"/>
        </w:rPr>
        <w:t>’</w:t>
      </w:r>
      <w:r w:rsidRPr="00101B00">
        <w:rPr>
          <w:lang w:val="fr-CH"/>
        </w:rPr>
        <w:t>il n</w:t>
      </w:r>
      <w:r w:rsidR="005F0D9B" w:rsidRPr="00101B00">
        <w:rPr>
          <w:lang w:val="fr-CH"/>
        </w:rPr>
        <w:t>’</w:t>
      </w:r>
      <w:r w:rsidRPr="00101B00">
        <w:rPr>
          <w:lang w:val="fr-CH"/>
        </w:rPr>
        <w:t>adopterait, en premier lieu, qu</w:t>
      </w:r>
      <w:r w:rsidR="005F0D9B" w:rsidRPr="00101B00">
        <w:rPr>
          <w:lang w:val="fr-CH"/>
        </w:rPr>
        <w:t>’</w:t>
      </w:r>
      <w:r w:rsidRPr="00101B00">
        <w:rPr>
          <w:lang w:val="fr-CH"/>
        </w:rPr>
        <w:t>une liste des principales décisions prises à sa soixante-dix-septième session et qu</w:t>
      </w:r>
      <w:r w:rsidR="005F0D9B" w:rsidRPr="00101B00">
        <w:rPr>
          <w:lang w:val="fr-CH"/>
        </w:rPr>
        <w:t>’</w:t>
      </w:r>
      <w:r w:rsidRPr="00101B00">
        <w:rPr>
          <w:lang w:val="fr-CH"/>
        </w:rPr>
        <w:t>il diffuserait son rapport complet ultérieurement.</w:t>
      </w:r>
    </w:p>
    <w:p w:rsidR="001D0777" w:rsidRPr="00101B00" w:rsidRDefault="001D0777" w:rsidP="001D0777">
      <w:pPr>
        <w:pStyle w:val="SingleTxt"/>
        <w:spacing w:after="0" w:line="120" w:lineRule="exact"/>
        <w:rPr>
          <w:sz w:val="10"/>
          <w:lang w:val="fr-CH"/>
        </w:rPr>
      </w:pPr>
    </w:p>
    <w:p w:rsidR="001D0777" w:rsidRPr="00101B00" w:rsidRDefault="001D0777" w:rsidP="001D0777">
      <w:pPr>
        <w:pStyle w:val="SingleTxt"/>
        <w:spacing w:after="0" w:line="120" w:lineRule="exact"/>
        <w:rPr>
          <w:sz w:val="10"/>
          <w:lang w:val="fr-CH"/>
        </w:rPr>
      </w:pPr>
    </w:p>
    <w:p w:rsidR="00554873" w:rsidRPr="00101B00" w:rsidRDefault="00554873" w:rsidP="001D07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1B00">
        <w:rPr>
          <w:lang w:val="fr-CH"/>
        </w:rPr>
        <w:tab/>
        <w:t>XII.</w:t>
      </w:r>
      <w:r w:rsidRPr="00101B00">
        <w:rPr>
          <w:lang w:val="fr-CH"/>
        </w:rPr>
        <w:tab/>
        <w:t xml:space="preserve">Activités de la Commission et rapport du Comité </w:t>
      </w:r>
      <w:r w:rsidR="001D0777" w:rsidRPr="00101B00">
        <w:rPr>
          <w:lang w:val="fr-CH"/>
        </w:rPr>
        <w:br/>
      </w:r>
      <w:r w:rsidRPr="00101B00">
        <w:rPr>
          <w:lang w:val="fr-CH"/>
        </w:rPr>
        <w:t xml:space="preserve">des transports intérieurs au Comité exécutif de la CEE </w:t>
      </w:r>
      <w:r w:rsidR="001D0777" w:rsidRPr="00101B00">
        <w:rPr>
          <w:lang w:val="fr-CH"/>
        </w:rPr>
        <w:br/>
      </w:r>
      <w:r w:rsidRPr="00101B00">
        <w:rPr>
          <w:lang w:val="fr-CH"/>
        </w:rPr>
        <w:t>(point 10 de l</w:t>
      </w:r>
      <w:r w:rsidR="005F0D9B" w:rsidRPr="00101B00">
        <w:rPr>
          <w:lang w:val="fr-CH"/>
        </w:rPr>
        <w:t>’</w:t>
      </w:r>
      <w:r w:rsidRPr="00101B00">
        <w:rPr>
          <w:lang w:val="fr-CH"/>
        </w:rPr>
        <w:t>ordre du jour)</w:t>
      </w:r>
    </w:p>
    <w:p w:rsidR="001D0777" w:rsidRPr="00101B00" w:rsidRDefault="001D0777" w:rsidP="001D0777">
      <w:pPr>
        <w:pStyle w:val="SingleTxt"/>
        <w:spacing w:after="0" w:line="120" w:lineRule="exact"/>
        <w:rPr>
          <w:sz w:val="10"/>
          <w:lang w:val="fr-CH"/>
        </w:rPr>
      </w:pPr>
    </w:p>
    <w:p w:rsidR="001D0777" w:rsidRPr="00101B00" w:rsidRDefault="001D0777" w:rsidP="001D0777">
      <w:pPr>
        <w:pStyle w:val="SingleTxt"/>
        <w:spacing w:after="0" w:line="120" w:lineRule="exact"/>
        <w:rPr>
          <w:sz w:val="10"/>
          <w:lang w:val="fr-CH"/>
        </w:rPr>
      </w:pPr>
    </w:p>
    <w:p w:rsidR="00554873" w:rsidRPr="00101B00" w:rsidRDefault="00554873" w:rsidP="00C77288">
      <w:pPr>
        <w:pStyle w:val="SingleTxt"/>
        <w:numPr>
          <w:ilvl w:val="0"/>
          <w:numId w:val="7"/>
        </w:numPr>
        <w:tabs>
          <w:tab w:val="clear" w:pos="475"/>
          <w:tab w:val="num" w:pos="1742"/>
        </w:tabs>
        <w:ind w:left="1267"/>
        <w:rPr>
          <w:lang w:val="fr-CH"/>
        </w:rPr>
      </w:pPr>
      <w:r w:rsidRPr="00101B00">
        <w:rPr>
          <w:lang w:val="fr-CH"/>
        </w:rPr>
        <w:t xml:space="preserve">Le Comité a été </w:t>
      </w:r>
      <w:r w:rsidRPr="00101B00">
        <w:rPr>
          <w:b/>
          <w:lang w:val="fr-CH"/>
        </w:rPr>
        <w:t>informé</w:t>
      </w:r>
      <w:r w:rsidRPr="00101B00">
        <w:rPr>
          <w:lang w:val="fr-CH"/>
        </w:rPr>
        <w:t xml:space="preserve"> des préparatifs de la soixante-sixième session de la Commission économique pour l</w:t>
      </w:r>
      <w:r w:rsidR="005F0D9B" w:rsidRPr="00101B00">
        <w:rPr>
          <w:lang w:val="fr-CH"/>
        </w:rPr>
        <w:t>’</w:t>
      </w:r>
      <w:r w:rsidRPr="00101B00">
        <w:rPr>
          <w:lang w:val="fr-CH"/>
        </w:rPr>
        <w:t>Europe, qui se tiendrait à Genève du 14 au 16</w:t>
      </w:r>
      <w:r w:rsidR="00C77288" w:rsidRPr="00101B00">
        <w:rPr>
          <w:lang w:val="fr-CH"/>
        </w:rPr>
        <w:t> </w:t>
      </w:r>
      <w:r w:rsidRPr="00101B00">
        <w:rPr>
          <w:lang w:val="fr-CH"/>
        </w:rPr>
        <w:t xml:space="preserve">avril 2015. Il a </w:t>
      </w:r>
      <w:r w:rsidRPr="00101B00">
        <w:rPr>
          <w:b/>
          <w:lang w:val="fr-CH"/>
        </w:rPr>
        <w:t xml:space="preserve">fourni des indications </w:t>
      </w:r>
      <w:r w:rsidRPr="00101B00">
        <w:rPr>
          <w:lang w:val="fr-CH"/>
        </w:rPr>
        <w:t>à son Président au sujet des principaux messages à inclure dans le rapport qu</w:t>
      </w:r>
      <w:r w:rsidR="005F0D9B" w:rsidRPr="00101B00">
        <w:rPr>
          <w:lang w:val="fr-CH"/>
        </w:rPr>
        <w:t>’</w:t>
      </w:r>
      <w:r w:rsidRPr="00101B00">
        <w:rPr>
          <w:lang w:val="fr-CH"/>
        </w:rPr>
        <w:t>il devait établir en consultation avec le secrétariat et soumettre au Comité exécutif de la CEE à l</w:t>
      </w:r>
      <w:r w:rsidR="005F0D9B" w:rsidRPr="00101B00">
        <w:rPr>
          <w:lang w:val="fr-CH"/>
        </w:rPr>
        <w:t>’</w:t>
      </w:r>
      <w:r w:rsidRPr="00101B00">
        <w:rPr>
          <w:lang w:val="fr-CH"/>
        </w:rPr>
        <w:t>une de ses prochaines sessions.</w:t>
      </w:r>
    </w:p>
    <w:p w:rsidR="001D0777" w:rsidRPr="00101B00" w:rsidRDefault="001D0777" w:rsidP="001D0777">
      <w:pPr>
        <w:pStyle w:val="SingleTxt"/>
        <w:spacing w:after="0" w:line="120" w:lineRule="exact"/>
        <w:rPr>
          <w:sz w:val="10"/>
          <w:lang w:val="fr-CH"/>
        </w:rPr>
      </w:pPr>
    </w:p>
    <w:p w:rsidR="001D0777" w:rsidRPr="00101B00" w:rsidRDefault="001D0777" w:rsidP="001D0777">
      <w:pPr>
        <w:pStyle w:val="SingleTxt"/>
        <w:spacing w:after="0" w:line="120" w:lineRule="exact"/>
        <w:rPr>
          <w:sz w:val="10"/>
          <w:lang w:val="fr-CH"/>
        </w:rPr>
      </w:pPr>
    </w:p>
    <w:p w:rsidR="00554873" w:rsidRPr="00101B00" w:rsidRDefault="00554873" w:rsidP="00C7728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1B00">
        <w:rPr>
          <w:lang w:val="fr-CH"/>
        </w:rPr>
        <w:tab/>
        <w:t>XIII.</w:t>
      </w:r>
      <w:r w:rsidRPr="00101B00">
        <w:rPr>
          <w:lang w:val="fr-CH"/>
        </w:rPr>
        <w:tab/>
        <w:t>Liste des publications pour 2016</w:t>
      </w:r>
      <w:r w:rsidR="00C77288" w:rsidRPr="00101B00">
        <w:rPr>
          <w:lang w:val="fr-CH"/>
        </w:rPr>
        <w:t>-</w:t>
      </w:r>
      <w:r w:rsidRPr="00101B00">
        <w:rPr>
          <w:lang w:val="fr-CH"/>
        </w:rPr>
        <w:t>2017(point 11 de l</w:t>
      </w:r>
      <w:r w:rsidR="005F0D9B" w:rsidRPr="00101B00">
        <w:rPr>
          <w:lang w:val="fr-CH"/>
        </w:rPr>
        <w:t>’</w:t>
      </w:r>
      <w:r w:rsidRPr="00101B00">
        <w:rPr>
          <w:lang w:val="fr-CH"/>
        </w:rPr>
        <w:t xml:space="preserve">ordre </w:t>
      </w:r>
      <w:r w:rsidR="001D0777" w:rsidRPr="00101B00">
        <w:rPr>
          <w:lang w:val="fr-CH"/>
        </w:rPr>
        <w:br/>
      </w:r>
      <w:r w:rsidRPr="00101B00">
        <w:rPr>
          <w:lang w:val="fr-CH"/>
        </w:rPr>
        <w:t>du jour)</w:t>
      </w:r>
    </w:p>
    <w:p w:rsidR="001D0777" w:rsidRPr="00101B00" w:rsidRDefault="001D0777" w:rsidP="00C77288">
      <w:pPr>
        <w:pStyle w:val="SingleTxt"/>
        <w:keepNext/>
        <w:spacing w:after="0" w:line="120" w:lineRule="exact"/>
        <w:rPr>
          <w:i/>
          <w:sz w:val="10"/>
          <w:lang w:val="fr-CH"/>
        </w:rPr>
      </w:pPr>
    </w:p>
    <w:p w:rsidR="001D0777" w:rsidRPr="00101B00" w:rsidRDefault="001D0777" w:rsidP="00C77288">
      <w:pPr>
        <w:pStyle w:val="SingleTxt"/>
        <w:keepNext/>
        <w:spacing w:after="0" w:line="120" w:lineRule="exact"/>
        <w:rPr>
          <w:i/>
          <w:sz w:val="10"/>
          <w:lang w:val="fr-CH"/>
        </w:rPr>
      </w:pPr>
    </w:p>
    <w:p w:rsidR="00554873" w:rsidRPr="00101B00" w:rsidRDefault="001D0777" w:rsidP="00C7728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val="0"/>
          <w:iCs/>
          <w:lang w:val="fr-CH"/>
        </w:rPr>
      </w:pPr>
      <w:r w:rsidRPr="00101B00">
        <w:rPr>
          <w:lang w:val="fr-CH"/>
        </w:rPr>
        <w:tab/>
      </w:r>
      <w:r w:rsidRPr="00101B00">
        <w:rPr>
          <w:lang w:val="fr-CH"/>
        </w:rPr>
        <w:tab/>
      </w:r>
      <w:r w:rsidR="00554873" w:rsidRPr="00101B00">
        <w:rPr>
          <w:lang w:val="fr-CH"/>
        </w:rPr>
        <w:t>Document</w:t>
      </w:r>
      <w:r w:rsidR="005F0D9B" w:rsidRPr="00101B00">
        <w:rPr>
          <w:lang w:val="fr-CH"/>
        </w:rPr>
        <w:t> </w:t>
      </w:r>
      <w:r w:rsidR="005F0D9B" w:rsidRPr="00970907">
        <w:rPr>
          <w:i w:val="0"/>
          <w:iCs/>
          <w:lang w:val="fr-CH"/>
        </w:rPr>
        <w:t>:</w:t>
      </w:r>
      <w:r w:rsidRPr="00101B00">
        <w:rPr>
          <w:i w:val="0"/>
          <w:iCs/>
          <w:lang w:val="fr-CH"/>
        </w:rPr>
        <w:tab/>
      </w:r>
      <w:r w:rsidR="00554873" w:rsidRPr="00101B00">
        <w:rPr>
          <w:i w:val="0"/>
          <w:iCs/>
          <w:lang w:val="fr-CH"/>
        </w:rPr>
        <w:t>ECE/TRANS/2015/21.</w:t>
      </w:r>
    </w:p>
    <w:p w:rsidR="001D0777" w:rsidRPr="00101B00" w:rsidRDefault="001D0777" w:rsidP="00C77288">
      <w:pPr>
        <w:pStyle w:val="SingleTxt"/>
        <w:keepNext/>
        <w:spacing w:after="0" w:line="120" w:lineRule="exact"/>
        <w:rPr>
          <w:sz w:val="10"/>
          <w:lang w:val="fr-CH"/>
        </w:rPr>
      </w:pPr>
    </w:p>
    <w:p w:rsidR="00554873" w:rsidRPr="00101B00" w:rsidRDefault="00554873" w:rsidP="00C77288">
      <w:pPr>
        <w:pStyle w:val="SingleTxt"/>
        <w:numPr>
          <w:ilvl w:val="0"/>
          <w:numId w:val="7"/>
        </w:numPr>
        <w:tabs>
          <w:tab w:val="clear" w:pos="475"/>
          <w:tab w:val="num" w:pos="1742"/>
        </w:tabs>
        <w:ind w:left="1267"/>
        <w:rPr>
          <w:lang w:val="fr-CH"/>
        </w:rPr>
      </w:pPr>
      <w:r w:rsidRPr="00101B00">
        <w:rPr>
          <w:lang w:val="fr-CH"/>
        </w:rPr>
        <w:t xml:space="preserve">Le Comité a </w:t>
      </w:r>
      <w:r w:rsidRPr="00101B00">
        <w:rPr>
          <w:b/>
          <w:lang w:val="fr-CH"/>
        </w:rPr>
        <w:t>approuvé</w:t>
      </w:r>
      <w:r w:rsidRPr="00101B00">
        <w:rPr>
          <w:lang w:val="fr-CH"/>
        </w:rPr>
        <w:t xml:space="preserve"> le projet de liste des publications pour la période biennale 2016</w:t>
      </w:r>
      <w:r w:rsidR="00C77288" w:rsidRPr="00101B00">
        <w:rPr>
          <w:lang w:val="fr-CH"/>
        </w:rPr>
        <w:t>-</w:t>
      </w:r>
      <w:r w:rsidRPr="00101B00">
        <w:rPr>
          <w:lang w:val="fr-CH"/>
        </w:rPr>
        <w:t>2017 et a prié le secrétariat de continuer à faire le nécessaire pour que des versions imprimées soient disponibles.</w:t>
      </w:r>
    </w:p>
    <w:p w:rsidR="001D0777" w:rsidRPr="00101B00" w:rsidRDefault="001D0777" w:rsidP="001D0777">
      <w:pPr>
        <w:pStyle w:val="SingleTxt"/>
        <w:spacing w:after="0" w:line="120" w:lineRule="exact"/>
        <w:rPr>
          <w:sz w:val="10"/>
          <w:lang w:val="fr-CH"/>
        </w:rPr>
      </w:pPr>
    </w:p>
    <w:p w:rsidR="001D0777" w:rsidRPr="00101B00" w:rsidRDefault="001D0777" w:rsidP="001D0777">
      <w:pPr>
        <w:pStyle w:val="SingleTxt"/>
        <w:spacing w:after="0" w:line="120" w:lineRule="exact"/>
        <w:rPr>
          <w:sz w:val="10"/>
          <w:lang w:val="fr-CH"/>
        </w:rPr>
      </w:pPr>
    </w:p>
    <w:p w:rsidR="00554873" w:rsidRPr="00101B00" w:rsidRDefault="00554873" w:rsidP="001D07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1B00">
        <w:rPr>
          <w:lang w:val="fr-CH"/>
        </w:rPr>
        <w:tab/>
        <w:t>XIV.</w:t>
      </w:r>
      <w:r w:rsidRPr="00101B00">
        <w:rPr>
          <w:lang w:val="fr-CH"/>
        </w:rPr>
        <w:tab/>
        <w:t>Calendrier des réunions en 2015 (point 12 de l</w:t>
      </w:r>
      <w:r w:rsidR="005F0D9B" w:rsidRPr="00101B00">
        <w:rPr>
          <w:lang w:val="fr-CH"/>
        </w:rPr>
        <w:t>’</w:t>
      </w:r>
      <w:r w:rsidRPr="00101B00">
        <w:rPr>
          <w:lang w:val="fr-CH"/>
        </w:rPr>
        <w:t>ordre du jour)</w:t>
      </w:r>
    </w:p>
    <w:p w:rsidR="001D0777" w:rsidRPr="00101B00" w:rsidRDefault="001D0777" w:rsidP="001D0777">
      <w:pPr>
        <w:pStyle w:val="SingleTxt"/>
        <w:spacing w:after="0" w:line="120" w:lineRule="exact"/>
        <w:rPr>
          <w:sz w:val="10"/>
          <w:lang w:val="fr-CH"/>
        </w:rPr>
      </w:pPr>
    </w:p>
    <w:p w:rsidR="001D0777" w:rsidRPr="00101B00" w:rsidRDefault="001D0777" w:rsidP="001D0777">
      <w:pPr>
        <w:pStyle w:val="SingleTxt"/>
        <w:spacing w:after="0" w:line="120" w:lineRule="exact"/>
        <w:rPr>
          <w:i/>
          <w:sz w:val="10"/>
          <w:lang w:val="fr-CH"/>
        </w:rPr>
      </w:pPr>
    </w:p>
    <w:p w:rsidR="00554873" w:rsidRPr="00101B00" w:rsidRDefault="001D0777" w:rsidP="001D077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val="0"/>
          <w:iCs/>
          <w:lang w:val="fr-CH"/>
        </w:rPr>
      </w:pPr>
      <w:r w:rsidRPr="00101B00">
        <w:rPr>
          <w:lang w:val="fr-CH"/>
        </w:rPr>
        <w:tab/>
      </w:r>
      <w:r w:rsidRPr="00101B00">
        <w:rPr>
          <w:lang w:val="fr-CH"/>
        </w:rPr>
        <w:tab/>
      </w:r>
      <w:r w:rsidR="00554873" w:rsidRPr="00101B00">
        <w:rPr>
          <w:lang w:val="fr-CH"/>
        </w:rPr>
        <w:t>Document</w:t>
      </w:r>
      <w:r w:rsidR="005F0D9B" w:rsidRPr="00101B00">
        <w:rPr>
          <w:lang w:val="fr-CH"/>
        </w:rPr>
        <w:t> </w:t>
      </w:r>
      <w:r w:rsidR="005F0D9B" w:rsidRPr="00970907">
        <w:rPr>
          <w:i w:val="0"/>
          <w:iCs/>
          <w:lang w:val="fr-CH"/>
        </w:rPr>
        <w:t>:</w:t>
      </w:r>
      <w:r w:rsidRPr="00101B00">
        <w:rPr>
          <w:i w:val="0"/>
          <w:iCs/>
          <w:lang w:val="fr-CH"/>
        </w:rPr>
        <w:tab/>
      </w:r>
      <w:r w:rsidR="00554873" w:rsidRPr="00101B00">
        <w:rPr>
          <w:i w:val="0"/>
          <w:iCs/>
          <w:lang w:val="fr-CH"/>
        </w:rPr>
        <w:t>ECE/TRANS/2015/22.</w:t>
      </w:r>
    </w:p>
    <w:p w:rsidR="001D0777" w:rsidRPr="00101B00" w:rsidRDefault="001D0777" w:rsidP="001D0777">
      <w:pPr>
        <w:pStyle w:val="SingleTxt"/>
        <w:spacing w:after="0" w:line="120" w:lineRule="exact"/>
        <w:rPr>
          <w:sz w:val="10"/>
          <w:lang w:val="fr-CH"/>
        </w:rPr>
      </w:pPr>
    </w:p>
    <w:p w:rsidR="00554873" w:rsidRPr="00101B00" w:rsidRDefault="00554873" w:rsidP="00C77288">
      <w:pPr>
        <w:pStyle w:val="SingleTxt"/>
        <w:numPr>
          <w:ilvl w:val="0"/>
          <w:numId w:val="7"/>
        </w:numPr>
        <w:tabs>
          <w:tab w:val="clear" w:pos="475"/>
          <w:tab w:val="num" w:pos="1742"/>
        </w:tabs>
        <w:ind w:left="1267"/>
        <w:rPr>
          <w:lang w:val="fr-CH"/>
        </w:rPr>
      </w:pPr>
      <w:r w:rsidRPr="00101B00">
        <w:rPr>
          <w:lang w:val="fr-CH"/>
        </w:rPr>
        <w:t xml:space="preserve">Le Comité a </w:t>
      </w:r>
      <w:r w:rsidRPr="00101B00">
        <w:rPr>
          <w:b/>
          <w:lang w:val="fr-CH"/>
        </w:rPr>
        <w:t>adopté</w:t>
      </w:r>
      <w:r w:rsidRPr="00101B00">
        <w:rPr>
          <w:lang w:val="fr-CH"/>
        </w:rPr>
        <w:t xml:space="preserve"> son calendrier des réunions pour 2015 et la période allant de janvier à mars</w:t>
      </w:r>
      <w:r w:rsidR="00C77288" w:rsidRPr="00101B00">
        <w:rPr>
          <w:lang w:val="fr-CH"/>
        </w:rPr>
        <w:t xml:space="preserve"> </w:t>
      </w:r>
      <w:r w:rsidRPr="00101B00">
        <w:rPr>
          <w:lang w:val="fr-CH"/>
        </w:rPr>
        <w:t>2016 (ECE/TRANS/2015/22) en y apportant quelques modifications (le calendrier doit être publié sous la cote ECE/TRANS/2015/22/Rev.1).</w:t>
      </w:r>
    </w:p>
    <w:p w:rsidR="001D0777" w:rsidRPr="00101B00" w:rsidRDefault="001D0777" w:rsidP="001D0777">
      <w:pPr>
        <w:pStyle w:val="SingleTxt"/>
        <w:spacing w:after="0" w:line="120" w:lineRule="exact"/>
        <w:rPr>
          <w:sz w:val="10"/>
          <w:lang w:val="fr-CH"/>
        </w:rPr>
      </w:pPr>
    </w:p>
    <w:p w:rsidR="001D0777" w:rsidRPr="00101B00" w:rsidRDefault="001D0777" w:rsidP="001D0777">
      <w:pPr>
        <w:pStyle w:val="SingleTxt"/>
        <w:spacing w:after="0" w:line="120" w:lineRule="exact"/>
        <w:rPr>
          <w:sz w:val="10"/>
          <w:lang w:val="fr-CH"/>
        </w:rPr>
      </w:pPr>
    </w:p>
    <w:p w:rsidR="00554873" w:rsidRPr="00101B00" w:rsidRDefault="00554873" w:rsidP="001D07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1B00">
        <w:rPr>
          <w:lang w:val="fr-CH"/>
        </w:rPr>
        <w:lastRenderedPageBreak/>
        <w:tab/>
        <w:t>XV.</w:t>
      </w:r>
      <w:r w:rsidRPr="00101B00">
        <w:rPr>
          <w:lang w:val="fr-CH"/>
        </w:rPr>
        <w:tab/>
        <w:t>Évolution des transports dans l</w:t>
      </w:r>
      <w:r w:rsidR="005F0D9B" w:rsidRPr="00101B00">
        <w:rPr>
          <w:lang w:val="fr-CH"/>
        </w:rPr>
        <w:t>’</w:t>
      </w:r>
      <w:r w:rsidRPr="00101B00">
        <w:rPr>
          <w:lang w:val="fr-CH"/>
        </w:rPr>
        <w:t xml:space="preserve">Union européenne </w:t>
      </w:r>
      <w:r w:rsidR="001D0777" w:rsidRPr="00101B00">
        <w:rPr>
          <w:lang w:val="fr-CH"/>
        </w:rPr>
        <w:br/>
      </w:r>
      <w:r w:rsidRPr="00101B00">
        <w:rPr>
          <w:lang w:val="fr-CH"/>
        </w:rPr>
        <w:t>(point 13 de l</w:t>
      </w:r>
      <w:r w:rsidR="005F0D9B" w:rsidRPr="00101B00">
        <w:rPr>
          <w:lang w:val="fr-CH"/>
        </w:rPr>
        <w:t>’</w:t>
      </w:r>
      <w:r w:rsidRPr="00101B00">
        <w:rPr>
          <w:lang w:val="fr-CH"/>
        </w:rPr>
        <w:t>ordre du jour)</w:t>
      </w:r>
    </w:p>
    <w:p w:rsidR="001D0777" w:rsidRPr="00101B00" w:rsidRDefault="001D0777" w:rsidP="00970907">
      <w:pPr>
        <w:pStyle w:val="SingleTxt"/>
        <w:keepNext/>
        <w:spacing w:after="0" w:line="120" w:lineRule="exact"/>
        <w:rPr>
          <w:i/>
          <w:sz w:val="10"/>
          <w:lang w:val="fr-CH"/>
        </w:rPr>
      </w:pPr>
    </w:p>
    <w:p w:rsidR="001D0777" w:rsidRPr="00101B00" w:rsidRDefault="001D0777" w:rsidP="00970907">
      <w:pPr>
        <w:pStyle w:val="SingleTxt"/>
        <w:keepNext/>
        <w:spacing w:after="0" w:line="120" w:lineRule="exact"/>
        <w:rPr>
          <w:i/>
          <w:sz w:val="10"/>
          <w:lang w:val="fr-CH"/>
        </w:rPr>
      </w:pPr>
    </w:p>
    <w:p w:rsidR="00554873" w:rsidRPr="00101B00" w:rsidRDefault="001D0777" w:rsidP="0097090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val="0"/>
          <w:iCs/>
          <w:lang w:val="fr-CH"/>
        </w:rPr>
      </w:pPr>
      <w:r w:rsidRPr="00101B00">
        <w:rPr>
          <w:lang w:val="fr-CH"/>
        </w:rPr>
        <w:tab/>
      </w:r>
      <w:r w:rsidRPr="00101B00">
        <w:rPr>
          <w:lang w:val="fr-CH"/>
        </w:rPr>
        <w:tab/>
      </w:r>
      <w:r w:rsidR="00554873" w:rsidRPr="00101B00">
        <w:rPr>
          <w:lang w:val="fr-CH"/>
        </w:rPr>
        <w:t>Document</w:t>
      </w:r>
      <w:r w:rsidR="005F0D9B" w:rsidRPr="00101B00">
        <w:rPr>
          <w:lang w:val="fr-CH"/>
        </w:rPr>
        <w:t> </w:t>
      </w:r>
      <w:r w:rsidR="005F0D9B" w:rsidRPr="00970907">
        <w:rPr>
          <w:i w:val="0"/>
          <w:iCs/>
          <w:lang w:val="fr-CH"/>
        </w:rPr>
        <w:t>:</w:t>
      </w:r>
      <w:r w:rsidRPr="00101B00">
        <w:rPr>
          <w:i w:val="0"/>
          <w:iCs/>
          <w:lang w:val="fr-CH"/>
        </w:rPr>
        <w:tab/>
      </w:r>
      <w:r w:rsidR="00554873" w:rsidRPr="00101B00">
        <w:rPr>
          <w:i w:val="0"/>
          <w:iCs/>
          <w:lang w:val="fr-CH"/>
        </w:rPr>
        <w:t>ECE/TRANS/2015/23.</w:t>
      </w:r>
    </w:p>
    <w:p w:rsidR="001D0777" w:rsidRPr="00101B00" w:rsidRDefault="001D0777" w:rsidP="00970907">
      <w:pPr>
        <w:pStyle w:val="SingleTxt"/>
        <w:keepNext/>
        <w:spacing w:after="0" w:line="120" w:lineRule="exact"/>
        <w:rPr>
          <w:sz w:val="10"/>
          <w:lang w:val="fr-CH"/>
        </w:rPr>
      </w:pPr>
    </w:p>
    <w:p w:rsidR="00554873" w:rsidRPr="00101B00" w:rsidRDefault="00554873" w:rsidP="00C77288">
      <w:pPr>
        <w:pStyle w:val="SingleTxt"/>
        <w:numPr>
          <w:ilvl w:val="0"/>
          <w:numId w:val="7"/>
        </w:numPr>
        <w:tabs>
          <w:tab w:val="clear" w:pos="475"/>
          <w:tab w:val="num" w:pos="1742"/>
        </w:tabs>
        <w:ind w:left="1267"/>
        <w:rPr>
          <w:lang w:val="fr-CH"/>
        </w:rPr>
      </w:pPr>
      <w:r w:rsidRPr="00101B00">
        <w:rPr>
          <w:lang w:val="fr-CH"/>
        </w:rPr>
        <w:t xml:space="preserve">Le Comité a </w:t>
      </w:r>
      <w:r w:rsidRPr="00101B00">
        <w:rPr>
          <w:b/>
          <w:lang w:val="fr-CH"/>
        </w:rPr>
        <w:t>été informé</w:t>
      </w:r>
      <w:r w:rsidRPr="00101B00">
        <w:rPr>
          <w:lang w:val="fr-CH"/>
        </w:rPr>
        <w:t xml:space="preserve"> par un représentant de la Direction générale de la mobilité et des transports de la Commission européenne des principales mesures législatives et initiatives de politique générale concernant les transports </w:t>
      </w:r>
      <w:r w:rsidR="00C77288" w:rsidRPr="00101B00">
        <w:rPr>
          <w:lang w:val="fr-CH"/>
        </w:rPr>
        <w:t xml:space="preserve">qu’a </w:t>
      </w:r>
      <w:r w:rsidRPr="00101B00">
        <w:rPr>
          <w:lang w:val="fr-CH"/>
        </w:rPr>
        <w:t>prises l</w:t>
      </w:r>
      <w:r w:rsidR="005F0D9B" w:rsidRPr="00101B00">
        <w:rPr>
          <w:lang w:val="fr-CH"/>
        </w:rPr>
        <w:t>’</w:t>
      </w:r>
      <w:r w:rsidRPr="00101B00">
        <w:rPr>
          <w:lang w:val="fr-CH"/>
        </w:rPr>
        <w:t>Union européenne en 2014.</w:t>
      </w:r>
    </w:p>
    <w:p w:rsidR="001D0777" w:rsidRPr="00101B00" w:rsidRDefault="001D0777" w:rsidP="001D0777">
      <w:pPr>
        <w:pStyle w:val="SingleTxt"/>
        <w:spacing w:after="0" w:line="120" w:lineRule="exact"/>
        <w:rPr>
          <w:sz w:val="10"/>
          <w:lang w:val="fr-CH"/>
        </w:rPr>
      </w:pPr>
    </w:p>
    <w:p w:rsidR="001D0777" w:rsidRPr="00101B00" w:rsidRDefault="001D0777" w:rsidP="001D0777">
      <w:pPr>
        <w:pStyle w:val="SingleTxt"/>
        <w:spacing w:after="0" w:line="120" w:lineRule="exact"/>
        <w:rPr>
          <w:sz w:val="10"/>
          <w:lang w:val="fr-CH"/>
        </w:rPr>
      </w:pPr>
    </w:p>
    <w:p w:rsidR="00554873" w:rsidRPr="00101B00" w:rsidRDefault="00554873" w:rsidP="001D07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1B00">
        <w:rPr>
          <w:lang w:val="fr-CH"/>
        </w:rPr>
        <w:tab/>
        <w:t>XVI.</w:t>
      </w:r>
      <w:r w:rsidRPr="00101B00">
        <w:rPr>
          <w:lang w:val="fr-CH"/>
        </w:rPr>
        <w:tab/>
        <w:t xml:space="preserve">Faits nouveaux relatifs aux travaux du Forum </w:t>
      </w:r>
      <w:r w:rsidR="001D0777" w:rsidRPr="00101B00">
        <w:rPr>
          <w:lang w:val="fr-CH"/>
        </w:rPr>
        <w:br/>
      </w:r>
      <w:r w:rsidRPr="00101B00">
        <w:rPr>
          <w:lang w:val="fr-CH"/>
        </w:rPr>
        <w:t>international des transports (point 14 de l</w:t>
      </w:r>
      <w:r w:rsidR="005F0D9B" w:rsidRPr="00101B00">
        <w:rPr>
          <w:lang w:val="fr-CH"/>
        </w:rPr>
        <w:t>’</w:t>
      </w:r>
      <w:r w:rsidRPr="00101B00">
        <w:rPr>
          <w:lang w:val="fr-CH"/>
        </w:rPr>
        <w:t>ordre du jour)</w:t>
      </w:r>
    </w:p>
    <w:p w:rsidR="001D0777" w:rsidRPr="00101B00" w:rsidRDefault="001D0777" w:rsidP="001D0777">
      <w:pPr>
        <w:pStyle w:val="SingleTxt"/>
        <w:spacing w:after="0" w:line="120" w:lineRule="exact"/>
        <w:rPr>
          <w:sz w:val="10"/>
          <w:lang w:val="fr-CH"/>
        </w:rPr>
      </w:pPr>
    </w:p>
    <w:p w:rsidR="001D0777" w:rsidRPr="00101B00" w:rsidRDefault="001D0777" w:rsidP="001D0777">
      <w:pPr>
        <w:pStyle w:val="SingleTxt"/>
        <w:spacing w:after="0" w:line="120" w:lineRule="exact"/>
        <w:rPr>
          <w:sz w:val="10"/>
          <w:lang w:val="fr-CH"/>
        </w:rPr>
      </w:pPr>
    </w:p>
    <w:p w:rsidR="00554873" w:rsidRPr="00101B00" w:rsidRDefault="00554873" w:rsidP="00D16BB1">
      <w:pPr>
        <w:pStyle w:val="SingleTxt"/>
        <w:numPr>
          <w:ilvl w:val="0"/>
          <w:numId w:val="7"/>
        </w:numPr>
        <w:tabs>
          <w:tab w:val="clear" w:pos="475"/>
          <w:tab w:val="num" w:pos="1742"/>
        </w:tabs>
        <w:ind w:left="1267"/>
        <w:rPr>
          <w:lang w:val="fr-CH"/>
        </w:rPr>
      </w:pPr>
      <w:r w:rsidRPr="00101B00">
        <w:rPr>
          <w:lang w:val="fr-CH"/>
        </w:rPr>
        <w:t xml:space="preserve">Le Comité a </w:t>
      </w:r>
      <w:r w:rsidRPr="00101B00">
        <w:rPr>
          <w:b/>
          <w:lang w:val="fr-CH"/>
        </w:rPr>
        <w:t>été informé</w:t>
      </w:r>
      <w:r w:rsidRPr="00101B00">
        <w:rPr>
          <w:lang w:val="fr-CH"/>
        </w:rPr>
        <w:t xml:space="preserve"> par un représentant du Forum international des transports des dernières évolutions des activités du Forum.</w:t>
      </w:r>
    </w:p>
    <w:p w:rsidR="001D0777" w:rsidRPr="00101B00" w:rsidRDefault="001D0777" w:rsidP="001D0777">
      <w:pPr>
        <w:pStyle w:val="SingleTxt"/>
        <w:spacing w:after="0" w:line="120" w:lineRule="exact"/>
        <w:rPr>
          <w:sz w:val="10"/>
          <w:lang w:val="fr-CH"/>
        </w:rPr>
      </w:pPr>
    </w:p>
    <w:p w:rsidR="001D0777" w:rsidRPr="00101B00" w:rsidRDefault="001D0777" w:rsidP="001D0777">
      <w:pPr>
        <w:pStyle w:val="SingleTxt"/>
        <w:spacing w:after="0" w:line="120" w:lineRule="exact"/>
        <w:rPr>
          <w:sz w:val="10"/>
          <w:lang w:val="fr-CH"/>
        </w:rPr>
      </w:pPr>
    </w:p>
    <w:p w:rsidR="00554873" w:rsidRPr="00101B00" w:rsidRDefault="00554873" w:rsidP="001D07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1B00">
        <w:rPr>
          <w:lang w:val="fr-CH"/>
        </w:rPr>
        <w:tab/>
        <w:t>XVII.</w:t>
      </w:r>
      <w:r w:rsidRPr="00101B00">
        <w:rPr>
          <w:lang w:val="fr-CH"/>
        </w:rPr>
        <w:tab/>
        <w:t>Activités d</w:t>
      </w:r>
      <w:r w:rsidR="005F0D9B" w:rsidRPr="00101B00">
        <w:rPr>
          <w:lang w:val="fr-CH"/>
        </w:rPr>
        <w:t>’</w:t>
      </w:r>
      <w:r w:rsidRPr="00101B00">
        <w:rPr>
          <w:lang w:val="fr-CH"/>
        </w:rPr>
        <w:t xml:space="preserve">autres organisations intéressant le Comité </w:t>
      </w:r>
      <w:r w:rsidR="001D0777" w:rsidRPr="00101B00">
        <w:rPr>
          <w:lang w:val="fr-CH"/>
        </w:rPr>
        <w:br/>
      </w:r>
      <w:r w:rsidRPr="00101B00">
        <w:rPr>
          <w:lang w:val="fr-CH"/>
        </w:rPr>
        <w:t>(point 15 de l</w:t>
      </w:r>
      <w:r w:rsidR="005F0D9B" w:rsidRPr="00101B00">
        <w:rPr>
          <w:lang w:val="fr-CH"/>
        </w:rPr>
        <w:t>’</w:t>
      </w:r>
      <w:r w:rsidRPr="00101B00">
        <w:rPr>
          <w:lang w:val="fr-CH"/>
        </w:rPr>
        <w:t>ordre du jour)</w:t>
      </w:r>
    </w:p>
    <w:p w:rsidR="001D0777" w:rsidRPr="00101B00" w:rsidRDefault="001D0777" w:rsidP="001D0777">
      <w:pPr>
        <w:pStyle w:val="SingleTxt"/>
        <w:spacing w:after="0" w:line="120" w:lineRule="exact"/>
        <w:rPr>
          <w:sz w:val="10"/>
          <w:lang w:val="fr-CH"/>
        </w:rPr>
      </w:pPr>
    </w:p>
    <w:p w:rsidR="001D0777" w:rsidRPr="00101B00" w:rsidRDefault="001D0777" w:rsidP="001D0777">
      <w:pPr>
        <w:pStyle w:val="SingleTxt"/>
        <w:spacing w:after="0" w:line="120" w:lineRule="exact"/>
        <w:rPr>
          <w:sz w:val="10"/>
          <w:lang w:val="fr-CH"/>
        </w:rPr>
      </w:pPr>
    </w:p>
    <w:p w:rsidR="00554873" w:rsidRPr="00101B00" w:rsidRDefault="00554873" w:rsidP="00D16BB1">
      <w:pPr>
        <w:pStyle w:val="SingleTxt"/>
        <w:numPr>
          <w:ilvl w:val="0"/>
          <w:numId w:val="7"/>
        </w:numPr>
        <w:tabs>
          <w:tab w:val="clear" w:pos="475"/>
          <w:tab w:val="num" w:pos="1742"/>
        </w:tabs>
        <w:ind w:left="1267"/>
        <w:rPr>
          <w:lang w:val="fr-CH"/>
        </w:rPr>
      </w:pPr>
      <w:r w:rsidRPr="00101B00">
        <w:rPr>
          <w:lang w:val="fr-CH"/>
        </w:rPr>
        <w:t xml:space="preserve">Le Comité a </w:t>
      </w:r>
      <w:r w:rsidRPr="007F331B">
        <w:rPr>
          <w:b/>
          <w:bCs/>
          <w:lang w:val="fr-CH"/>
        </w:rPr>
        <w:t>été</w:t>
      </w:r>
      <w:r w:rsidRPr="00101B00">
        <w:rPr>
          <w:lang w:val="fr-CH"/>
        </w:rPr>
        <w:t xml:space="preserve"> </w:t>
      </w:r>
      <w:r w:rsidRPr="00101B00">
        <w:rPr>
          <w:b/>
          <w:lang w:val="fr-CH"/>
        </w:rPr>
        <w:t>informé</w:t>
      </w:r>
      <w:r w:rsidRPr="00101B00">
        <w:rPr>
          <w:lang w:val="fr-CH"/>
        </w:rPr>
        <w:t xml:space="preserve"> par les représentants d</w:t>
      </w:r>
      <w:r w:rsidR="005F0D9B" w:rsidRPr="00101B00">
        <w:rPr>
          <w:lang w:val="fr-CH"/>
        </w:rPr>
        <w:t>’</w:t>
      </w:r>
      <w:r w:rsidRPr="00101B00">
        <w:rPr>
          <w:lang w:val="fr-CH"/>
        </w:rPr>
        <w:t>autres organisations des activités récentes de celles-ci intéressant le Comité.</w:t>
      </w:r>
    </w:p>
    <w:p w:rsidR="001D0777" w:rsidRPr="00101B00" w:rsidRDefault="001D0777" w:rsidP="001D0777">
      <w:pPr>
        <w:pStyle w:val="SingleTxt"/>
        <w:spacing w:after="0" w:line="120" w:lineRule="exact"/>
        <w:rPr>
          <w:sz w:val="10"/>
          <w:lang w:val="fr-CH"/>
        </w:rPr>
      </w:pPr>
    </w:p>
    <w:p w:rsidR="001D0777" w:rsidRPr="00101B00" w:rsidRDefault="001D0777" w:rsidP="001D0777">
      <w:pPr>
        <w:pStyle w:val="SingleTxt"/>
        <w:spacing w:after="0" w:line="120" w:lineRule="exact"/>
        <w:rPr>
          <w:sz w:val="10"/>
          <w:lang w:val="fr-CH"/>
        </w:rPr>
      </w:pPr>
    </w:p>
    <w:p w:rsidR="00554873" w:rsidRPr="00101B00" w:rsidRDefault="00554873" w:rsidP="001D07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1B00">
        <w:rPr>
          <w:lang w:val="fr-CH"/>
        </w:rPr>
        <w:tab/>
        <w:t>XVIII.</w:t>
      </w:r>
      <w:r w:rsidRPr="00101B00">
        <w:rPr>
          <w:lang w:val="fr-CH"/>
        </w:rPr>
        <w:tab/>
        <w:t>Questions diverses</w:t>
      </w:r>
      <w:r w:rsidR="00C33BFB">
        <w:rPr>
          <w:lang w:val="fr-CH"/>
        </w:rPr>
        <w:t>.</w:t>
      </w:r>
      <w:r w:rsidRPr="00101B00">
        <w:rPr>
          <w:lang w:val="fr-CH"/>
        </w:rPr>
        <w:t xml:space="preserve"> Dates de la prochaine session </w:t>
      </w:r>
      <w:r w:rsidR="001D0777" w:rsidRPr="00101B00">
        <w:rPr>
          <w:lang w:val="fr-CH"/>
        </w:rPr>
        <w:br/>
      </w:r>
      <w:r w:rsidRPr="00101B00">
        <w:rPr>
          <w:lang w:val="fr-CH"/>
        </w:rPr>
        <w:t>(point 16 de l</w:t>
      </w:r>
      <w:r w:rsidR="005F0D9B" w:rsidRPr="00101B00">
        <w:rPr>
          <w:lang w:val="fr-CH"/>
        </w:rPr>
        <w:t>’</w:t>
      </w:r>
      <w:r w:rsidRPr="00101B00">
        <w:rPr>
          <w:lang w:val="fr-CH"/>
        </w:rPr>
        <w:t>ordre du jour)</w:t>
      </w:r>
    </w:p>
    <w:p w:rsidR="001D0777" w:rsidRPr="00101B00" w:rsidRDefault="001D0777" w:rsidP="001D0777">
      <w:pPr>
        <w:pStyle w:val="SingleTxt"/>
        <w:spacing w:after="0" w:line="120" w:lineRule="exact"/>
        <w:rPr>
          <w:sz w:val="10"/>
          <w:lang w:val="fr-CH"/>
        </w:rPr>
      </w:pPr>
    </w:p>
    <w:p w:rsidR="001D0777" w:rsidRPr="00101B00" w:rsidRDefault="001D0777" w:rsidP="001D0777">
      <w:pPr>
        <w:pStyle w:val="SingleTxt"/>
        <w:spacing w:after="0" w:line="120" w:lineRule="exact"/>
        <w:rPr>
          <w:sz w:val="10"/>
          <w:lang w:val="fr-CH"/>
        </w:rPr>
      </w:pPr>
    </w:p>
    <w:p w:rsidR="00554873" w:rsidRPr="00101B00" w:rsidRDefault="00554873" w:rsidP="00D16BB1">
      <w:pPr>
        <w:pStyle w:val="SingleTxt"/>
        <w:numPr>
          <w:ilvl w:val="0"/>
          <w:numId w:val="7"/>
        </w:numPr>
        <w:tabs>
          <w:tab w:val="clear" w:pos="475"/>
          <w:tab w:val="num" w:pos="1742"/>
        </w:tabs>
        <w:ind w:left="1267"/>
        <w:rPr>
          <w:lang w:val="fr-CH"/>
        </w:rPr>
      </w:pPr>
      <w:r w:rsidRPr="00101B00">
        <w:rPr>
          <w:lang w:val="fr-CH"/>
        </w:rPr>
        <w:t xml:space="preserve">Le Comité a </w:t>
      </w:r>
      <w:r w:rsidRPr="00101B00">
        <w:rPr>
          <w:b/>
          <w:lang w:val="fr-CH"/>
        </w:rPr>
        <w:t>noté</w:t>
      </w:r>
      <w:r w:rsidRPr="00101B00">
        <w:rPr>
          <w:lang w:val="fr-CH"/>
        </w:rPr>
        <w:t xml:space="preserve"> que sa soixante-dix-huitième session devait en princip</w:t>
      </w:r>
      <w:r w:rsidR="00C77288" w:rsidRPr="00101B00">
        <w:rPr>
          <w:lang w:val="fr-CH"/>
        </w:rPr>
        <w:t>e se tenir à Genève du 23 au 25 </w:t>
      </w:r>
      <w:r w:rsidRPr="00101B00">
        <w:rPr>
          <w:lang w:val="fr-CH"/>
        </w:rPr>
        <w:t>février 2016.</w:t>
      </w:r>
    </w:p>
    <w:p w:rsidR="001D0777" w:rsidRPr="00101B00" w:rsidRDefault="001D0777" w:rsidP="001D0777">
      <w:pPr>
        <w:pStyle w:val="SingleTxt"/>
        <w:spacing w:after="0" w:line="120" w:lineRule="exact"/>
        <w:rPr>
          <w:sz w:val="10"/>
          <w:lang w:val="fr-CH"/>
        </w:rPr>
      </w:pPr>
    </w:p>
    <w:p w:rsidR="001D0777" w:rsidRPr="00101B00" w:rsidRDefault="001D0777" w:rsidP="001D0777">
      <w:pPr>
        <w:pStyle w:val="SingleTxt"/>
        <w:spacing w:after="0" w:line="120" w:lineRule="exact"/>
        <w:rPr>
          <w:sz w:val="10"/>
          <w:lang w:val="fr-CH"/>
        </w:rPr>
      </w:pPr>
    </w:p>
    <w:p w:rsidR="00554873" w:rsidRPr="00101B00" w:rsidRDefault="00554873" w:rsidP="001D07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1B00">
        <w:rPr>
          <w:lang w:val="fr-CH"/>
        </w:rPr>
        <w:tab/>
        <w:t>XIX.</w:t>
      </w:r>
      <w:r w:rsidRPr="00101B00">
        <w:rPr>
          <w:lang w:val="fr-CH"/>
        </w:rPr>
        <w:tab/>
        <w:t xml:space="preserve">Adoption de la liste des principales décisions prises </w:t>
      </w:r>
      <w:r w:rsidR="001D0777" w:rsidRPr="00101B00">
        <w:rPr>
          <w:lang w:val="fr-CH"/>
        </w:rPr>
        <w:br/>
      </w:r>
      <w:r w:rsidRPr="00101B00">
        <w:rPr>
          <w:lang w:val="fr-CH"/>
        </w:rPr>
        <w:t xml:space="preserve">par le Comité à sa soixante-dix-septième session </w:t>
      </w:r>
      <w:r w:rsidR="001D0777" w:rsidRPr="00101B00">
        <w:rPr>
          <w:lang w:val="fr-CH"/>
        </w:rPr>
        <w:br/>
      </w:r>
      <w:r w:rsidRPr="00101B00">
        <w:rPr>
          <w:lang w:val="fr-CH"/>
        </w:rPr>
        <w:t>(point 17 de l</w:t>
      </w:r>
      <w:r w:rsidR="005F0D9B" w:rsidRPr="00101B00">
        <w:rPr>
          <w:lang w:val="fr-CH"/>
        </w:rPr>
        <w:t>’</w:t>
      </w:r>
      <w:r w:rsidRPr="00101B00">
        <w:rPr>
          <w:lang w:val="fr-CH"/>
        </w:rPr>
        <w:t>ordre du jour)</w:t>
      </w:r>
    </w:p>
    <w:p w:rsidR="001D0777" w:rsidRPr="00101B00" w:rsidRDefault="001D0777" w:rsidP="00C77288">
      <w:pPr>
        <w:pStyle w:val="SingleTxt"/>
        <w:keepNext/>
        <w:spacing w:after="0" w:line="120" w:lineRule="exact"/>
        <w:rPr>
          <w:sz w:val="10"/>
          <w:lang w:val="fr-CH"/>
        </w:rPr>
      </w:pPr>
    </w:p>
    <w:p w:rsidR="001D0777" w:rsidRPr="00101B00" w:rsidRDefault="001D0777" w:rsidP="00C77288">
      <w:pPr>
        <w:pStyle w:val="SingleTxt"/>
        <w:keepNext/>
        <w:spacing w:after="0" w:line="120" w:lineRule="exact"/>
        <w:rPr>
          <w:sz w:val="10"/>
          <w:lang w:val="fr-CH"/>
        </w:rPr>
      </w:pPr>
    </w:p>
    <w:p w:rsidR="00554873" w:rsidRPr="00101B00" w:rsidRDefault="00554873" w:rsidP="00970907">
      <w:pPr>
        <w:pStyle w:val="SingleTxt"/>
        <w:numPr>
          <w:ilvl w:val="0"/>
          <w:numId w:val="7"/>
        </w:numPr>
        <w:tabs>
          <w:tab w:val="clear" w:pos="475"/>
          <w:tab w:val="num" w:pos="1742"/>
        </w:tabs>
        <w:ind w:left="1267"/>
        <w:rPr>
          <w:lang w:val="fr-CH"/>
        </w:rPr>
      </w:pPr>
      <w:r w:rsidRPr="00101B00">
        <w:rPr>
          <w:lang w:val="fr-CH"/>
        </w:rPr>
        <w:t xml:space="preserve">Le Comité a </w:t>
      </w:r>
      <w:r w:rsidRPr="00C33BFB">
        <w:rPr>
          <w:b/>
          <w:bCs/>
          <w:lang w:val="fr-CH"/>
        </w:rPr>
        <w:t>adopté</w:t>
      </w:r>
      <w:r w:rsidRPr="00101B00">
        <w:rPr>
          <w:lang w:val="fr-CH"/>
        </w:rPr>
        <w:t xml:space="preserve"> la liste des principales décisions prises à sa soixante-dix-septième session (document informel CTI (2014) n</w:t>
      </w:r>
      <w:r w:rsidR="00970907" w:rsidRPr="00970907">
        <w:rPr>
          <w:vertAlign w:val="superscript"/>
          <w:lang w:val="fr-CH"/>
        </w:rPr>
        <w:t>o</w:t>
      </w:r>
      <w:r w:rsidRPr="00101B00">
        <w:rPr>
          <w:lang w:val="fr-CH"/>
        </w:rPr>
        <w:t> 14).</w:t>
      </w:r>
    </w:p>
    <w:p w:rsidR="00554873" w:rsidRPr="00101B00" w:rsidRDefault="00554873" w:rsidP="001D07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1B00">
        <w:rPr>
          <w:lang w:val="fr-CH"/>
        </w:rPr>
        <w:br w:type="page"/>
      </w:r>
      <w:r w:rsidRPr="00101B00">
        <w:rPr>
          <w:lang w:val="fr-CH"/>
        </w:rPr>
        <w:lastRenderedPageBreak/>
        <w:t>Annexe</w:t>
      </w:r>
    </w:p>
    <w:p w:rsidR="001D0777" w:rsidRPr="00101B00" w:rsidRDefault="001D0777" w:rsidP="001D0777">
      <w:pPr>
        <w:pStyle w:val="SingleTxt"/>
        <w:spacing w:after="0" w:line="120" w:lineRule="exact"/>
        <w:rPr>
          <w:sz w:val="10"/>
          <w:lang w:val="fr-CH"/>
        </w:rPr>
      </w:pPr>
    </w:p>
    <w:p w:rsidR="00554873" w:rsidRPr="00101B00" w:rsidRDefault="001D0777" w:rsidP="001D07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1B00">
        <w:rPr>
          <w:lang w:val="fr-CH"/>
        </w:rPr>
        <w:tab/>
      </w:r>
      <w:r w:rsidR="00554873" w:rsidRPr="00101B00">
        <w:rPr>
          <w:lang w:val="fr-CH"/>
        </w:rPr>
        <w:tab/>
        <w:t>Débat de politique générale sur le thème « </w:t>
      </w:r>
      <w:r w:rsidR="00D90693" w:rsidRPr="00101B00">
        <w:rPr>
          <w:lang w:val="fr-CH"/>
        </w:rPr>
        <w:t xml:space="preserve">Repenser </w:t>
      </w:r>
      <w:r w:rsidRPr="00101B00">
        <w:rPr>
          <w:lang w:val="fr-CH"/>
        </w:rPr>
        <w:br/>
      </w:r>
      <w:r w:rsidR="00554873" w:rsidRPr="00101B00">
        <w:rPr>
          <w:lang w:val="fr-CH"/>
        </w:rPr>
        <w:t xml:space="preserve">les transports urbains et la mobilité durables pour relever </w:t>
      </w:r>
      <w:r w:rsidRPr="00101B00">
        <w:rPr>
          <w:lang w:val="fr-CH"/>
        </w:rPr>
        <w:br/>
      </w:r>
      <w:r w:rsidR="00554873" w:rsidRPr="00101B00">
        <w:rPr>
          <w:lang w:val="fr-CH"/>
        </w:rPr>
        <w:t>les défis d</w:t>
      </w:r>
      <w:r w:rsidR="005F0D9B" w:rsidRPr="00101B00">
        <w:rPr>
          <w:lang w:val="fr-CH"/>
        </w:rPr>
        <w:t>’</w:t>
      </w:r>
      <w:r w:rsidR="00554873" w:rsidRPr="00101B00">
        <w:rPr>
          <w:lang w:val="fr-CH"/>
        </w:rPr>
        <w:t>une nouvelle ère » (24 février 2015)</w:t>
      </w:r>
    </w:p>
    <w:p w:rsidR="001D0777" w:rsidRPr="00101B00" w:rsidRDefault="001D0777" w:rsidP="001D0777">
      <w:pPr>
        <w:pStyle w:val="SingleTxt"/>
        <w:spacing w:after="0" w:line="120" w:lineRule="exact"/>
        <w:rPr>
          <w:sz w:val="10"/>
          <w:lang w:val="fr-CH"/>
        </w:rPr>
      </w:pPr>
    </w:p>
    <w:p w:rsidR="001D0777" w:rsidRPr="00101B00" w:rsidRDefault="001D0777" w:rsidP="001D0777">
      <w:pPr>
        <w:pStyle w:val="SingleTxt"/>
        <w:spacing w:after="0" w:line="120" w:lineRule="exact"/>
        <w:rPr>
          <w:sz w:val="10"/>
          <w:lang w:val="fr-CH"/>
        </w:rPr>
      </w:pPr>
    </w:p>
    <w:p w:rsidR="00554873" w:rsidRPr="00101B00" w:rsidRDefault="001D0777" w:rsidP="007F331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1B00">
        <w:rPr>
          <w:lang w:val="fr-CH"/>
        </w:rPr>
        <w:tab/>
      </w:r>
      <w:r w:rsidRPr="00101B00">
        <w:rPr>
          <w:lang w:val="fr-CH"/>
        </w:rPr>
        <w:tab/>
      </w:r>
      <w:r w:rsidR="00554873" w:rsidRPr="00101B00">
        <w:rPr>
          <w:lang w:val="fr-CH"/>
        </w:rPr>
        <w:t>Conclusions du Président</w:t>
      </w:r>
    </w:p>
    <w:p w:rsidR="001D0777" w:rsidRPr="00101B00" w:rsidRDefault="001D0777" w:rsidP="001D0777">
      <w:pPr>
        <w:pStyle w:val="SingleTxt"/>
        <w:spacing w:after="0" w:line="120" w:lineRule="exact"/>
        <w:rPr>
          <w:sz w:val="10"/>
          <w:lang w:val="fr-CH"/>
        </w:rPr>
      </w:pPr>
    </w:p>
    <w:p w:rsidR="001D0777" w:rsidRPr="00101B00" w:rsidRDefault="001D0777" w:rsidP="001D0777">
      <w:pPr>
        <w:pStyle w:val="SingleTxt"/>
        <w:spacing w:after="0" w:line="120" w:lineRule="exact"/>
        <w:rPr>
          <w:sz w:val="10"/>
          <w:lang w:val="fr-CH"/>
        </w:rPr>
      </w:pPr>
    </w:p>
    <w:p w:rsidR="00554873" w:rsidRPr="00101B00" w:rsidRDefault="00554873" w:rsidP="001D07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1B00">
        <w:rPr>
          <w:lang w:val="fr-CH"/>
        </w:rPr>
        <w:tab/>
        <w:t>I.</w:t>
      </w:r>
      <w:r w:rsidRPr="00101B00">
        <w:rPr>
          <w:lang w:val="fr-CH"/>
        </w:rPr>
        <w:tab/>
        <w:t>Introduction</w:t>
      </w:r>
    </w:p>
    <w:p w:rsidR="001D0777" w:rsidRPr="00101B00" w:rsidRDefault="001D0777" w:rsidP="001D0777">
      <w:pPr>
        <w:pStyle w:val="SingleTxt"/>
        <w:spacing w:after="0" w:line="120" w:lineRule="exact"/>
        <w:rPr>
          <w:sz w:val="10"/>
          <w:lang w:val="fr-CH"/>
        </w:rPr>
      </w:pPr>
    </w:p>
    <w:p w:rsidR="001D0777" w:rsidRPr="00101B00" w:rsidRDefault="001D0777" w:rsidP="001D0777">
      <w:pPr>
        <w:pStyle w:val="SingleTxt"/>
        <w:spacing w:after="0" w:line="120" w:lineRule="exact"/>
        <w:rPr>
          <w:sz w:val="10"/>
          <w:lang w:val="fr-CH"/>
        </w:rPr>
      </w:pPr>
    </w:p>
    <w:p w:rsidR="00554873" w:rsidRPr="00101B00" w:rsidRDefault="00C77288" w:rsidP="00C77288">
      <w:pPr>
        <w:pStyle w:val="SingleTxt"/>
        <w:numPr>
          <w:ilvl w:val="0"/>
          <w:numId w:val="9"/>
        </w:numPr>
        <w:ind w:left="1267" w:firstLine="0"/>
        <w:rPr>
          <w:spacing w:val="2"/>
          <w:lang w:val="fr-CH"/>
        </w:rPr>
      </w:pPr>
      <w:r w:rsidRPr="00101B00">
        <w:rPr>
          <w:spacing w:val="2"/>
          <w:lang w:val="fr-CH"/>
        </w:rPr>
        <w:t>La session a été ouverte par M. </w:t>
      </w:r>
      <w:r w:rsidR="00554873" w:rsidRPr="00101B00">
        <w:rPr>
          <w:spacing w:val="2"/>
          <w:lang w:val="fr-CH"/>
        </w:rPr>
        <w:t>Nicolas Meilhan, consultant principal pour les pratiques dans les domaines de l</w:t>
      </w:r>
      <w:r w:rsidR="005F0D9B" w:rsidRPr="00101B00">
        <w:rPr>
          <w:spacing w:val="2"/>
          <w:lang w:val="fr-CH"/>
        </w:rPr>
        <w:t>’</w:t>
      </w:r>
      <w:r w:rsidR="00554873" w:rsidRPr="00101B00">
        <w:rPr>
          <w:spacing w:val="2"/>
          <w:lang w:val="fr-CH"/>
        </w:rPr>
        <w:t>énergie et des transports, Frost &amp; Sullivan (France), qui a prononcé un discours de politique générale. Elle a été suivi de deux réunions-débats au cours desquelles les orateurs de haut niveau suivants ont fait des exposés</w:t>
      </w:r>
      <w:r w:rsidR="005F0D9B" w:rsidRPr="00101B00">
        <w:rPr>
          <w:spacing w:val="2"/>
          <w:lang w:val="fr-CH"/>
        </w:rPr>
        <w:t> :</w:t>
      </w:r>
      <w:r w:rsidRPr="00101B00">
        <w:rPr>
          <w:spacing w:val="2"/>
          <w:lang w:val="fr-CH"/>
        </w:rPr>
        <w:t xml:space="preserve"> M. </w:t>
      </w:r>
      <w:r w:rsidR="00554873" w:rsidRPr="00101B00">
        <w:rPr>
          <w:spacing w:val="2"/>
          <w:lang w:val="fr-CH"/>
        </w:rPr>
        <w:t>Nikolay Asaul, Ministre délégué aux transp</w:t>
      </w:r>
      <w:r w:rsidRPr="00101B00">
        <w:rPr>
          <w:spacing w:val="2"/>
          <w:lang w:val="fr-CH"/>
        </w:rPr>
        <w:t>orts (Fédération de Russie), M. </w:t>
      </w:r>
      <w:r w:rsidR="00554873" w:rsidRPr="00101B00">
        <w:rPr>
          <w:spacing w:val="2"/>
          <w:lang w:val="fr-CH"/>
        </w:rPr>
        <w:t>Janos Monigl, ingénieur en chef pour la planification des systèmes de t</w:t>
      </w:r>
      <w:r w:rsidRPr="00101B00">
        <w:rPr>
          <w:spacing w:val="2"/>
          <w:lang w:val="fr-CH"/>
        </w:rPr>
        <w:t>ransport, FŐMTERV (Hongrie), M. </w:t>
      </w:r>
      <w:r w:rsidR="00554873" w:rsidRPr="00101B00">
        <w:rPr>
          <w:spacing w:val="2"/>
          <w:lang w:val="fr-CH"/>
        </w:rPr>
        <w:t xml:space="preserve">Vojko Obersnel, </w:t>
      </w:r>
      <w:r w:rsidR="007F331B">
        <w:rPr>
          <w:spacing w:val="2"/>
          <w:lang w:val="fr-CH"/>
        </w:rPr>
        <w:t>maire</w:t>
      </w:r>
      <w:r w:rsidRPr="00101B00">
        <w:rPr>
          <w:spacing w:val="2"/>
          <w:lang w:val="fr-CH"/>
        </w:rPr>
        <w:t xml:space="preserve"> </w:t>
      </w:r>
      <w:r w:rsidR="00554873" w:rsidRPr="00101B00">
        <w:rPr>
          <w:spacing w:val="2"/>
          <w:lang w:val="fr-CH"/>
        </w:rPr>
        <w:t>de l</w:t>
      </w:r>
      <w:r w:rsidRPr="00101B00">
        <w:rPr>
          <w:spacing w:val="2"/>
          <w:lang w:val="fr-CH"/>
        </w:rPr>
        <w:t>a ville de Rijeka (Croatie), M. </w:t>
      </w:r>
      <w:r w:rsidR="00554873" w:rsidRPr="00101B00">
        <w:rPr>
          <w:spacing w:val="2"/>
          <w:lang w:val="fr-CH"/>
        </w:rPr>
        <w:t>Jos Arts, Direction du trafic et de la gestion de l</w:t>
      </w:r>
      <w:r w:rsidR="005F0D9B" w:rsidRPr="00101B00">
        <w:rPr>
          <w:spacing w:val="2"/>
          <w:lang w:val="fr-CH"/>
        </w:rPr>
        <w:t>’</w:t>
      </w:r>
      <w:r w:rsidR="00554873" w:rsidRPr="00101B00">
        <w:rPr>
          <w:spacing w:val="2"/>
          <w:lang w:val="fr-CH"/>
        </w:rPr>
        <w:t>eau,</w:t>
      </w:r>
      <w:r w:rsidRPr="00101B00">
        <w:rPr>
          <w:spacing w:val="2"/>
          <w:lang w:val="fr-CH"/>
        </w:rPr>
        <w:t xml:space="preserve"> Rijkswaterstaat (Pays-Bas), M. </w:t>
      </w:r>
      <w:r w:rsidR="00554873" w:rsidRPr="00101B00">
        <w:rPr>
          <w:spacing w:val="2"/>
          <w:lang w:val="fr-CH"/>
        </w:rPr>
        <w:t xml:space="preserve">Yuri Ilyin, </w:t>
      </w:r>
      <w:r w:rsidR="007F331B">
        <w:rPr>
          <w:spacing w:val="2"/>
          <w:lang w:val="fr-CH"/>
        </w:rPr>
        <w:t>maire</w:t>
      </w:r>
      <w:r w:rsidR="00554873" w:rsidRPr="00101B00">
        <w:rPr>
          <w:spacing w:val="2"/>
          <w:lang w:val="fr-CH"/>
        </w:rPr>
        <w:t xml:space="preserve"> adjoint de la ville d</w:t>
      </w:r>
      <w:r w:rsidR="005F0D9B" w:rsidRPr="00101B00">
        <w:rPr>
          <w:spacing w:val="2"/>
          <w:lang w:val="fr-CH"/>
        </w:rPr>
        <w:t>’</w:t>
      </w:r>
      <w:r w:rsidR="00554873" w:rsidRPr="00101B00">
        <w:rPr>
          <w:spacing w:val="2"/>
          <w:lang w:val="fr-CH"/>
        </w:rPr>
        <w:t>Almaty</w:t>
      </w:r>
      <w:r w:rsidRPr="00101B00">
        <w:rPr>
          <w:spacing w:val="2"/>
          <w:lang w:val="fr-CH"/>
        </w:rPr>
        <w:t xml:space="preserve"> (Kazakhstan), M. </w:t>
      </w:r>
      <w:r w:rsidR="00554873" w:rsidRPr="00101B00">
        <w:rPr>
          <w:spacing w:val="2"/>
          <w:lang w:val="fr-CH"/>
        </w:rPr>
        <w:t>Gregory Dimitriadis, Président du Conseil d</w:t>
      </w:r>
      <w:r w:rsidR="005F0D9B" w:rsidRPr="00101B00">
        <w:rPr>
          <w:spacing w:val="2"/>
          <w:lang w:val="fr-CH"/>
        </w:rPr>
        <w:t>’</w:t>
      </w:r>
      <w:r w:rsidR="00554873" w:rsidRPr="00101B00">
        <w:rPr>
          <w:spacing w:val="2"/>
          <w:lang w:val="fr-CH"/>
        </w:rPr>
        <w:t>administration et PDG, Organisation des transports urbains d</w:t>
      </w:r>
      <w:r w:rsidR="005F0D9B" w:rsidRPr="00101B00">
        <w:rPr>
          <w:spacing w:val="2"/>
          <w:lang w:val="fr-CH"/>
        </w:rPr>
        <w:t>’</w:t>
      </w:r>
      <w:r w:rsidRPr="00101B00">
        <w:rPr>
          <w:spacing w:val="2"/>
          <w:lang w:val="fr-CH"/>
        </w:rPr>
        <w:t>Athènes (Grèce) et M. </w:t>
      </w:r>
      <w:r w:rsidR="00554873" w:rsidRPr="00101B00">
        <w:rPr>
          <w:spacing w:val="2"/>
          <w:lang w:val="fr-CH"/>
        </w:rPr>
        <w:t>Blaise Hochstrasser, Directeur général à la Direction générale des transports de l</w:t>
      </w:r>
      <w:r w:rsidR="005F0D9B" w:rsidRPr="00101B00">
        <w:rPr>
          <w:spacing w:val="2"/>
          <w:lang w:val="fr-CH"/>
        </w:rPr>
        <w:t>’</w:t>
      </w:r>
      <w:r w:rsidR="00554873" w:rsidRPr="00101B00">
        <w:rPr>
          <w:spacing w:val="2"/>
          <w:lang w:val="fr-CH"/>
        </w:rPr>
        <w:t>État de Genève (Suisse). Ces exposés ont été suivis des interventions de M</w:t>
      </w:r>
      <w:r w:rsidR="00554873" w:rsidRPr="00101B00">
        <w:rPr>
          <w:spacing w:val="2"/>
          <w:vertAlign w:val="superscript"/>
          <w:lang w:val="fr-CH"/>
        </w:rPr>
        <w:t>me</w:t>
      </w:r>
      <w:r w:rsidR="00554873" w:rsidRPr="00101B00">
        <w:rPr>
          <w:spacing w:val="2"/>
          <w:lang w:val="fr-CH"/>
        </w:rPr>
        <w:t> Isabelle Dorliat-Pouzet, Sous-Préfète, Sous-préfecture de Saint-Ju</w:t>
      </w:r>
      <w:r w:rsidRPr="00101B00">
        <w:rPr>
          <w:spacing w:val="2"/>
          <w:lang w:val="fr-CH"/>
        </w:rPr>
        <w:t>lien-en-Genevois (France) et M. </w:t>
      </w:r>
      <w:r w:rsidR="00554873" w:rsidRPr="00101B00">
        <w:rPr>
          <w:spacing w:val="2"/>
          <w:lang w:val="fr-CH"/>
        </w:rPr>
        <w:t>Robert Stein, ingénieur et PDG, CargoCap GmbH (Allemagne).</w:t>
      </w:r>
    </w:p>
    <w:p w:rsidR="00554873" w:rsidRPr="00101B00" w:rsidRDefault="00554873" w:rsidP="005D36AF">
      <w:pPr>
        <w:pStyle w:val="SingleTxt"/>
        <w:numPr>
          <w:ilvl w:val="0"/>
          <w:numId w:val="9"/>
        </w:numPr>
        <w:ind w:left="1267" w:firstLine="0"/>
        <w:rPr>
          <w:lang w:val="fr-CH"/>
        </w:rPr>
      </w:pPr>
      <w:r w:rsidRPr="00101B00">
        <w:rPr>
          <w:lang w:val="fr-CH"/>
        </w:rPr>
        <w:t>Le débat de politique générale a été ouvert par des déclarations prononcées par M. Christian Friis-Bach, Secrétaire exécutif de la CEE, M. Matthias Rinderknecht, Président honoraire et modérateur du débat, Président de la Division des affaires internationales du Programme paneuropéen sur les transports, la santé et l</w:t>
      </w:r>
      <w:r w:rsidR="005F0D9B" w:rsidRPr="00101B00">
        <w:rPr>
          <w:lang w:val="fr-CH"/>
        </w:rPr>
        <w:t>’</w:t>
      </w:r>
      <w:r w:rsidRPr="00101B00">
        <w:rPr>
          <w:lang w:val="fr-CH"/>
        </w:rPr>
        <w:t xml:space="preserve">environnement (PPE-TSE), Office fédéral </w:t>
      </w:r>
      <w:r w:rsidR="005D36AF">
        <w:rPr>
          <w:lang w:val="fr-CH"/>
        </w:rPr>
        <w:t xml:space="preserve">suisse </w:t>
      </w:r>
      <w:r w:rsidRPr="00101B00">
        <w:rPr>
          <w:lang w:val="fr-CH"/>
        </w:rPr>
        <w:t>des transports</w:t>
      </w:r>
      <w:r w:rsidR="005D36AF">
        <w:rPr>
          <w:lang w:val="fr-CH"/>
        </w:rPr>
        <w:t>,</w:t>
      </w:r>
      <w:r w:rsidRPr="00101B00">
        <w:rPr>
          <w:lang w:val="fr-CH"/>
        </w:rPr>
        <w:t xml:space="preserve"> et M</w:t>
      </w:r>
      <w:r w:rsidRPr="00101B00">
        <w:rPr>
          <w:vertAlign w:val="superscript"/>
          <w:lang w:val="fr-CH"/>
        </w:rPr>
        <w:t>me</w:t>
      </w:r>
      <w:r w:rsidRPr="00101B00">
        <w:rPr>
          <w:lang w:val="fr-CH"/>
        </w:rPr>
        <w:t> Eva Molnar, Directrice de la Division des transports de la CEE. M. Rinderknecht a assuré la modération du déb</w:t>
      </w:r>
      <w:r w:rsidR="00C77288" w:rsidRPr="00101B00">
        <w:rPr>
          <w:lang w:val="fr-CH"/>
        </w:rPr>
        <w:t>at. Y ont pris part plus de 170 </w:t>
      </w:r>
      <w:r w:rsidRPr="00101B00">
        <w:rPr>
          <w:lang w:val="fr-CH"/>
        </w:rPr>
        <w:t>participants issus de 44 pays, dont 13 ne faisaient pas partie de la région de la CEE,</w:t>
      </w:r>
      <w:r w:rsidR="00C77288" w:rsidRPr="00101B00">
        <w:rPr>
          <w:lang w:val="fr-CH"/>
        </w:rPr>
        <w:t xml:space="preserve"> la Commission européenne et 36 </w:t>
      </w:r>
      <w:r w:rsidRPr="00101B00">
        <w:rPr>
          <w:lang w:val="fr-CH"/>
        </w:rPr>
        <w:t>organisation</w:t>
      </w:r>
      <w:r w:rsidR="00C77288" w:rsidRPr="00101B00">
        <w:rPr>
          <w:lang w:val="fr-CH"/>
        </w:rPr>
        <w:t>s</w:t>
      </w:r>
      <w:r w:rsidRPr="00101B00">
        <w:rPr>
          <w:lang w:val="fr-CH"/>
        </w:rPr>
        <w:t xml:space="preserve"> internationales et non gouvernementales.</w:t>
      </w:r>
    </w:p>
    <w:p w:rsidR="00554873" w:rsidRPr="00101B00" w:rsidRDefault="00554873" w:rsidP="00D16BB1">
      <w:pPr>
        <w:pStyle w:val="SingleTxt"/>
        <w:numPr>
          <w:ilvl w:val="0"/>
          <w:numId w:val="9"/>
        </w:numPr>
        <w:ind w:left="1267" w:firstLine="0"/>
        <w:rPr>
          <w:lang w:val="fr-CH"/>
        </w:rPr>
      </w:pPr>
      <w:r w:rsidRPr="00101B00">
        <w:rPr>
          <w:lang w:val="fr-CH"/>
        </w:rPr>
        <w:t>L</w:t>
      </w:r>
      <w:r w:rsidR="005F0D9B" w:rsidRPr="00101B00">
        <w:rPr>
          <w:lang w:val="fr-CH"/>
        </w:rPr>
        <w:t>’</w:t>
      </w:r>
      <w:r w:rsidRPr="00101B00">
        <w:rPr>
          <w:lang w:val="fr-CH"/>
        </w:rPr>
        <w:t>année 2015 constituait une étape importante car elle devait marquer la conclusion des dernières négociations visant à instaurer le nouveau cadre du développement durable pour l</w:t>
      </w:r>
      <w:r w:rsidR="005F0D9B" w:rsidRPr="00101B00">
        <w:rPr>
          <w:lang w:val="fr-CH"/>
        </w:rPr>
        <w:t>’</w:t>
      </w:r>
      <w:r w:rsidRPr="00101B00">
        <w:rPr>
          <w:lang w:val="fr-CH"/>
        </w:rPr>
        <w:t>après-2015, sous la forme d</w:t>
      </w:r>
      <w:r w:rsidR="005F0D9B" w:rsidRPr="00101B00">
        <w:rPr>
          <w:lang w:val="fr-CH"/>
        </w:rPr>
        <w:t>’</w:t>
      </w:r>
      <w:r w:rsidRPr="00101B00">
        <w:rPr>
          <w:lang w:val="fr-CH"/>
        </w:rPr>
        <w:t>objectifs de développement durable. Si l</w:t>
      </w:r>
      <w:r w:rsidR="005F0D9B" w:rsidRPr="00101B00">
        <w:rPr>
          <w:lang w:val="fr-CH"/>
        </w:rPr>
        <w:t>’</w:t>
      </w:r>
      <w:r w:rsidRPr="00101B00">
        <w:rPr>
          <w:lang w:val="fr-CH"/>
        </w:rPr>
        <w:t>importance des transports et de la mobilité pour ce qui est de hâter l</w:t>
      </w:r>
      <w:r w:rsidR="005F0D9B" w:rsidRPr="00101B00">
        <w:rPr>
          <w:lang w:val="fr-CH"/>
        </w:rPr>
        <w:t>’</w:t>
      </w:r>
      <w:r w:rsidRPr="00101B00">
        <w:rPr>
          <w:lang w:val="fr-CH"/>
        </w:rPr>
        <w:t>avènement d</w:t>
      </w:r>
      <w:r w:rsidR="005F0D9B" w:rsidRPr="00101B00">
        <w:rPr>
          <w:lang w:val="fr-CH"/>
        </w:rPr>
        <w:t>’</w:t>
      </w:r>
      <w:r w:rsidRPr="00101B00">
        <w:rPr>
          <w:lang w:val="fr-CH"/>
        </w:rPr>
        <w:t>un développement durable est indéniable, il n</w:t>
      </w:r>
      <w:r w:rsidR="005F0D9B" w:rsidRPr="00101B00">
        <w:rPr>
          <w:lang w:val="fr-CH"/>
        </w:rPr>
        <w:t>’</w:t>
      </w:r>
      <w:r w:rsidRPr="00101B00">
        <w:rPr>
          <w:lang w:val="fr-CH"/>
        </w:rPr>
        <w:t>en demeure pas moins que l</w:t>
      </w:r>
      <w:r w:rsidR="005F0D9B" w:rsidRPr="00101B00">
        <w:rPr>
          <w:lang w:val="fr-CH"/>
        </w:rPr>
        <w:t>’</w:t>
      </w:r>
      <w:r w:rsidRPr="00101B00">
        <w:rPr>
          <w:lang w:val="fr-CH"/>
        </w:rPr>
        <w:t>inclusion de priorités en matière de transport dans le cadre des objectifs de développement durable était tributaire des résultats des négociations susmentionnées.</w:t>
      </w:r>
    </w:p>
    <w:p w:rsidR="00554873" w:rsidRPr="00101B00" w:rsidRDefault="00554873" w:rsidP="00D16BB1">
      <w:pPr>
        <w:pStyle w:val="SingleTxt"/>
        <w:numPr>
          <w:ilvl w:val="0"/>
          <w:numId w:val="9"/>
        </w:numPr>
        <w:ind w:left="1267" w:firstLine="0"/>
        <w:rPr>
          <w:lang w:val="fr-CH"/>
        </w:rPr>
      </w:pPr>
      <w:r w:rsidRPr="00101B00">
        <w:rPr>
          <w:lang w:val="fr-CH"/>
        </w:rPr>
        <w:t>Les transports jouent un rôle primordial pour le développement socioéconomique; ils sont le moteur de la croissance durable en ce qu</w:t>
      </w:r>
      <w:r w:rsidR="005F0D9B" w:rsidRPr="00101B00">
        <w:rPr>
          <w:lang w:val="fr-CH"/>
        </w:rPr>
        <w:t>’</w:t>
      </w:r>
      <w:r w:rsidRPr="00101B00">
        <w:rPr>
          <w:lang w:val="fr-CH"/>
        </w:rPr>
        <w:t>ils ouvrent l</w:t>
      </w:r>
      <w:r w:rsidR="005F0D9B" w:rsidRPr="00101B00">
        <w:rPr>
          <w:lang w:val="fr-CH"/>
        </w:rPr>
        <w:t>’</w:t>
      </w:r>
      <w:r w:rsidRPr="00101B00">
        <w:rPr>
          <w:lang w:val="fr-CH"/>
        </w:rPr>
        <w:t>accès aux marchés et aux chaînes d</w:t>
      </w:r>
      <w:r w:rsidR="005F0D9B" w:rsidRPr="00101B00">
        <w:rPr>
          <w:lang w:val="fr-CH"/>
        </w:rPr>
        <w:t>’</w:t>
      </w:r>
      <w:r w:rsidRPr="00101B00">
        <w:rPr>
          <w:lang w:val="fr-CH"/>
        </w:rPr>
        <w:t>approvisionnement. À ce titre, ils sont autant un facteur de viabilité sociale, économique et écologique qu</w:t>
      </w:r>
      <w:r w:rsidR="005F0D9B" w:rsidRPr="00101B00">
        <w:rPr>
          <w:lang w:val="fr-CH"/>
        </w:rPr>
        <w:t>’</w:t>
      </w:r>
      <w:r w:rsidRPr="00101B00">
        <w:rPr>
          <w:lang w:val="fr-CH"/>
        </w:rPr>
        <w:t>une des conditions préalables à celle-ci. Néanmoins, pour que les transports puissent jouer pleinement leur rôle et contribuer à atténuer la pauvreté, les acteurs concernés doivent faire preuve d</w:t>
      </w:r>
      <w:r w:rsidR="005F0D9B" w:rsidRPr="00101B00">
        <w:rPr>
          <w:lang w:val="fr-CH"/>
        </w:rPr>
        <w:t>’</w:t>
      </w:r>
      <w:r w:rsidRPr="00101B00">
        <w:rPr>
          <w:lang w:val="fr-CH"/>
        </w:rPr>
        <w:t xml:space="preserve">une intense volonté politique afin de dissocier la croissance économique de certaines de ses répercussions comme la pollution atmosphérique et les accidents de la circulation. En rendant les déplacements plus sûrs, plus propres et plus efficients, le secteur des transports peut relever ces défis tout en favorisant la transition vers des sociétés et des villes sobres en carbone. En retenant pour le débat de politique générale le thème de cette année (« Repenser les transports urbains et la mobilité </w:t>
      </w:r>
      <w:r w:rsidRPr="00101B00">
        <w:rPr>
          <w:lang w:val="fr-CH"/>
        </w:rPr>
        <w:lastRenderedPageBreak/>
        <w:t>durables pour relever les défis d</w:t>
      </w:r>
      <w:r w:rsidR="005F0D9B" w:rsidRPr="00101B00">
        <w:rPr>
          <w:lang w:val="fr-CH"/>
        </w:rPr>
        <w:t>’</w:t>
      </w:r>
      <w:r w:rsidRPr="00101B00">
        <w:rPr>
          <w:lang w:val="fr-CH"/>
        </w:rPr>
        <w:t>une nouvelle ère »), il s</w:t>
      </w:r>
      <w:r w:rsidR="005F0D9B" w:rsidRPr="00101B00">
        <w:rPr>
          <w:lang w:val="fr-CH"/>
        </w:rPr>
        <w:t>’</w:t>
      </w:r>
      <w:r w:rsidRPr="00101B00">
        <w:rPr>
          <w:lang w:val="fr-CH"/>
        </w:rPr>
        <w:t>agissait donc de rappeler que la place des transports dans le programme de développement durable pour l</w:t>
      </w:r>
      <w:r w:rsidR="005F0D9B" w:rsidRPr="00101B00">
        <w:rPr>
          <w:lang w:val="fr-CH"/>
        </w:rPr>
        <w:t>’</w:t>
      </w:r>
      <w:r w:rsidRPr="00101B00">
        <w:rPr>
          <w:lang w:val="fr-CH"/>
        </w:rPr>
        <w:t>après-2015 est d</w:t>
      </w:r>
      <w:r w:rsidR="005F0D9B" w:rsidRPr="00101B00">
        <w:rPr>
          <w:lang w:val="fr-CH"/>
        </w:rPr>
        <w:t>’</w:t>
      </w:r>
      <w:r w:rsidRPr="00101B00">
        <w:rPr>
          <w:lang w:val="fr-CH"/>
        </w:rPr>
        <w:t>une importance capitale.</w:t>
      </w:r>
    </w:p>
    <w:p w:rsidR="00554873" w:rsidRPr="00101B00" w:rsidRDefault="00554873" w:rsidP="00D16BB1">
      <w:pPr>
        <w:pStyle w:val="SingleTxt"/>
        <w:numPr>
          <w:ilvl w:val="0"/>
          <w:numId w:val="9"/>
        </w:numPr>
        <w:ind w:left="1267" w:firstLine="0"/>
        <w:rPr>
          <w:lang w:val="fr-CH"/>
        </w:rPr>
      </w:pPr>
      <w:r w:rsidRPr="00101B00">
        <w:rPr>
          <w:lang w:val="fr-CH"/>
        </w:rPr>
        <w:t>Les transports et la mobilité durables se trouvent au cœur des travaux du Comité des transports intérieurs, qui est un organisme intergouvernemental unique spécialisé dans les transports intérieurs (transport par route, par chemin de fer, par voie navigable, intermodal, transport des marchandises dangereuses, règlements concernant les véhicules, facilitation du franchissement des frontières) et joue donc un rôle central par rapport aux instruments et accords relatifs aux transports.</w:t>
      </w:r>
    </w:p>
    <w:p w:rsidR="001D0777" w:rsidRPr="00101B00" w:rsidRDefault="001D0777" w:rsidP="001D0777">
      <w:pPr>
        <w:pStyle w:val="SingleTxt"/>
        <w:spacing w:after="0" w:line="120" w:lineRule="exact"/>
        <w:rPr>
          <w:sz w:val="10"/>
          <w:lang w:val="fr-CH"/>
        </w:rPr>
      </w:pPr>
    </w:p>
    <w:p w:rsidR="001D0777" w:rsidRPr="00101B00" w:rsidRDefault="001D0777" w:rsidP="001D0777">
      <w:pPr>
        <w:pStyle w:val="SingleTxt"/>
        <w:spacing w:after="0" w:line="120" w:lineRule="exact"/>
        <w:rPr>
          <w:sz w:val="10"/>
          <w:lang w:val="fr-CH"/>
        </w:rPr>
      </w:pPr>
    </w:p>
    <w:p w:rsidR="00554873" w:rsidRPr="00101B00" w:rsidRDefault="00554873" w:rsidP="001D07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1B00">
        <w:rPr>
          <w:lang w:val="fr-CH"/>
        </w:rPr>
        <w:tab/>
        <w:t>II.</w:t>
      </w:r>
      <w:r w:rsidRPr="00101B00">
        <w:rPr>
          <w:lang w:val="fr-CH"/>
        </w:rPr>
        <w:tab/>
        <w:t>Principales observations</w:t>
      </w:r>
    </w:p>
    <w:p w:rsidR="001D0777" w:rsidRPr="00101B00" w:rsidRDefault="001D0777" w:rsidP="001D0777">
      <w:pPr>
        <w:pStyle w:val="SingleTxt"/>
        <w:spacing w:after="0" w:line="120" w:lineRule="exact"/>
        <w:rPr>
          <w:sz w:val="10"/>
          <w:lang w:val="fr-CH"/>
        </w:rPr>
      </w:pPr>
    </w:p>
    <w:p w:rsidR="001D0777" w:rsidRPr="00101B00" w:rsidRDefault="001D0777" w:rsidP="001D0777">
      <w:pPr>
        <w:pStyle w:val="SingleTxt"/>
        <w:spacing w:after="0" w:line="120" w:lineRule="exact"/>
        <w:rPr>
          <w:sz w:val="10"/>
          <w:lang w:val="fr-CH"/>
        </w:rPr>
      </w:pPr>
    </w:p>
    <w:p w:rsidR="00554873" w:rsidRPr="00101B00" w:rsidRDefault="00554873" w:rsidP="00D16BB1">
      <w:pPr>
        <w:pStyle w:val="SingleTxt"/>
        <w:numPr>
          <w:ilvl w:val="0"/>
          <w:numId w:val="9"/>
        </w:numPr>
        <w:ind w:left="1267" w:firstLine="0"/>
        <w:rPr>
          <w:lang w:val="fr-CH"/>
        </w:rPr>
      </w:pPr>
      <w:r w:rsidRPr="00101B00">
        <w:rPr>
          <w:lang w:val="fr-CH"/>
        </w:rPr>
        <w:t>Les participants au débat de politique générale sont convenus qu</w:t>
      </w:r>
      <w:r w:rsidR="005F0D9B" w:rsidRPr="00101B00">
        <w:rPr>
          <w:lang w:val="fr-CH"/>
        </w:rPr>
        <w:t>’</w:t>
      </w:r>
      <w:r w:rsidRPr="00101B00">
        <w:rPr>
          <w:lang w:val="fr-CH"/>
        </w:rPr>
        <w:t>à l</w:t>
      </w:r>
      <w:r w:rsidR="005F0D9B" w:rsidRPr="00101B00">
        <w:rPr>
          <w:lang w:val="fr-CH"/>
        </w:rPr>
        <w:t>’</w:t>
      </w:r>
      <w:r w:rsidRPr="00101B00">
        <w:rPr>
          <w:lang w:val="fr-CH"/>
        </w:rPr>
        <w:t>échelle mondiale, les villes des pays en développement connaissaient une croissance rapide et que l</w:t>
      </w:r>
      <w:r w:rsidR="005F0D9B" w:rsidRPr="00101B00">
        <w:rPr>
          <w:lang w:val="fr-CH"/>
        </w:rPr>
        <w:t>’</w:t>
      </w:r>
      <w:r w:rsidRPr="00101B00">
        <w:rPr>
          <w:lang w:val="fr-CH"/>
        </w:rPr>
        <w:t>accroissement de la demande qui en découlait au niveau du transport de marchandises et de personnes s</w:t>
      </w:r>
      <w:r w:rsidR="005F0D9B" w:rsidRPr="00101B00">
        <w:rPr>
          <w:lang w:val="fr-CH"/>
        </w:rPr>
        <w:t>’</w:t>
      </w:r>
      <w:r w:rsidRPr="00101B00">
        <w:rPr>
          <w:lang w:val="fr-CH"/>
        </w:rPr>
        <w:t>accompagnait presque toujours d</w:t>
      </w:r>
      <w:r w:rsidR="005F0D9B" w:rsidRPr="00101B00">
        <w:rPr>
          <w:lang w:val="fr-CH"/>
        </w:rPr>
        <w:t>’</w:t>
      </w:r>
      <w:r w:rsidRPr="00101B00">
        <w:rPr>
          <w:lang w:val="fr-CH"/>
        </w:rPr>
        <w:t>une augmentation du nombre des véhicules en circulation. Ce large constat, qui comporte quelques variantes, concerne les économies développées et en développement. En l</w:t>
      </w:r>
      <w:r w:rsidR="005F0D9B" w:rsidRPr="00101B00">
        <w:rPr>
          <w:lang w:val="fr-CH"/>
        </w:rPr>
        <w:t>’</w:t>
      </w:r>
      <w:r w:rsidRPr="00101B00">
        <w:rPr>
          <w:lang w:val="fr-CH"/>
        </w:rPr>
        <w:t>absence de politiques de transport innovantes, l</w:t>
      </w:r>
      <w:r w:rsidR="005F0D9B" w:rsidRPr="00101B00">
        <w:rPr>
          <w:lang w:val="fr-CH"/>
        </w:rPr>
        <w:t>’</w:t>
      </w:r>
      <w:r w:rsidRPr="00101B00">
        <w:rPr>
          <w:lang w:val="fr-CH"/>
        </w:rPr>
        <w:t>utilisation de la voiture individuelle va continuer d</w:t>
      </w:r>
      <w:r w:rsidR="005F0D9B" w:rsidRPr="00101B00">
        <w:rPr>
          <w:lang w:val="fr-CH"/>
        </w:rPr>
        <w:t>’</w:t>
      </w:r>
      <w:r w:rsidRPr="00101B00">
        <w:rPr>
          <w:lang w:val="fr-CH"/>
        </w:rPr>
        <w:t>augmenter, entraînant davantage de problèmes d</w:t>
      </w:r>
      <w:r w:rsidR="005F0D9B" w:rsidRPr="00101B00">
        <w:rPr>
          <w:lang w:val="fr-CH"/>
        </w:rPr>
        <w:t>’</w:t>
      </w:r>
      <w:r w:rsidRPr="00101B00">
        <w:rPr>
          <w:lang w:val="fr-CH"/>
        </w:rPr>
        <w:t>encombrement, de pollution et de sécurité et d</w:t>
      </w:r>
      <w:r w:rsidR="005F0D9B" w:rsidRPr="00101B00">
        <w:rPr>
          <w:lang w:val="fr-CH"/>
        </w:rPr>
        <w:t>’</w:t>
      </w:r>
      <w:r w:rsidRPr="00101B00">
        <w:rPr>
          <w:lang w:val="fr-CH"/>
        </w:rPr>
        <w:t>incidences sur le climat. Pour répondre à ces problèmes, de nombreux pays mettent en place des instruments économiques ayant pour but d</w:t>
      </w:r>
      <w:r w:rsidR="005F0D9B" w:rsidRPr="00101B00">
        <w:rPr>
          <w:lang w:val="fr-CH"/>
        </w:rPr>
        <w:t>’</w:t>
      </w:r>
      <w:r w:rsidRPr="00101B00">
        <w:rPr>
          <w:lang w:val="fr-CH"/>
        </w:rPr>
        <w:t>inciter à ne pas utiliser de véhicules privés, par exemple les péages urbains, ou de stimuler la demande de produits intégrant les nouvelles technologies au moyen de mesures incitatives telles que l</w:t>
      </w:r>
      <w:r w:rsidR="005F0D9B" w:rsidRPr="00101B00">
        <w:rPr>
          <w:lang w:val="fr-CH"/>
        </w:rPr>
        <w:t>’</w:t>
      </w:r>
      <w:r w:rsidRPr="00101B00">
        <w:rPr>
          <w:lang w:val="fr-CH"/>
        </w:rPr>
        <w:t>exonération de taxes ou l</w:t>
      </w:r>
      <w:r w:rsidR="005F0D9B" w:rsidRPr="00101B00">
        <w:rPr>
          <w:lang w:val="fr-CH"/>
        </w:rPr>
        <w:t>’</w:t>
      </w:r>
      <w:r w:rsidRPr="00101B00">
        <w:rPr>
          <w:lang w:val="fr-CH"/>
        </w:rPr>
        <w:t>octroi de subventions à l</w:t>
      </w:r>
      <w:r w:rsidR="005F0D9B" w:rsidRPr="00101B00">
        <w:rPr>
          <w:lang w:val="fr-CH"/>
        </w:rPr>
        <w:t>’</w:t>
      </w:r>
      <w:r w:rsidRPr="00101B00">
        <w:rPr>
          <w:lang w:val="fr-CH"/>
        </w:rPr>
        <w:t>achat de véhicules dont le taux d</w:t>
      </w:r>
      <w:r w:rsidR="005F0D9B" w:rsidRPr="00101B00">
        <w:rPr>
          <w:lang w:val="fr-CH"/>
        </w:rPr>
        <w:t>’</w:t>
      </w:r>
      <w:r w:rsidRPr="00101B00">
        <w:rPr>
          <w:lang w:val="fr-CH"/>
        </w:rPr>
        <w:t>émissions est faible ou nul</w:t>
      </w:r>
    </w:p>
    <w:p w:rsidR="00554873" w:rsidRPr="00101B00" w:rsidRDefault="00554873" w:rsidP="00D16BB1">
      <w:pPr>
        <w:pStyle w:val="SingleTxt"/>
        <w:numPr>
          <w:ilvl w:val="0"/>
          <w:numId w:val="9"/>
        </w:numPr>
        <w:ind w:left="1267" w:firstLine="0"/>
        <w:rPr>
          <w:lang w:val="fr-CH"/>
        </w:rPr>
      </w:pPr>
      <w:r w:rsidRPr="00101B00">
        <w:rPr>
          <w:lang w:val="fr-CH"/>
        </w:rPr>
        <w:t>On trouvera ci-après certaines des conclusions générales formulées à l</w:t>
      </w:r>
      <w:r w:rsidR="005F0D9B" w:rsidRPr="00101B00">
        <w:rPr>
          <w:lang w:val="fr-CH"/>
        </w:rPr>
        <w:t>’</w:t>
      </w:r>
      <w:r w:rsidRPr="00101B00">
        <w:rPr>
          <w:lang w:val="fr-CH"/>
        </w:rPr>
        <w:t>issue des débats. La situation est particulièrement alarmante dans la plupart des cas où l</w:t>
      </w:r>
      <w:r w:rsidR="005F0D9B" w:rsidRPr="00101B00">
        <w:rPr>
          <w:lang w:val="fr-CH"/>
        </w:rPr>
        <w:t>’</w:t>
      </w:r>
      <w:r w:rsidRPr="00101B00">
        <w:rPr>
          <w:lang w:val="fr-CH"/>
        </w:rPr>
        <w:t>augmentation rapide du parc automobile est souvent associé à une croissance rapide des villes, ce qui entraîne de graves problèmes de pollution, lesquels ont une forte incidence sanitaire et écologique, comme à Almaty, où les transports motorisés sont responsables de plus de 80 % de la pollution.</w:t>
      </w:r>
    </w:p>
    <w:p w:rsidR="00554873" w:rsidRPr="00101B00" w:rsidRDefault="00554873" w:rsidP="00D16BB1">
      <w:pPr>
        <w:pStyle w:val="SingleTxt"/>
        <w:numPr>
          <w:ilvl w:val="0"/>
          <w:numId w:val="9"/>
        </w:numPr>
        <w:ind w:left="1267" w:firstLine="0"/>
        <w:rPr>
          <w:lang w:val="fr-CH"/>
        </w:rPr>
      </w:pPr>
      <w:r w:rsidRPr="00101B00">
        <w:rPr>
          <w:lang w:val="fr-CH"/>
        </w:rPr>
        <w:t>On peut notamment remédier à ce type de problèmes en diversifiant les sources d</w:t>
      </w:r>
      <w:r w:rsidR="005F0D9B" w:rsidRPr="00101B00">
        <w:rPr>
          <w:lang w:val="fr-CH"/>
        </w:rPr>
        <w:t>’</w:t>
      </w:r>
      <w:r w:rsidRPr="00101B00">
        <w:rPr>
          <w:lang w:val="fr-CH"/>
        </w:rPr>
        <w:t>énergie des transports et en stimulant le marché des véhicules électriques au moyen de politiques d</w:t>
      </w:r>
      <w:r w:rsidR="005F0D9B" w:rsidRPr="00101B00">
        <w:rPr>
          <w:lang w:val="fr-CH"/>
        </w:rPr>
        <w:t>’</w:t>
      </w:r>
      <w:r w:rsidRPr="00101B00">
        <w:rPr>
          <w:lang w:val="fr-CH"/>
        </w:rPr>
        <w:t>infrastructure et d</w:t>
      </w:r>
      <w:r w:rsidR="005F0D9B" w:rsidRPr="00101B00">
        <w:rPr>
          <w:lang w:val="fr-CH"/>
        </w:rPr>
        <w:t>’</w:t>
      </w:r>
      <w:r w:rsidRPr="00101B00">
        <w:rPr>
          <w:lang w:val="fr-CH"/>
        </w:rPr>
        <w:t>incitation. À Rotterdam, l</w:t>
      </w:r>
      <w:r w:rsidR="005F0D9B" w:rsidRPr="00101B00">
        <w:rPr>
          <w:lang w:val="fr-CH"/>
        </w:rPr>
        <w:t>’</w:t>
      </w:r>
      <w:r w:rsidRPr="00101B00">
        <w:rPr>
          <w:lang w:val="fr-CH"/>
        </w:rPr>
        <w:t>une des villes à la pointe du transport électrique, l</w:t>
      </w:r>
      <w:r w:rsidR="005F0D9B" w:rsidRPr="00101B00">
        <w:rPr>
          <w:lang w:val="fr-CH"/>
        </w:rPr>
        <w:t>’</w:t>
      </w:r>
      <w:r w:rsidRPr="00101B00">
        <w:rPr>
          <w:lang w:val="fr-CH"/>
        </w:rPr>
        <w:t>administration hollandaise favorise la circulation par véhicules électriques au moyen d</w:t>
      </w:r>
      <w:r w:rsidR="005F0D9B" w:rsidRPr="00101B00">
        <w:rPr>
          <w:lang w:val="fr-CH"/>
        </w:rPr>
        <w:t>’</w:t>
      </w:r>
      <w:r w:rsidRPr="00101B00">
        <w:rPr>
          <w:lang w:val="fr-CH"/>
        </w:rPr>
        <w:t>incitations fiscales à l</w:t>
      </w:r>
      <w:r w:rsidR="005F0D9B" w:rsidRPr="00101B00">
        <w:rPr>
          <w:lang w:val="fr-CH"/>
        </w:rPr>
        <w:t>’</w:t>
      </w:r>
      <w:r w:rsidRPr="00101B00">
        <w:rPr>
          <w:lang w:val="fr-CH"/>
        </w:rPr>
        <w:t>acquisition de véhicules électriques ou hybrides; elle a également installé des bornes de chargement publiques dans l</w:t>
      </w:r>
      <w:r w:rsidR="005F0D9B" w:rsidRPr="00101B00">
        <w:rPr>
          <w:lang w:val="fr-CH"/>
        </w:rPr>
        <w:t>’</w:t>
      </w:r>
      <w:r w:rsidRPr="00101B00">
        <w:rPr>
          <w:lang w:val="fr-CH"/>
        </w:rPr>
        <w:t>ensemble des rues et parkings de la ville, dans le cadre d</w:t>
      </w:r>
      <w:r w:rsidR="005F0D9B" w:rsidRPr="00101B00">
        <w:rPr>
          <w:lang w:val="fr-CH"/>
        </w:rPr>
        <w:t>’</w:t>
      </w:r>
      <w:r w:rsidRPr="00101B00">
        <w:rPr>
          <w:lang w:val="fr-CH"/>
        </w:rPr>
        <w:t>un réseau national de bornes de chargement.</w:t>
      </w:r>
    </w:p>
    <w:p w:rsidR="00554873" w:rsidRPr="00101B00" w:rsidRDefault="00554873" w:rsidP="00D16BB1">
      <w:pPr>
        <w:pStyle w:val="SingleTxt"/>
        <w:numPr>
          <w:ilvl w:val="0"/>
          <w:numId w:val="9"/>
        </w:numPr>
        <w:ind w:left="1267" w:firstLine="0"/>
        <w:rPr>
          <w:lang w:val="fr-CH"/>
        </w:rPr>
      </w:pPr>
      <w:r w:rsidRPr="00101B00">
        <w:rPr>
          <w:lang w:val="fr-CH"/>
        </w:rPr>
        <w:t>D</w:t>
      </w:r>
      <w:r w:rsidR="005F0D9B" w:rsidRPr="00101B00">
        <w:rPr>
          <w:lang w:val="fr-CH"/>
        </w:rPr>
        <w:t>’</w:t>
      </w:r>
      <w:r w:rsidRPr="00101B00">
        <w:rPr>
          <w:lang w:val="fr-CH"/>
        </w:rPr>
        <w:t>un autre côté, l</w:t>
      </w:r>
      <w:r w:rsidR="005F0D9B" w:rsidRPr="00101B00">
        <w:rPr>
          <w:lang w:val="fr-CH"/>
        </w:rPr>
        <w:t>’</w:t>
      </w:r>
      <w:r w:rsidRPr="00101B00">
        <w:rPr>
          <w:lang w:val="fr-CH"/>
        </w:rPr>
        <w:t>adoption des voitures électriques, si elle permettrait effectivement de réduire les émissions de carbone, ne résoudrait pas le problème de l</w:t>
      </w:r>
      <w:r w:rsidR="005F0D9B" w:rsidRPr="00101B00">
        <w:rPr>
          <w:lang w:val="fr-CH"/>
        </w:rPr>
        <w:t>’</w:t>
      </w:r>
      <w:r w:rsidRPr="00101B00">
        <w:rPr>
          <w:lang w:val="fr-CH"/>
        </w:rPr>
        <w:t>espace limité réservé au stationnement des véhicules particuliers. Pour y remédier, des solutions de rechange permettant d</w:t>
      </w:r>
      <w:r w:rsidR="005F0D9B" w:rsidRPr="00101B00">
        <w:rPr>
          <w:lang w:val="fr-CH"/>
        </w:rPr>
        <w:t>’</w:t>
      </w:r>
      <w:r w:rsidRPr="00101B00">
        <w:rPr>
          <w:lang w:val="fr-CH"/>
        </w:rPr>
        <w:t>assurer le déplacement des personnes et des marchandises dans les zones urbaines sont constamment mises au point. Certaines solutions existantes sont en pleine évolution C</w:t>
      </w:r>
      <w:r w:rsidR="005F0D9B" w:rsidRPr="00101B00">
        <w:rPr>
          <w:lang w:val="fr-CH"/>
        </w:rPr>
        <w:t>’</w:t>
      </w:r>
      <w:r w:rsidRPr="00101B00">
        <w:rPr>
          <w:lang w:val="fr-CH"/>
        </w:rPr>
        <w:t>est notamment le cas du partage de véhicules (voitur</w:t>
      </w:r>
      <w:r w:rsidR="00C77288" w:rsidRPr="00101B00">
        <w:rPr>
          <w:lang w:val="fr-CH"/>
        </w:rPr>
        <w:t>es, scooters et vélos) et du co</w:t>
      </w:r>
      <w:r w:rsidRPr="00101B00">
        <w:rPr>
          <w:lang w:val="fr-CH"/>
        </w:rPr>
        <w:t>voiturage, dont l</w:t>
      </w:r>
      <w:r w:rsidR="005F0D9B" w:rsidRPr="00101B00">
        <w:rPr>
          <w:lang w:val="fr-CH"/>
        </w:rPr>
        <w:t>’</w:t>
      </w:r>
      <w:r w:rsidRPr="00101B00">
        <w:rPr>
          <w:lang w:val="fr-CH"/>
        </w:rPr>
        <w:t>aspect pratique augmente rapidement grâce aux nouvelles technologies informatiques et aux réseaux sociaux.</w:t>
      </w:r>
    </w:p>
    <w:p w:rsidR="00554873" w:rsidRPr="00101B00" w:rsidRDefault="00554873" w:rsidP="00C77288">
      <w:pPr>
        <w:pStyle w:val="SingleTxt"/>
        <w:keepLines/>
        <w:numPr>
          <w:ilvl w:val="0"/>
          <w:numId w:val="9"/>
        </w:numPr>
        <w:ind w:left="1267" w:firstLine="0"/>
        <w:rPr>
          <w:lang w:val="fr-CH"/>
        </w:rPr>
      </w:pPr>
      <w:r w:rsidRPr="00101B00">
        <w:rPr>
          <w:lang w:val="fr-CH"/>
        </w:rPr>
        <w:lastRenderedPageBreak/>
        <w:t>Le problème de la pénurie de places disponibles peut également être réglé grâce au développement des transports publics. Dans la zone du grand Genève, où l</w:t>
      </w:r>
      <w:r w:rsidR="005F0D9B" w:rsidRPr="00101B00">
        <w:rPr>
          <w:lang w:val="fr-CH"/>
        </w:rPr>
        <w:t>’</w:t>
      </w:r>
      <w:r w:rsidRPr="00101B00">
        <w:rPr>
          <w:lang w:val="fr-CH"/>
        </w:rPr>
        <w:t>espace fait grandement défaut et où les déplacements transfrontaliers sont essentiels pour la vie économique, un principe de multimodalité, voire même de « multimodalité dynamique », est à l</w:t>
      </w:r>
      <w:r w:rsidR="005F0D9B" w:rsidRPr="00101B00">
        <w:rPr>
          <w:lang w:val="fr-CH"/>
        </w:rPr>
        <w:t>’</w:t>
      </w:r>
      <w:r w:rsidRPr="00101B00">
        <w:rPr>
          <w:lang w:val="fr-CH"/>
        </w:rPr>
        <w:t>œuvre; ainsi, le mode de déplacement peut changer chaque jour en fonction de la destination des voyageurs et de ce qu</w:t>
      </w:r>
      <w:r w:rsidR="005F0D9B" w:rsidRPr="00101B00">
        <w:rPr>
          <w:lang w:val="fr-CH"/>
        </w:rPr>
        <w:t>’</w:t>
      </w:r>
      <w:r w:rsidRPr="00101B00">
        <w:rPr>
          <w:lang w:val="fr-CH"/>
        </w:rPr>
        <w:t>ils transportent. Il en résulte des systèmes de transport urbain plus intelligents qui permettent de passer aisément d</w:t>
      </w:r>
      <w:r w:rsidR="005F0D9B" w:rsidRPr="00101B00">
        <w:rPr>
          <w:lang w:val="fr-CH"/>
        </w:rPr>
        <w:t>’</w:t>
      </w:r>
      <w:r w:rsidRPr="00101B00">
        <w:rPr>
          <w:lang w:val="fr-CH"/>
        </w:rPr>
        <w:t>un mode à un autre pour atteindre sa destination. Une autre bonne pratique a été mise en avant à Budapest, où l</w:t>
      </w:r>
      <w:r w:rsidR="005F0D9B" w:rsidRPr="00101B00">
        <w:rPr>
          <w:lang w:val="fr-CH"/>
        </w:rPr>
        <w:t>’</w:t>
      </w:r>
      <w:r w:rsidRPr="00101B00">
        <w:rPr>
          <w:lang w:val="fr-CH"/>
        </w:rPr>
        <w:t>Association pour le transit urbain et périphérique de la ville coordonne et assure la gestion de tous les modes de transport urbain et périphérique comme s</w:t>
      </w:r>
      <w:r w:rsidR="005F0D9B" w:rsidRPr="00101B00">
        <w:rPr>
          <w:lang w:val="fr-CH"/>
        </w:rPr>
        <w:t>’</w:t>
      </w:r>
      <w:r w:rsidRPr="00101B00">
        <w:rPr>
          <w:lang w:val="fr-CH"/>
        </w:rPr>
        <w:t>il s</w:t>
      </w:r>
      <w:r w:rsidR="005F0D9B" w:rsidRPr="00101B00">
        <w:rPr>
          <w:lang w:val="fr-CH"/>
        </w:rPr>
        <w:t>’</w:t>
      </w:r>
      <w:r w:rsidRPr="00101B00">
        <w:rPr>
          <w:lang w:val="fr-CH"/>
        </w:rPr>
        <w:t>agissait d</w:t>
      </w:r>
      <w:r w:rsidR="005F0D9B" w:rsidRPr="00101B00">
        <w:rPr>
          <w:lang w:val="fr-CH"/>
        </w:rPr>
        <w:t>’</w:t>
      </w:r>
      <w:r w:rsidRPr="00101B00">
        <w:rPr>
          <w:lang w:val="fr-CH"/>
        </w:rPr>
        <w:t>un unique ensemble, dans des domaines tels que la rénovation des véhicules ou la mise au point d</w:t>
      </w:r>
      <w:r w:rsidR="005F0D9B" w:rsidRPr="00101B00">
        <w:rPr>
          <w:lang w:val="fr-CH"/>
        </w:rPr>
        <w:t>’</w:t>
      </w:r>
      <w:r w:rsidRPr="00101B00">
        <w:rPr>
          <w:lang w:val="fr-CH"/>
        </w:rPr>
        <w:t>un système unique de paiement électronique, pour la totalité des transports publics.</w:t>
      </w:r>
    </w:p>
    <w:p w:rsidR="00554873" w:rsidRPr="00101B00" w:rsidRDefault="00554873" w:rsidP="00C77288">
      <w:pPr>
        <w:pStyle w:val="SingleTxt"/>
        <w:numPr>
          <w:ilvl w:val="0"/>
          <w:numId w:val="9"/>
        </w:numPr>
        <w:ind w:left="1267" w:firstLine="0"/>
        <w:rPr>
          <w:lang w:val="fr-CH"/>
        </w:rPr>
      </w:pPr>
      <w:r w:rsidRPr="00101B00">
        <w:rPr>
          <w:lang w:val="fr-CH"/>
        </w:rPr>
        <w:t>De même, le cas de la ville d</w:t>
      </w:r>
      <w:r w:rsidR="005F0D9B" w:rsidRPr="00101B00">
        <w:rPr>
          <w:lang w:val="fr-CH"/>
        </w:rPr>
        <w:t>’</w:t>
      </w:r>
      <w:r w:rsidRPr="00101B00">
        <w:rPr>
          <w:lang w:val="fr-CH"/>
        </w:rPr>
        <w:t>Athènes a révélé qu</w:t>
      </w:r>
      <w:r w:rsidR="005F0D9B" w:rsidRPr="00101B00">
        <w:rPr>
          <w:lang w:val="fr-CH"/>
        </w:rPr>
        <w:t>’</w:t>
      </w:r>
      <w:r w:rsidRPr="00101B00">
        <w:rPr>
          <w:lang w:val="fr-CH"/>
        </w:rPr>
        <w:t>il importait, pour inverser la tendance, d</w:t>
      </w:r>
      <w:r w:rsidR="005F0D9B" w:rsidRPr="00101B00">
        <w:rPr>
          <w:lang w:val="fr-CH"/>
        </w:rPr>
        <w:t>’</w:t>
      </w:r>
      <w:r w:rsidRPr="00101B00">
        <w:rPr>
          <w:lang w:val="fr-CH"/>
        </w:rPr>
        <w:t>adopter des politiques structurées par la demande. L</w:t>
      </w:r>
      <w:r w:rsidR="005F0D9B" w:rsidRPr="00101B00">
        <w:rPr>
          <w:lang w:val="fr-CH"/>
        </w:rPr>
        <w:t>’</w:t>
      </w:r>
      <w:r w:rsidRPr="00101B00">
        <w:rPr>
          <w:lang w:val="fr-CH"/>
        </w:rPr>
        <w:t>administration de la ville a repensé le tracé du réseau d</w:t>
      </w:r>
      <w:r w:rsidR="005F0D9B" w:rsidRPr="00101B00">
        <w:rPr>
          <w:lang w:val="fr-CH"/>
        </w:rPr>
        <w:t>’</w:t>
      </w:r>
      <w:r w:rsidRPr="00101B00">
        <w:rPr>
          <w:lang w:val="fr-CH"/>
        </w:rPr>
        <w:t>autobus afin de promouvoir l</w:t>
      </w:r>
      <w:r w:rsidR="005F0D9B" w:rsidRPr="00101B00">
        <w:rPr>
          <w:lang w:val="fr-CH"/>
        </w:rPr>
        <w:t>’</w:t>
      </w:r>
      <w:r w:rsidRPr="00101B00">
        <w:rPr>
          <w:lang w:val="fr-CH"/>
        </w:rPr>
        <w:t>intermodalité, mis en œuvre une nouvelle politique incitative à l</w:t>
      </w:r>
      <w:r w:rsidR="005F0D9B" w:rsidRPr="00101B00">
        <w:rPr>
          <w:lang w:val="fr-CH"/>
        </w:rPr>
        <w:t>’</w:t>
      </w:r>
      <w:r w:rsidRPr="00101B00">
        <w:rPr>
          <w:lang w:val="fr-CH"/>
        </w:rPr>
        <w:t>égard des voyageurs en ce qui concerne les produits, et rebaptisé l</w:t>
      </w:r>
      <w:r w:rsidR="005F0D9B" w:rsidRPr="00101B00">
        <w:rPr>
          <w:lang w:val="fr-CH"/>
        </w:rPr>
        <w:t>’</w:t>
      </w:r>
      <w:r w:rsidRPr="00101B00">
        <w:rPr>
          <w:lang w:val="fr-CH"/>
        </w:rPr>
        <w:t xml:space="preserve">autorité chargée des transports « Transports pour Athènes </w:t>
      </w:r>
      <w:r w:rsidR="00C77288" w:rsidRPr="00101B00">
        <w:rPr>
          <w:lang w:val="fr-CH"/>
        </w:rPr>
        <w:t>–</w:t>
      </w:r>
      <w:r w:rsidRPr="00101B00">
        <w:rPr>
          <w:lang w:val="fr-CH"/>
        </w:rPr>
        <w:t xml:space="preserve"> Une ville, un réseau ». D</w:t>
      </w:r>
      <w:r w:rsidR="005F0D9B" w:rsidRPr="00101B00">
        <w:rPr>
          <w:lang w:val="fr-CH"/>
        </w:rPr>
        <w:t>’</w:t>
      </w:r>
      <w:r w:rsidRPr="00101B00">
        <w:rPr>
          <w:lang w:val="fr-CH"/>
        </w:rPr>
        <w:t>autres mesures, telles que le recours aux technologies intelligentes et aux innovations, ont également contribué à améliorer l</w:t>
      </w:r>
      <w:r w:rsidR="005F0D9B" w:rsidRPr="00101B00">
        <w:rPr>
          <w:lang w:val="fr-CH"/>
        </w:rPr>
        <w:t>’</w:t>
      </w:r>
      <w:r w:rsidRPr="00101B00">
        <w:rPr>
          <w:lang w:val="fr-CH"/>
        </w:rPr>
        <w:t>image des transports de la ville et les résultats financiers de l</w:t>
      </w:r>
      <w:r w:rsidR="005F0D9B" w:rsidRPr="00101B00">
        <w:rPr>
          <w:lang w:val="fr-CH"/>
        </w:rPr>
        <w:t>’</w:t>
      </w:r>
      <w:r w:rsidRPr="00101B00">
        <w:rPr>
          <w:lang w:val="fr-CH"/>
        </w:rPr>
        <w:t>autorité compétente.</w:t>
      </w:r>
    </w:p>
    <w:p w:rsidR="00554873" w:rsidRPr="00101B00" w:rsidRDefault="00554873" w:rsidP="00D16BB1">
      <w:pPr>
        <w:pStyle w:val="SingleTxt"/>
        <w:numPr>
          <w:ilvl w:val="0"/>
          <w:numId w:val="9"/>
        </w:numPr>
        <w:ind w:left="1267" w:firstLine="0"/>
        <w:rPr>
          <w:lang w:val="fr-CH"/>
        </w:rPr>
      </w:pPr>
      <w:r w:rsidRPr="00101B00">
        <w:rPr>
          <w:lang w:val="fr-CH"/>
        </w:rPr>
        <w:t>L</w:t>
      </w:r>
      <w:r w:rsidR="005F0D9B" w:rsidRPr="00101B00">
        <w:rPr>
          <w:lang w:val="fr-CH"/>
        </w:rPr>
        <w:t>’</w:t>
      </w:r>
      <w:r w:rsidRPr="00101B00">
        <w:rPr>
          <w:lang w:val="fr-CH"/>
        </w:rPr>
        <w:t>innovation ne s</w:t>
      </w:r>
      <w:r w:rsidR="005F0D9B" w:rsidRPr="00101B00">
        <w:rPr>
          <w:lang w:val="fr-CH"/>
        </w:rPr>
        <w:t>’</w:t>
      </w:r>
      <w:r w:rsidRPr="00101B00">
        <w:rPr>
          <w:lang w:val="fr-CH"/>
        </w:rPr>
        <w:t>arrête pas au secteur privé; il appartient aussi aux gouvernements de prendre les mesures qui s</w:t>
      </w:r>
      <w:r w:rsidR="005F0D9B" w:rsidRPr="00101B00">
        <w:rPr>
          <w:lang w:val="fr-CH"/>
        </w:rPr>
        <w:t>’</w:t>
      </w:r>
      <w:r w:rsidRPr="00101B00">
        <w:rPr>
          <w:lang w:val="fr-CH"/>
        </w:rPr>
        <w:t>imposent afin d</w:t>
      </w:r>
      <w:r w:rsidR="005F0D9B" w:rsidRPr="00101B00">
        <w:rPr>
          <w:lang w:val="fr-CH"/>
        </w:rPr>
        <w:t>’</w:t>
      </w:r>
      <w:r w:rsidRPr="00101B00">
        <w:rPr>
          <w:lang w:val="fr-CH"/>
        </w:rPr>
        <w:t>encourager, d</w:t>
      </w:r>
      <w:r w:rsidR="005F0D9B" w:rsidRPr="00101B00">
        <w:rPr>
          <w:lang w:val="fr-CH"/>
        </w:rPr>
        <w:t>’</w:t>
      </w:r>
      <w:r w:rsidRPr="00101B00">
        <w:rPr>
          <w:lang w:val="fr-CH"/>
        </w:rPr>
        <w:t>accélérer et de favoriser les changements bénéfiques, tout en luttant contre les tendances indésirables. Il peut, notamment, s</w:t>
      </w:r>
      <w:r w:rsidR="005F0D9B" w:rsidRPr="00101B00">
        <w:rPr>
          <w:lang w:val="fr-CH"/>
        </w:rPr>
        <w:t>’</w:t>
      </w:r>
      <w:r w:rsidRPr="00101B00">
        <w:rPr>
          <w:lang w:val="fr-CH"/>
        </w:rPr>
        <w:t>agir de la formulation et de la mise en œuvre de politiques ou encore de l</w:t>
      </w:r>
      <w:r w:rsidR="005F0D9B" w:rsidRPr="00101B00">
        <w:rPr>
          <w:lang w:val="fr-CH"/>
        </w:rPr>
        <w:t>’</w:t>
      </w:r>
      <w:r w:rsidRPr="00101B00">
        <w:rPr>
          <w:lang w:val="fr-CH"/>
        </w:rPr>
        <w:t>adaptation ou de la réforme des institutions. Il est indéniable que des réformes et restructurations s</w:t>
      </w:r>
      <w:r w:rsidR="005F0D9B" w:rsidRPr="00101B00">
        <w:rPr>
          <w:lang w:val="fr-CH"/>
        </w:rPr>
        <w:t>’</w:t>
      </w:r>
      <w:r w:rsidRPr="00101B00">
        <w:rPr>
          <w:lang w:val="fr-CH"/>
        </w:rPr>
        <w:t>imposent, notamment dans le domaine de la gestion des routes et des chemins de fer, et plus généralement dans tous les secteurs des transports. Il s</w:t>
      </w:r>
      <w:r w:rsidR="005F0D9B" w:rsidRPr="00101B00">
        <w:rPr>
          <w:lang w:val="fr-CH"/>
        </w:rPr>
        <w:t>’</w:t>
      </w:r>
      <w:r w:rsidRPr="00101B00">
        <w:rPr>
          <w:lang w:val="fr-CH"/>
        </w:rPr>
        <w:t>agit toutefois d</w:t>
      </w:r>
      <w:r w:rsidR="005F0D9B" w:rsidRPr="00101B00">
        <w:rPr>
          <w:lang w:val="fr-CH"/>
        </w:rPr>
        <w:t>’</w:t>
      </w:r>
      <w:r w:rsidRPr="00101B00">
        <w:rPr>
          <w:lang w:val="fr-CH"/>
        </w:rPr>
        <w:t>entreprises risquées dont l</w:t>
      </w:r>
      <w:r w:rsidR="005F0D9B" w:rsidRPr="00101B00">
        <w:rPr>
          <w:lang w:val="fr-CH"/>
        </w:rPr>
        <w:t>’</w:t>
      </w:r>
      <w:r w:rsidRPr="00101B00">
        <w:rPr>
          <w:lang w:val="fr-CH"/>
        </w:rPr>
        <w:t>incidence sur les performances du secteur à l</w:t>
      </w:r>
      <w:r w:rsidR="005F0D9B" w:rsidRPr="00101B00">
        <w:rPr>
          <w:lang w:val="fr-CH"/>
        </w:rPr>
        <w:t>’</w:t>
      </w:r>
      <w:r w:rsidRPr="00101B00">
        <w:rPr>
          <w:lang w:val="fr-CH"/>
        </w:rPr>
        <w:t>échelon national et, en fin de compte, sur l</w:t>
      </w:r>
      <w:r w:rsidR="005F0D9B" w:rsidRPr="00101B00">
        <w:rPr>
          <w:lang w:val="fr-CH"/>
        </w:rPr>
        <w:t>’</w:t>
      </w:r>
      <w:r w:rsidRPr="00101B00">
        <w:rPr>
          <w:lang w:val="fr-CH"/>
        </w:rPr>
        <w:t>économie et la société dans leur ensemble, est élevée. Il convient donc de concevoir les innovations de manière éclairée et systématique. Pour trouver des solutions efficaces, l</w:t>
      </w:r>
      <w:r w:rsidR="005F0D9B" w:rsidRPr="00101B00">
        <w:rPr>
          <w:lang w:val="fr-CH"/>
        </w:rPr>
        <w:t>’</w:t>
      </w:r>
      <w:r w:rsidRPr="00101B00">
        <w:rPr>
          <w:lang w:val="fr-CH"/>
        </w:rPr>
        <w:t>importance de la dimension institutionnelle a été mise en évidence à Moscou, où un organisme spécial, la Direction du réseau des transports moscovites, a été créé afin de coordonner et de mettre en œuvre à l</w:t>
      </w:r>
      <w:r w:rsidR="005F0D9B" w:rsidRPr="00101B00">
        <w:rPr>
          <w:lang w:val="fr-CH"/>
        </w:rPr>
        <w:t>’</w:t>
      </w:r>
      <w:r w:rsidRPr="00101B00">
        <w:rPr>
          <w:lang w:val="fr-CH"/>
        </w:rPr>
        <w:t>échelle fédérale, régionale et locale les politiques et les mesures relatives aux transports. La traversée de territoires régis par des juridictions différentes constitue une difficulté de premier plan, qui vient rappeler que les limites entre ce qui relève du local, du national et de l</w:t>
      </w:r>
      <w:r w:rsidR="005F0D9B" w:rsidRPr="00101B00">
        <w:rPr>
          <w:lang w:val="fr-CH"/>
        </w:rPr>
        <w:t>’</w:t>
      </w:r>
      <w:r w:rsidRPr="00101B00">
        <w:rPr>
          <w:lang w:val="fr-CH"/>
        </w:rPr>
        <w:t>international sont très relatives et que la distinction entre point d</w:t>
      </w:r>
      <w:r w:rsidR="005F0D9B" w:rsidRPr="00101B00">
        <w:rPr>
          <w:lang w:val="fr-CH"/>
        </w:rPr>
        <w:t>’</w:t>
      </w:r>
      <w:r w:rsidRPr="00101B00">
        <w:rPr>
          <w:lang w:val="fr-CH"/>
        </w:rPr>
        <w:t>origine et point d</w:t>
      </w:r>
      <w:r w:rsidR="005F0D9B" w:rsidRPr="00101B00">
        <w:rPr>
          <w:lang w:val="fr-CH"/>
        </w:rPr>
        <w:t>’</w:t>
      </w:r>
      <w:r w:rsidRPr="00101B00">
        <w:rPr>
          <w:lang w:val="fr-CH"/>
        </w:rPr>
        <w:t>arrivée est bien souvent artificielle.</w:t>
      </w:r>
    </w:p>
    <w:p w:rsidR="00554873" w:rsidRPr="00101B00" w:rsidRDefault="00554873" w:rsidP="00D16BB1">
      <w:pPr>
        <w:pStyle w:val="SingleTxt"/>
        <w:numPr>
          <w:ilvl w:val="0"/>
          <w:numId w:val="9"/>
        </w:numPr>
        <w:ind w:left="1267" w:firstLine="0"/>
        <w:rPr>
          <w:lang w:val="fr-CH"/>
        </w:rPr>
      </w:pPr>
      <w:r w:rsidRPr="00101B00">
        <w:rPr>
          <w:lang w:val="fr-CH"/>
        </w:rPr>
        <w:t>En tenant compte de cette dimension dans le cadre de son réseau de transports urbains, la ville portuaire historique de Rijeka a montré l</w:t>
      </w:r>
      <w:r w:rsidR="005F0D9B" w:rsidRPr="00101B00">
        <w:rPr>
          <w:lang w:val="fr-CH"/>
        </w:rPr>
        <w:t>’</w:t>
      </w:r>
      <w:r w:rsidRPr="00101B00">
        <w:rPr>
          <w:lang w:val="fr-CH"/>
        </w:rPr>
        <w:t>efficacité des mesures prises pour améliorer les liaisons routières et ferroviaires avec l</w:t>
      </w:r>
      <w:r w:rsidR="005F0D9B" w:rsidRPr="00101B00">
        <w:rPr>
          <w:lang w:val="fr-CH"/>
        </w:rPr>
        <w:t>’</w:t>
      </w:r>
      <w:r w:rsidRPr="00101B00">
        <w:rPr>
          <w:lang w:val="fr-CH"/>
        </w:rPr>
        <w:t>arrière-pays croate et le reste de l</w:t>
      </w:r>
      <w:r w:rsidR="005F0D9B" w:rsidRPr="00101B00">
        <w:rPr>
          <w:lang w:val="fr-CH"/>
        </w:rPr>
        <w:t>’</w:t>
      </w:r>
      <w:r w:rsidRPr="00101B00">
        <w:rPr>
          <w:lang w:val="fr-CH"/>
        </w:rPr>
        <w:t>Europe centrale, sans pour autant porter atteinte aux déplacements intra-urbains ou limiter le rôle que pouvait jouer un plan de développement bien pensé en matière de transports pour redynamiser l</w:t>
      </w:r>
      <w:r w:rsidR="005F0D9B" w:rsidRPr="00101B00">
        <w:rPr>
          <w:lang w:val="fr-CH"/>
        </w:rPr>
        <w:t>’</w:t>
      </w:r>
      <w:r w:rsidRPr="00101B00">
        <w:rPr>
          <w:lang w:val="fr-CH"/>
        </w:rPr>
        <w:t>économie.</w:t>
      </w:r>
    </w:p>
    <w:p w:rsidR="001D0777" w:rsidRPr="00101B00" w:rsidRDefault="001D0777" w:rsidP="001D0777">
      <w:pPr>
        <w:pStyle w:val="SingleTxt"/>
        <w:spacing w:after="0" w:line="120" w:lineRule="exact"/>
        <w:rPr>
          <w:sz w:val="10"/>
          <w:lang w:val="fr-CH"/>
        </w:rPr>
      </w:pPr>
    </w:p>
    <w:p w:rsidR="00D16BB1" w:rsidRPr="00101B00" w:rsidRDefault="00D16BB1" w:rsidP="001D0777">
      <w:pPr>
        <w:pStyle w:val="SingleTxt"/>
        <w:spacing w:after="0" w:line="120" w:lineRule="exact"/>
        <w:rPr>
          <w:sz w:val="10"/>
          <w:lang w:val="fr-CH"/>
        </w:rPr>
      </w:pPr>
    </w:p>
    <w:p w:rsidR="00554873" w:rsidRPr="00101B00" w:rsidRDefault="00554873" w:rsidP="001D07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1B00">
        <w:rPr>
          <w:lang w:val="fr-CH"/>
        </w:rPr>
        <w:tab/>
        <w:t>III.</w:t>
      </w:r>
      <w:r w:rsidRPr="00101B00">
        <w:rPr>
          <w:lang w:val="fr-CH"/>
        </w:rPr>
        <w:tab/>
        <w:t>Conclusion</w:t>
      </w:r>
    </w:p>
    <w:p w:rsidR="001D0777" w:rsidRPr="00101B00" w:rsidRDefault="001D0777" w:rsidP="001D0777">
      <w:pPr>
        <w:pStyle w:val="SingleTxt"/>
        <w:spacing w:after="0" w:line="120" w:lineRule="exact"/>
        <w:rPr>
          <w:sz w:val="10"/>
          <w:lang w:val="fr-CH"/>
        </w:rPr>
      </w:pPr>
    </w:p>
    <w:p w:rsidR="001D0777" w:rsidRPr="00101B00" w:rsidRDefault="001D0777" w:rsidP="001D0777">
      <w:pPr>
        <w:pStyle w:val="SingleTxt"/>
        <w:spacing w:after="0" w:line="120" w:lineRule="exact"/>
        <w:rPr>
          <w:sz w:val="10"/>
          <w:lang w:val="fr-CH"/>
        </w:rPr>
      </w:pPr>
    </w:p>
    <w:p w:rsidR="00554873" w:rsidRPr="00101B00" w:rsidRDefault="00554873" w:rsidP="00D16BB1">
      <w:pPr>
        <w:pStyle w:val="SingleTxt"/>
        <w:numPr>
          <w:ilvl w:val="0"/>
          <w:numId w:val="9"/>
        </w:numPr>
        <w:ind w:left="1267" w:firstLine="0"/>
        <w:rPr>
          <w:lang w:val="fr-CH"/>
        </w:rPr>
      </w:pPr>
      <w:r w:rsidRPr="00101B00">
        <w:rPr>
          <w:lang w:val="fr-CH"/>
        </w:rPr>
        <w:t>Pour conclure, le débat de politique générale a permis de souligner les points suivants</w:t>
      </w:r>
      <w:r w:rsidR="005F0D9B" w:rsidRPr="00101B00">
        <w:rPr>
          <w:lang w:val="fr-CH"/>
        </w:rPr>
        <w:t> :</w:t>
      </w:r>
    </w:p>
    <w:p w:rsidR="00554873" w:rsidRPr="00101B00" w:rsidRDefault="00554873" w:rsidP="001D0777">
      <w:pPr>
        <w:pStyle w:val="Bullet1"/>
        <w:rPr>
          <w:lang w:val="fr-CH"/>
        </w:rPr>
      </w:pPr>
      <w:r w:rsidRPr="00101B00">
        <w:rPr>
          <w:lang w:val="fr-CH"/>
        </w:rPr>
        <w:t>Assurer un transport et des déplacements fluides nécessite une intégration entre les échelons urbain-périphérique-régional-national et international;</w:t>
      </w:r>
    </w:p>
    <w:p w:rsidR="00554873" w:rsidRPr="00101B00" w:rsidRDefault="00554873" w:rsidP="001D0777">
      <w:pPr>
        <w:pStyle w:val="Bullet1"/>
        <w:rPr>
          <w:lang w:val="fr-CH"/>
        </w:rPr>
      </w:pPr>
      <w:r w:rsidRPr="00101B00">
        <w:rPr>
          <w:lang w:val="fr-CH"/>
        </w:rPr>
        <w:lastRenderedPageBreak/>
        <w:t>Il conviendra, à l</w:t>
      </w:r>
      <w:r w:rsidR="005F0D9B" w:rsidRPr="00101B00">
        <w:rPr>
          <w:lang w:val="fr-CH"/>
        </w:rPr>
        <w:t>’</w:t>
      </w:r>
      <w:r w:rsidRPr="00101B00">
        <w:rPr>
          <w:lang w:val="fr-CH"/>
        </w:rPr>
        <w:t>avenir, de prêter une attention nettement plus importante à la coexistence avec les transports non motorisés, qui permettent aux piétons et aux cyclistes de bénéficier des infrastructures et de l</w:t>
      </w:r>
      <w:r w:rsidR="005F0D9B" w:rsidRPr="00101B00">
        <w:rPr>
          <w:lang w:val="fr-CH"/>
        </w:rPr>
        <w:t>’</w:t>
      </w:r>
      <w:r w:rsidRPr="00101B00">
        <w:rPr>
          <w:lang w:val="fr-CH"/>
        </w:rPr>
        <w:t>aménagement du territoire en toute sécurité, tout en contribuant activement à préserver leur santé ainsi qu</w:t>
      </w:r>
      <w:r w:rsidR="005F0D9B" w:rsidRPr="00101B00">
        <w:rPr>
          <w:lang w:val="fr-CH"/>
        </w:rPr>
        <w:t>’</w:t>
      </w:r>
      <w:r w:rsidRPr="00101B00">
        <w:rPr>
          <w:lang w:val="fr-CH"/>
        </w:rPr>
        <w:t>un environnement viable;</w:t>
      </w:r>
    </w:p>
    <w:p w:rsidR="00554873" w:rsidRPr="00101B00" w:rsidRDefault="00554873" w:rsidP="001D0777">
      <w:pPr>
        <w:pStyle w:val="Bullet1"/>
        <w:rPr>
          <w:lang w:val="fr-CH"/>
        </w:rPr>
      </w:pPr>
      <w:r w:rsidRPr="00101B00">
        <w:rPr>
          <w:lang w:val="fr-CH"/>
        </w:rPr>
        <w:t>Les transports publics restent à l</w:t>
      </w:r>
      <w:r w:rsidR="005F0D9B" w:rsidRPr="00101B00">
        <w:rPr>
          <w:lang w:val="fr-CH"/>
        </w:rPr>
        <w:t>’</w:t>
      </w:r>
      <w:r w:rsidRPr="00101B00">
        <w:rPr>
          <w:lang w:val="fr-CH"/>
        </w:rPr>
        <w:t>avant-garde de la transition vers des transports durables; il faudra donc qu</w:t>
      </w:r>
      <w:r w:rsidR="005F0D9B" w:rsidRPr="00101B00">
        <w:rPr>
          <w:lang w:val="fr-CH"/>
        </w:rPr>
        <w:t>’</w:t>
      </w:r>
      <w:r w:rsidRPr="00101B00">
        <w:rPr>
          <w:lang w:val="fr-CH"/>
        </w:rPr>
        <w:t>ils fassent l</w:t>
      </w:r>
      <w:r w:rsidR="005F0D9B" w:rsidRPr="00101B00">
        <w:rPr>
          <w:lang w:val="fr-CH"/>
        </w:rPr>
        <w:t>’</w:t>
      </w:r>
      <w:r w:rsidRPr="00101B00">
        <w:rPr>
          <w:lang w:val="fr-CH"/>
        </w:rPr>
        <w:t>objet d</w:t>
      </w:r>
      <w:r w:rsidR="005F0D9B" w:rsidRPr="00101B00">
        <w:rPr>
          <w:lang w:val="fr-CH"/>
        </w:rPr>
        <w:t>’</w:t>
      </w:r>
      <w:r w:rsidRPr="00101B00">
        <w:rPr>
          <w:lang w:val="fr-CH"/>
        </w:rPr>
        <w:t>investissements massifs, consacrés tout autant à l</w:t>
      </w:r>
      <w:r w:rsidR="005F0D9B" w:rsidRPr="00101B00">
        <w:rPr>
          <w:lang w:val="fr-CH"/>
        </w:rPr>
        <w:t>’</w:t>
      </w:r>
      <w:r w:rsidRPr="00101B00">
        <w:rPr>
          <w:lang w:val="fr-CH"/>
        </w:rPr>
        <w:t>offre qu</w:t>
      </w:r>
      <w:r w:rsidR="005F0D9B" w:rsidRPr="00101B00">
        <w:rPr>
          <w:lang w:val="fr-CH"/>
        </w:rPr>
        <w:t>’</w:t>
      </w:r>
      <w:r w:rsidRPr="00101B00">
        <w:rPr>
          <w:lang w:val="fr-CH"/>
        </w:rPr>
        <w:t>à l</w:t>
      </w:r>
      <w:r w:rsidR="005F0D9B" w:rsidRPr="00101B00">
        <w:rPr>
          <w:lang w:val="fr-CH"/>
        </w:rPr>
        <w:t>’</w:t>
      </w:r>
      <w:r w:rsidRPr="00101B00">
        <w:rPr>
          <w:lang w:val="fr-CH"/>
        </w:rPr>
        <w:t>évolution des perceptions et des comportements des voyageurs;</w:t>
      </w:r>
    </w:p>
    <w:p w:rsidR="00554873" w:rsidRPr="00101B00" w:rsidRDefault="00554873" w:rsidP="001D0777">
      <w:pPr>
        <w:pStyle w:val="Bullet1"/>
        <w:rPr>
          <w:lang w:val="fr-CH"/>
        </w:rPr>
      </w:pPr>
      <w:r w:rsidRPr="00101B00">
        <w:rPr>
          <w:lang w:val="fr-CH"/>
        </w:rPr>
        <w:t>Parmi les difficultés particulières rencontrées, on peut citer les cas des villes portuaires, des déplacements transfrontaliers et de la logistique urbaine;</w:t>
      </w:r>
    </w:p>
    <w:p w:rsidR="00554873" w:rsidRPr="00101B00" w:rsidRDefault="00554873" w:rsidP="001D0777">
      <w:pPr>
        <w:pStyle w:val="Bullet1"/>
        <w:rPr>
          <w:lang w:val="fr-CH"/>
        </w:rPr>
      </w:pPr>
      <w:r w:rsidRPr="00101B00">
        <w:rPr>
          <w:lang w:val="fr-CH"/>
        </w:rPr>
        <w:t>Les ministères des transports ont un rôle important à jouer pour garantir une cohérence nationale et assurer la viabilité des transports et de la mobilité urbains;</w:t>
      </w:r>
    </w:p>
    <w:p w:rsidR="00554873" w:rsidRPr="00101B00" w:rsidRDefault="00554873" w:rsidP="001D0777">
      <w:pPr>
        <w:pStyle w:val="Bullet1"/>
        <w:rPr>
          <w:lang w:val="fr-CH"/>
        </w:rPr>
      </w:pPr>
      <w:r w:rsidRPr="00101B00">
        <w:rPr>
          <w:lang w:val="fr-CH"/>
        </w:rPr>
        <w:t>Les nouvelles technologies sont sources de difficultés mais aussi porteuses d</w:t>
      </w:r>
      <w:r w:rsidR="005F0D9B" w:rsidRPr="00101B00">
        <w:rPr>
          <w:lang w:val="fr-CH"/>
        </w:rPr>
        <w:t>’</w:t>
      </w:r>
      <w:r w:rsidRPr="00101B00">
        <w:rPr>
          <w:lang w:val="fr-CH"/>
        </w:rPr>
        <w:t>occasions uniques.</w:t>
      </w:r>
    </w:p>
    <w:p w:rsidR="00554873" w:rsidRPr="00101B00" w:rsidRDefault="00554873" w:rsidP="00D16BB1">
      <w:pPr>
        <w:pStyle w:val="SingleTxt"/>
        <w:numPr>
          <w:ilvl w:val="0"/>
          <w:numId w:val="9"/>
        </w:numPr>
        <w:ind w:left="1267" w:firstLine="0"/>
        <w:rPr>
          <w:lang w:val="fr-CH"/>
        </w:rPr>
      </w:pPr>
      <w:r w:rsidRPr="00101B00">
        <w:rPr>
          <w:lang w:val="fr-CH"/>
        </w:rPr>
        <w:t>Pour que, dans les années à venir, la transformation des systèmes de transport visant à résoudre les difficultés liées au transport de personnes et de marchandises soit réussie, il faut mettre l</w:t>
      </w:r>
      <w:r w:rsidR="005F0D9B" w:rsidRPr="00101B00">
        <w:rPr>
          <w:lang w:val="fr-CH"/>
        </w:rPr>
        <w:t>’</w:t>
      </w:r>
      <w:r w:rsidRPr="00101B00">
        <w:rPr>
          <w:lang w:val="fr-CH"/>
        </w:rPr>
        <w:t>accent sur l</w:t>
      </w:r>
      <w:r w:rsidR="005F0D9B" w:rsidRPr="00101B00">
        <w:rPr>
          <w:lang w:val="fr-CH"/>
        </w:rPr>
        <w:t>’</w:t>
      </w:r>
      <w:r w:rsidRPr="00101B00">
        <w:rPr>
          <w:lang w:val="fr-CH"/>
        </w:rPr>
        <w:t>apprentissage mutuel et veiller à ce que les connaissances ainsi glanées soient adaptées aux situations locales particulières. Il convient, pour ce faire, d</w:t>
      </w:r>
      <w:r w:rsidR="005F0D9B" w:rsidRPr="00101B00">
        <w:rPr>
          <w:lang w:val="fr-CH"/>
        </w:rPr>
        <w:t>’</w:t>
      </w:r>
      <w:r w:rsidRPr="00101B00">
        <w:rPr>
          <w:lang w:val="fr-CH"/>
        </w:rPr>
        <w:t xml:space="preserve">échanger et de diffuser les bonnes pratiques. </w:t>
      </w:r>
    </w:p>
    <w:p w:rsidR="00554873" w:rsidRPr="00101B00" w:rsidRDefault="00554873" w:rsidP="00D16BB1">
      <w:pPr>
        <w:pStyle w:val="SingleTxt"/>
        <w:numPr>
          <w:ilvl w:val="0"/>
          <w:numId w:val="9"/>
        </w:numPr>
        <w:ind w:left="1267" w:firstLine="0"/>
        <w:rPr>
          <w:lang w:val="fr-CH"/>
        </w:rPr>
      </w:pPr>
      <w:r w:rsidRPr="00101B00">
        <w:rPr>
          <w:lang w:val="fr-CH"/>
        </w:rPr>
        <w:t>Les solutions ne peuvent pas s</w:t>
      </w:r>
      <w:r w:rsidR="005F0D9B" w:rsidRPr="00101B00">
        <w:rPr>
          <w:lang w:val="fr-CH"/>
        </w:rPr>
        <w:t>’</w:t>
      </w:r>
      <w:r w:rsidRPr="00101B00">
        <w:rPr>
          <w:lang w:val="fr-CH"/>
        </w:rPr>
        <w:t>appuyer exclusivement sur la technologie; bien souvent, elles sont structurées par la dimension politique ou inscrites dans le cadre d</w:t>
      </w:r>
      <w:r w:rsidR="005F0D9B" w:rsidRPr="00101B00">
        <w:rPr>
          <w:lang w:val="fr-CH"/>
        </w:rPr>
        <w:t>’</w:t>
      </w:r>
      <w:r w:rsidRPr="00101B00">
        <w:rPr>
          <w:lang w:val="fr-CH"/>
        </w:rPr>
        <w:t>une redistribution des compétences. Les gouvernements, s</w:t>
      </w:r>
      <w:r w:rsidR="005F0D9B" w:rsidRPr="00101B00">
        <w:rPr>
          <w:lang w:val="fr-CH"/>
        </w:rPr>
        <w:t>’</w:t>
      </w:r>
      <w:r w:rsidRPr="00101B00">
        <w:rPr>
          <w:lang w:val="fr-CH"/>
        </w:rPr>
        <w:t>ils veulent être à même de devancer les événements, doivent constamment analyser les tendances ayant cours et décider des moyens les plus adaptés pour encourager, accélérer et favoriser les changements les plus importants au niveau approprié. Il peut s</w:t>
      </w:r>
      <w:r w:rsidR="005F0D9B" w:rsidRPr="00101B00">
        <w:rPr>
          <w:lang w:val="fr-CH"/>
        </w:rPr>
        <w:t>’</w:t>
      </w:r>
      <w:r w:rsidRPr="00101B00">
        <w:rPr>
          <w:lang w:val="fr-CH"/>
        </w:rPr>
        <w:t>agir d</w:t>
      </w:r>
      <w:r w:rsidR="005F0D9B" w:rsidRPr="00101B00">
        <w:rPr>
          <w:lang w:val="fr-CH"/>
        </w:rPr>
        <w:t>’</w:t>
      </w:r>
      <w:r w:rsidRPr="00101B00">
        <w:rPr>
          <w:lang w:val="fr-CH"/>
        </w:rPr>
        <w:t>entreprises de grande envergure, parfois même risquées, qui auront une incidence énorme sur la compétitivité économique des pays; c</w:t>
      </w:r>
      <w:r w:rsidR="005F0D9B" w:rsidRPr="00101B00">
        <w:rPr>
          <w:lang w:val="fr-CH"/>
        </w:rPr>
        <w:t>’</w:t>
      </w:r>
      <w:r w:rsidRPr="00101B00">
        <w:rPr>
          <w:lang w:val="fr-CH"/>
        </w:rPr>
        <w:t>est pourquoi elles doivent être mises au point avec professionnalisme. Les efforts déployés à ce titre peuvent bénéficier d</w:t>
      </w:r>
      <w:r w:rsidR="005F0D9B" w:rsidRPr="00101B00">
        <w:rPr>
          <w:lang w:val="fr-CH"/>
        </w:rPr>
        <w:t>’</w:t>
      </w:r>
      <w:r w:rsidRPr="00101B00">
        <w:rPr>
          <w:lang w:val="fr-CH"/>
        </w:rPr>
        <w:t>un échange de renseignements sur l</w:t>
      </w:r>
      <w:r w:rsidR="005F0D9B" w:rsidRPr="00101B00">
        <w:rPr>
          <w:lang w:val="fr-CH"/>
        </w:rPr>
        <w:t>’</w:t>
      </w:r>
      <w:r w:rsidRPr="00101B00">
        <w:rPr>
          <w:lang w:val="fr-CH"/>
        </w:rPr>
        <w:t>expérience acquise par les différents pays et le secrétariat de la CEE peut jouer un rôle de taille à cet égard.</w:t>
      </w:r>
    </w:p>
    <w:p w:rsidR="00554873" w:rsidRPr="00101B00" w:rsidRDefault="00554873" w:rsidP="00D16BB1">
      <w:pPr>
        <w:pStyle w:val="SingleTxt"/>
        <w:numPr>
          <w:ilvl w:val="0"/>
          <w:numId w:val="9"/>
        </w:numPr>
        <w:ind w:left="1267" w:firstLine="0"/>
        <w:rPr>
          <w:lang w:val="fr-CH"/>
        </w:rPr>
      </w:pPr>
      <w:r w:rsidRPr="00101B00">
        <w:rPr>
          <w:lang w:val="fr-CH"/>
        </w:rPr>
        <w:t>Le débat de politique générale a mis en évidence le rôle que le Comité des transports intérieurs peut jouer en tant que p</w:t>
      </w:r>
      <w:r w:rsidR="002B2830">
        <w:rPr>
          <w:lang w:val="fr-CH"/>
        </w:rPr>
        <w:t>latef</w:t>
      </w:r>
      <w:r w:rsidRPr="00101B00">
        <w:rPr>
          <w:lang w:val="fr-CH"/>
        </w:rPr>
        <w:t>orme internationale, en fournissant un appui aux décideurs, en diffusant les meilleures pratiques et en menant des activités de renforcement des capacités et d</w:t>
      </w:r>
      <w:r w:rsidR="005F0D9B" w:rsidRPr="00101B00">
        <w:rPr>
          <w:lang w:val="fr-CH"/>
        </w:rPr>
        <w:t>’</w:t>
      </w:r>
      <w:r w:rsidRPr="00101B00">
        <w:rPr>
          <w:lang w:val="fr-CH"/>
        </w:rPr>
        <w:t>analyse. En conséquence, le Comité des transports intérieurs a décidé d</w:t>
      </w:r>
      <w:r w:rsidR="005F0D9B" w:rsidRPr="00101B00">
        <w:rPr>
          <w:lang w:val="fr-CH"/>
        </w:rPr>
        <w:t>’</w:t>
      </w:r>
      <w:r w:rsidRPr="00101B00">
        <w:rPr>
          <w:lang w:val="fr-CH"/>
        </w:rPr>
        <w:t>examiner régulièrement les évolutions de la mobilité et du transport urbains en termes de viabilité et, en particulier, les liens établis entre les réseaux et services de transport urbains, régionaux, nationaux et internationaux. Dans ce cadre, il a demandé au secrétariat de suivre cette question.</w:t>
      </w:r>
    </w:p>
    <w:p w:rsidR="00E3126C" w:rsidRPr="00101B00" w:rsidRDefault="00554873" w:rsidP="00554873">
      <w:pPr>
        <w:pStyle w:val="SingleTxt"/>
        <w:spacing w:after="0" w:line="240" w:lineRule="auto"/>
        <w:rPr>
          <w:lang w:val="fr-CH"/>
        </w:rPr>
      </w:pPr>
      <w:r w:rsidRPr="00101B00">
        <w:rPr>
          <w:noProof/>
          <w:w w:val="100"/>
          <w:lang w:val="en-US"/>
        </w:rPr>
        <mc:AlternateContent>
          <mc:Choice Requires="wps">
            <w:drawing>
              <wp:anchor distT="0" distB="0" distL="114300" distR="114300" simplePos="0" relativeHeight="251659264" behindDoc="0" locked="0" layoutInCell="1" allowOverlap="1" wp14:anchorId="5820E1BD" wp14:editId="0080F5A4">
                <wp:simplePos x="0" y="0"/>
                <wp:positionH relativeFrom="page">
                  <wp:posOffset>3433313</wp:posOffset>
                </wp:positionH>
                <wp:positionV relativeFrom="paragraph">
                  <wp:posOffset>392813</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from="270.35pt,30.95pt" to="342.3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" strokecolor="#010000" strokeweight=".25pt">
                <w10:wrap anchorx="page"/>
              </v:line>
            </w:pict>
          </mc:Fallback>
        </mc:AlternateContent>
      </w:r>
    </w:p>
    <w:sectPr w:rsidR="00E3126C" w:rsidRPr="00101B00" w:rsidSect="00E3126C">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1-14T18:14:00Z" w:initials="Start">
    <w:p w:rsidR="00C60E32" w:rsidRDefault="00C60E3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NO&gt;&gt;N1511360F&lt;&lt;ODS JOB NO&gt;&gt;</w:t>
      </w:r>
    </w:p>
    <w:p w:rsidR="00C60E32" w:rsidRDefault="00C60E32">
      <w:pPr>
        <w:pStyle w:val="CommentText"/>
      </w:pPr>
      <w:r>
        <w:t>&lt;&lt;ODS DOC SYMBOL1&gt;&gt;ECE/TRANS/248&lt;&lt;ODS DOC SYMBOL1&gt;&gt;</w:t>
      </w:r>
    </w:p>
    <w:p w:rsidR="00C60E32" w:rsidRDefault="00C60E3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E32" w:rsidRDefault="00C60E32" w:rsidP="00F3330B">
      <w:pPr>
        <w:spacing w:line="240" w:lineRule="auto"/>
      </w:pPr>
      <w:r>
        <w:separator/>
      </w:r>
    </w:p>
  </w:endnote>
  <w:endnote w:type="continuationSeparator" w:id="0">
    <w:p w:rsidR="00C60E32" w:rsidRDefault="00C60E32"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C60E32" w:rsidTr="00E3126C">
      <w:trPr>
        <w:jc w:val="center"/>
      </w:trPr>
      <w:tc>
        <w:tcPr>
          <w:tcW w:w="5088" w:type="dxa"/>
          <w:shd w:val="clear" w:color="auto" w:fill="auto"/>
        </w:tcPr>
        <w:p w:rsidR="00C60E32" w:rsidRPr="00E3126C" w:rsidRDefault="00C60E32" w:rsidP="00E3126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66712">
            <w:rPr>
              <w:b w:val="0"/>
              <w:w w:val="103"/>
              <w:sz w:val="14"/>
            </w:rPr>
            <w:t>GE.15-08912</w:t>
          </w:r>
          <w:r>
            <w:rPr>
              <w:b w:val="0"/>
              <w:w w:val="103"/>
              <w:sz w:val="14"/>
            </w:rPr>
            <w:fldChar w:fldCharType="end"/>
          </w:r>
        </w:p>
      </w:tc>
      <w:tc>
        <w:tcPr>
          <w:tcW w:w="5089" w:type="dxa"/>
          <w:shd w:val="clear" w:color="auto" w:fill="auto"/>
        </w:tcPr>
        <w:p w:rsidR="00C60E32" w:rsidRPr="00E3126C" w:rsidRDefault="00C60E32" w:rsidP="00E3126C">
          <w:pPr>
            <w:pStyle w:val="Footer"/>
            <w:rPr>
              <w:w w:val="103"/>
            </w:rPr>
          </w:pPr>
          <w:r>
            <w:rPr>
              <w:w w:val="103"/>
            </w:rPr>
            <w:fldChar w:fldCharType="begin"/>
          </w:r>
          <w:r>
            <w:rPr>
              <w:w w:val="103"/>
            </w:rPr>
            <w:instrText xml:space="preserve"> PAGE  \* Arabic  \* MERGEFORMAT </w:instrText>
          </w:r>
          <w:r>
            <w:rPr>
              <w:w w:val="103"/>
            </w:rPr>
            <w:fldChar w:fldCharType="separate"/>
          </w:r>
          <w:r w:rsidR="005B68F8">
            <w:rPr>
              <w:noProof/>
              <w:w w:val="103"/>
            </w:rPr>
            <w:t>30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B68F8">
            <w:rPr>
              <w:noProof/>
              <w:w w:val="103"/>
            </w:rPr>
            <w:t>30</w:t>
          </w:r>
          <w:r>
            <w:rPr>
              <w:w w:val="103"/>
            </w:rPr>
            <w:fldChar w:fldCharType="end"/>
          </w:r>
        </w:p>
      </w:tc>
    </w:tr>
  </w:tbl>
  <w:p w:rsidR="00C60E32" w:rsidRPr="00E3126C" w:rsidRDefault="00C60E32" w:rsidP="00E312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C60E32" w:rsidTr="00E3126C">
      <w:trPr>
        <w:jc w:val="center"/>
      </w:trPr>
      <w:tc>
        <w:tcPr>
          <w:tcW w:w="5088" w:type="dxa"/>
          <w:shd w:val="clear" w:color="auto" w:fill="auto"/>
        </w:tcPr>
        <w:p w:rsidR="00C60E32" w:rsidRPr="00E3126C" w:rsidRDefault="00C60E32" w:rsidP="00E3126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B68F8">
            <w:rPr>
              <w:noProof/>
              <w:w w:val="103"/>
            </w:rPr>
            <w:t>29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B68F8">
            <w:rPr>
              <w:noProof/>
              <w:w w:val="103"/>
            </w:rPr>
            <w:t>29</w:t>
          </w:r>
          <w:r>
            <w:rPr>
              <w:w w:val="103"/>
            </w:rPr>
            <w:fldChar w:fldCharType="end"/>
          </w:r>
        </w:p>
      </w:tc>
      <w:tc>
        <w:tcPr>
          <w:tcW w:w="5089" w:type="dxa"/>
          <w:shd w:val="clear" w:color="auto" w:fill="auto"/>
        </w:tcPr>
        <w:p w:rsidR="00C60E32" w:rsidRPr="00E3126C" w:rsidRDefault="00C60E32" w:rsidP="00E3126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66712">
            <w:rPr>
              <w:b w:val="0"/>
              <w:w w:val="103"/>
              <w:sz w:val="14"/>
            </w:rPr>
            <w:t>GE.15-08912</w:t>
          </w:r>
          <w:r>
            <w:rPr>
              <w:b w:val="0"/>
              <w:w w:val="103"/>
              <w:sz w:val="14"/>
            </w:rPr>
            <w:fldChar w:fldCharType="end"/>
          </w:r>
        </w:p>
      </w:tc>
    </w:tr>
  </w:tbl>
  <w:p w:rsidR="00C60E32" w:rsidRPr="00E3126C" w:rsidRDefault="00C60E32" w:rsidP="00E312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E32" w:rsidRDefault="00C60E32">
    <w:pPr>
      <w:pStyle w:val="Footer"/>
    </w:pPr>
    <w:r>
      <w:rPr>
        <w:noProof/>
      </w:rPr>
      <w:drawing>
        <wp:anchor distT="0" distB="0" distL="114300" distR="114300" simplePos="0" relativeHeight="251658240" behindDoc="0" locked="0" layoutInCell="1" allowOverlap="1" wp14:anchorId="2178A532" wp14:editId="2C66378C">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24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248&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59"/>
      <w:gridCol w:w="5089"/>
    </w:tblGrid>
    <w:tr w:rsidR="00C60E32" w:rsidTr="00E3126C">
      <w:tc>
        <w:tcPr>
          <w:tcW w:w="3859" w:type="dxa"/>
        </w:tcPr>
        <w:p w:rsidR="00C60E32" w:rsidRDefault="00C60E32" w:rsidP="00E3126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D66712">
            <w:rPr>
              <w:b w:val="0"/>
              <w:sz w:val="20"/>
            </w:rPr>
            <w:t>GE.15-08912 (F)</w:t>
          </w:r>
          <w:r>
            <w:rPr>
              <w:b w:val="0"/>
              <w:sz w:val="20"/>
            </w:rPr>
            <w:fldChar w:fldCharType="end"/>
          </w:r>
          <w:r w:rsidR="005D36AF">
            <w:rPr>
              <w:b w:val="0"/>
              <w:sz w:val="20"/>
            </w:rPr>
            <w:t xml:space="preserve">    140116    18</w:t>
          </w:r>
          <w:r>
            <w:rPr>
              <w:b w:val="0"/>
              <w:sz w:val="20"/>
            </w:rPr>
            <w:t>0116</w:t>
          </w:r>
        </w:p>
        <w:p w:rsidR="00C60E32" w:rsidRPr="00E3126C" w:rsidRDefault="00C60E32" w:rsidP="00E3126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D66712">
            <w:rPr>
              <w:rFonts w:ascii="Barcode 3 of 9 by request" w:hAnsi="Barcode 3 of 9 by request"/>
              <w:b w:val="0"/>
              <w:spacing w:val="0"/>
              <w:w w:val="100"/>
              <w:sz w:val="24"/>
            </w:rPr>
            <w:t>*1508912*</w:t>
          </w:r>
          <w:r>
            <w:rPr>
              <w:rFonts w:ascii="Barcode 3 of 9 by request" w:hAnsi="Barcode 3 of 9 by request"/>
              <w:b w:val="0"/>
              <w:spacing w:val="0"/>
              <w:w w:val="100"/>
              <w:sz w:val="24"/>
            </w:rPr>
            <w:fldChar w:fldCharType="end"/>
          </w:r>
        </w:p>
      </w:tc>
      <w:tc>
        <w:tcPr>
          <w:tcW w:w="5089" w:type="dxa"/>
        </w:tcPr>
        <w:p w:rsidR="00C60E32" w:rsidRDefault="00C60E32" w:rsidP="00E3126C">
          <w:pPr>
            <w:pStyle w:val="Footer"/>
            <w:spacing w:line="240" w:lineRule="atLeast"/>
            <w:jc w:val="right"/>
            <w:rPr>
              <w:b w:val="0"/>
              <w:sz w:val="20"/>
            </w:rPr>
          </w:pPr>
          <w:r>
            <w:rPr>
              <w:b w:val="0"/>
              <w:noProof/>
              <w:sz w:val="20"/>
            </w:rPr>
            <w:drawing>
              <wp:inline distT="0" distB="0" distL="0" distR="0" wp14:anchorId="686DBB2A" wp14:editId="54B23B22">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C60E32" w:rsidRPr="00E3126C" w:rsidRDefault="00C60E32" w:rsidP="00E3126C">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E32" w:rsidRPr="003E47D8" w:rsidRDefault="00C60E32" w:rsidP="003E47D8">
      <w:pPr>
        <w:pStyle w:val="Footer"/>
        <w:spacing w:after="80"/>
        <w:rPr>
          <w:sz w:val="16"/>
        </w:rPr>
      </w:pPr>
      <w:r w:rsidRPr="003E47D8">
        <w:rPr>
          <w:sz w:val="16"/>
        </w:rPr>
        <w:t>__________________</w:t>
      </w:r>
    </w:p>
  </w:footnote>
  <w:footnote w:type="continuationSeparator" w:id="0">
    <w:p w:rsidR="00C60E32" w:rsidRPr="003E47D8" w:rsidRDefault="00C60E32" w:rsidP="003E47D8">
      <w:pPr>
        <w:pStyle w:val="Footer"/>
        <w:spacing w:after="80"/>
        <w:rPr>
          <w:sz w:val="16"/>
        </w:rPr>
      </w:pPr>
      <w:r w:rsidRPr="003E47D8">
        <w:rPr>
          <w:sz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C60E32" w:rsidTr="00E3126C">
      <w:trPr>
        <w:trHeight w:hRule="exact" w:val="864"/>
        <w:jc w:val="center"/>
      </w:trPr>
      <w:tc>
        <w:tcPr>
          <w:tcW w:w="4882" w:type="dxa"/>
          <w:shd w:val="clear" w:color="auto" w:fill="auto"/>
          <w:vAlign w:val="bottom"/>
        </w:tcPr>
        <w:p w:rsidR="00C60E32" w:rsidRPr="00E3126C" w:rsidRDefault="00C60E32" w:rsidP="00E3126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66712">
            <w:rPr>
              <w:b/>
              <w:color w:val="000000"/>
            </w:rPr>
            <w:t>ECE/TRANS/248</w:t>
          </w:r>
          <w:r>
            <w:rPr>
              <w:b/>
              <w:color w:val="000000"/>
            </w:rPr>
            <w:fldChar w:fldCharType="end"/>
          </w:r>
        </w:p>
      </w:tc>
      <w:tc>
        <w:tcPr>
          <w:tcW w:w="5089" w:type="dxa"/>
          <w:shd w:val="clear" w:color="auto" w:fill="auto"/>
          <w:vAlign w:val="bottom"/>
        </w:tcPr>
        <w:p w:rsidR="00C60E32" w:rsidRDefault="00C60E32" w:rsidP="00E3126C">
          <w:pPr>
            <w:pStyle w:val="Header"/>
          </w:pPr>
        </w:p>
      </w:tc>
    </w:tr>
  </w:tbl>
  <w:p w:rsidR="00C60E32" w:rsidRPr="00E3126C" w:rsidRDefault="00C60E32" w:rsidP="00E3126C">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C60E32" w:rsidTr="00E3126C">
      <w:trPr>
        <w:trHeight w:hRule="exact" w:val="864"/>
        <w:jc w:val="center"/>
      </w:trPr>
      <w:tc>
        <w:tcPr>
          <w:tcW w:w="4882" w:type="dxa"/>
          <w:shd w:val="clear" w:color="auto" w:fill="auto"/>
          <w:vAlign w:val="bottom"/>
        </w:tcPr>
        <w:p w:rsidR="00C60E32" w:rsidRDefault="00C60E32" w:rsidP="00E3126C">
          <w:pPr>
            <w:pStyle w:val="Header"/>
          </w:pPr>
        </w:p>
      </w:tc>
      <w:tc>
        <w:tcPr>
          <w:tcW w:w="5089" w:type="dxa"/>
          <w:shd w:val="clear" w:color="auto" w:fill="auto"/>
          <w:vAlign w:val="bottom"/>
        </w:tcPr>
        <w:p w:rsidR="00C60E32" w:rsidRPr="00E3126C" w:rsidRDefault="00C60E32" w:rsidP="00E3126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66712">
            <w:rPr>
              <w:b/>
              <w:color w:val="000000"/>
            </w:rPr>
            <w:t>ECE/TRANS/248</w:t>
          </w:r>
          <w:r>
            <w:rPr>
              <w:b/>
              <w:color w:val="000000"/>
            </w:rPr>
            <w:fldChar w:fldCharType="end"/>
          </w:r>
        </w:p>
      </w:tc>
    </w:tr>
  </w:tbl>
  <w:p w:rsidR="00C60E32" w:rsidRPr="00E3126C" w:rsidRDefault="00C60E32" w:rsidP="00E3126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C60E32" w:rsidRPr="00554873" w:rsidTr="00E3126C">
      <w:trPr>
        <w:trHeight w:hRule="exact" w:val="864"/>
      </w:trPr>
      <w:tc>
        <w:tcPr>
          <w:tcW w:w="1267" w:type="dxa"/>
          <w:tcBorders>
            <w:bottom w:val="single" w:sz="4" w:space="0" w:color="auto"/>
          </w:tcBorders>
          <w:shd w:val="clear" w:color="auto" w:fill="auto"/>
          <w:vAlign w:val="bottom"/>
        </w:tcPr>
        <w:p w:rsidR="00C60E32" w:rsidRPr="00554873" w:rsidRDefault="00C60E32" w:rsidP="00E3126C">
          <w:pPr>
            <w:pStyle w:val="Header"/>
            <w:spacing w:after="120"/>
            <w:rPr>
              <w:lang w:val="fr-CH"/>
            </w:rPr>
          </w:pPr>
        </w:p>
      </w:tc>
      <w:tc>
        <w:tcPr>
          <w:tcW w:w="2059" w:type="dxa"/>
          <w:tcBorders>
            <w:bottom w:val="single" w:sz="4" w:space="0" w:color="auto"/>
          </w:tcBorders>
          <w:shd w:val="clear" w:color="auto" w:fill="auto"/>
          <w:vAlign w:val="bottom"/>
        </w:tcPr>
        <w:p w:rsidR="00C60E32" w:rsidRPr="00554873" w:rsidRDefault="00C60E32" w:rsidP="00E3126C">
          <w:pPr>
            <w:pStyle w:val="HCH"/>
            <w:spacing w:after="80"/>
            <w:rPr>
              <w:b w:val="0"/>
              <w:color w:val="010000"/>
              <w:spacing w:val="2"/>
              <w:w w:val="96"/>
              <w:lang w:val="fr-CH"/>
            </w:rPr>
          </w:pPr>
          <w:r w:rsidRPr="00554873">
            <w:rPr>
              <w:b w:val="0"/>
              <w:color w:val="010000"/>
              <w:spacing w:val="2"/>
              <w:w w:val="96"/>
              <w:lang w:val="fr-CH"/>
            </w:rPr>
            <w:t>Nations Unies</w:t>
          </w:r>
        </w:p>
      </w:tc>
      <w:tc>
        <w:tcPr>
          <w:tcW w:w="58" w:type="dxa"/>
          <w:tcBorders>
            <w:bottom w:val="single" w:sz="4" w:space="0" w:color="auto"/>
          </w:tcBorders>
          <w:shd w:val="clear" w:color="auto" w:fill="auto"/>
          <w:vAlign w:val="bottom"/>
        </w:tcPr>
        <w:p w:rsidR="00C60E32" w:rsidRPr="00554873" w:rsidRDefault="00C60E32" w:rsidP="00E3126C">
          <w:pPr>
            <w:pStyle w:val="Header"/>
            <w:spacing w:after="120"/>
            <w:rPr>
              <w:lang w:val="fr-CH"/>
            </w:rPr>
          </w:pPr>
        </w:p>
      </w:tc>
      <w:tc>
        <w:tcPr>
          <w:tcW w:w="6653" w:type="dxa"/>
          <w:gridSpan w:val="4"/>
          <w:tcBorders>
            <w:bottom w:val="single" w:sz="4" w:space="0" w:color="auto"/>
          </w:tcBorders>
          <w:shd w:val="clear" w:color="auto" w:fill="auto"/>
          <w:vAlign w:val="bottom"/>
        </w:tcPr>
        <w:p w:rsidR="00C60E32" w:rsidRPr="00554873" w:rsidRDefault="00C60E32" w:rsidP="00E3126C">
          <w:pPr>
            <w:spacing w:after="80" w:line="240" w:lineRule="auto"/>
            <w:jc w:val="right"/>
            <w:rPr>
              <w:position w:val="-4"/>
              <w:lang w:val="fr-CH"/>
            </w:rPr>
          </w:pPr>
          <w:r w:rsidRPr="00554873">
            <w:rPr>
              <w:position w:val="-4"/>
              <w:sz w:val="40"/>
              <w:lang w:val="fr-CH"/>
            </w:rPr>
            <w:t>ECE</w:t>
          </w:r>
          <w:r w:rsidRPr="00554873">
            <w:rPr>
              <w:position w:val="-4"/>
              <w:lang w:val="fr-CH"/>
            </w:rPr>
            <w:t>/TRANS/248</w:t>
          </w:r>
        </w:p>
      </w:tc>
    </w:tr>
    <w:tr w:rsidR="00C60E32" w:rsidRPr="00554873" w:rsidTr="00E3126C">
      <w:trPr>
        <w:gridAfter w:val="1"/>
        <w:wAfter w:w="18" w:type="dxa"/>
        <w:trHeight w:hRule="exact" w:val="2880"/>
      </w:trPr>
      <w:tc>
        <w:tcPr>
          <w:tcW w:w="1267" w:type="dxa"/>
          <w:tcBorders>
            <w:top w:val="single" w:sz="4" w:space="0" w:color="auto"/>
            <w:bottom w:val="single" w:sz="12" w:space="0" w:color="auto"/>
          </w:tcBorders>
          <w:shd w:val="clear" w:color="auto" w:fill="auto"/>
        </w:tcPr>
        <w:p w:rsidR="00C60E32" w:rsidRPr="00554873" w:rsidRDefault="00C60E32" w:rsidP="00E3126C">
          <w:pPr>
            <w:pStyle w:val="Header"/>
            <w:spacing w:before="120" w:line="240" w:lineRule="auto"/>
            <w:ind w:left="-72"/>
            <w:jc w:val="center"/>
            <w:rPr>
              <w:lang w:val="fr-CH"/>
            </w:rPr>
          </w:pPr>
          <w:r w:rsidRPr="00554873">
            <w:rPr>
              <w:lang w:val="fr-CH"/>
            </w:rPr>
            <w:t xml:space="preserve">  </w:t>
          </w:r>
          <w:r w:rsidRPr="00554873">
            <w:rPr>
              <w:noProof/>
            </w:rPr>
            <w:drawing>
              <wp:inline distT="0" distB="0" distL="0" distR="0" wp14:anchorId="4EF9FCBB" wp14:editId="67617955">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60E32" w:rsidRPr="00554873" w:rsidRDefault="00C60E32" w:rsidP="00E3126C">
          <w:pPr>
            <w:pStyle w:val="XLarge"/>
            <w:spacing w:before="109"/>
            <w:rPr>
              <w:lang w:val="fr-CH"/>
            </w:rPr>
          </w:pPr>
          <w:r w:rsidRPr="00554873">
            <w:rPr>
              <w:lang w:val="fr-CH"/>
            </w:rPr>
            <w:t>Conseil économique et social</w:t>
          </w:r>
        </w:p>
      </w:tc>
      <w:tc>
        <w:tcPr>
          <w:tcW w:w="245" w:type="dxa"/>
          <w:tcBorders>
            <w:top w:val="single" w:sz="4" w:space="0" w:color="auto"/>
            <w:bottom w:val="single" w:sz="12" w:space="0" w:color="auto"/>
          </w:tcBorders>
          <w:shd w:val="clear" w:color="auto" w:fill="auto"/>
        </w:tcPr>
        <w:p w:rsidR="00C60E32" w:rsidRPr="00554873" w:rsidRDefault="00C60E32" w:rsidP="00E3126C">
          <w:pPr>
            <w:pStyle w:val="Header"/>
            <w:spacing w:before="109"/>
            <w:rPr>
              <w:lang w:val="fr-CH"/>
            </w:rPr>
          </w:pPr>
        </w:p>
      </w:tc>
      <w:tc>
        <w:tcPr>
          <w:tcW w:w="3280" w:type="dxa"/>
          <w:tcBorders>
            <w:top w:val="single" w:sz="4" w:space="0" w:color="auto"/>
            <w:bottom w:val="single" w:sz="12" w:space="0" w:color="auto"/>
          </w:tcBorders>
          <w:shd w:val="clear" w:color="auto" w:fill="auto"/>
        </w:tcPr>
        <w:p w:rsidR="00C60E32" w:rsidRPr="00554873" w:rsidRDefault="00C60E32" w:rsidP="00E3126C">
          <w:pPr>
            <w:pStyle w:val="Distribution"/>
            <w:rPr>
              <w:color w:val="000000"/>
              <w:lang w:val="fr-CH"/>
            </w:rPr>
          </w:pPr>
          <w:r w:rsidRPr="00554873">
            <w:rPr>
              <w:color w:val="000000"/>
              <w:lang w:val="fr-CH"/>
            </w:rPr>
            <w:t>Distr. générale</w:t>
          </w:r>
        </w:p>
        <w:p w:rsidR="00C60E32" w:rsidRPr="00554873" w:rsidRDefault="00C60E32" w:rsidP="00E3126C">
          <w:pPr>
            <w:pStyle w:val="Publication"/>
            <w:rPr>
              <w:color w:val="000000"/>
              <w:lang w:val="fr-CH"/>
            </w:rPr>
          </w:pPr>
          <w:r>
            <w:rPr>
              <w:color w:val="000000"/>
              <w:lang w:val="fr-CH"/>
            </w:rPr>
            <w:t xml:space="preserve">5 </w:t>
          </w:r>
          <w:r w:rsidRPr="00554873">
            <w:rPr>
              <w:color w:val="000000"/>
              <w:lang w:val="fr-CH"/>
            </w:rPr>
            <w:t>juin 2015</w:t>
          </w:r>
        </w:p>
        <w:p w:rsidR="00C60E32" w:rsidRPr="00554873" w:rsidRDefault="00C60E32" w:rsidP="00E3126C">
          <w:pPr>
            <w:rPr>
              <w:lang w:val="fr-CH"/>
            </w:rPr>
          </w:pPr>
          <w:r w:rsidRPr="00554873">
            <w:rPr>
              <w:lang w:val="fr-CH"/>
            </w:rPr>
            <w:t>Français</w:t>
          </w:r>
        </w:p>
        <w:p w:rsidR="00C60E32" w:rsidRPr="00554873" w:rsidRDefault="00C60E32" w:rsidP="00E3126C">
          <w:pPr>
            <w:pStyle w:val="Original"/>
            <w:rPr>
              <w:color w:val="000000"/>
              <w:lang w:val="fr-CH"/>
            </w:rPr>
          </w:pPr>
          <w:r w:rsidRPr="00554873">
            <w:rPr>
              <w:color w:val="000000"/>
              <w:lang w:val="fr-CH"/>
            </w:rPr>
            <w:t>Original</w:t>
          </w:r>
          <w:r>
            <w:rPr>
              <w:color w:val="000000"/>
              <w:lang w:val="fr-CH"/>
            </w:rPr>
            <w:t> :</w:t>
          </w:r>
          <w:r w:rsidRPr="00554873">
            <w:rPr>
              <w:color w:val="000000"/>
              <w:lang w:val="fr-CH"/>
            </w:rPr>
            <w:t xml:space="preserve"> anglais</w:t>
          </w:r>
        </w:p>
      </w:tc>
    </w:tr>
  </w:tbl>
  <w:p w:rsidR="00C60E32" w:rsidRPr="00554873" w:rsidRDefault="00C60E32" w:rsidP="00E3126C">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24E"/>
    <w:multiLevelType w:val="multilevel"/>
    <w:tmpl w:val="100C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nsid w:val="08CB124A"/>
    <w:multiLevelType w:val="multilevel"/>
    <w:tmpl w:val="A7388FA4"/>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B44FB9"/>
    <w:multiLevelType w:val="singleLevel"/>
    <w:tmpl w:val="2562A13E"/>
    <w:lvl w:ilvl="0">
      <w:start w:val="1"/>
      <w:numFmt w:val="decimal"/>
      <w:lvlRestart w:val="0"/>
      <w:lvlText w:val="%1."/>
      <w:lvlJc w:val="left"/>
      <w:pPr>
        <w:tabs>
          <w:tab w:val="num" w:pos="475"/>
        </w:tabs>
        <w:ind w:left="0" w:firstLine="0"/>
      </w:pPr>
      <w:rPr>
        <w:rFonts w:hint="default"/>
        <w:b w:val="0"/>
        <w:bCs/>
        <w:w w:val="100"/>
      </w:rPr>
    </w:lvl>
  </w:abstractNum>
  <w:abstractNum w:abstractNumId="7">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2D0013"/>
    <w:multiLevelType w:val="singleLevel"/>
    <w:tmpl w:val="100C000F"/>
    <w:lvl w:ilvl="0">
      <w:start w:val="1"/>
      <w:numFmt w:val="decimal"/>
      <w:lvlText w:val="%1."/>
      <w:lvlJc w:val="left"/>
      <w:pPr>
        <w:ind w:left="720" w:hanging="360"/>
      </w:pPr>
    </w:lvl>
  </w:abstractNum>
  <w:num w:numId="1">
    <w:abstractNumId w:val="4"/>
  </w:num>
  <w:num w:numId="2">
    <w:abstractNumId w:val="3"/>
  </w:num>
  <w:num w:numId="3">
    <w:abstractNumId w:val="5"/>
  </w:num>
  <w:num w:numId="4">
    <w:abstractNumId w:val="7"/>
  </w:num>
  <w:num w:numId="5">
    <w:abstractNumId w:val="1"/>
  </w:num>
  <w:num w:numId="6">
    <w:abstractNumId w:val="2"/>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stylePaneSortMethod w:val="0003"/>
  <w:revisionView w:markup="0"/>
  <w:defaultTabStop w:val="475"/>
  <w:hyphenationZone w:val="425"/>
  <w:doNotHyphenateCaps/>
  <w:evenAndOddHeaders/>
  <w:characterSpacingControl w:val="doNotCompress"/>
  <w:hdrShapeDefaults>
    <o:shapedefaults v:ext="edit" spidmax="20481"/>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08912*"/>
    <w:docVar w:name="CreationDt" w:val="1/14/2016 6:13: PM"/>
    <w:docVar w:name="DocCategory" w:val="Doc"/>
    <w:docVar w:name="DocType" w:val="Final"/>
    <w:docVar w:name="DutyStation" w:val="Geneva"/>
    <w:docVar w:name="FooterJN" w:val="GE.15-08912"/>
    <w:docVar w:name="jobn" w:val="GE.15-08912 (F)"/>
    <w:docVar w:name="jobnDT" w:val="GE.15-08912 (F)   140116"/>
    <w:docVar w:name="jobnDTDT" w:val="GE.15-08912 (F)   140116   140116"/>
    <w:docVar w:name="JobNo" w:val="GE.1508912F"/>
    <w:docVar w:name="JobNo2" w:val="GE.1511360F"/>
    <w:docVar w:name="LocalDrive" w:val="0"/>
    <w:docVar w:name="OandT" w:val="N.Morin"/>
    <w:docVar w:name="PaperSize" w:val="A4"/>
    <w:docVar w:name="sss1" w:val="ECE/TRANS/248"/>
    <w:docVar w:name="sss2" w:val="-"/>
    <w:docVar w:name="Symbol1" w:val="ECE/TRANS/248"/>
    <w:docVar w:name="Symbol2" w:val="-"/>
  </w:docVars>
  <w:rsids>
    <w:rsidRoot w:val="00E043A8"/>
    <w:rsid w:val="000015B8"/>
    <w:rsid w:val="000046A5"/>
    <w:rsid w:val="000055FB"/>
    <w:rsid w:val="00006E93"/>
    <w:rsid w:val="00010C97"/>
    <w:rsid w:val="00014BCC"/>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3B6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762"/>
    <w:rsid w:val="000E1ABE"/>
    <w:rsid w:val="000F04A8"/>
    <w:rsid w:val="000F1B8A"/>
    <w:rsid w:val="000F299A"/>
    <w:rsid w:val="000F36A0"/>
    <w:rsid w:val="000F53E9"/>
    <w:rsid w:val="000F6A05"/>
    <w:rsid w:val="000F6E7D"/>
    <w:rsid w:val="00101B00"/>
    <w:rsid w:val="001027E2"/>
    <w:rsid w:val="0010575E"/>
    <w:rsid w:val="00106549"/>
    <w:rsid w:val="0010758E"/>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777"/>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577AF"/>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2830"/>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133C"/>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06E5"/>
    <w:rsid w:val="004C1A6A"/>
    <w:rsid w:val="004C304C"/>
    <w:rsid w:val="004C38FF"/>
    <w:rsid w:val="004C4024"/>
    <w:rsid w:val="004C5C41"/>
    <w:rsid w:val="004D13C8"/>
    <w:rsid w:val="004D4F44"/>
    <w:rsid w:val="004D5D20"/>
    <w:rsid w:val="004D6212"/>
    <w:rsid w:val="004D789D"/>
    <w:rsid w:val="004E0FB8"/>
    <w:rsid w:val="004E272F"/>
    <w:rsid w:val="004E2B64"/>
    <w:rsid w:val="004E4258"/>
    <w:rsid w:val="004E47A4"/>
    <w:rsid w:val="004F173B"/>
    <w:rsid w:val="004F1F9F"/>
    <w:rsid w:val="004F2765"/>
    <w:rsid w:val="004F5238"/>
    <w:rsid w:val="004F53F0"/>
    <w:rsid w:val="004F69D3"/>
    <w:rsid w:val="004F6B7C"/>
    <w:rsid w:val="005049A9"/>
    <w:rsid w:val="00504A8B"/>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873"/>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68F8"/>
    <w:rsid w:val="005B74B8"/>
    <w:rsid w:val="005C1353"/>
    <w:rsid w:val="005C1587"/>
    <w:rsid w:val="005C3A63"/>
    <w:rsid w:val="005C5C75"/>
    <w:rsid w:val="005C65C2"/>
    <w:rsid w:val="005C765D"/>
    <w:rsid w:val="005C7B4D"/>
    <w:rsid w:val="005D36AF"/>
    <w:rsid w:val="005D7CA9"/>
    <w:rsid w:val="005E0F5F"/>
    <w:rsid w:val="005F0D9B"/>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01B8"/>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0A8"/>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377"/>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31B"/>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3681"/>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75E"/>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907"/>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96B39"/>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63C4"/>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57E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C6B0B"/>
    <w:rsid w:val="00BD0917"/>
    <w:rsid w:val="00BD1607"/>
    <w:rsid w:val="00BD45A0"/>
    <w:rsid w:val="00BD45BA"/>
    <w:rsid w:val="00BD5DA5"/>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5CDD"/>
    <w:rsid w:val="00C26CD3"/>
    <w:rsid w:val="00C3047B"/>
    <w:rsid w:val="00C30749"/>
    <w:rsid w:val="00C3163F"/>
    <w:rsid w:val="00C33BFB"/>
    <w:rsid w:val="00C35E4D"/>
    <w:rsid w:val="00C436F7"/>
    <w:rsid w:val="00C45692"/>
    <w:rsid w:val="00C46175"/>
    <w:rsid w:val="00C472E3"/>
    <w:rsid w:val="00C47E57"/>
    <w:rsid w:val="00C55B02"/>
    <w:rsid w:val="00C56142"/>
    <w:rsid w:val="00C56B3A"/>
    <w:rsid w:val="00C56EFE"/>
    <w:rsid w:val="00C57F00"/>
    <w:rsid w:val="00C60C0B"/>
    <w:rsid w:val="00C60E32"/>
    <w:rsid w:val="00C66382"/>
    <w:rsid w:val="00C67F09"/>
    <w:rsid w:val="00C72788"/>
    <w:rsid w:val="00C75F9C"/>
    <w:rsid w:val="00C76A5E"/>
    <w:rsid w:val="00C770FD"/>
    <w:rsid w:val="00C77288"/>
    <w:rsid w:val="00C82A87"/>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8BF"/>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BB1"/>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3389"/>
    <w:rsid w:val="00D57D07"/>
    <w:rsid w:val="00D618E7"/>
    <w:rsid w:val="00D619A2"/>
    <w:rsid w:val="00D6375A"/>
    <w:rsid w:val="00D64A77"/>
    <w:rsid w:val="00D66712"/>
    <w:rsid w:val="00D66AB5"/>
    <w:rsid w:val="00D67265"/>
    <w:rsid w:val="00D676A0"/>
    <w:rsid w:val="00D70856"/>
    <w:rsid w:val="00D73117"/>
    <w:rsid w:val="00D73D86"/>
    <w:rsid w:val="00D8335C"/>
    <w:rsid w:val="00D9068D"/>
    <w:rsid w:val="00D90693"/>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3FAC"/>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43A8"/>
    <w:rsid w:val="00E0543E"/>
    <w:rsid w:val="00E0753F"/>
    <w:rsid w:val="00E10BF1"/>
    <w:rsid w:val="00E11B5C"/>
    <w:rsid w:val="00E13E2B"/>
    <w:rsid w:val="00E22DB7"/>
    <w:rsid w:val="00E23C1B"/>
    <w:rsid w:val="00E24D2B"/>
    <w:rsid w:val="00E25DDC"/>
    <w:rsid w:val="00E3126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76061"/>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009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E3126C"/>
    <w:rPr>
      <w:sz w:val="16"/>
      <w:szCs w:val="16"/>
    </w:rPr>
  </w:style>
  <w:style w:type="paragraph" w:styleId="CommentText">
    <w:name w:val="annotation text"/>
    <w:basedOn w:val="Normal"/>
    <w:link w:val="CommentTextChar"/>
    <w:uiPriority w:val="99"/>
    <w:semiHidden/>
    <w:unhideWhenUsed/>
    <w:rsid w:val="00E3126C"/>
    <w:pPr>
      <w:spacing w:line="240" w:lineRule="auto"/>
    </w:pPr>
    <w:rPr>
      <w:szCs w:val="20"/>
    </w:rPr>
  </w:style>
  <w:style w:type="character" w:customStyle="1" w:styleId="CommentTextChar">
    <w:name w:val="Comment Text Char"/>
    <w:basedOn w:val="DefaultParagraphFont"/>
    <w:link w:val="CommentText"/>
    <w:uiPriority w:val="99"/>
    <w:semiHidden/>
    <w:rsid w:val="00E3126C"/>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E3126C"/>
    <w:rPr>
      <w:b/>
      <w:bCs/>
    </w:rPr>
  </w:style>
  <w:style w:type="character" w:customStyle="1" w:styleId="CommentSubjectChar">
    <w:name w:val="Comment Subject Char"/>
    <w:basedOn w:val="CommentTextChar"/>
    <w:link w:val="CommentSubject"/>
    <w:uiPriority w:val="99"/>
    <w:semiHidden/>
    <w:rsid w:val="00E3126C"/>
    <w:rPr>
      <w:rFonts w:ascii="Times New Roman" w:hAnsi="Times New Roman"/>
      <w:b/>
      <w:bCs/>
      <w:spacing w:val="4"/>
      <w:w w:val="103"/>
      <w:kern w:val="14"/>
      <w:lang w:val="fr-CA"/>
    </w:rPr>
  </w:style>
  <w:style w:type="character" w:styleId="Hyperlink">
    <w:name w:val="Hyperlink"/>
    <w:uiPriority w:val="99"/>
    <w:semiHidden/>
    <w:unhideWhenUsed/>
    <w:rsid w:val="00554873"/>
    <w:rPr>
      <w:strike w:val="0"/>
      <w:dstrike w:val="0"/>
      <w:color w:val="auto"/>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E3126C"/>
    <w:rPr>
      <w:sz w:val="16"/>
      <w:szCs w:val="16"/>
    </w:rPr>
  </w:style>
  <w:style w:type="paragraph" w:styleId="CommentText">
    <w:name w:val="annotation text"/>
    <w:basedOn w:val="Normal"/>
    <w:link w:val="CommentTextChar"/>
    <w:uiPriority w:val="99"/>
    <w:semiHidden/>
    <w:unhideWhenUsed/>
    <w:rsid w:val="00E3126C"/>
    <w:pPr>
      <w:spacing w:line="240" w:lineRule="auto"/>
    </w:pPr>
    <w:rPr>
      <w:szCs w:val="20"/>
    </w:rPr>
  </w:style>
  <w:style w:type="character" w:customStyle="1" w:styleId="CommentTextChar">
    <w:name w:val="Comment Text Char"/>
    <w:basedOn w:val="DefaultParagraphFont"/>
    <w:link w:val="CommentText"/>
    <w:uiPriority w:val="99"/>
    <w:semiHidden/>
    <w:rsid w:val="00E3126C"/>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E3126C"/>
    <w:rPr>
      <w:b/>
      <w:bCs/>
    </w:rPr>
  </w:style>
  <w:style w:type="character" w:customStyle="1" w:styleId="CommentSubjectChar">
    <w:name w:val="Comment Subject Char"/>
    <w:basedOn w:val="CommentTextChar"/>
    <w:link w:val="CommentSubject"/>
    <w:uiPriority w:val="99"/>
    <w:semiHidden/>
    <w:rsid w:val="00E3126C"/>
    <w:rPr>
      <w:rFonts w:ascii="Times New Roman" w:hAnsi="Times New Roman"/>
      <w:b/>
      <w:bCs/>
      <w:spacing w:val="4"/>
      <w:w w:val="103"/>
      <w:kern w:val="14"/>
      <w:lang w:val="fr-CA"/>
    </w:rPr>
  </w:style>
  <w:style w:type="character" w:styleId="Hyperlink">
    <w:name w:val="Hyperlink"/>
    <w:uiPriority w:val="99"/>
    <w:semiHidden/>
    <w:unhideWhenUsed/>
    <w:rsid w:val="00554873"/>
    <w:rPr>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54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2.unece.org/wiki/display/TransportSustainableCTUCode/CTU+Co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6FA9A-EF25-4687-AA07-D7A77028A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14053</Words>
  <Characters>80105</Characters>
  <Application>Microsoft Office Word</Application>
  <DocSecurity>4</DocSecurity>
  <Lines>667</Lines>
  <Paragraphs>187</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93971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Morin</dc:creator>
  <cp:lastModifiedBy>Anastasia Barinova</cp:lastModifiedBy>
  <cp:revision>2</cp:revision>
  <cp:lastPrinted>2016-01-18T10:30:00Z</cp:lastPrinted>
  <dcterms:created xsi:type="dcterms:W3CDTF">2016-01-18T10:49:00Z</dcterms:created>
  <dcterms:modified xsi:type="dcterms:W3CDTF">2016-01-18T10:49:00Z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1508912F</vt:lpwstr>
  </property>
  <property fmtid="{D5CDD505-2E9C-101B-9397-08002B2CF9AE}" pid="3" name="ODSRefJobNo">
    <vt:lpwstr>1511360F</vt:lpwstr>
  </property>
  <property fmtid="{D5CDD505-2E9C-101B-9397-08002B2CF9AE}" pid="4" name="Symbol1">
    <vt:lpwstr>ECE/TRANS/248</vt:lpwstr>
  </property>
  <property fmtid="{D5CDD505-2E9C-101B-9397-08002B2CF9AE}" pid="5" name="Symbol2">
    <vt:lpwstr/>
  </property>
  <property fmtid="{D5CDD505-2E9C-101B-9397-08002B2CF9AE}" pid="6" name="Translator">
    <vt:lpwstr/>
  </property>
  <property fmtid="{D5CDD505-2E9C-101B-9397-08002B2CF9AE}" pid="7" name="Operator">
    <vt:lpwstr>N.Morin</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4 juin 2015</vt:lpwstr>
  </property>
  <property fmtid="{D5CDD505-2E9C-101B-9397-08002B2CF9AE}" pid="12" name="Original">
    <vt:lpwstr>anglais</vt:lpwstr>
  </property>
  <property fmtid="{D5CDD505-2E9C-101B-9397-08002B2CF9AE}" pid="13" name="Release Date">
    <vt:lpwstr>140116</vt:lpwstr>
  </property>
</Properties>
</file>