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CA7A0C">
      <w:pPr>
        <w:spacing w:before="120" w:after="0" w:line="240" w:lineRule="atLeast"/>
        <w:rPr>
          <w:sz w:val="28"/>
          <w:szCs w:val="28"/>
        </w:rPr>
      </w:pPr>
      <w:r>
        <w:rPr>
          <w:b/>
          <w:sz w:val="28"/>
          <w:szCs w:val="28"/>
        </w:rPr>
        <w:t>Economic Commission for Europe</w:t>
      </w:r>
    </w:p>
    <w:p w:rsidR="00000000" w:rsidRDefault="00CA7A0C">
      <w:pPr>
        <w:spacing w:before="120" w:after="0" w:line="240" w:lineRule="atLeast"/>
        <w:rPr>
          <w:b/>
          <w:szCs w:val="24"/>
        </w:rPr>
      </w:pPr>
      <w:r>
        <w:rPr>
          <w:sz w:val="28"/>
          <w:szCs w:val="28"/>
        </w:rPr>
        <w:t>Inland Transport Committee</w:t>
      </w:r>
    </w:p>
    <w:p w:rsidR="00000000" w:rsidRDefault="00CA7A0C">
      <w:pPr>
        <w:tabs>
          <w:tab w:val="left" w:pos="7938"/>
        </w:tabs>
        <w:spacing w:before="120" w:after="0" w:line="240" w:lineRule="atLeast"/>
        <w:rPr>
          <w:b/>
        </w:rPr>
      </w:pPr>
      <w:r>
        <w:rPr>
          <w:b/>
          <w:szCs w:val="24"/>
        </w:rPr>
        <w:t>Working Party on the Transport of Dangerous Goods</w:t>
      </w:r>
      <w:r>
        <w:rPr>
          <w:b/>
          <w:szCs w:val="24"/>
        </w:rPr>
        <w:tab/>
        <w:t>22</w:t>
      </w:r>
      <w:r>
        <w:rPr>
          <w:b/>
        </w:rPr>
        <w:t xml:space="preserve"> September 2015</w:t>
      </w:r>
    </w:p>
    <w:p w:rsidR="00000000" w:rsidRDefault="00CA7A0C">
      <w:pPr>
        <w:spacing w:before="120" w:after="120" w:line="240" w:lineRule="atLeast"/>
      </w:pPr>
      <w:r>
        <w:rPr>
          <w:b/>
        </w:rPr>
        <w:t xml:space="preserve">Joint Meeting of the RID Committee of Experts and the </w:t>
      </w:r>
      <w:r>
        <w:rPr>
          <w:b/>
        </w:rPr>
        <w:br/>
        <w:t>Working Party on the Transport of Dangerous Goods</w:t>
      </w:r>
    </w:p>
    <w:p w:rsidR="00000000" w:rsidRDefault="00CA7A0C" w:rsidP="006263EE">
      <w:pPr>
        <w:spacing w:after="0" w:line="240" w:lineRule="atLeast"/>
        <w:rPr>
          <w:b/>
        </w:rPr>
      </w:pPr>
      <w:r>
        <w:t>Geneva, 15–25 September 2</w:t>
      </w:r>
      <w:r>
        <w:t>015</w:t>
      </w:r>
      <w:r>
        <w:br/>
        <w:t>Item 11 of the provisional agenda</w:t>
      </w:r>
    </w:p>
    <w:p w:rsidR="00000000" w:rsidRDefault="006263EE" w:rsidP="006263EE">
      <w:pPr>
        <w:spacing w:after="0" w:line="240" w:lineRule="atLeast"/>
      </w:pPr>
      <w:r>
        <w:rPr>
          <w:b/>
        </w:rPr>
        <w:t>Any o</w:t>
      </w:r>
      <w:r w:rsidR="00CA7A0C">
        <w:rPr>
          <w:b/>
        </w:rPr>
        <w:t>ther business</w:t>
      </w:r>
    </w:p>
    <w:p w:rsidR="00000000" w:rsidRDefault="00CA7A0C" w:rsidP="00CA7A0C">
      <w:pPr>
        <w:pStyle w:val="HChG"/>
        <w:suppressAutoHyphens w:val="0"/>
        <w:spacing w:before="240"/>
      </w:pPr>
      <w:r>
        <w:tab/>
      </w:r>
      <w:r>
        <w:tab/>
      </w:r>
      <w:r>
        <w:rPr>
          <w:lang w:eastAsia="en-US"/>
        </w:rPr>
        <w:t>Revisions to Special Provision 188</w:t>
      </w:r>
    </w:p>
    <w:p w:rsidR="00000000" w:rsidRDefault="00CA7A0C" w:rsidP="00CA7A0C">
      <w:pPr>
        <w:pStyle w:val="H1G"/>
        <w:suppressAutoHyphens w:val="0"/>
        <w:spacing w:before="240"/>
      </w:pPr>
      <w:r>
        <w:tab/>
      </w:r>
      <w:r>
        <w:tab/>
      </w:r>
      <w:r>
        <w:rPr>
          <w:lang w:eastAsia="en-US"/>
        </w:rPr>
        <w:t>Transmitted by the Governments of the United Kingdom and of the United States of America</w:t>
      </w:r>
    </w:p>
    <w:p w:rsidR="00000000" w:rsidRPr="006263EE" w:rsidRDefault="006263EE" w:rsidP="006263EE">
      <w:pPr>
        <w:pStyle w:val="SingleTxtG"/>
        <w:spacing w:line="240" w:lineRule="atLeast"/>
        <w:rPr>
          <w:lang w:eastAsia="en-US"/>
        </w:rPr>
      </w:pPr>
      <w:r>
        <w:rPr>
          <w:lang w:eastAsia="en-US"/>
        </w:rPr>
        <w:t>1.</w:t>
      </w:r>
      <w:r>
        <w:rPr>
          <w:lang w:eastAsia="en-US"/>
        </w:rPr>
        <w:tab/>
      </w:r>
      <w:r w:rsidR="00CA7A0C">
        <w:rPr>
          <w:lang w:eastAsia="en-US"/>
        </w:rPr>
        <w:t>During its present session, the Joint Meeting has considered amendments res</w:t>
      </w:r>
      <w:r w:rsidR="00CA7A0C">
        <w:rPr>
          <w:lang w:eastAsia="en-US"/>
        </w:rPr>
        <w:t>ulting from harmonization with the United Nations Recommendations on the Transport of Dangerous Goods including the following amendment to Special Provision 188</w:t>
      </w:r>
      <w:r w:rsidR="00CA7A0C" w:rsidRPr="006263EE">
        <w:rPr>
          <w:lang w:eastAsia="en-US"/>
        </w:rPr>
        <w:footnoteReference w:id="1"/>
      </w:r>
      <w:r w:rsidR="00CA7A0C">
        <w:rPr>
          <w:lang w:eastAsia="en-US"/>
        </w:rPr>
        <w:t xml:space="preserve"> regarding the transport of lithium batteries: </w:t>
      </w:r>
    </w:p>
    <w:p w:rsidR="00000000" w:rsidRDefault="00CA7A0C">
      <w:pPr>
        <w:pStyle w:val="SingleTxtG"/>
      </w:pPr>
      <w:r>
        <w:rPr>
          <w:iCs/>
        </w:rPr>
        <w:t>SP188 (f)</w:t>
      </w:r>
      <w:r>
        <w:rPr>
          <w:iCs/>
        </w:rPr>
        <w:tab/>
        <w:t>Amend to read as follows:</w:t>
      </w:r>
    </w:p>
    <w:p w:rsidR="00000000" w:rsidRDefault="00CA7A0C">
      <w:pPr>
        <w:suppressAutoHyphens w:val="0"/>
        <w:autoSpaceDE w:val="0"/>
        <w:spacing w:after="120"/>
        <w:ind w:left="1134" w:right="1134"/>
        <w:jc w:val="both"/>
      </w:pPr>
      <w:r>
        <w:t>“</w:t>
      </w:r>
      <w:r>
        <w:t>(f)</w:t>
      </w:r>
      <w:r>
        <w:tab/>
        <w:t>Each p</w:t>
      </w:r>
      <w:r>
        <w:t xml:space="preserve">ackage shall be marked with the </w:t>
      </w:r>
      <w:r>
        <w:t xml:space="preserve">appropriate lithium battery mark, as illustrated in 5.2.1.9; </w:t>
      </w:r>
      <w:proofErr w:type="gramStart"/>
      <w:r>
        <w:t>This</w:t>
      </w:r>
      <w:proofErr w:type="gramEnd"/>
      <w:r>
        <w:t xml:space="preserve"> requirement does not apply to:</w:t>
      </w:r>
    </w:p>
    <w:p w:rsidR="00000000" w:rsidRDefault="00CA7A0C">
      <w:pPr>
        <w:numPr>
          <w:ilvl w:val="0"/>
          <w:numId w:val="3"/>
        </w:numPr>
        <w:suppressAutoHyphens w:val="0"/>
        <w:autoSpaceDE w:val="0"/>
        <w:spacing w:after="120"/>
        <w:ind w:left="1701" w:right="1134" w:firstLine="0"/>
        <w:jc w:val="both"/>
      </w:pPr>
      <w:r>
        <w:t>packages containing only button cell batteries installed in equipment (including circuit boards); and</w:t>
      </w:r>
    </w:p>
    <w:p w:rsidR="00000000" w:rsidRDefault="00CA7A0C">
      <w:pPr>
        <w:numPr>
          <w:ilvl w:val="0"/>
          <w:numId w:val="3"/>
        </w:numPr>
        <w:tabs>
          <w:tab w:val="left" w:pos="1854"/>
        </w:tabs>
        <w:suppressAutoHyphens w:val="0"/>
        <w:autoSpaceDE w:val="0"/>
        <w:spacing w:after="120"/>
        <w:ind w:left="1701" w:right="1134" w:firstLine="0"/>
        <w:jc w:val="both"/>
      </w:pPr>
      <w:proofErr w:type="gramStart"/>
      <w:r>
        <w:t>packages</w:t>
      </w:r>
      <w:proofErr w:type="gramEnd"/>
      <w:r>
        <w:t xml:space="preserve"> containing no mo</w:t>
      </w:r>
      <w:r>
        <w:t xml:space="preserve">re than four cells or two batteries installed in equipment, </w:t>
      </w:r>
      <w:r>
        <w:t>where there are not more than two packages in the consignment</w:t>
      </w:r>
      <w:r>
        <w:t>.”.</w:t>
      </w:r>
    </w:p>
    <w:p w:rsidR="00000000" w:rsidRDefault="006263EE" w:rsidP="006263EE">
      <w:pPr>
        <w:pStyle w:val="SingleTxtG"/>
        <w:spacing w:line="240" w:lineRule="atLeast"/>
      </w:pPr>
      <w:r>
        <w:t>2.</w:t>
      </w:r>
      <w:r>
        <w:tab/>
      </w:r>
      <w:r w:rsidR="00CA7A0C">
        <w:t>This amendment adopted by the UN Sub-Committee of Experts on the Transport of Dangerous Goods at its December 2014 session was base</w:t>
      </w:r>
      <w:r w:rsidR="00CA7A0C">
        <w:t>d on a late informal document submitted during the session by the Portable Rechargeable Battery Association and RECHARGE</w:t>
      </w:r>
      <w:r w:rsidR="00CA7A0C">
        <w:rPr>
          <w:rStyle w:val="FootnoteReference0"/>
        </w:rPr>
        <w:footnoteReference w:id="2"/>
      </w:r>
      <w:r w:rsidR="00CA7A0C">
        <w:t xml:space="preserve"> in response to a working document from the International Air Transport Association</w:t>
      </w:r>
      <w:r w:rsidR="00CA7A0C">
        <w:rPr>
          <w:rStyle w:val="FootnoteReference0"/>
        </w:rPr>
        <w:footnoteReference w:id="3"/>
      </w:r>
      <w:r w:rsidR="00CA7A0C">
        <w:t xml:space="preserve"> regarding consideration of what constitutes “equip</w:t>
      </w:r>
      <w:r w:rsidR="00CA7A0C">
        <w:t>ment</w:t>
      </w:r>
      <w:proofErr w:type="gramStart"/>
      <w:r w:rsidR="00CA7A0C">
        <w:t>”  for</w:t>
      </w:r>
      <w:proofErr w:type="gramEnd"/>
      <w:r w:rsidR="00CA7A0C">
        <w:t xml:space="preserve"> the purposes of Special Provision 188.  The amendment adopted however did not directly address the issue raised by IATA (i.e. clarify the meaning of the term “equipment”).  Rather, the amendment resulted in a new requirement that all packages co</w:t>
      </w:r>
      <w:r w:rsidR="00CA7A0C">
        <w:t xml:space="preserve">ntaining lithium batteries in equipment </w:t>
      </w:r>
      <w:proofErr w:type="gramStart"/>
      <w:r w:rsidR="00CA7A0C">
        <w:t>be</w:t>
      </w:r>
      <w:proofErr w:type="gramEnd"/>
      <w:r w:rsidR="00CA7A0C">
        <w:t xml:space="preserve"> marked in accordance with SP 188 when a consignment in</w:t>
      </w:r>
      <w:bookmarkStart w:id="0" w:name="_GoBack"/>
      <w:bookmarkEnd w:id="0"/>
      <w:r w:rsidR="00CA7A0C">
        <w:t>cludes more than two packages.</w:t>
      </w:r>
    </w:p>
    <w:p w:rsidR="00000000" w:rsidRDefault="006263EE" w:rsidP="006263EE">
      <w:pPr>
        <w:pStyle w:val="SingleTxtG"/>
        <w:spacing w:line="240" w:lineRule="atLeast"/>
        <w:rPr>
          <w:u w:val="single"/>
        </w:rPr>
      </w:pPr>
      <w:r>
        <w:t>3.</w:t>
      </w:r>
      <w:r>
        <w:tab/>
      </w:r>
      <w:r w:rsidR="00CA7A0C">
        <w:t>Under the current RID/ADR/ADN packages containing no more than four cells or two batteries installed in equipment are not requir</w:t>
      </w:r>
      <w:r w:rsidR="00CA7A0C">
        <w:t>ed to be marked in accordance with SP 188 irrespective of the number of packages in a consignment.  As the amendment adopted by the UN Sub-Committee was based on a late informal document submitted to its December 2014 session</w:t>
      </w:r>
      <w:proofErr w:type="gramStart"/>
      <w:r w:rsidR="00CA7A0C">
        <w:t>,  delegations</w:t>
      </w:r>
      <w:proofErr w:type="gramEnd"/>
      <w:r w:rsidR="00CA7A0C">
        <w:t xml:space="preserve"> would not have h</w:t>
      </w:r>
      <w:r w:rsidR="00CA7A0C">
        <w:t>ad the prior opportunity to consult with interested parties so as to fully assess impact.  Under the normal transition period provided within ADR/RID/ADN, the new requirement will take effect on 1 July 2017.  Delegates to the Joint Meeting may wish to cons</w:t>
      </w:r>
      <w:r w:rsidR="00CA7A0C">
        <w:t>ider consulting further with interested parties to assess whether the standard transition period provided is sufficient considering the potentially substantive impact of the amendment.</w:t>
      </w:r>
    </w:p>
    <w:p w:rsidR="00000000" w:rsidRDefault="00CA7A0C">
      <w:pPr>
        <w:pStyle w:val="SingleTxtG"/>
        <w:spacing w:before="240" w:after="0" w:line="240" w:lineRule="atLeast"/>
        <w:jc w:val="center"/>
      </w:pPr>
      <w:r>
        <w:rPr>
          <w:u w:val="single"/>
        </w:rPr>
        <w:lastRenderedPageBreak/>
        <w:tab/>
      </w:r>
      <w:r>
        <w:rPr>
          <w:u w:val="single"/>
        </w:rPr>
        <w:tab/>
      </w:r>
      <w:r>
        <w:rPr>
          <w:u w:val="single"/>
        </w:rPr>
        <w:tab/>
      </w:r>
    </w:p>
    <w:sectPr w:rsidR="00000000">
      <w:headerReference w:type="even" r:id="rId8"/>
      <w:headerReference w:type="default" r:id="rId9"/>
      <w:footerReference w:type="even" r:id="rId10"/>
      <w:footerReference w:type="default" r:id="rId11"/>
      <w:pgSz w:w="11906" w:h="16838"/>
      <w:pgMar w:top="1134" w:right="1134" w:bottom="1700" w:left="1134" w:header="567" w:footer="567"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A7A0C">
      <w:pPr>
        <w:spacing w:after="0"/>
      </w:pPr>
      <w:r>
        <w:separator/>
      </w:r>
    </w:p>
  </w:endnote>
  <w:endnote w:type="continuationSeparator" w:id="0">
    <w:p w:rsidR="00000000" w:rsidRDefault="00CA7A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77A36">
    <w:pPr>
      <w:pStyle w:val="Footer"/>
    </w:pPr>
    <w:r>
      <w:rPr>
        <w:noProof/>
        <w:lang w:eastAsia="en-GB"/>
      </w:rPr>
      <w:drawing>
        <wp:anchor distT="0" distB="0" distL="114300" distR="114300" simplePos="0" relativeHeight="251658240" behindDoc="0" locked="0" layoutInCell="1" allowOverlap="1">
          <wp:simplePos x="0" y="0"/>
          <wp:positionH relativeFrom="column">
            <wp:posOffset>5148580</wp:posOffset>
          </wp:positionH>
          <wp:positionV relativeFrom="paragraph">
            <wp:posOffset>43815</wp:posOffset>
          </wp:positionV>
          <wp:extent cx="928370" cy="11557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1155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77A36">
    <w:pPr>
      <w:pStyle w:val="Footer"/>
    </w:pPr>
    <w:r>
      <w:rPr>
        <w:noProof/>
        <w:lang w:eastAsia="en-GB"/>
      </w:rPr>
      <w:drawing>
        <wp:anchor distT="0" distB="0" distL="114300" distR="114300" simplePos="0" relativeHeight="251657216" behindDoc="1" locked="0" layoutInCell="1" allowOverlap="1">
          <wp:simplePos x="0" y="0"/>
          <wp:positionH relativeFrom="column">
            <wp:posOffset>5147310</wp:posOffset>
          </wp:positionH>
          <wp:positionV relativeFrom="paragraph">
            <wp:posOffset>-175895</wp:posOffset>
          </wp:positionV>
          <wp:extent cx="918168" cy="247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250402"/>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A7A0C">
      <w:pPr>
        <w:spacing w:after="0"/>
      </w:pPr>
      <w:r>
        <w:separator/>
      </w:r>
    </w:p>
  </w:footnote>
  <w:footnote w:type="continuationSeparator" w:id="0">
    <w:p w:rsidR="00000000" w:rsidRDefault="00CA7A0C">
      <w:pPr>
        <w:spacing w:after="0"/>
      </w:pPr>
      <w:r>
        <w:continuationSeparator/>
      </w:r>
    </w:p>
  </w:footnote>
  <w:footnote w:id="1">
    <w:p w:rsidR="00000000" w:rsidRPr="006263EE" w:rsidRDefault="00CA7A0C" w:rsidP="00CA7A0C">
      <w:pPr>
        <w:pStyle w:val="SingleTxtG"/>
        <w:rPr>
          <w:sz w:val="18"/>
          <w:szCs w:val="18"/>
        </w:rPr>
      </w:pPr>
      <w:r w:rsidRPr="006263EE">
        <w:rPr>
          <w:rStyle w:val="FootnoteCharacters"/>
          <w:sz w:val="18"/>
          <w:szCs w:val="18"/>
        </w:rPr>
        <w:footnoteRef/>
      </w:r>
      <w:r w:rsidRPr="006263EE">
        <w:rPr>
          <w:sz w:val="18"/>
          <w:szCs w:val="18"/>
        </w:rPr>
        <w:tab/>
        <w:t xml:space="preserve"> See </w:t>
      </w:r>
      <w:hyperlink r:id="rId1" w:history="1">
        <w:r w:rsidRPr="006263EE">
          <w:rPr>
            <w:rStyle w:val="Hyperlink"/>
            <w:sz w:val="18"/>
            <w:szCs w:val="18"/>
          </w:rPr>
          <w:t>ECE/TRANS/WP.15/AC.1/2015/23/Add.1</w:t>
        </w:r>
      </w:hyperlink>
      <w:r w:rsidRPr="006263EE">
        <w:rPr>
          <w:sz w:val="18"/>
          <w:szCs w:val="18"/>
        </w:rPr>
        <w:t xml:space="preserve"> </w:t>
      </w:r>
    </w:p>
  </w:footnote>
  <w:footnote w:id="2">
    <w:p w:rsidR="00000000" w:rsidRPr="006263EE" w:rsidRDefault="00CA7A0C" w:rsidP="00CA7A0C">
      <w:pPr>
        <w:pStyle w:val="SingleTxtG"/>
        <w:rPr>
          <w:sz w:val="18"/>
          <w:szCs w:val="18"/>
        </w:rPr>
      </w:pPr>
      <w:r w:rsidRPr="006263EE">
        <w:rPr>
          <w:rStyle w:val="FootnoteCharacters"/>
          <w:sz w:val="18"/>
          <w:szCs w:val="18"/>
        </w:rPr>
        <w:footnoteRef/>
      </w:r>
      <w:r w:rsidRPr="006263EE">
        <w:rPr>
          <w:sz w:val="18"/>
          <w:szCs w:val="18"/>
        </w:rPr>
        <w:tab/>
        <w:t>See  ST/SG/AC.10/C.3/2014/INF.70</w:t>
      </w:r>
    </w:p>
  </w:footnote>
  <w:footnote w:id="3">
    <w:p w:rsidR="00000000" w:rsidRPr="006263EE" w:rsidRDefault="00CA7A0C" w:rsidP="00CA7A0C">
      <w:pPr>
        <w:pStyle w:val="SingleTxtG"/>
        <w:rPr>
          <w:sz w:val="18"/>
          <w:szCs w:val="18"/>
        </w:rPr>
      </w:pPr>
      <w:r w:rsidRPr="006263EE">
        <w:rPr>
          <w:rStyle w:val="FootnoteCharacters"/>
          <w:sz w:val="18"/>
          <w:szCs w:val="18"/>
        </w:rPr>
        <w:footnoteRef/>
      </w:r>
      <w:r w:rsidRPr="006263EE">
        <w:rPr>
          <w:sz w:val="18"/>
          <w:szCs w:val="18"/>
        </w:rPr>
        <w:tab/>
        <w:t>See ST/SG/AC.10/C.3/2014/101 (IATA)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A7A0C">
    <w:pPr>
      <w:pStyle w:val="Header"/>
      <w:pBdr>
        <w:bottom w:val="single" w:sz="4" w:space="1" w:color="000000"/>
      </w:pBdr>
      <w:jc w:val="right"/>
    </w:pPr>
    <w:r>
      <w:rPr>
        <w:sz w:val="28"/>
        <w:szCs w:val="28"/>
      </w:rPr>
      <w:t>INF.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A7A0C">
    <w:pPr>
      <w:pStyle w:val="Header"/>
      <w:pBdr>
        <w:bottom w:val="single" w:sz="4" w:space="1" w:color="000000"/>
      </w:pBdr>
      <w:jc w:val="right"/>
    </w:pPr>
    <w:r>
      <w:rPr>
        <w:sz w:val="28"/>
        <w:szCs w:val="28"/>
      </w:rPr>
      <w:t>INF.</w:t>
    </w:r>
    <w:r w:rsidR="006263EE">
      <w:rPr>
        <w:sz w:val="28"/>
        <w:szCs w:val="28"/>
      </w:rPr>
      <w:t>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i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3"/>
    <w:lvl w:ilvl="0">
      <w:start w:val="1"/>
      <w:numFmt w:val="lowerRoman"/>
      <w:lvlText w:val="(%1)"/>
      <w:lvlJc w:val="left"/>
      <w:pPr>
        <w:tabs>
          <w:tab w:val="num" w:pos="0"/>
        </w:tabs>
        <w:ind w:left="2280" w:hanging="360"/>
      </w:pPr>
      <w:rPr>
        <w:rFonts w:hint="default"/>
      </w:r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A36"/>
    <w:rsid w:val="006263EE"/>
    <w:rsid w:val="00CA7A0C"/>
    <w:rsid w:val="00F77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40"/>
    </w:pPr>
    <w:rPr>
      <w:lang w:eastAsia="ar-SA"/>
    </w:rPr>
  </w:style>
  <w:style w:type="paragraph" w:styleId="Heading1">
    <w:name w:val="heading 1"/>
    <w:next w:val="BodyText"/>
    <w:qFormat/>
    <w:pPr>
      <w:widowControl w:val="0"/>
      <w:numPr>
        <w:numId w:val="1"/>
      </w:numPr>
      <w:suppressAutoHyphens/>
      <w:ind w:left="0" w:firstLine="0"/>
      <w:outlineLvl w:val="0"/>
    </w:pPr>
    <w:rPr>
      <w:lang w:val="fr-FR" w:eastAsia="ar-SA"/>
    </w:rPr>
  </w:style>
  <w:style w:type="paragraph" w:styleId="Heading2">
    <w:name w:val="heading 2"/>
    <w:basedOn w:val="Normal"/>
    <w:next w:val="BodyText"/>
    <w:qFormat/>
    <w:pPr>
      <w:numPr>
        <w:ilvl w:val="1"/>
        <w:numId w:val="1"/>
      </w:numPr>
      <w:outlineLvl w:val="1"/>
    </w:pPr>
  </w:style>
  <w:style w:type="paragraph" w:styleId="Heading3">
    <w:name w:val="heading 3"/>
    <w:basedOn w:val="Normal"/>
    <w:next w:val="BodyText"/>
    <w:qFormat/>
    <w:pPr>
      <w:numPr>
        <w:ilvl w:val="2"/>
        <w:numId w:val="1"/>
      </w:numPr>
      <w:outlineLvl w:val="2"/>
    </w:pPr>
  </w:style>
  <w:style w:type="paragraph" w:styleId="Heading4">
    <w:name w:val="heading 4"/>
    <w:basedOn w:val="Normal"/>
    <w:next w:val="BodyText"/>
    <w:qFormat/>
    <w:pPr>
      <w:numPr>
        <w:ilvl w:val="3"/>
        <w:numId w:val="1"/>
      </w:numPr>
      <w:outlineLvl w:val="3"/>
    </w:pPr>
  </w:style>
  <w:style w:type="paragraph" w:styleId="Heading5">
    <w:name w:val="heading 5"/>
    <w:basedOn w:val="Normal"/>
    <w:next w:val="BodyText"/>
    <w:qFormat/>
    <w:pPr>
      <w:numPr>
        <w:ilvl w:val="4"/>
        <w:numId w:val="1"/>
      </w:numPr>
      <w:outlineLvl w:val="4"/>
    </w:pPr>
  </w:style>
  <w:style w:type="paragraph" w:styleId="Heading6">
    <w:name w:val="heading 6"/>
    <w:basedOn w:val="Normal"/>
    <w:next w:val="BodyText"/>
    <w:qFormat/>
    <w:pPr>
      <w:numPr>
        <w:ilvl w:val="5"/>
        <w:numId w:val="1"/>
      </w:numPr>
      <w:outlineLvl w:val="5"/>
    </w:pPr>
  </w:style>
  <w:style w:type="paragraph" w:styleId="Heading7">
    <w:name w:val="heading 7"/>
    <w:basedOn w:val="Normal"/>
    <w:next w:val="BodyText"/>
    <w:qFormat/>
    <w:pPr>
      <w:numPr>
        <w:ilvl w:val="6"/>
        <w:numId w:val="1"/>
      </w:numPr>
      <w:outlineLvl w:val="6"/>
    </w:pPr>
  </w:style>
  <w:style w:type="paragraph" w:styleId="Heading8">
    <w:name w:val="heading 8"/>
    <w:basedOn w:val="Normal"/>
    <w:next w:val="BodyText"/>
    <w:qFormat/>
    <w:pPr>
      <w:numPr>
        <w:ilvl w:val="7"/>
        <w:numId w:val="1"/>
      </w:numPr>
      <w:outlineLvl w:val="7"/>
    </w:pPr>
  </w:style>
  <w:style w:type="paragraph" w:styleId="Heading9">
    <w:name w:val="heading 9"/>
    <w:basedOn w:val="Normal"/>
    <w:next w:val="BodyText"/>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iC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styleId="DefaultParagraphFont0">
    <w:name w:val="Default Paragraph Font"/>
  </w:style>
  <w:style w:type="character" w:customStyle="1" w:styleId="pagenumber">
    <w:name w:val="page number"/>
    <w:rPr>
      <w:rFonts w:ascii="Times New Roman" w:hAnsi="Times New Roman" w:cs="Times New Roman"/>
      <w:b/>
      <w:sz w:val="18"/>
    </w:rPr>
  </w:style>
  <w:style w:type="character" w:customStyle="1" w:styleId="endnotereference">
    <w:name w:val="endnote reference"/>
    <w:rPr>
      <w:rFonts w:ascii="Times New Roman" w:hAnsi="Times New Roman" w:cs="Times New Roman"/>
      <w:sz w:val="18"/>
      <w:vertAlign w:val="superscript"/>
    </w:rPr>
  </w:style>
  <w:style w:type="character" w:customStyle="1" w:styleId="footnotereference">
    <w:name w:val="footnote reference"/>
    <w:rPr>
      <w:rFonts w:ascii="Times New Roman" w:hAnsi="Times New Roman" w:cs="Times New Roman"/>
      <w:sz w:val="18"/>
      <w:vertAlign w:val="superscript"/>
    </w:rPr>
  </w:style>
  <w:style w:type="character" w:styleId="Hyperlink">
    <w:name w:val="Hyperlink"/>
    <w:rPr>
      <w:color w:val="00000A"/>
      <w:u w:val="none"/>
      <w:lang/>
    </w:rPr>
  </w:style>
  <w:style w:type="character" w:customStyle="1" w:styleId="HeaderChar">
    <w:name w:val="Header Char"/>
    <w:rPr>
      <w:b/>
      <w:sz w:val="18"/>
      <w:lang w:val="en-GB" w:eastAsia="ar-SA" w:bidi="ar-SA"/>
    </w:rPr>
  </w:style>
  <w:style w:type="character" w:styleId="FollowedHyperlink">
    <w:name w:val="FollowedHyperlink"/>
    <w:rPr>
      <w:color w:val="00000A"/>
      <w:u w:val="none"/>
    </w:rPr>
  </w:style>
  <w:style w:type="character" w:customStyle="1" w:styleId="HChGChar">
    <w:name w:val="_ H _Ch_G Char"/>
    <w:rPr>
      <w:b/>
      <w:sz w:val="28"/>
      <w:lang w:val="en-GB" w:eastAsia="ar-SA" w:bidi="ar-SA"/>
    </w:rPr>
  </w:style>
  <w:style w:type="character" w:customStyle="1" w:styleId="BalloonTextChar">
    <w:name w:val="Balloon Text Char"/>
    <w:rPr>
      <w:rFonts w:ascii="Tahoma" w:hAnsi="Tahoma" w:cs="Tahoma"/>
      <w:sz w:val="16"/>
      <w:szCs w:val="16"/>
    </w:rPr>
  </w:style>
  <w:style w:type="character" w:customStyle="1" w:styleId="SingleTxtGCar">
    <w:name w:val="_ Single Txt_G Car"/>
    <w:rPr>
      <w:lang w:val="en-GB"/>
    </w:rPr>
  </w:style>
  <w:style w:type="character" w:customStyle="1" w:styleId="SingleTxtGChar">
    <w:name w:val="_ Single Txt_G Char"/>
  </w:style>
  <w:style w:type="character" w:customStyle="1" w:styleId="H1GChar">
    <w:name w:val="_ H_1_G Char"/>
    <w:rPr>
      <w:b/>
      <w:sz w:val="24"/>
    </w:rPr>
  </w:style>
  <w:style w:type="character" w:customStyle="1" w:styleId="NormalListChar">
    <w:name w:val="Normal List Char"/>
    <w:basedOn w:val="DefaultParagraphFont0"/>
    <w:rPr>
      <w:rFonts w:ascii="Arial" w:hAnsi="Arial" w:cs="Arial"/>
      <w:color w:val="000000"/>
      <w:sz w:val="18"/>
      <w:lang w:val="en-GB"/>
    </w:rPr>
  </w:style>
  <w:style w:type="character" w:customStyle="1" w:styleId="ListLabel1">
    <w:name w:val="ListLabel 1"/>
    <w:rPr>
      <w:rFonts w:cs="Times New Roman"/>
      <w:b w:val="0"/>
      <w:i w:val="0"/>
      <w:sz w:val="20"/>
    </w:rPr>
  </w:style>
  <w:style w:type="character" w:customStyle="1" w:styleId="ListLabel2">
    <w:name w:val="ListLabel 2"/>
    <w:rPr>
      <w:rFonts w:cs="Times New Roman"/>
    </w:rPr>
  </w:style>
  <w:style w:type="character" w:customStyle="1" w:styleId="ListLabel3">
    <w:name w:val="ListLabel 3"/>
    <w:rPr>
      <w:b w:val="0"/>
      <w:i w:val="0"/>
      <w:sz w:val="20"/>
    </w:rPr>
  </w:style>
  <w:style w:type="character" w:customStyle="1" w:styleId="ListLabel4">
    <w:name w:val="ListLabel 4"/>
    <w:rPr>
      <w:rFonts w:eastAsia="Times New Roman" w:cs="Arial"/>
      <w:color w:val="00000A"/>
    </w:rPr>
  </w:style>
  <w:style w:type="character" w:customStyle="1" w:styleId="ListLabel5">
    <w:name w:val="ListLabel 5"/>
    <w:rPr>
      <w:rFonts w:cs="Courier New"/>
    </w:rPr>
  </w:style>
  <w:style w:type="character" w:customStyle="1" w:styleId="EndnoteCharacters">
    <w:name w:val="Endnote Characters"/>
  </w:style>
  <w:style w:type="character" w:customStyle="1" w:styleId="NumberingSymbols">
    <w:name w:val="Numbering Symbols"/>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FootnoteCharacters">
    <w:name w:val="Footnote Characters"/>
  </w:style>
  <w:style w:type="character" w:styleId="FootnoteReference0">
    <w:name w:val="footnote reference"/>
    <w:rPr>
      <w:vertAlign w:val="superscript"/>
    </w:rPr>
  </w:style>
  <w:style w:type="character" w:styleId="EndnoteReference0">
    <w:name w:val="endnote reference"/>
    <w:rPr>
      <w:vertAlign w:val="superscrip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SingleTxtG">
    <w:name w:val="_ Single Txt_G"/>
    <w:basedOn w:val="Normal"/>
    <w:qFormat/>
    <w:pPr>
      <w:spacing w:after="120"/>
      <w:ind w:left="1134" w:right="1134"/>
      <w:jc w:val="both"/>
    </w:pPr>
  </w:style>
  <w:style w:type="paragraph" w:customStyle="1" w:styleId="HMG">
    <w:name w:val="_ H __M_G"/>
    <w:basedOn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pPr>
      <w:keepNext/>
      <w:keepLines/>
      <w:tabs>
        <w:tab w:val="right" w:pos="851"/>
      </w:tabs>
      <w:spacing w:before="360" w:line="300" w:lineRule="exact"/>
      <w:ind w:left="1134" w:right="1134" w:hanging="1134"/>
    </w:pPr>
    <w:rPr>
      <w:b/>
      <w:sz w:val="28"/>
    </w:rPr>
  </w:style>
  <w:style w:type="paragraph" w:customStyle="1" w:styleId="SMG">
    <w:name w:val="__S_M_G"/>
    <w:basedOn w:val="Normal"/>
    <w:pPr>
      <w:keepNext/>
      <w:keepLines/>
      <w:spacing w:before="240" w:line="420" w:lineRule="exact"/>
      <w:ind w:left="1134" w:right="1134"/>
    </w:pPr>
    <w:rPr>
      <w:b/>
      <w:sz w:val="40"/>
    </w:rPr>
  </w:style>
  <w:style w:type="paragraph" w:customStyle="1" w:styleId="SLG">
    <w:name w:val="__S_L_G"/>
    <w:basedOn w:val="Normal"/>
    <w:pPr>
      <w:keepNext/>
      <w:keepLines/>
      <w:spacing w:before="240" w:line="580" w:lineRule="exact"/>
      <w:ind w:left="1134" w:right="1134"/>
    </w:pPr>
    <w:rPr>
      <w:b/>
      <w:sz w:val="56"/>
    </w:rPr>
  </w:style>
  <w:style w:type="paragraph" w:customStyle="1" w:styleId="SSG">
    <w:name w:val="__S_S_G"/>
    <w:basedOn w:val="Normal"/>
    <w:pPr>
      <w:keepNext/>
      <w:keepLines/>
      <w:spacing w:before="240" w:line="300" w:lineRule="exact"/>
      <w:ind w:left="1134" w:right="1134"/>
    </w:pPr>
    <w:rPr>
      <w:b/>
      <w:sz w:val="28"/>
    </w:rPr>
  </w:style>
  <w:style w:type="paragraph" w:customStyle="1" w:styleId="footnotetext">
    <w:name w:val="footnote text"/>
    <w:basedOn w:val="Normal"/>
    <w:pPr>
      <w:tabs>
        <w:tab w:val="right" w:pos="1021"/>
      </w:tabs>
      <w:spacing w:line="220" w:lineRule="exact"/>
      <w:ind w:left="1134" w:right="1134" w:hanging="1134"/>
    </w:pPr>
    <w:rPr>
      <w:sz w:val="18"/>
    </w:rPr>
  </w:style>
  <w:style w:type="paragraph" w:customStyle="1" w:styleId="XLargeG">
    <w:name w:val="__XLarge_G"/>
    <w:basedOn w:val="Normal"/>
    <w:pPr>
      <w:keepNext/>
      <w:keepLines/>
      <w:spacing w:before="240" w:line="420" w:lineRule="exact"/>
      <w:ind w:left="1134" w:right="1134"/>
    </w:pPr>
    <w:rPr>
      <w:b/>
      <w:sz w:val="40"/>
    </w:rPr>
  </w:style>
  <w:style w:type="paragraph" w:customStyle="1" w:styleId="Bullet1G">
    <w:name w:val="_Bullet 1_G"/>
    <w:basedOn w:val="Normal"/>
    <w:pPr>
      <w:spacing w:after="120"/>
      <w:ind w:right="1134"/>
      <w:jc w:val="both"/>
    </w:pPr>
  </w:style>
  <w:style w:type="paragraph" w:customStyle="1" w:styleId="endnotetext">
    <w:name w:val="endnote text"/>
    <w:basedOn w:val="footnotetext"/>
  </w:style>
  <w:style w:type="paragraph" w:customStyle="1" w:styleId="Bullet2G">
    <w:name w:val="_Bullet 2_G"/>
    <w:basedOn w:val="Normal"/>
    <w:pPr>
      <w:spacing w:after="120"/>
      <w:ind w:right="1134"/>
      <w:jc w:val="both"/>
    </w:pPr>
  </w:style>
  <w:style w:type="paragraph" w:customStyle="1" w:styleId="H1G">
    <w:name w:val="_ H_1_G"/>
    <w:basedOn w:val="Normal"/>
    <w:pPr>
      <w:keepNext/>
      <w:keepLines/>
      <w:tabs>
        <w:tab w:val="right" w:pos="851"/>
      </w:tabs>
      <w:spacing w:before="360" w:line="270" w:lineRule="exact"/>
      <w:ind w:left="1134" w:right="1134" w:hanging="1134"/>
    </w:pPr>
    <w:rPr>
      <w:b/>
      <w:sz w:val="24"/>
    </w:rPr>
  </w:style>
  <w:style w:type="paragraph" w:customStyle="1" w:styleId="H23G">
    <w:name w:val="_ H_2/3_G"/>
    <w:basedOn w:val="Normal"/>
    <w:pPr>
      <w:keepNext/>
      <w:keepLines/>
      <w:tabs>
        <w:tab w:val="right" w:pos="851"/>
      </w:tabs>
      <w:spacing w:before="240" w:after="120" w:line="240" w:lineRule="exact"/>
      <w:ind w:left="1134" w:right="1134" w:hanging="1134"/>
    </w:pPr>
    <w:rPr>
      <w:b/>
    </w:rPr>
  </w:style>
  <w:style w:type="paragraph" w:customStyle="1" w:styleId="H4G">
    <w:name w:val="_ H_4_G"/>
    <w:basedOn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pPr>
      <w:keepNext/>
      <w:keepLines/>
      <w:tabs>
        <w:tab w:val="right" w:pos="851"/>
      </w:tabs>
      <w:spacing w:before="240" w:after="120" w:line="240" w:lineRule="exact"/>
      <w:ind w:left="1134" w:right="1134" w:hanging="1134"/>
    </w:pPr>
  </w:style>
  <w:style w:type="paragraph" w:styleId="Footer">
    <w:name w:val="footer"/>
    <w:basedOn w:val="Normal"/>
    <w:pPr>
      <w:suppressLineNumbers/>
      <w:tabs>
        <w:tab w:val="center" w:pos="4986"/>
        <w:tab w:val="right" w:pos="9972"/>
      </w:tabs>
    </w:pPr>
    <w:rPr>
      <w:sz w:val="16"/>
    </w:rPr>
  </w:style>
  <w:style w:type="paragraph" w:styleId="Header">
    <w:name w:val="header"/>
    <w:basedOn w:val="Normal"/>
    <w:pPr>
      <w:suppressLineNumbers/>
      <w:pBdr>
        <w:bottom w:val="single" w:sz="4" w:space="4" w:color="000000"/>
      </w:pBdr>
      <w:tabs>
        <w:tab w:val="center" w:pos="4986"/>
        <w:tab w:val="right" w:pos="9972"/>
      </w:tabs>
    </w:pPr>
    <w:rPr>
      <w:b/>
      <w:sz w:val="18"/>
    </w:rPr>
  </w:style>
  <w:style w:type="paragraph" w:customStyle="1" w:styleId="Standardowy">
    <w:name w:val="Standardowy"/>
    <w:pPr>
      <w:suppressAutoHyphens/>
    </w:pPr>
    <w:rPr>
      <w:rFonts w:ascii="Arial" w:hAnsi="Arial"/>
      <w:sz w:val="24"/>
      <w:lang w:eastAsia="ar-SA"/>
    </w:rPr>
  </w:style>
  <w:style w:type="paragraph" w:styleId="BalloonText">
    <w:name w:val="Balloon Text"/>
    <w:basedOn w:val="Normal"/>
    <w:pPr>
      <w:spacing w:after="0"/>
    </w:pPr>
    <w:rPr>
      <w:rFonts w:ascii="Tahoma" w:hAnsi="Tahoma" w:cs="Tahoma"/>
      <w:sz w:val="16"/>
      <w:szCs w:val="16"/>
    </w:rPr>
  </w:style>
  <w:style w:type="paragraph" w:customStyle="1" w:styleId="Randnummer">
    <w:name w:val="Randnummer"/>
    <w:basedOn w:val="Normal"/>
    <w:pPr>
      <w:tabs>
        <w:tab w:val="left" w:pos="425"/>
        <w:tab w:val="left" w:pos="580"/>
        <w:tab w:val="left" w:pos="851"/>
        <w:tab w:val="left" w:pos="1100"/>
        <w:tab w:val="left" w:pos="1276"/>
      </w:tabs>
      <w:spacing w:before="180" w:after="0"/>
      <w:ind w:left="1080" w:hanging="1080"/>
      <w:jc w:val="both"/>
    </w:pPr>
    <w:rPr>
      <w:rFonts w:ascii="Arial" w:hAnsi="Arial" w:cs="Arial"/>
      <w:color w:val="000000"/>
      <w:sz w:val="18"/>
    </w:rPr>
  </w:style>
  <w:style w:type="paragraph" w:customStyle="1" w:styleId="NormalList">
    <w:name w:val="Normal List"/>
    <w:basedOn w:val="Normal"/>
    <w:pPr>
      <w:tabs>
        <w:tab w:val="left" w:pos="425"/>
        <w:tab w:val="left" w:pos="851"/>
        <w:tab w:val="left" w:pos="1276"/>
        <w:tab w:val="left" w:pos="1400"/>
      </w:tabs>
      <w:spacing w:before="60" w:after="0"/>
      <w:ind w:left="1380" w:hanging="300"/>
      <w:jc w:val="both"/>
    </w:pPr>
    <w:rPr>
      <w:rFonts w:ascii="Arial" w:hAnsi="Arial" w:cs="Arial"/>
      <w:color w:val="000000"/>
      <w:sz w:val="18"/>
    </w:rPr>
  </w:style>
  <w:style w:type="paragraph" w:styleId="FootnoteText0">
    <w:name w:val="footnote text"/>
    <w:basedOn w:val="Normal"/>
    <w:pPr>
      <w:suppressLineNumbers/>
      <w:ind w:left="283" w:hanging="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40"/>
    </w:pPr>
    <w:rPr>
      <w:lang w:eastAsia="ar-SA"/>
    </w:rPr>
  </w:style>
  <w:style w:type="paragraph" w:styleId="Heading1">
    <w:name w:val="heading 1"/>
    <w:next w:val="BodyText"/>
    <w:qFormat/>
    <w:pPr>
      <w:widowControl w:val="0"/>
      <w:numPr>
        <w:numId w:val="1"/>
      </w:numPr>
      <w:suppressAutoHyphens/>
      <w:ind w:left="0" w:firstLine="0"/>
      <w:outlineLvl w:val="0"/>
    </w:pPr>
    <w:rPr>
      <w:lang w:val="fr-FR" w:eastAsia="ar-SA"/>
    </w:rPr>
  </w:style>
  <w:style w:type="paragraph" w:styleId="Heading2">
    <w:name w:val="heading 2"/>
    <w:basedOn w:val="Normal"/>
    <w:next w:val="BodyText"/>
    <w:qFormat/>
    <w:pPr>
      <w:numPr>
        <w:ilvl w:val="1"/>
        <w:numId w:val="1"/>
      </w:numPr>
      <w:outlineLvl w:val="1"/>
    </w:pPr>
  </w:style>
  <w:style w:type="paragraph" w:styleId="Heading3">
    <w:name w:val="heading 3"/>
    <w:basedOn w:val="Normal"/>
    <w:next w:val="BodyText"/>
    <w:qFormat/>
    <w:pPr>
      <w:numPr>
        <w:ilvl w:val="2"/>
        <w:numId w:val="1"/>
      </w:numPr>
      <w:outlineLvl w:val="2"/>
    </w:pPr>
  </w:style>
  <w:style w:type="paragraph" w:styleId="Heading4">
    <w:name w:val="heading 4"/>
    <w:basedOn w:val="Normal"/>
    <w:next w:val="BodyText"/>
    <w:qFormat/>
    <w:pPr>
      <w:numPr>
        <w:ilvl w:val="3"/>
        <w:numId w:val="1"/>
      </w:numPr>
      <w:outlineLvl w:val="3"/>
    </w:pPr>
  </w:style>
  <w:style w:type="paragraph" w:styleId="Heading5">
    <w:name w:val="heading 5"/>
    <w:basedOn w:val="Normal"/>
    <w:next w:val="BodyText"/>
    <w:qFormat/>
    <w:pPr>
      <w:numPr>
        <w:ilvl w:val="4"/>
        <w:numId w:val="1"/>
      </w:numPr>
      <w:outlineLvl w:val="4"/>
    </w:pPr>
  </w:style>
  <w:style w:type="paragraph" w:styleId="Heading6">
    <w:name w:val="heading 6"/>
    <w:basedOn w:val="Normal"/>
    <w:next w:val="BodyText"/>
    <w:qFormat/>
    <w:pPr>
      <w:numPr>
        <w:ilvl w:val="5"/>
        <w:numId w:val="1"/>
      </w:numPr>
      <w:outlineLvl w:val="5"/>
    </w:pPr>
  </w:style>
  <w:style w:type="paragraph" w:styleId="Heading7">
    <w:name w:val="heading 7"/>
    <w:basedOn w:val="Normal"/>
    <w:next w:val="BodyText"/>
    <w:qFormat/>
    <w:pPr>
      <w:numPr>
        <w:ilvl w:val="6"/>
        <w:numId w:val="1"/>
      </w:numPr>
      <w:outlineLvl w:val="6"/>
    </w:pPr>
  </w:style>
  <w:style w:type="paragraph" w:styleId="Heading8">
    <w:name w:val="heading 8"/>
    <w:basedOn w:val="Normal"/>
    <w:next w:val="BodyText"/>
    <w:qFormat/>
    <w:pPr>
      <w:numPr>
        <w:ilvl w:val="7"/>
        <w:numId w:val="1"/>
      </w:numPr>
      <w:outlineLvl w:val="7"/>
    </w:pPr>
  </w:style>
  <w:style w:type="paragraph" w:styleId="Heading9">
    <w:name w:val="heading 9"/>
    <w:basedOn w:val="Normal"/>
    <w:next w:val="BodyText"/>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iC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styleId="DefaultParagraphFont0">
    <w:name w:val="Default Paragraph Font"/>
  </w:style>
  <w:style w:type="character" w:customStyle="1" w:styleId="pagenumber">
    <w:name w:val="page number"/>
    <w:rPr>
      <w:rFonts w:ascii="Times New Roman" w:hAnsi="Times New Roman" w:cs="Times New Roman"/>
      <w:b/>
      <w:sz w:val="18"/>
    </w:rPr>
  </w:style>
  <w:style w:type="character" w:customStyle="1" w:styleId="endnotereference">
    <w:name w:val="endnote reference"/>
    <w:rPr>
      <w:rFonts w:ascii="Times New Roman" w:hAnsi="Times New Roman" w:cs="Times New Roman"/>
      <w:sz w:val="18"/>
      <w:vertAlign w:val="superscript"/>
    </w:rPr>
  </w:style>
  <w:style w:type="character" w:customStyle="1" w:styleId="footnotereference">
    <w:name w:val="footnote reference"/>
    <w:rPr>
      <w:rFonts w:ascii="Times New Roman" w:hAnsi="Times New Roman" w:cs="Times New Roman"/>
      <w:sz w:val="18"/>
      <w:vertAlign w:val="superscript"/>
    </w:rPr>
  </w:style>
  <w:style w:type="character" w:styleId="Hyperlink">
    <w:name w:val="Hyperlink"/>
    <w:rPr>
      <w:color w:val="00000A"/>
      <w:u w:val="none"/>
      <w:lang/>
    </w:rPr>
  </w:style>
  <w:style w:type="character" w:customStyle="1" w:styleId="HeaderChar">
    <w:name w:val="Header Char"/>
    <w:rPr>
      <w:b/>
      <w:sz w:val="18"/>
      <w:lang w:val="en-GB" w:eastAsia="ar-SA" w:bidi="ar-SA"/>
    </w:rPr>
  </w:style>
  <w:style w:type="character" w:styleId="FollowedHyperlink">
    <w:name w:val="FollowedHyperlink"/>
    <w:rPr>
      <w:color w:val="00000A"/>
      <w:u w:val="none"/>
    </w:rPr>
  </w:style>
  <w:style w:type="character" w:customStyle="1" w:styleId="HChGChar">
    <w:name w:val="_ H _Ch_G Char"/>
    <w:rPr>
      <w:b/>
      <w:sz w:val="28"/>
      <w:lang w:val="en-GB" w:eastAsia="ar-SA" w:bidi="ar-SA"/>
    </w:rPr>
  </w:style>
  <w:style w:type="character" w:customStyle="1" w:styleId="BalloonTextChar">
    <w:name w:val="Balloon Text Char"/>
    <w:rPr>
      <w:rFonts w:ascii="Tahoma" w:hAnsi="Tahoma" w:cs="Tahoma"/>
      <w:sz w:val="16"/>
      <w:szCs w:val="16"/>
    </w:rPr>
  </w:style>
  <w:style w:type="character" w:customStyle="1" w:styleId="SingleTxtGCar">
    <w:name w:val="_ Single Txt_G Car"/>
    <w:rPr>
      <w:lang w:val="en-GB"/>
    </w:rPr>
  </w:style>
  <w:style w:type="character" w:customStyle="1" w:styleId="SingleTxtGChar">
    <w:name w:val="_ Single Txt_G Char"/>
  </w:style>
  <w:style w:type="character" w:customStyle="1" w:styleId="H1GChar">
    <w:name w:val="_ H_1_G Char"/>
    <w:rPr>
      <w:b/>
      <w:sz w:val="24"/>
    </w:rPr>
  </w:style>
  <w:style w:type="character" w:customStyle="1" w:styleId="NormalListChar">
    <w:name w:val="Normal List Char"/>
    <w:basedOn w:val="DefaultParagraphFont0"/>
    <w:rPr>
      <w:rFonts w:ascii="Arial" w:hAnsi="Arial" w:cs="Arial"/>
      <w:color w:val="000000"/>
      <w:sz w:val="18"/>
      <w:lang w:val="en-GB"/>
    </w:rPr>
  </w:style>
  <w:style w:type="character" w:customStyle="1" w:styleId="ListLabel1">
    <w:name w:val="ListLabel 1"/>
    <w:rPr>
      <w:rFonts w:cs="Times New Roman"/>
      <w:b w:val="0"/>
      <w:i w:val="0"/>
      <w:sz w:val="20"/>
    </w:rPr>
  </w:style>
  <w:style w:type="character" w:customStyle="1" w:styleId="ListLabel2">
    <w:name w:val="ListLabel 2"/>
    <w:rPr>
      <w:rFonts w:cs="Times New Roman"/>
    </w:rPr>
  </w:style>
  <w:style w:type="character" w:customStyle="1" w:styleId="ListLabel3">
    <w:name w:val="ListLabel 3"/>
    <w:rPr>
      <w:b w:val="0"/>
      <w:i w:val="0"/>
      <w:sz w:val="20"/>
    </w:rPr>
  </w:style>
  <w:style w:type="character" w:customStyle="1" w:styleId="ListLabel4">
    <w:name w:val="ListLabel 4"/>
    <w:rPr>
      <w:rFonts w:eastAsia="Times New Roman" w:cs="Arial"/>
      <w:color w:val="00000A"/>
    </w:rPr>
  </w:style>
  <w:style w:type="character" w:customStyle="1" w:styleId="ListLabel5">
    <w:name w:val="ListLabel 5"/>
    <w:rPr>
      <w:rFonts w:cs="Courier New"/>
    </w:rPr>
  </w:style>
  <w:style w:type="character" w:customStyle="1" w:styleId="EndnoteCharacters">
    <w:name w:val="Endnote Characters"/>
  </w:style>
  <w:style w:type="character" w:customStyle="1" w:styleId="NumberingSymbols">
    <w:name w:val="Numbering Symbols"/>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FootnoteCharacters">
    <w:name w:val="Footnote Characters"/>
  </w:style>
  <w:style w:type="character" w:styleId="FootnoteReference0">
    <w:name w:val="footnote reference"/>
    <w:rPr>
      <w:vertAlign w:val="superscript"/>
    </w:rPr>
  </w:style>
  <w:style w:type="character" w:styleId="EndnoteReference0">
    <w:name w:val="endnote reference"/>
    <w:rPr>
      <w:vertAlign w:val="superscrip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SingleTxtG">
    <w:name w:val="_ Single Txt_G"/>
    <w:basedOn w:val="Normal"/>
    <w:qFormat/>
    <w:pPr>
      <w:spacing w:after="120"/>
      <w:ind w:left="1134" w:right="1134"/>
      <w:jc w:val="both"/>
    </w:pPr>
  </w:style>
  <w:style w:type="paragraph" w:customStyle="1" w:styleId="HMG">
    <w:name w:val="_ H __M_G"/>
    <w:basedOn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pPr>
      <w:keepNext/>
      <w:keepLines/>
      <w:tabs>
        <w:tab w:val="right" w:pos="851"/>
      </w:tabs>
      <w:spacing w:before="360" w:line="300" w:lineRule="exact"/>
      <w:ind w:left="1134" w:right="1134" w:hanging="1134"/>
    </w:pPr>
    <w:rPr>
      <w:b/>
      <w:sz w:val="28"/>
    </w:rPr>
  </w:style>
  <w:style w:type="paragraph" w:customStyle="1" w:styleId="SMG">
    <w:name w:val="__S_M_G"/>
    <w:basedOn w:val="Normal"/>
    <w:pPr>
      <w:keepNext/>
      <w:keepLines/>
      <w:spacing w:before="240" w:line="420" w:lineRule="exact"/>
      <w:ind w:left="1134" w:right="1134"/>
    </w:pPr>
    <w:rPr>
      <w:b/>
      <w:sz w:val="40"/>
    </w:rPr>
  </w:style>
  <w:style w:type="paragraph" w:customStyle="1" w:styleId="SLG">
    <w:name w:val="__S_L_G"/>
    <w:basedOn w:val="Normal"/>
    <w:pPr>
      <w:keepNext/>
      <w:keepLines/>
      <w:spacing w:before="240" w:line="580" w:lineRule="exact"/>
      <w:ind w:left="1134" w:right="1134"/>
    </w:pPr>
    <w:rPr>
      <w:b/>
      <w:sz w:val="56"/>
    </w:rPr>
  </w:style>
  <w:style w:type="paragraph" w:customStyle="1" w:styleId="SSG">
    <w:name w:val="__S_S_G"/>
    <w:basedOn w:val="Normal"/>
    <w:pPr>
      <w:keepNext/>
      <w:keepLines/>
      <w:spacing w:before="240" w:line="300" w:lineRule="exact"/>
      <w:ind w:left="1134" w:right="1134"/>
    </w:pPr>
    <w:rPr>
      <w:b/>
      <w:sz w:val="28"/>
    </w:rPr>
  </w:style>
  <w:style w:type="paragraph" w:customStyle="1" w:styleId="footnotetext">
    <w:name w:val="footnote text"/>
    <w:basedOn w:val="Normal"/>
    <w:pPr>
      <w:tabs>
        <w:tab w:val="right" w:pos="1021"/>
      </w:tabs>
      <w:spacing w:line="220" w:lineRule="exact"/>
      <w:ind w:left="1134" w:right="1134" w:hanging="1134"/>
    </w:pPr>
    <w:rPr>
      <w:sz w:val="18"/>
    </w:rPr>
  </w:style>
  <w:style w:type="paragraph" w:customStyle="1" w:styleId="XLargeG">
    <w:name w:val="__XLarge_G"/>
    <w:basedOn w:val="Normal"/>
    <w:pPr>
      <w:keepNext/>
      <w:keepLines/>
      <w:spacing w:before="240" w:line="420" w:lineRule="exact"/>
      <w:ind w:left="1134" w:right="1134"/>
    </w:pPr>
    <w:rPr>
      <w:b/>
      <w:sz w:val="40"/>
    </w:rPr>
  </w:style>
  <w:style w:type="paragraph" w:customStyle="1" w:styleId="Bullet1G">
    <w:name w:val="_Bullet 1_G"/>
    <w:basedOn w:val="Normal"/>
    <w:pPr>
      <w:spacing w:after="120"/>
      <w:ind w:right="1134"/>
      <w:jc w:val="both"/>
    </w:pPr>
  </w:style>
  <w:style w:type="paragraph" w:customStyle="1" w:styleId="endnotetext">
    <w:name w:val="endnote text"/>
    <w:basedOn w:val="footnotetext"/>
  </w:style>
  <w:style w:type="paragraph" w:customStyle="1" w:styleId="Bullet2G">
    <w:name w:val="_Bullet 2_G"/>
    <w:basedOn w:val="Normal"/>
    <w:pPr>
      <w:spacing w:after="120"/>
      <w:ind w:right="1134"/>
      <w:jc w:val="both"/>
    </w:pPr>
  </w:style>
  <w:style w:type="paragraph" w:customStyle="1" w:styleId="H1G">
    <w:name w:val="_ H_1_G"/>
    <w:basedOn w:val="Normal"/>
    <w:pPr>
      <w:keepNext/>
      <w:keepLines/>
      <w:tabs>
        <w:tab w:val="right" w:pos="851"/>
      </w:tabs>
      <w:spacing w:before="360" w:line="270" w:lineRule="exact"/>
      <w:ind w:left="1134" w:right="1134" w:hanging="1134"/>
    </w:pPr>
    <w:rPr>
      <w:b/>
      <w:sz w:val="24"/>
    </w:rPr>
  </w:style>
  <w:style w:type="paragraph" w:customStyle="1" w:styleId="H23G">
    <w:name w:val="_ H_2/3_G"/>
    <w:basedOn w:val="Normal"/>
    <w:pPr>
      <w:keepNext/>
      <w:keepLines/>
      <w:tabs>
        <w:tab w:val="right" w:pos="851"/>
      </w:tabs>
      <w:spacing w:before="240" w:after="120" w:line="240" w:lineRule="exact"/>
      <w:ind w:left="1134" w:right="1134" w:hanging="1134"/>
    </w:pPr>
    <w:rPr>
      <w:b/>
    </w:rPr>
  </w:style>
  <w:style w:type="paragraph" w:customStyle="1" w:styleId="H4G">
    <w:name w:val="_ H_4_G"/>
    <w:basedOn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pPr>
      <w:keepNext/>
      <w:keepLines/>
      <w:tabs>
        <w:tab w:val="right" w:pos="851"/>
      </w:tabs>
      <w:spacing w:before="240" w:after="120" w:line="240" w:lineRule="exact"/>
      <w:ind w:left="1134" w:right="1134" w:hanging="1134"/>
    </w:pPr>
  </w:style>
  <w:style w:type="paragraph" w:styleId="Footer">
    <w:name w:val="footer"/>
    <w:basedOn w:val="Normal"/>
    <w:pPr>
      <w:suppressLineNumbers/>
      <w:tabs>
        <w:tab w:val="center" w:pos="4986"/>
        <w:tab w:val="right" w:pos="9972"/>
      </w:tabs>
    </w:pPr>
    <w:rPr>
      <w:sz w:val="16"/>
    </w:rPr>
  </w:style>
  <w:style w:type="paragraph" w:styleId="Header">
    <w:name w:val="header"/>
    <w:basedOn w:val="Normal"/>
    <w:pPr>
      <w:suppressLineNumbers/>
      <w:pBdr>
        <w:bottom w:val="single" w:sz="4" w:space="4" w:color="000000"/>
      </w:pBdr>
      <w:tabs>
        <w:tab w:val="center" w:pos="4986"/>
        <w:tab w:val="right" w:pos="9972"/>
      </w:tabs>
    </w:pPr>
    <w:rPr>
      <w:b/>
      <w:sz w:val="18"/>
    </w:rPr>
  </w:style>
  <w:style w:type="paragraph" w:customStyle="1" w:styleId="Standardowy">
    <w:name w:val="Standardowy"/>
    <w:pPr>
      <w:suppressAutoHyphens/>
    </w:pPr>
    <w:rPr>
      <w:rFonts w:ascii="Arial" w:hAnsi="Arial"/>
      <w:sz w:val="24"/>
      <w:lang w:eastAsia="ar-SA"/>
    </w:rPr>
  </w:style>
  <w:style w:type="paragraph" w:styleId="BalloonText">
    <w:name w:val="Balloon Text"/>
    <w:basedOn w:val="Normal"/>
    <w:pPr>
      <w:spacing w:after="0"/>
    </w:pPr>
    <w:rPr>
      <w:rFonts w:ascii="Tahoma" w:hAnsi="Tahoma" w:cs="Tahoma"/>
      <w:sz w:val="16"/>
      <w:szCs w:val="16"/>
    </w:rPr>
  </w:style>
  <w:style w:type="paragraph" w:customStyle="1" w:styleId="Randnummer">
    <w:name w:val="Randnummer"/>
    <w:basedOn w:val="Normal"/>
    <w:pPr>
      <w:tabs>
        <w:tab w:val="left" w:pos="425"/>
        <w:tab w:val="left" w:pos="580"/>
        <w:tab w:val="left" w:pos="851"/>
        <w:tab w:val="left" w:pos="1100"/>
        <w:tab w:val="left" w:pos="1276"/>
      </w:tabs>
      <w:spacing w:before="180" w:after="0"/>
      <w:ind w:left="1080" w:hanging="1080"/>
      <w:jc w:val="both"/>
    </w:pPr>
    <w:rPr>
      <w:rFonts w:ascii="Arial" w:hAnsi="Arial" w:cs="Arial"/>
      <w:color w:val="000000"/>
      <w:sz w:val="18"/>
    </w:rPr>
  </w:style>
  <w:style w:type="paragraph" w:customStyle="1" w:styleId="NormalList">
    <w:name w:val="Normal List"/>
    <w:basedOn w:val="Normal"/>
    <w:pPr>
      <w:tabs>
        <w:tab w:val="left" w:pos="425"/>
        <w:tab w:val="left" w:pos="851"/>
        <w:tab w:val="left" w:pos="1276"/>
        <w:tab w:val="left" w:pos="1400"/>
      </w:tabs>
      <w:spacing w:before="60" w:after="0"/>
      <w:ind w:left="1380" w:hanging="300"/>
      <w:jc w:val="both"/>
    </w:pPr>
    <w:rPr>
      <w:rFonts w:ascii="Arial" w:hAnsi="Arial" w:cs="Arial"/>
      <w:color w:val="000000"/>
      <w:sz w:val="18"/>
    </w:rPr>
  </w:style>
  <w:style w:type="paragraph" w:styleId="FootnoteText0">
    <w:name w:val="footnote text"/>
    <w:basedOn w:val="Normal"/>
    <w:pPr>
      <w:suppressLineNumbers/>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fileadmin/DAM/trans/doc/2015/dgwp15ac1/ECE-TRANS-WP15-AC1-2015-23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INF</vt:lpstr>
    </vt:vector>
  </TitlesOfParts>
  <Company>ECE-ISU</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Berthet</dc:creator>
  <cp:lastModifiedBy>barrio-champeau</cp:lastModifiedBy>
  <cp:revision>4</cp:revision>
  <cp:lastPrinted>2015-09-22T10:59:00Z</cp:lastPrinted>
  <dcterms:created xsi:type="dcterms:W3CDTF">2015-09-22T10:54:00Z</dcterms:created>
  <dcterms:modified xsi:type="dcterms:W3CDTF">2015-09-22T11:01:00Z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UNECE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