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745E22" w:rsidP="00E013C5">
            <w:pPr>
              <w:jc w:val="right"/>
              <w:rPr>
                <w:b/>
                <w:sz w:val="40"/>
                <w:szCs w:val="40"/>
              </w:rPr>
            </w:pPr>
            <w:r>
              <w:rPr>
                <w:b/>
                <w:sz w:val="40"/>
              </w:rPr>
              <w:t>UN/SCETDG/48/INF.</w:t>
            </w:r>
            <w:r w:rsidR="00E013C5">
              <w:rPr>
                <w:b/>
                <w:sz w:val="40"/>
              </w:rPr>
              <w:t>27</w:t>
            </w:r>
          </w:p>
        </w:tc>
      </w:tr>
      <w:tr w:rsidR="00745E22" w:rsidRPr="00AB16B2" w:rsidTr="00B241B9">
        <w:trPr>
          <w:cantSplit/>
          <w:trHeight w:val="2456"/>
        </w:trPr>
        <w:tc>
          <w:tcPr>
            <w:tcW w:w="9639" w:type="dxa"/>
            <w:tcBorders>
              <w:top w:val="single" w:sz="4" w:space="0" w:color="auto"/>
            </w:tcBorders>
          </w:tcPr>
          <w:p w:rsidR="00745E22" w:rsidRPr="00AB16B2" w:rsidRDefault="00745E22" w:rsidP="00745E22">
            <w:pPr>
              <w:spacing w:before="120"/>
              <w:rPr>
                <w:b/>
                <w:sz w:val="24"/>
                <w:szCs w:val="24"/>
              </w:rPr>
            </w:pPr>
            <w:r>
              <w:rPr>
                <w:b/>
                <w:sz w:val="24"/>
              </w:rPr>
              <w:t>Committee of Experts on the Transport of Dangerous Goods</w:t>
            </w:r>
            <w:r>
              <w:rPr>
                <w:b/>
                <w:sz w:val="24"/>
                <w:szCs w:val="24"/>
              </w:rPr>
              <w:br/>
            </w:r>
            <w:r>
              <w:rPr>
                <w:b/>
                <w:sz w:val="24"/>
              </w:rPr>
              <w:t>and on the Globally Harmonized System of Classification</w:t>
            </w:r>
            <w:r>
              <w:rPr>
                <w:b/>
                <w:sz w:val="24"/>
                <w:szCs w:val="24"/>
              </w:rPr>
              <w:br/>
            </w:r>
            <w:r>
              <w:rPr>
                <w:b/>
                <w:sz w:val="24"/>
              </w:rPr>
              <w:t>and Labelling of Chemicals</w:t>
            </w:r>
          </w:p>
          <w:p w:rsidR="00745E22" w:rsidRPr="00AB16B2" w:rsidRDefault="00745E22" w:rsidP="00745E22">
            <w:pPr>
              <w:spacing w:before="120"/>
              <w:rPr>
                <w:rFonts w:ascii="Helv" w:hAnsi="Helv" w:cs="Helv"/>
                <w:b/>
              </w:rPr>
            </w:pPr>
            <w:r>
              <w:rPr>
                <w:b/>
              </w:rPr>
              <w:t>Sub-Committee of Experts on the Transport of Dangerous Goods</w:t>
            </w:r>
            <w:r>
              <w:tab/>
            </w:r>
            <w:r>
              <w:tab/>
            </w:r>
            <w:r>
              <w:tab/>
            </w:r>
            <w:r>
              <w:tab/>
            </w:r>
            <w:r>
              <w:tab/>
            </w:r>
            <w:r w:rsidR="00E013C5">
              <w:rPr>
                <w:b/>
              </w:rPr>
              <w:t>20</w:t>
            </w:r>
            <w:r>
              <w:rPr>
                <w:b/>
              </w:rPr>
              <w:t xml:space="preserve"> November 2015</w:t>
            </w:r>
          </w:p>
          <w:p w:rsidR="005260A1" w:rsidRPr="00AB16B2" w:rsidRDefault="005260A1" w:rsidP="005260A1">
            <w:pPr>
              <w:spacing w:before="120"/>
              <w:rPr>
                <w:b/>
              </w:rPr>
            </w:pPr>
            <w:r>
              <w:rPr>
                <w:b/>
              </w:rPr>
              <w:t>Forty-eight session</w:t>
            </w:r>
          </w:p>
          <w:p w:rsidR="005260A1" w:rsidRPr="00AB16B2" w:rsidRDefault="005260A1" w:rsidP="005260A1">
            <w:r>
              <w:t>Geneva, 30 November-9 December 2015</w:t>
            </w:r>
          </w:p>
          <w:p w:rsidR="005260A1" w:rsidRPr="00AB16B2" w:rsidRDefault="00E013C5" w:rsidP="005260A1">
            <w:r>
              <w:t xml:space="preserve">Item 3 of </w:t>
            </w:r>
            <w:r w:rsidR="005260A1">
              <w:t>the provisional agenda</w:t>
            </w:r>
          </w:p>
          <w:p w:rsidR="005260A1" w:rsidRPr="00405460" w:rsidRDefault="00405460" w:rsidP="00D42A94">
            <w:pPr>
              <w:rPr>
                <w:b/>
              </w:rPr>
            </w:pPr>
            <w:r>
              <w:rPr>
                <w:b/>
              </w:rPr>
              <w:t>Listing, classification and packing</w:t>
            </w:r>
          </w:p>
        </w:tc>
      </w:tr>
    </w:tbl>
    <w:p w:rsidR="006D2216" w:rsidRPr="00AB51C3" w:rsidRDefault="006D2216" w:rsidP="006D2216">
      <w:pPr>
        <w:pStyle w:val="HChG"/>
        <w:rPr>
          <w:szCs w:val="28"/>
        </w:rPr>
      </w:pPr>
      <w:r>
        <w:tab/>
      </w:r>
      <w:r>
        <w:tab/>
        <w:t>Replacement of the term "boiling point" by the term "initial boiling point"</w:t>
      </w:r>
    </w:p>
    <w:p w:rsidR="006D2216" w:rsidRDefault="006D2216" w:rsidP="006D2216">
      <w:pPr>
        <w:pStyle w:val="H1G"/>
      </w:pPr>
      <w:r>
        <w:tab/>
      </w:r>
      <w:r>
        <w:tab/>
        <w:t>Transmitted by the expert from Germany</w:t>
      </w:r>
    </w:p>
    <w:p w:rsidR="006D2216" w:rsidRPr="008032E5" w:rsidRDefault="006D2216" w:rsidP="006D2216">
      <w:pPr>
        <w:pStyle w:val="HChG"/>
      </w:pPr>
      <w:r>
        <w:tab/>
      </w:r>
      <w:r>
        <w:tab/>
        <w:t>Introduction</w:t>
      </w:r>
    </w:p>
    <w:p w:rsidR="006D2216" w:rsidRDefault="006D2216" w:rsidP="006D2216">
      <w:pPr>
        <w:pStyle w:val="SingleTxtG"/>
      </w:pPr>
      <w:r>
        <w:t>1.</w:t>
      </w:r>
      <w:r>
        <w:tab/>
      </w:r>
      <w:r w:rsidR="007D43A1">
        <w:t xml:space="preserve">This document refers to an issue identified during discussions on </w:t>
      </w:r>
      <w:r>
        <w:t xml:space="preserve">the </w:t>
      </w:r>
      <w:r w:rsidR="007D43A1" w:rsidRPr="007D43A1">
        <w:t xml:space="preserve">European Agreement concerning the International Carriage of Dangerous Goods by Inland Waterways </w:t>
      </w:r>
      <w:r w:rsidR="007D43A1">
        <w:t>(</w:t>
      </w:r>
      <w:r>
        <w:t>ADN</w:t>
      </w:r>
      <w:r w:rsidR="007D43A1">
        <w:t xml:space="preserve">). The </w:t>
      </w:r>
      <w:r>
        <w:t>obsolete term "boiling point" is still used in a number of places</w:t>
      </w:r>
      <w:r w:rsidR="007D43A1">
        <w:t xml:space="preserve"> in the ADN</w:t>
      </w:r>
      <w:r>
        <w:t>.</w:t>
      </w:r>
      <w:r w:rsidR="00A335A5">
        <w:t xml:space="preserve"> </w:t>
      </w:r>
      <w:r>
        <w:t xml:space="preserve">In other places this term has already been replaced by the term "initial boiling </w:t>
      </w:r>
      <w:proofErr w:type="gramStart"/>
      <w:r>
        <w:t>point</w:t>
      </w:r>
      <w:proofErr w:type="gramEnd"/>
      <w:r>
        <w:t>" which is used today. An Informal Working Group therefore suggested to the ADN Safety Committee to harmonise the ADN terminology to "initial boiling point"</w:t>
      </w:r>
    </w:p>
    <w:p w:rsidR="00AB51C3" w:rsidRDefault="00AB51C3" w:rsidP="006D2216">
      <w:pPr>
        <w:pStyle w:val="SingleTxtG"/>
      </w:pPr>
      <w:r>
        <w:t>2.</w:t>
      </w:r>
      <w:r>
        <w:tab/>
        <w:t>In this context it was found that some of the references were wordings taken over from the ADR. Following the idea of harmonisation, the Safety Committee decided to submit this issue to the Joint Meeting.</w:t>
      </w:r>
    </w:p>
    <w:p w:rsidR="000C780D" w:rsidRDefault="000C780D" w:rsidP="006D2216">
      <w:pPr>
        <w:pStyle w:val="SingleTxtG"/>
      </w:pPr>
      <w:r>
        <w:t>3.</w:t>
      </w:r>
      <w:r>
        <w:tab/>
        <w:t>At its session in September 2015 the Joint Meeting, as a result of its discussion of the INF paper (INF 18) submitted by Germany, came to the conclusion that this application should first be submitted to the UN Expert Committee.</w:t>
      </w:r>
    </w:p>
    <w:p w:rsidR="00254272" w:rsidRDefault="00254272" w:rsidP="006D2216">
      <w:pPr>
        <w:pStyle w:val="SingleTxtG"/>
      </w:pPr>
      <w:r>
        <w:t>4.</w:t>
      </w:r>
      <w:r>
        <w:tab/>
        <w:t xml:space="preserve">In the current version of the UN Model Regulations the term "boiling-point" is used in 19 places. The term "initial boiling point" is found </w:t>
      </w:r>
      <w:r w:rsidR="00A335A5">
        <w:t>in</w:t>
      </w:r>
      <w:r>
        <w:t xml:space="preserve"> 4 places.</w:t>
      </w:r>
    </w:p>
    <w:p w:rsidR="006D2216" w:rsidRPr="00AB51C3" w:rsidRDefault="006D2216" w:rsidP="006D2216">
      <w:pPr>
        <w:pStyle w:val="HChG"/>
        <w:rPr>
          <w:szCs w:val="28"/>
        </w:rPr>
      </w:pPr>
      <w:r>
        <w:tab/>
      </w:r>
      <w:r>
        <w:tab/>
        <w:t xml:space="preserve">Proposal </w:t>
      </w:r>
    </w:p>
    <w:p w:rsidR="006D2216" w:rsidRPr="00AB51C3" w:rsidRDefault="00254272" w:rsidP="00AB51C3">
      <w:pPr>
        <w:pStyle w:val="SingleTxtG"/>
        <w:rPr>
          <w:u w:val="single"/>
        </w:rPr>
      </w:pPr>
      <w:r>
        <w:t>5.</w:t>
      </w:r>
      <w:r>
        <w:tab/>
        <w:t>It is proposed to replace therm "boiling point" by the term "initial boiling point". The references with the relevant wordings are shown in the Annex.</w:t>
      </w:r>
    </w:p>
    <w:p w:rsidR="00254272" w:rsidRDefault="006D2216" w:rsidP="006D2216">
      <w:pPr>
        <w:pStyle w:val="SingleTxtG"/>
        <w:spacing w:before="240" w:after="0"/>
        <w:jc w:val="center"/>
        <w:rPr>
          <w:u w:val="single"/>
        </w:rPr>
      </w:pPr>
      <w:r>
        <w:tab/>
      </w:r>
      <w:r>
        <w:tab/>
      </w:r>
      <w:r>
        <w:tab/>
      </w:r>
    </w:p>
    <w:p w:rsidR="00254272" w:rsidRDefault="00254272">
      <w:pPr>
        <w:suppressAutoHyphens w:val="0"/>
        <w:spacing w:line="240" w:lineRule="auto"/>
        <w:rPr>
          <w:u w:val="single"/>
        </w:rPr>
      </w:pPr>
      <w:r>
        <w:br w:type="page"/>
      </w:r>
    </w:p>
    <w:p w:rsidR="000D3CED" w:rsidRPr="00254272" w:rsidRDefault="00E013C5" w:rsidP="00E013C5">
      <w:pPr>
        <w:pStyle w:val="HChG"/>
        <w:rPr>
          <w:szCs w:val="28"/>
        </w:rPr>
      </w:pPr>
      <w:r>
        <w:lastRenderedPageBreak/>
        <w:t>Annex</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8"/>
        <w:gridCol w:w="6507"/>
      </w:tblGrid>
      <w:tr w:rsidR="00254272" w:rsidTr="00E013C5">
        <w:tc>
          <w:tcPr>
            <w:tcW w:w="2008" w:type="dxa"/>
            <w:shd w:val="clear" w:color="auto" w:fill="auto"/>
          </w:tcPr>
          <w:p w:rsidR="00254272" w:rsidRPr="00A335A5" w:rsidRDefault="009D6628" w:rsidP="00A335A5">
            <w:pPr>
              <w:pStyle w:val="SingleTxtG"/>
              <w:spacing w:line="240" w:lineRule="auto"/>
              <w:ind w:left="5" w:right="1143"/>
              <w:jc w:val="center"/>
              <w:rPr>
                <w:b/>
              </w:rPr>
            </w:pPr>
            <w:r w:rsidRPr="00A335A5">
              <w:rPr>
                <w:b/>
              </w:rPr>
              <w:t>source</w:t>
            </w:r>
          </w:p>
        </w:tc>
        <w:tc>
          <w:tcPr>
            <w:tcW w:w="6507" w:type="dxa"/>
            <w:shd w:val="clear" w:color="auto" w:fill="auto"/>
          </w:tcPr>
          <w:p w:rsidR="00254272" w:rsidRPr="00A335A5" w:rsidRDefault="009D6628" w:rsidP="00A335A5">
            <w:pPr>
              <w:pStyle w:val="SingleTxtG"/>
              <w:spacing w:line="240" w:lineRule="auto"/>
              <w:ind w:left="0"/>
              <w:jc w:val="center"/>
              <w:rPr>
                <w:b/>
              </w:rPr>
            </w:pPr>
            <w:r w:rsidRPr="00A335A5">
              <w:rPr>
                <w:b/>
              </w:rPr>
              <w:t>text</w:t>
            </w:r>
          </w:p>
        </w:tc>
      </w:tr>
      <w:tr w:rsidR="009D6628" w:rsidRPr="009D6628" w:rsidTr="00E013C5">
        <w:tc>
          <w:tcPr>
            <w:tcW w:w="2008" w:type="dxa"/>
            <w:shd w:val="clear" w:color="auto" w:fill="auto"/>
          </w:tcPr>
          <w:p w:rsidR="009D6628" w:rsidRPr="009D6628" w:rsidRDefault="009D6628" w:rsidP="00A335A5">
            <w:pPr>
              <w:pStyle w:val="SingleTxtG"/>
              <w:spacing w:line="240" w:lineRule="auto"/>
              <w:ind w:left="5" w:right="1143"/>
              <w:jc w:val="left"/>
            </w:pPr>
            <w:r>
              <w:t>Figure 1</w:t>
            </w:r>
          </w:p>
        </w:tc>
        <w:tc>
          <w:tcPr>
            <w:tcW w:w="6507" w:type="dxa"/>
            <w:shd w:val="clear" w:color="auto" w:fill="auto"/>
          </w:tcPr>
          <w:p w:rsidR="009D6628" w:rsidRPr="009D6628" w:rsidRDefault="009D6628" w:rsidP="00A335A5">
            <w:pPr>
              <w:pStyle w:val="SingleTxtG"/>
              <w:spacing w:line="240" w:lineRule="auto"/>
              <w:ind w:left="0"/>
              <w:jc w:val="left"/>
            </w:pPr>
            <w:r>
              <w:t xml:space="preserve">2.2 </w:t>
            </w:r>
            <w:r w:rsidRPr="00A335A5">
              <w:rPr>
                <w:color w:val="FF0000"/>
              </w:rPr>
              <w:t>Boiling point</w:t>
            </w:r>
            <w:r>
              <w:t xml:space="preserve"> or range ..........°C</w:t>
            </w:r>
          </w:p>
        </w:tc>
      </w:tr>
      <w:tr w:rsidR="00254272" w:rsidRPr="009D6628" w:rsidTr="00E013C5">
        <w:tc>
          <w:tcPr>
            <w:tcW w:w="2008" w:type="dxa"/>
            <w:shd w:val="clear" w:color="auto" w:fill="auto"/>
          </w:tcPr>
          <w:p w:rsidR="00254272" w:rsidRPr="009D6628" w:rsidRDefault="009D6628" w:rsidP="00A335A5">
            <w:pPr>
              <w:pStyle w:val="SingleTxtG"/>
              <w:spacing w:line="240" w:lineRule="auto"/>
              <w:ind w:left="5" w:right="1143"/>
              <w:jc w:val="left"/>
            </w:pPr>
            <w:r>
              <w:t>2.4.2.3.2.3</w:t>
            </w:r>
          </w:p>
        </w:tc>
        <w:tc>
          <w:tcPr>
            <w:tcW w:w="6507" w:type="dxa"/>
            <w:shd w:val="clear" w:color="auto" w:fill="auto"/>
          </w:tcPr>
          <w:p w:rsidR="00254272" w:rsidRPr="009D6628" w:rsidRDefault="009D6628" w:rsidP="00A335A5">
            <w:pPr>
              <w:pStyle w:val="SingleTxtG"/>
              <w:spacing w:line="240" w:lineRule="auto"/>
              <w:ind w:left="0"/>
              <w:jc w:val="left"/>
            </w:pPr>
            <w:r>
              <w:t xml:space="preserve">(7) With a compatible diluent having a </w:t>
            </w:r>
            <w:r w:rsidRPr="00A335A5">
              <w:rPr>
                <w:color w:val="FF0000"/>
              </w:rPr>
              <w:t>boiling point</w:t>
            </w:r>
            <w:r>
              <w:t xml:space="preserve"> of not less than 150 °C.</w:t>
            </w:r>
          </w:p>
        </w:tc>
      </w:tr>
      <w:tr w:rsidR="00254272" w:rsidRPr="009D6628" w:rsidTr="00E013C5">
        <w:tc>
          <w:tcPr>
            <w:tcW w:w="2008" w:type="dxa"/>
            <w:shd w:val="clear" w:color="auto" w:fill="auto"/>
          </w:tcPr>
          <w:p w:rsidR="00254272" w:rsidRPr="009D6628" w:rsidRDefault="009D6628" w:rsidP="00A335A5">
            <w:pPr>
              <w:pStyle w:val="SingleTxtG"/>
              <w:ind w:left="5" w:right="1143"/>
              <w:jc w:val="left"/>
            </w:pPr>
            <w:r>
              <w:t>2.4.2.3.3.2</w:t>
            </w:r>
          </w:p>
        </w:tc>
        <w:tc>
          <w:tcPr>
            <w:tcW w:w="6507" w:type="dxa"/>
            <w:shd w:val="clear" w:color="auto" w:fill="auto"/>
          </w:tcPr>
          <w:p w:rsidR="00254272" w:rsidRPr="009D6628" w:rsidRDefault="009D6628" w:rsidP="00A335A5">
            <w:pPr>
              <w:pStyle w:val="SingleTxtG"/>
              <w:tabs>
                <w:tab w:val="left" w:pos="5794"/>
                <w:tab w:val="left" w:pos="6219"/>
                <w:tab w:val="left" w:pos="6361"/>
                <w:tab w:val="left" w:pos="6507"/>
              </w:tabs>
              <w:ind w:left="407" w:hanging="407"/>
            </w:pPr>
            <w:r>
              <w:t>(g)</w:t>
            </w:r>
            <w:r>
              <w:tab/>
              <w:t xml:space="preserve">Any substance which, in laboratory testing, neither detonates in the cavitated state nor deflagrates at all and shows no effect when heated under confinement nor any explosive power shall be exempted from classification as a self-reactive substance of Division 4.1 provided that the formulation is thermally stable (self-accelerating decomposition temperature 60 °C to 75 °C for a 50 kg package) and any diluent meets the requirements of 2.4.2.3.5 (defined as self-reactive substance type G, exit box G of Figure 2.4.1). If the formulation is not thermally stable or a compatible diluent having a </w:t>
            </w:r>
            <w:r w:rsidRPr="00A335A5">
              <w:rPr>
                <w:color w:val="FF0000"/>
              </w:rPr>
              <w:t xml:space="preserve">boiling point </w:t>
            </w:r>
            <w:r>
              <w:t>less than 150 °C is used for desensitization, the formulation shall be defined as SELF-REACTIVE LIQUID/SOLID TYPE F.</w:t>
            </w:r>
          </w:p>
        </w:tc>
      </w:tr>
      <w:tr w:rsidR="00254272" w:rsidRPr="009D6628" w:rsidTr="00E013C5">
        <w:tc>
          <w:tcPr>
            <w:tcW w:w="2008" w:type="dxa"/>
            <w:shd w:val="clear" w:color="auto" w:fill="auto"/>
          </w:tcPr>
          <w:p w:rsidR="00254272" w:rsidRPr="009D6628" w:rsidRDefault="009D6628" w:rsidP="00A335A5">
            <w:pPr>
              <w:pStyle w:val="SingleTxtG"/>
              <w:ind w:left="5" w:right="1143"/>
              <w:jc w:val="left"/>
            </w:pPr>
            <w:r>
              <w:t>2.4.2.3.5.4</w:t>
            </w:r>
          </w:p>
        </w:tc>
        <w:tc>
          <w:tcPr>
            <w:tcW w:w="6507" w:type="dxa"/>
            <w:shd w:val="clear" w:color="auto" w:fill="auto"/>
          </w:tcPr>
          <w:p w:rsidR="00254272" w:rsidRPr="009D6628" w:rsidRDefault="00057803" w:rsidP="00A335A5">
            <w:pPr>
              <w:pStyle w:val="SingleTxtG"/>
              <w:ind w:left="0"/>
            </w:pPr>
            <w:r>
              <w:t xml:space="preserve">Liquid diluents in liquid formulations requiring temperature control shall have a </w:t>
            </w:r>
            <w:r w:rsidRPr="00A335A5">
              <w:rPr>
                <w:color w:val="FF0000"/>
              </w:rPr>
              <w:t xml:space="preserve">boiling point </w:t>
            </w:r>
            <w:r>
              <w:t xml:space="preserve">of at least 60 °C and a flash point not less than 5 °C. The </w:t>
            </w:r>
            <w:r w:rsidRPr="00A335A5">
              <w:rPr>
                <w:color w:val="FF0000"/>
              </w:rPr>
              <w:t>boiling point</w:t>
            </w:r>
            <w:r>
              <w:t xml:space="preserve"> of the liquid shall be at least 50 °C higher than the control temperature of the self-reactive substance (see 7.1.5.3.1).</w:t>
            </w:r>
          </w:p>
        </w:tc>
      </w:tr>
      <w:tr w:rsidR="00254272" w:rsidRPr="009D6628" w:rsidTr="00E013C5">
        <w:tc>
          <w:tcPr>
            <w:tcW w:w="2008" w:type="dxa"/>
            <w:shd w:val="clear" w:color="auto" w:fill="auto"/>
          </w:tcPr>
          <w:p w:rsidR="00254272" w:rsidRPr="009D6628" w:rsidRDefault="00057803" w:rsidP="00A335A5">
            <w:pPr>
              <w:pStyle w:val="SingleTxtG"/>
              <w:ind w:left="5" w:right="302"/>
              <w:jc w:val="left"/>
            </w:pPr>
            <w:r>
              <w:t>Notes on 2.5.3.2.4</w:t>
            </w:r>
          </w:p>
        </w:tc>
        <w:tc>
          <w:tcPr>
            <w:tcW w:w="6507" w:type="dxa"/>
            <w:shd w:val="clear" w:color="auto" w:fill="auto"/>
          </w:tcPr>
          <w:p w:rsidR="00254272" w:rsidRDefault="00057803" w:rsidP="00A335A5">
            <w:pPr>
              <w:pStyle w:val="SingleTxtG"/>
              <w:numPr>
                <w:ilvl w:val="0"/>
                <w:numId w:val="36"/>
              </w:numPr>
              <w:ind w:left="407" w:hanging="425"/>
            </w:pPr>
            <w:r>
              <w:t xml:space="preserve">Diluent type B may always be replaced by diluent type A. The </w:t>
            </w:r>
            <w:r w:rsidRPr="00A335A5">
              <w:rPr>
                <w:color w:val="FF0000"/>
              </w:rPr>
              <w:t xml:space="preserve">boiling point </w:t>
            </w:r>
            <w:r>
              <w:t>of diluent type B should be at least 60 °C higher than the SADT of the organic peroxide.</w:t>
            </w:r>
          </w:p>
          <w:p w:rsidR="00057803" w:rsidRDefault="00057803" w:rsidP="00A335A5">
            <w:pPr>
              <w:pStyle w:val="SingleTxtG"/>
              <w:ind w:left="407" w:hanging="407"/>
            </w:pPr>
            <w:r>
              <w:t>25)</w:t>
            </w:r>
            <w:r>
              <w:tab/>
              <w:t xml:space="preserve">Diluent type B with </w:t>
            </w:r>
            <w:r w:rsidRPr="00A335A5">
              <w:rPr>
                <w:color w:val="FF0000"/>
              </w:rPr>
              <w:t xml:space="preserve">boiling point </w:t>
            </w:r>
            <w:r>
              <w:t>&gt; 110 °C.</w:t>
            </w:r>
          </w:p>
          <w:p w:rsidR="00057803" w:rsidRPr="009D6628" w:rsidRDefault="00057803" w:rsidP="00A335A5">
            <w:pPr>
              <w:pStyle w:val="SingleTxtG"/>
              <w:ind w:left="407" w:hanging="407"/>
            </w:pPr>
            <w:r>
              <w:t>30)</w:t>
            </w:r>
            <w:r>
              <w:tab/>
              <w:t xml:space="preserve">Diluent type B with </w:t>
            </w:r>
            <w:r w:rsidRPr="00A335A5">
              <w:rPr>
                <w:color w:val="FF0000"/>
              </w:rPr>
              <w:t xml:space="preserve">boiling point </w:t>
            </w:r>
            <w:r>
              <w:t>&gt; 130 °C.</w:t>
            </w:r>
          </w:p>
        </w:tc>
      </w:tr>
      <w:tr w:rsidR="00254272" w:rsidRPr="009D6628" w:rsidTr="00E013C5">
        <w:tc>
          <w:tcPr>
            <w:tcW w:w="2008" w:type="dxa"/>
            <w:shd w:val="clear" w:color="auto" w:fill="auto"/>
          </w:tcPr>
          <w:p w:rsidR="00254272" w:rsidRPr="009D6628" w:rsidRDefault="00057803" w:rsidP="00A335A5">
            <w:pPr>
              <w:pStyle w:val="SingleTxtG"/>
              <w:ind w:left="5" w:right="1143"/>
              <w:jc w:val="left"/>
            </w:pPr>
            <w:r>
              <w:t>2.5.3.5.2</w:t>
            </w:r>
          </w:p>
        </w:tc>
        <w:tc>
          <w:tcPr>
            <w:tcW w:w="6507" w:type="dxa"/>
            <w:shd w:val="clear" w:color="auto" w:fill="auto"/>
          </w:tcPr>
          <w:p w:rsidR="00057803" w:rsidRPr="00057803" w:rsidRDefault="00057803" w:rsidP="00A335A5">
            <w:pPr>
              <w:pStyle w:val="SingleTxtG"/>
              <w:ind w:left="407" w:hanging="407"/>
            </w:pPr>
            <w:r>
              <w:t>(a)</w:t>
            </w:r>
            <w:r>
              <w:tab/>
              <w:t xml:space="preserve">Diluents type A </w:t>
            </w:r>
            <w:proofErr w:type="gramStart"/>
            <w:r>
              <w:t>are</w:t>
            </w:r>
            <w:proofErr w:type="gramEnd"/>
            <w:r>
              <w:t xml:space="preserve"> organic liquids which are compatible with the organic peroxide and which have a </w:t>
            </w:r>
            <w:r w:rsidRPr="00A335A5">
              <w:rPr>
                <w:color w:val="FF0000"/>
              </w:rPr>
              <w:t xml:space="preserve">boiling point </w:t>
            </w:r>
            <w:r>
              <w:t>of not less than 150 °C. Type A diluents may be used for desensitizing all organic peroxides;</w:t>
            </w:r>
          </w:p>
          <w:p w:rsidR="00254272" w:rsidRPr="009D6628" w:rsidRDefault="00057803" w:rsidP="00A335A5">
            <w:pPr>
              <w:pStyle w:val="SingleTxtG"/>
              <w:ind w:left="407" w:hanging="407"/>
            </w:pPr>
            <w:r>
              <w:t>(b)</w:t>
            </w:r>
            <w:r>
              <w:tab/>
              <w:t xml:space="preserve">Diluents type B are organic liquids which are compatible with the organic peroxide and which have a </w:t>
            </w:r>
            <w:r w:rsidRPr="00A335A5">
              <w:rPr>
                <w:color w:val="FF0000"/>
              </w:rPr>
              <w:t xml:space="preserve">boiling point </w:t>
            </w:r>
            <w:r>
              <w:t xml:space="preserve">of less than 150 °C but not less than 60 °C and a flash point of not less than 5 °C. Type B diluents may be used for desensitization of all organic peroxides provided that the </w:t>
            </w:r>
            <w:r w:rsidRPr="00A335A5">
              <w:rPr>
                <w:color w:val="FF0000"/>
              </w:rPr>
              <w:t xml:space="preserve">boiling point </w:t>
            </w:r>
            <w:r>
              <w:t>is at least 60 °C higher than the SADT in a 50 kg package.</w:t>
            </w:r>
          </w:p>
        </w:tc>
      </w:tr>
      <w:tr w:rsidR="00254272" w:rsidRPr="009D6628" w:rsidTr="00E013C5">
        <w:tc>
          <w:tcPr>
            <w:tcW w:w="2008" w:type="dxa"/>
            <w:shd w:val="clear" w:color="auto" w:fill="auto"/>
          </w:tcPr>
          <w:p w:rsidR="00057803" w:rsidRPr="00057803" w:rsidRDefault="00057803" w:rsidP="00A335A5">
            <w:pPr>
              <w:pStyle w:val="SingleTxtG"/>
              <w:ind w:left="5" w:right="0"/>
            </w:pPr>
            <w:r>
              <w:t>CHAPTER 3.2</w:t>
            </w:r>
          </w:p>
          <w:p w:rsidR="00254272" w:rsidRDefault="00057803" w:rsidP="00A335A5">
            <w:pPr>
              <w:pStyle w:val="SingleTxtG"/>
              <w:ind w:left="5" w:right="0"/>
              <w:jc w:val="left"/>
            </w:pPr>
            <w:r>
              <w:t>DANGEROUS GOODS LIST</w:t>
            </w:r>
          </w:p>
          <w:p w:rsidR="001E14B5" w:rsidRPr="009D6628" w:rsidRDefault="001E14B5" w:rsidP="00A335A5">
            <w:pPr>
              <w:pStyle w:val="SingleTxtG"/>
              <w:ind w:left="5" w:right="0"/>
              <w:jc w:val="left"/>
            </w:pPr>
            <w:r>
              <w:t>UN No. 1973</w:t>
            </w:r>
          </w:p>
        </w:tc>
        <w:tc>
          <w:tcPr>
            <w:tcW w:w="6507" w:type="dxa"/>
            <w:shd w:val="clear" w:color="auto" w:fill="auto"/>
          </w:tcPr>
          <w:p w:rsidR="00254272" w:rsidRPr="009D6628" w:rsidRDefault="00057803" w:rsidP="00A335A5">
            <w:pPr>
              <w:pStyle w:val="SingleTxtG"/>
              <w:ind w:left="0"/>
              <w:jc w:val="left"/>
            </w:pPr>
            <w:r>
              <w:t xml:space="preserve">CHLORODIFLUOROMETHANE AND CHLOROPENTAFLUOROETHANE MIXTURE with fixed </w:t>
            </w:r>
            <w:r w:rsidRPr="00A335A5">
              <w:rPr>
                <w:color w:val="FF0000"/>
              </w:rPr>
              <w:t>boiling point</w:t>
            </w:r>
            <w:r>
              <w:t>, with approximately 49% chlorodifluoromethane (REFRIGERANT GAS R 502)</w:t>
            </w:r>
          </w:p>
        </w:tc>
      </w:tr>
      <w:tr w:rsidR="00254272" w:rsidRPr="009D6628" w:rsidTr="00E013C5">
        <w:trPr>
          <w:cantSplit/>
        </w:trPr>
        <w:tc>
          <w:tcPr>
            <w:tcW w:w="2008" w:type="dxa"/>
            <w:shd w:val="clear" w:color="auto" w:fill="auto"/>
          </w:tcPr>
          <w:p w:rsidR="00254272" w:rsidRPr="009D6628" w:rsidRDefault="001E14B5" w:rsidP="00A335A5">
            <w:pPr>
              <w:pStyle w:val="SingleTxtG"/>
              <w:tabs>
                <w:tab w:val="left" w:pos="2670"/>
              </w:tabs>
              <w:ind w:left="5" w:right="255"/>
              <w:jc w:val="left"/>
            </w:pPr>
            <w:r>
              <w:lastRenderedPageBreak/>
              <w:t>ALPHABETICAL INDEX OF SUBSTANCES AND ARTICLES</w:t>
            </w:r>
          </w:p>
        </w:tc>
        <w:tc>
          <w:tcPr>
            <w:tcW w:w="6507" w:type="dxa"/>
            <w:shd w:val="clear" w:color="auto" w:fill="auto"/>
          </w:tcPr>
          <w:p w:rsidR="00254272" w:rsidRPr="009D6628" w:rsidRDefault="001E14B5" w:rsidP="00A335A5">
            <w:pPr>
              <w:pStyle w:val="SingleTxtG"/>
              <w:ind w:left="0"/>
              <w:jc w:val="left"/>
            </w:pPr>
            <w:r>
              <w:t xml:space="preserve">CHLORODIFLUOROMETHANE AND CHLOROPENTAFLUOROETHANE MIXTURE with fixed </w:t>
            </w:r>
            <w:r w:rsidRPr="00A335A5">
              <w:rPr>
                <w:color w:val="FF0000"/>
              </w:rPr>
              <w:t>boiling point</w:t>
            </w:r>
            <w:r>
              <w:t>, with approximately 49% chlorodifluoromethane (REFRIGERANT GAS R 502)</w:t>
            </w:r>
          </w:p>
        </w:tc>
      </w:tr>
      <w:tr w:rsidR="001E14B5" w:rsidRPr="009D6628" w:rsidTr="00E013C5">
        <w:trPr>
          <w:cantSplit/>
        </w:trPr>
        <w:tc>
          <w:tcPr>
            <w:tcW w:w="2008" w:type="dxa"/>
            <w:shd w:val="clear" w:color="auto" w:fill="auto"/>
          </w:tcPr>
          <w:p w:rsidR="001E14B5" w:rsidRPr="001E14B5" w:rsidRDefault="001E14B5" w:rsidP="00A335A5">
            <w:pPr>
              <w:pStyle w:val="SingleTxtG"/>
              <w:tabs>
                <w:tab w:val="left" w:pos="2670"/>
              </w:tabs>
              <w:ind w:left="5" w:right="255"/>
              <w:jc w:val="left"/>
            </w:pPr>
            <w:r>
              <w:t>PACKING INSTRUCTION P200 3 (c)</w:t>
            </w:r>
          </w:p>
        </w:tc>
        <w:tc>
          <w:tcPr>
            <w:tcW w:w="6507" w:type="dxa"/>
            <w:shd w:val="clear" w:color="auto" w:fill="auto"/>
          </w:tcPr>
          <w:p w:rsidR="001E14B5" w:rsidRPr="001E14B5" w:rsidRDefault="001E14B5" w:rsidP="00A335A5">
            <w:pPr>
              <w:pStyle w:val="SingleTxtG"/>
              <w:ind w:left="0"/>
              <w:jc w:val="left"/>
            </w:pPr>
            <w:r>
              <w:t xml:space="preserve">BP = </w:t>
            </w:r>
            <w:r w:rsidRPr="00A335A5">
              <w:rPr>
                <w:color w:val="FF0000"/>
              </w:rPr>
              <w:t xml:space="preserve">boiling point </w:t>
            </w:r>
            <w:r>
              <w:t>(in Kelvin)</w:t>
            </w:r>
            <w:r>
              <w:br/>
              <w:t xml:space="preserve">d1 = density of the liquid at </w:t>
            </w:r>
            <w:r w:rsidRPr="00A335A5">
              <w:rPr>
                <w:color w:val="FF0000"/>
              </w:rPr>
              <w:t xml:space="preserve">boiling point </w:t>
            </w:r>
            <w:r>
              <w:t>(in kg/l);</w:t>
            </w:r>
          </w:p>
        </w:tc>
      </w:tr>
      <w:tr w:rsidR="001E14B5" w:rsidRPr="009D6628" w:rsidTr="00E013C5">
        <w:trPr>
          <w:cantSplit/>
        </w:trPr>
        <w:tc>
          <w:tcPr>
            <w:tcW w:w="2008" w:type="dxa"/>
            <w:shd w:val="clear" w:color="auto" w:fill="auto"/>
          </w:tcPr>
          <w:p w:rsidR="001E14B5" w:rsidRPr="001E14B5" w:rsidRDefault="001E14B5" w:rsidP="00A335A5">
            <w:pPr>
              <w:pStyle w:val="SingleTxtG"/>
              <w:tabs>
                <w:tab w:val="left" w:pos="2670"/>
              </w:tabs>
              <w:ind w:left="5" w:right="255"/>
              <w:jc w:val="left"/>
            </w:pPr>
            <w:r>
              <w:t>PACKING INSTRUCTION P200 Table 2</w:t>
            </w:r>
            <w:r>
              <w:br/>
              <w:t>UN No. 1973</w:t>
            </w:r>
          </w:p>
        </w:tc>
        <w:tc>
          <w:tcPr>
            <w:tcW w:w="6507" w:type="dxa"/>
            <w:shd w:val="clear" w:color="auto" w:fill="auto"/>
          </w:tcPr>
          <w:p w:rsidR="001E14B5" w:rsidRPr="001E14B5" w:rsidRDefault="001E14B5" w:rsidP="00A335A5">
            <w:pPr>
              <w:pStyle w:val="SingleTxtG"/>
              <w:ind w:left="0"/>
              <w:jc w:val="left"/>
            </w:pPr>
            <w:r>
              <w:t xml:space="preserve">CHLORODIFLUOROMETHANE AND CHLOROPENTAFLUOROETHANE MIXTURE with fixed </w:t>
            </w:r>
            <w:r w:rsidRPr="00A335A5">
              <w:rPr>
                <w:color w:val="FF0000"/>
              </w:rPr>
              <w:t>boiling point</w:t>
            </w:r>
            <w:r>
              <w:t>, with approximately 49% chlorodifluoromethane (REFRIGERANT GAS R 502)</w:t>
            </w:r>
          </w:p>
        </w:tc>
      </w:tr>
      <w:tr w:rsidR="001E14B5" w:rsidRPr="009D6628" w:rsidTr="00E013C5">
        <w:trPr>
          <w:cantSplit/>
        </w:trPr>
        <w:tc>
          <w:tcPr>
            <w:tcW w:w="2008" w:type="dxa"/>
            <w:shd w:val="clear" w:color="auto" w:fill="auto"/>
          </w:tcPr>
          <w:p w:rsidR="001E14B5" w:rsidRPr="00A335A5" w:rsidRDefault="001E14B5" w:rsidP="00A335A5">
            <w:pPr>
              <w:pStyle w:val="SingleTxtG"/>
              <w:tabs>
                <w:tab w:val="left" w:pos="2670"/>
              </w:tabs>
              <w:ind w:left="5" w:right="255"/>
              <w:rPr>
                <w:lang w:val="fr-FR"/>
              </w:rPr>
            </w:pPr>
            <w:r w:rsidRPr="00A335A5">
              <w:rPr>
                <w:lang w:val="fr-FR"/>
              </w:rPr>
              <w:t xml:space="preserve">PORTABLE TANK INSTRUCTION T50 </w:t>
            </w:r>
          </w:p>
          <w:p w:rsidR="001E14B5" w:rsidRPr="00A335A5" w:rsidRDefault="001E14B5" w:rsidP="00A335A5">
            <w:pPr>
              <w:pStyle w:val="SingleTxtG"/>
              <w:tabs>
                <w:tab w:val="left" w:pos="2670"/>
              </w:tabs>
              <w:ind w:left="5" w:right="255"/>
              <w:jc w:val="left"/>
              <w:rPr>
                <w:lang w:val="fr-FR"/>
              </w:rPr>
            </w:pPr>
            <w:r w:rsidRPr="00A335A5">
              <w:rPr>
                <w:lang w:val="fr-FR"/>
              </w:rPr>
              <w:t>UN No. 1973</w:t>
            </w:r>
          </w:p>
        </w:tc>
        <w:tc>
          <w:tcPr>
            <w:tcW w:w="6507" w:type="dxa"/>
            <w:shd w:val="clear" w:color="auto" w:fill="auto"/>
          </w:tcPr>
          <w:p w:rsidR="001E14B5" w:rsidRPr="001E14B5" w:rsidRDefault="001E14B5" w:rsidP="00A335A5">
            <w:pPr>
              <w:pStyle w:val="SingleTxtG"/>
              <w:ind w:left="0"/>
              <w:jc w:val="left"/>
            </w:pPr>
            <w:r>
              <w:t xml:space="preserve">CHLORODIFLUOROMETHANE AND CHLOROPENTAFLUOROETHANE MIXTURE with fixed </w:t>
            </w:r>
            <w:r w:rsidRPr="00A335A5">
              <w:rPr>
                <w:color w:val="FF0000"/>
              </w:rPr>
              <w:t>boiling point</w:t>
            </w:r>
            <w:r>
              <w:t>, with approximately 49% chlorodifluoromethane (REFRIGERANT GAS R 502)</w:t>
            </w:r>
          </w:p>
        </w:tc>
      </w:tr>
      <w:tr w:rsidR="00621237" w:rsidRPr="009D6628" w:rsidTr="00E013C5">
        <w:trPr>
          <w:cantSplit/>
        </w:trPr>
        <w:tc>
          <w:tcPr>
            <w:tcW w:w="2008" w:type="dxa"/>
            <w:shd w:val="clear" w:color="auto" w:fill="auto"/>
          </w:tcPr>
          <w:p w:rsidR="00621237" w:rsidRDefault="00621237" w:rsidP="00A335A5">
            <w:pPr>
              <w:pStyle w:val="SingleTxtG"/>
              <w:tabs>
                <w:tab w:val="left" w:pos="2670"/>
              </w:tabs>
              <w:ind w:left="5" w:right="255"/>
            </w:pPr>
            <w:r>
              <w:t>6.2.1.1.8.3</w:t>
            </w:r>
          </w:p>
        </w:tc>
        <w:tc>
          <w:tcPr>
            <w:tcW w:w="6507" w:type="dxa"/>
            <w:shd w:val="clear" w:color="auto" w:fill="auto"/>
          </w:tcPr>
          <w:p w:rsidR="00621237" w:rsidRPr="001E14B5" w:rsidRDefault="00621237" w:rsidP="00A335A5">
            <w:pPr>
              <w:pStyle w:val="SingleTxtG"/>
              <w:ind w:left="0"/>
            </w:pPr>
            <w:r>
              <w:t xml:space="preserve">Closed cryogenic receptacles intended for the transport of refrigerated liquefied gases having a </w:t>
            </w:r>
            <w:r w:rsidRPr="00A335A5">
              <w:rPr>
                <w:color w:val="FF0000"/>
              </w:rPr>
              <w:t xml:space="preserve">boiling point </w:t>
            </w:r>
            <w:r>
              <w:t>below -182 °C at atmospheric pressure shall not include materials which may react with oxygen or oxygen enriched atmospheres in a dangerous manner, when located in parts of the thermal insulation where there is a risk of contact with oxygen or with oxygen enriched liquid.</w:t>
            </w:r>
          </w:p>
        </w:tc>
      </w:tr>
      <w:tr w:rsidR="00621237" w:rsidRPr="009D6628" w:rsidTr="00E013C5">
        <w:trPr>
          <w:cantSplit/>
        </w:trPr>
        <w:tc>
          <w:tcPr>
            <w:tcW w:w="2008" w:type="dxa"/>
            <w:shd w:val="clear" w:color="auto" w:fill="auto"/>
          </w:tcPr>
          <w:p w:rsidR="00621237" w:rsidRPr="00621237" w:rsidRDefault="00621237" w:rsidP="00A335A5">
            <w:pPr>
              <w:pStyle w:val="SingleTxtG"/>
              <w:tabs>
                <w:tab w:val="left" w:pos="2670"/>
              </w:tabs>
              <w:ind w:left="5" w:right="255"/>
            </w:pPr>
            <w:r>
              <w:t>6.7.4.2.6</w:t>
            </w:r>
          </w:p>
        </w:tc>
        <w:tc>
          <w:tcPr>
            <w:tcW w:w="6507" w:type="dxa"/>
            <w:shd w:val="clear" w:color="auto" w:fill="auto"/>
          </w:tcPr>
          <w:p w:rsidR="00621237" w:rsidRPr="00621237" w:rsidRDefault="00621237" w:rsidP="00A335A5">
            <w:pPr>
              <w:pStyle w:val="SingleTxtG"/>
              <w:ind w:left="0"/>
            </w:pPr>
            <w:r>
              <w:t xml:space="preserve">Portable tanks intended for the transport of refrigerated liquefied gases having a </w:t>
            </w:r>
            <w:r w:rsidRPr="00A335A5">
              <w:rPr>
                <w:color w:val="FF0000"/>
              </w:rPr>
              <w:t xml:space="preserve">boiling point </w:t>
            </w:r>
            <w:r>
              <w:t>below minus 182 °C at atmospheric pressure shall not include materials which may react with oxygen or oxygen enriched atmospheres in a dangerous manner, when located in parts of the thermal insulation when there is a risk of contact with oxygen or with oxygen enriched fluid.</w:t>
            </w:r>
          </w:p>
        </w:tc>
      </w:tr>
    </w:tbl>
    <w:p w:rsidR="00254272" w:rsidRPr="00E013C5" w:rsidRDefault="00E013C5" w:rsidP="00E013C5">
      <w:pPr>
        <w:pStyle w:val="SingleTxtG"/>
        <w:spacing w:before="240" w:after="0"/>
        <w:jc w:val="center"/>
        <w:rPr>
          <w:u w:val="single"/>
        </w:rPr>
      </w:pPr>
      <w:r>
        <w:rPr>
          <w:u w:val="single"/>
        </w:rPr>
        <w:tab/>
      </w:r>
      <w:r>
        <w:rPr>
          <w:u w:val="single"/>
        </w:rPr>
        <w:tab/>
      </w:r>
      <w:r>
        <w:rPr>
          <w:u w:val="single"/>
        </w:rPr>
        <w:tab/>
      </w:r>
      <w:bookmarkStart w:id="0" w:name="_GoBack"/>
      <w:bookmarkEnd w:id="0"/>
    </w:p>
    <w:sectPr w:rsidR="00254272" w:rsidRPr="00E013C5" w:rsidSect="00B564B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C7" w:rsidRDefault="00D407C7"/>
  </w:endnote>
  <w:endnote w:type="continuationSeparator" w:id="0">
    <w:p w:rsidR="00D407C7" w:rsidRDefault="00D407C7"/>
  </w:endnote>
  <w:endnote w:type="continuationNotice" w:id="1">
    <w:p w:rsidR="00D407C7" w:rsidRDefault="00D40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E6115A" w:rsidP="00284F49">
    <w:pPr>
      <w:pStyle w:val="Footer"/>
      <w:tabs>
        <w:tab w:val="right" w:pos="9638"/>
      </w:tabs>
      <w:rPr>
        <w:sz w:val="18"/>
      </w:rPr>
    </w:pPr>
    <w:r>
      <w:rPr>
        <w:rStyle w:val="PageNumber"/>
      </w:rPr>
      <w:fldChar w:fldCharType="begin"/>
    </w:r>
    <w:r w:rsidR="0042458C">
      <w:rPr>
        <w:rStyle w:val="PageNumber"/>
      </w:rPr>
      <w:instrText xml:space="preserve"> PAGE </w:instrText>
    </w:r>
    <w:r>
      <w:rPr>
        <w:rStyle w:val="PageNumber"/>
      </w:rPr>
      <w:fldChar w:fldCharType="separate"/>
    </w:r>
    <w:r w:rsidR="00E013C5">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42458C" w:rsidP="00284F49">
    <w:pPr>
      <w:pStyle w:val="Footer"/>
      <w:tabs>
        <w:tab w:val="right" w:pos="9638"/>
      </w:tabs>
      <w:rPr>
        <w:b/>
        <w:sz w:val="18"/>
      </w:rPr>
    </w:pPr>
    <w:r>
      <w:tab/>
    </w:r>
    <w:r w:rsidR="00E6115A">
      <w:rPr>
        <w:rStyle w:val="PageNumber"/>
      </w:rPr>
      <w:fldChar w:fldCharType="begin"/>
    </w:r>
    <w:r>
      <w:rPr>
        <w:rStyle w:val="PageNumber"/>
      </w:rPr>
      <w:instrText xml:space="preserve"> PAGE </w:instrText>
    </w:r>
    <w:r w:rsidR="00E6115A">
      <w:rPr>
        <w:rStyle w:val="PageNumber"/>
      </w:rPr>
      <w:fldChar w:fldCharType="separate"/>
    </w:r>
    <w:r w:rsidR="00E013C5">
      <w:rPr>
        <w:rStyle w:val="PageNumber"/>
        <w:noProof/>
      </w:rPr>
      <w:t>3</w:t>
    </w:r>
    <w:r w:rsidR="00E6115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965381" w:rsidRDefault="00774F86">
    <w:pPr>
      <w:pStyle w:val="Footer"/>
      <w:rPr>
        <w:sz w:val="20"/>
      </w:rPr>
    </w:pPr>
    <w:r>
      <w:rPr>
        <w:noProof/>
        <w:lang w:bidi="ar-SA"/>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-108585</wp:posOffset>
          </wp:positionV>
          <wp:extent cx="930275" cy="230505"/>
          <wp:effectExtent l="0" t="0" r="3175" b="0"/>
          <wp:wrapNone/>
          <wp:docPr id="1" name="그림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C7" w:rsidRPr="000B175B" w:rsidRDefault="00D407C7" w:rsidP="000B175B">
      <w:pPr>
        <w:tabs>
          <w:tab w:val="right" w:pos="2155"/>
        </w:tabs>
        <w:spacing w:after="80"/>
        <w:ind w:left="680"/>
        <w:rPr>
          <w:u w:val="single"/>
        </w:rPr>
      </w:pPr>
      <w:r>
        <w:rPr>
          <w:u w:val="single"/>
        </w:rPr>
        <w:tab/>
      </w:r>
    </w:p>
  </w:footnote>
  <w:footnote w:type="continuationSeparator" w:id="0">
    <w:p w:rsidR="00D407C7" w:rsidRPr="00FC68B7" w:rsidRDefault="00D407C7" w:rsidP="00FC68B7">
      <w:pPr>
        <w:tabs>
          <w:tab w:val="left" w:pos="2155"/>
        </w:tabs>
        <w:spacing w:after="80"/>
        <w:ind w:left="680"/>
        <w:rPr>
          <w:u w:val="single"/>
        </w:rPr>
      </w:pPr>
      <w:r>
        <w:rPr>
          <w:u w:val="single"/>
        </w:rPr>
        <w:tab/>
      </w:r>
    </w:p>
  </w:footnote>
  <w:footnote w:type="continuationNotice" w:id="1">
    <w:p w:rsidR="00D407C7" w:rsidRDefault="00D407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A3" w:rsidRPr="00C935A3" w:rsidRDefault="00E013C5">
    <w:pPr>
      <w:pStyle w:val="Header"/>
    </w:pPr>
    <w:r>
      <w:t>UN/SCETDG/48/INF.27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C935A3" w:rsidRDefault="00E013C5" w:rsidP="00C935A3">
    <w:pPr>
      <w:pStyle w:val="Header"/>
      <w:jc w:val="right"/>
    </w:pPr>
    <w:r>
      <w:t>UN/SCETDG/48/INF.27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4">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8">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1">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3">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4">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5">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6">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2">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3">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6"/>
  </w:num>
  <w:num w:numId="13">
    <w:abstractNumId w:val="11"/>
  </w:num>
  <w:num w:numId="14">
    <w:abstractNumId w:val="30"/>
  </w:num>
  <w:num w:numId="15">
    <w:abstractNumId w:val="34"/>
  </w:num>
  <w:num w:numId="16">
    <w:abstractNumId w:val="12"/>
  </w:num>
  <w:num w:numId="17">
    <w:abstractNumId w:val="15"/>
  </w:num>
  <w:num w:numId="18">
    <w:abstractNumId w:val="29"/>
  </w:num>
  <w:num w:numId="19">
    <w:abstractNumId w:val="18"/>
  </w:num>
  <w:num w:numId="20">
    <w:abstractNumId w:val="22"/>
  </w:num>
  <w:num w:numId="21">
    <w:abstractNumId w:val="35"/>
  </w:num>
  <w:num w:numId="22">
    <w:abstractNumId w:val="24"/>
  </w:num>
  <w:num w:numId="23">
    <w:abstractNumId w:val="25"/>
  </w:num>
  <w:num w:numId="24">
    <w:abstractNumId w:val="31"/>
  </w:num>
  <w:num w:numId="25">
    <w:abstractNumId w:val="23"/>
  </w:num>
  <w:num w:numId="26">
    <w:abstractNumId w:val="17"/>
  </w:num>
  <w:num w:numId="27">
    <w:abstractNumId w:val="19"/>
  </w:num>
  <w:num w:numId="28">
    <w:abstractNumId w:val="33"/>
  </w:num>
  <w:num w:numId="29">
    <w:abstractNumId w:val="26"/>
  </w:num>
  <w:num w:numId="30">
    <w:abstractNumId w:val="13"/>
  </w:num>
  <w:num w:numId="31">
    <w:abstractNumId w:val="32"/>
  </w:num>
  <w:num w:numId="32">
    <w:abstractNumId w:val="10"/>
  </w:num>
  <w:num w:numId="33">
    <w:abstractNumId w:val="20"/>
  </w:num>
  <w:num w:numId="34">
    <w:abstractNumId w:val="21"/>
  </w:num>
  <w:num w:numId="35">
    <w:abstractNumId w:val="14"/>
  </w:num>
  <w:num w:numId="36">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19F8"/>
    <w:rsid w:val="00002439"/>
    <w:rsid w:val="000028D7"/>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3ED5"/>
    <w:rsid w:val="00125ECE"/>
    <w:rsid w:val="00126790"/>
    <w:rsid w:val="001271D9"/>
    <w:rsid w:val="0012782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A94"/>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3AC"/>
    <w:rsid w:val="002277BA"/>
    <w:rsid w:val="00227E92"/>
    <w:rsid w:val="002309A7"/>
    <w:rsid w:val="00231902"/>
    <w:rsid w:val="00233569"/>
    <w:rsid w:val="002335A3"/>
    <w:rsid w:val="00233D28"/>
    <w:rsid w:val="00237785"/>
    <w:rsid w:val="00240754"/>
    <w:rsid w:val="00241466"/>
    <w:rsid w:val="00242A98"/>
    <w:rsid w:val="00244E70"/>
    <w:rsid w:val="00245A08"/>
    <w:rsid w:val="00246F4A"/>
    <w:rsid w:val="00247EE5"/>
    <w:rsid w:val="0025155F"/>
    <w:rsid w:val="0025156D"/>
    <w:rsid w:val="002518E0"/>
    <w:rsid w:val="00254272"/>
    <w:rsid w:val="002543DD"/>
    <w:rsid w:val="00254599"/>
    <w:rsid w:val="00254B52"/>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A12"/>
    <w:rsid w:val="00282108"/>
    <w:rsid w:val="00282CF3"/>
    <w:rsid w:val="00283B8A"/>
    <w:rsid w:val="00284323"/>
    <w:rsid w:val="00284F49"/>
    <w:rsid w:val="0028580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EE9"/>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233B"/>
    <w:rsid w:val="0035273B"/>
    <w:rsid w:val="003528CF"/>
    <w:rsid w:val="003532BE"/>
    <w:rsid w:val="0035588F"/>
    <w:rsid w:val="00356328"/>
    <w:rsid w:val="00360E44"/>
    <w:rsid w:val="00360EDB"/>
    <w:rsid w:val="003612AB"/>
    <w:rsid w:val="003631BC"/>
    <w:rsid w:val="00363D48"/>
    <w:rsid w:val="003656B0"/>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647"/>
    <w:rsid w:val="003A1892"/>
    <w:rsid w:val="003A1F7C"/>
    <w:rsid w:val="003A292B"/>
    <w:rsid w:val="003A2941"/>
    <w:rsid w:val="003A331F"/>
    <w:rsid w:val="003A5912"/>
    <w:rsid w:val="003A5DE7"/>
    <w:rsid w:val="003B1EB6"/>
    <w:rsid w:val="003B3F27"/>
    <w:rsid w:val="003B4464"/>
    <w:rsid w:val="003B59B4"/>
    <w:rsid w:val="003B7B3B"/>
    <w:rsid w:val="003B7B96"/>
    <w:rsid w:val="003B7F27"/>
    <w:rsid w:val="003C1B5A"/>
    <w:rsid w:val="003C2CC4"/>
    <w:rsid w:val="003C42F7"/>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41A"/>
    <w:rsid w:val="00462CDF"/>
    <w:rsid w:val="00464231"/>
    <w:rsid w:val="0046751F"/>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B8D"/>
    <w:rsid w:val="00597E07"/>
    <w:rsid w:val="005A04B6"/>
    <w:rsid w:val="005A136F"/>
    <w:rsid w:val="005A264F"/>
    <w:rsid w:val="005A29EB"/>
    <w:rsid w:val="005A2FA1"/>
    <w:rsid w:val="005A336E"/>
    <w:rsid w:val="005A520B"/>
    <w:rsid w:val="005A636C"/>
    <w:rsid w:val="005A77BD"/>
    <w:rsid w:val="005A78C2"/>
    <w:rsid w:val="005B1135"/>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28EE"/>
    <w:rsid w:val="005F2E3C"/>
    <w:rsid w:val="005F3A1D"/>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392"/>
    <w:rsid w:val="006B0F12"/>
    <w:rsid w:val="006B1935"/>
    <w:rsid w:val="006B1BA4"/>
    <w:rsid w:val="006B28B5"/>
    <w:rsid w:val="006B2C79"/>
    <w:rsid w:val="006B5300"/>
    <w:rsid w:val="006B5AF9"/>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430"/>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4F86"/>
    <w:rsid w:val="00776248"/>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F6D"/>
    <w:rsid w:val="007F13A7"/>
    <w:rsid w:val="007F1EDA"/>
    <w:rsid w:val="007F6611"/>
    <w:rsid w:val="00800200"/>
    <w:rsid w:val="00802437"/>
    <w:rsid w:val="008024C3"/>
    <w:rsid w:val="0080316E"/>
    <w:rsid w:val="008032E5"/>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7073C"/>
    <w:rsid w:val="00871FD5"/>
    <w:rsid w:val="008747D9"/>
    <w:rsid w:val="008756EA"/>
    <w:rsid w:val="008759A6"/>
    <w:rsid w:val="00876304"/>
    <w:rsid w:val="00876A6E"/>
    <w:rsid w:val="00877C31"/>
    <w:rsid w:val="00877FF8"/>
    <w:rsid w:val="00880D9B"/>
    <w:rsid w:val="00881D13"/>
    <w:rsid w:val="00883A12"/>
    <w:rsid w:val="0088794F"/>
    <w:rsid w:val="00887AE5"/>
    <w:rsid w:val="00890A40"/>
    <w:rsid w:val="00895EE1"/>
    <w:rsid w:val="00896AEB"/>
    <w:rsid w:val="008979B1"/>
    <w:rsid w:val="008A0C46"/>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D79"/>
    <w:rsid w:val="009E62D8"/>
    <w:rsid w:val="009E65AC"/>
    <w:rsid w:val="009F00CC"/>
    <w:rsid w:val="009F0F06"/>
    <w:rsid w:val="009F13FA"/>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5695"/>
    <w:rsid w:val="00A2798A"/>
    <w:rsid w:val="00A27A99"/>
    <w:rsid w:val="00A320B1"/>
    <w:rsid w:val="00A32B01"/>
    <w:rsid w:val="00A3327F"/>
    <w:rsid w:val="00A335A5"/>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51C3"/>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E73"/>
    <w:rsid w:val="00B30179"/>
    <w:rsid w:val="00B307BC"/>
    <w:rsid w:val="00B328DB"/>
    <w:rsid w:val="00B33037"/>
    <w:rsid w:val="00B3317B"/>
    <w:rsid w:val="00B33D2A"/>
    <w:rsid w:val="00B345F1"/>
    <w:rsid w:val="00B3466A"/>
    <w:rsid w:val="00B34685"/>
    <w:rsid w:val="00B3573D"/>
    <w:rsid w:val="00B36263"/>
    <w:rsid w:val="00B36B1A"/>
    <w:rsid w:val="00B36F2E"/>
    <w:rsid w:val="00B4029C"/>
    <w:rsid w:val="00B404C4"/>
    <w:rsid w:val="00B417C5"/>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49B5"/>
    <w:rsid w:val="00B6563C"/>
    <w:rsid w:val="00B66261"/>
    <w:rsid w:val="00B6699A"/>
    <w:rsid w:val="00B66D5F"/>
    <w:rsid w:val="00B67329"/>
    <w:rsid w:val="00B6770C"/>
    <w:rsid w:val="00B67E8F"/>
    <w:rsid w:val="00B70B3A"/>
    <w:rsid w:val="00B71DAD"/>
    <w:rsid w:val="00B7275B"/>
    <w:rsid w:val="00B73484"/>
    <w:rsid w:val="00B7649E"/>
    <w:rsid w:val="00B778B9"/>
    <w:rsid w:val="00B80041"/>
    <w:rsid w:val="00B81E12"/>
    <w:rsid w:val="00B822A6"/>
    <w:rsid w:val="00B84613"/>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E0C"/>
    <w:rsid w:val="00C22EBE"/>
    <w:rsid w:val="00C232D0"/>
    <w:rsid w:val="00C24336"/>
    <w:rsid w:val="00C24338"/>
    <w:rsid w:val="00C24F09"/>
    <w:rsid w:val="00C25B81"/>
    <w:rsid w:val="00C26C36"/>
    <w:rsid w:val="00C276E7"/>
    <w:rsid w:val="00C27C99"/>
    <w:rsid w:val="00C31795"/>
    <w:rsid w:val="00C32844"/>
    <w:rsid w:val="00C32E50"/>
    <w:rsid w:val="00C33AE8"/>
    <w:rsid w:val="00C341F0"/>
    <w:rsid w:val="00C34E25"/>
    <w:rsid w:val="00C368D3"/>
    <w:rsid w:val="00C40062"/>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3586"/>
    <w:rsid w:val="00CA48E4"/>
    <w:rsid w:val="00CA4D82"/>
    <w:rsid w:val="00CA52EA"/>
    <w:rsid w:val="00CA67EB"/>
    <w:rsid w:val="00CB1414"/>
    <w:rsid w:val="00CB443D"/>
    <w:rsid w:val="00CB6D3B"/>
    <w:rsid w:val="00CB7183"/>
    <w:rsid w:val="00CB7738"/>
    <w:rsid w:val="00CB7C97"/>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4A8F"/>
    <w:rsid w:val="00CE687A"/>
    <w:rsid w:val="00CE74E6"/>
    <w:rsid w:val="00CE7E8B"/>
    <w:rsid w:val="00CF036B"/>
    <w:rsid w:val="00CF0FD3"/>
    <w:rsid w:val="00CF2EED"/>
    <w:rsid w:val="00CF3969"/>
    <w:rsid w:val="00CF462B"/>
    <w:rsid w:val="00CF6927"/>
    <w:rsid w:val="00CF7C05"/>
    <w:rsid w:val="00CF7DF6"/>
    <w:rsid w:val="00D015D9"/>
    <w:rsid w:val="00D020AE"/>
    <w:rsid w:val="00D02DB6"/>
    <w:rsid w:val="00D03FAD"/>
    <w:rsid w:val="00D044AC"/>
    <w:rsid w:val="00D0459E"/>
    <w:rsid w:val="00D05F4F"/>
    <w:rsid w:val="00D10926"/>
    <w:rsid w:val="00D11694"/>
    <w:rsid w:val="00D16352"/>
    <w:rsid w:val="00D16C6B"/>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2317"/>
    <w:rsid w:val="00D32540"/>
    <w:rsid w:val="00D331A1"/>
    <w:rsid w:val="00D338FC"/>
    <w:rsid w:val="00D33918"/>
    <w:rsid w:val="00D354C2"/>
    <w:rsid w:val="00D36516"/>
    <w:rsid w:val="00D36C11"/>
    <w:rsid w:val="00D370BE"/>
    <w:rsid w:val="00D40553"/>
    <w:rsid w:val="00D407C7"/>
    <w:rsid w:val="00D409EC"/>
    <w:rsid w:val="00D41E69"/>
    <w:rsid w:val="00D41EE2"/>
    <w:rsid w:val="00D42718"/>
    <w:rsid w:val="00D42A94"/>
    <w:rsid w:val="00D43252"/>
    <w:rsid w:val="00D444F3"/>
    <w:rsid w:val="00D44646"/>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6A3C"/>
    <w:rsid w:val="00DB720E"/>
    <w:rsid w:val="00DC0438"/>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B96"/>
    <w:rsid w:val="00E43D5C"/>
    <w:rsid w:val="00E44719"/>
    <w:rsid w:val="00E46044"/>
    <w:rsid w:val="00E46497"/>
    <w:rsid w:val="00E4664E"/>
    <w:rsid w:val="00E4746A"/>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F66"/>
    <w:rsid w:val="00E76FB9"/>
    <w:rsid w:val="00E849C9"/>
    <w:rsid w:val="00E8535A"/>
    <w:rsid w:val="00E85AD5"/>
    <w:rsid w:val="00E86C4E"/>
    <w:rsid w:val="00E9014A"/>
    <w:rsid w:val="00E9392C"/>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F17"/>
    <w:rsid w:val="00EB6832"/>
    <w:rsid w:val="00EB75BC"/>
    <w:rsid w:val="00EB7643"/>
    <w:rsid w:val="00EC045B"/>
    <w:rsid w:val="00EC0F47"/>
    <w:rsid w:val="00EC1BA5"/>
    <w:rsid w:val="00EC2302"/>
    <w:rsid w:val="00EC3C9F"/>
    <w:rsid w:val="00EC438F"/>
    <w:rsid w:val="00EC638E"/>
    <w:rsid w:val="00EC6F78"/>
    <w:rsid w:val="00EC7156"/>
    <w:rsid w:val="00EC728D"/>
    <w:rsid w:val="00ED1346"/>
    <w:rsid w:val="00ED3228"/>
    <w:rsid w:val="00ED3542"/>
    <w:rsid w:val="00ED4469"/>
    <w:rsid w:val="00ED451A"/>
    <w:rsid w:val="00ED53D9"/>
    <w:rsid w:val="00ED706C"/>
    <w:rsid w:val="00ED7892"/>
    <w:rsid w:val="00ED78FB"/>
    <w:rsid w:val="00ED79CE"/>
    <w:rsid w:val="00ED7A2A"/>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DE4"/>
    <w:rsid w:val="00FA3F80"/>
    <w:rsid w:val="00FA5044"/>
    <w:rsid w:val="00FA5D90"/>
    <w:rsid w:val="00FA6705"/>
    <w:rsid w:val="00FA7400"/>
    <w:rsid w:val="00FA76CD"/>
    <w:rsid w:val="00FB0463"/>
    <w:rsid w:val="00FB0A8D"/>
    <w:rsid w:val="00FB174D"/>
    <w:rsid w:val="00FB183B"/>
    <w:rsid w:val="00FB3DFA"/>
    <w:rsid w:val="00FB713E"/>
    <w:rsid w:val="00FB7972"/>
    <w:rsid w:val="00FC04D8"/>
    <w:rsid w:val="00FC3475"/>
    <w:rsid w:val="00FC5C73"/>
    <w:rsid w:val="00FC68B7"/>
    <w:rsid w:val="00FC72D3"/>
    <w:rsid w:val="00FD081D"/>
    <w:rsid w:val="00FD08C7"/>
    <w:rsid w:val="00FD1B00"/>
    <w:rsid w:val="00FD2323"/>
    <w:rsid w:val="00FD25F7"/>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B226D-D262-4751-9CB7-649E83A9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828</Words>
  <Characters>4722</Characters>
  <Application>Microsoft Office Word</Application>
  <DocSecurity>0</DocSecurity>
  <Lines>39</Lines>
  <Paragraphs>11</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2015-11-20T15:30:00Z</cp:lastPrinted>
  <dcterms:created xsi:type="dcterms:W3CDTF">2015-11-20T15:29:00Z</dcterms:created>
  <dcterms:modified xsi:type="dcterms:W3CDTF">2015-11-20T15:30:00Z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