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745E22" w:rsidP="006203CE">
            <w:pPr>
              <w:jc w:val="right"/>
              <w:rPr>
                <w:b/>
                <w:sz w:val="40"/>
                <w:szCs w:val="40"/>
              </w:rPr>
            </w:pPr>
            <w:r w:rsidRPr="00AB16B2">
              <w:rPr>
                <w:b/>
                <w:sz w:val="40"/>
                <w:szCs w:val="40"/>
              </w:rPr>
              <w:t>U</w:t>
            </w:r>
            <w:r w:rsidR="001A3A94" w:rsidRPr="00AB16B2">
              <w:rPr>
                <w:b/>
                <w:sz w:val="40"/>
                <w:szCs w:val="40"/>
              </w:rPr>
              <w:t>N/SCETDG/4</w:t>
            </w:r>
            <w:r w:rsidR="006F164D">
              <w:rPr>
                <w:b/>
                <w:sz w:val="40"/>
                <w:szCs w:val="40"/>
                <w:lang w:eastAsia="ko-KR"/>
              </w:rPr>
              <w:t>8</w:t>
            </w:r>
            <w:r w:rsidRPr="00AB16B2">
              <w:rPr>
                <w:b/>
                <w:sz w:val="40"/>
                <w:szCs w:val="40"/>
              </w:rPr>
              <w:t>/INF.</w:t>
            </w:r>
            <w:r w:rsidR="00776929">
              <w:rPr>
                <w:b/>
                <w:sz w:val="40"/>
                <w:szCs w:val="40"/>
              </w:rPr>
              <w:t>1</w:t>
            </w:r>
            <w:r w:rsidR="006203CE">
              <w:rPr>
                <w:b/>
                <w:sz w:val="40"/>
                <w:szCs w:val="40"/>
              </w:rPr>
              <w:t>3</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sidRPr="00AB16B2">
              <w:rPr>
                <w:b/>
                <w:sz w:val="24"/>
                <w:szCs w:val="24"/>
              </w:rPr>
              <w:t>Committee of Experts on the Transport of Dangerous Goods</w:t>
            </w:r>
            <w:r w:rsidRPr="00AB16B2">
              <w:rPr>
                <w:b/>
                <w:sz w:val="24"/>
                <w:szCs w:val="24"/>
              </w:rPr>
              <w:br/>
              <w:t>and on the Globally Harmonized System of Classification</w:t>
            </w:r>
            <w:r w:rsidRPr="00AB16B2">
              <w:rPr>
                <w:b/>
                <w:sz w:val="24"/>
                <w:szCs w:val="24"/>
              </w:rPr>
              <w:br/>
              <w:t>and Labelling of Chemicals</w:t>
            </w:r>
          </w:p>
          <w:p w:rsidR="00745E22" w:rsidRPr="00AB16B2" w:rsidRDefault="00745E22" w:rsidP="00745E22">
            <w:pPr>
              <w:spacing w:before="120"/>
              <w:rPr>
                <w:rFonts w:ascii="Helv" w:hAnsi="Helv" w:cs="Helv"/>
                <w:b/>
                <w:lang w:eastAsia="ko-KR"/>
              </w:rPr>
            </w:pPr>
            <w:r w:rsidRPr="00AB16B2">
              <w:rPr>
                <w:b/>
              </w:rPr>
              <w:t>Sub-Committee of Experts on the Transport of Dangerous Goods</w:t>
            </w:r>
            <w:r w:rsidR="000D3CED">
              <w:rPr>
                <w:b/>
              </w:rPr>
              <w:tab/>
            </w:r>
            <w:r w:rsidR="000D3CED">
              <w:rPr>
                <w:b/>
              </w:rPr>
              <w:tab/>
            </w:r>
            <w:r w:rsidR="000D3CED">
              <w:rPr>
                <w:b/>
              </w:rPr>
              <w:tab/>
            </w:r>
            <w:r w:rsidR="000D3CED">
              <w:rPr>
                <w:b/>
              </w:rPr>
              <w:tab/>
            </w:r>
            <w:r w:rsidR="000D3CED">
              <w:rPr>
                <w:b/>
              </w:rPr>
              <w:tab/>
            </w:r>
            <w:r w:rsidR="00DB64A5">
              <w:rPr>
                <w:b/>
              </w:rPr>
              <w:t>10</w:t>
            </w:r>
            <w:r w:rsidR="00776929">
              <w:rPr>
                <w:b/>
              </w:rPr>
              <w:t xml:space="preserve"> November</w:t>
            </w:r>
            <w:r w:rsidR="000D3CED">
              <w:rPr>
                <w:b/>
                <w:lang w:eastAsia="ko-KR"/>
              </w:rPr>
              <w:t xml:space="preserve"> </w:t>
            </w:r>
            <w:r w:rsidR="001A3A94" w:rsidRPr="00AB16B2">
              <w:rPr>
                <w:b/>
              </w:rPr>
              <w:t>201</w:t>
            </w:r>
            <w:r w:rsidR="008F74F2" w:rsidRPr="00AB16B2">
              <w:rPr>
                <w:b/>
                <w:lang w:eastAsia="ko-KR"/>
              </w:rPr>
              <w:t>5</w:t>
            </w:r>
          </w:p>
          <w:p w:rsidR="005260A1" w:rsidRPr="00AB16B2" w:rsidRDefault="005260A1" w:rsidP="005260A1">
            <w:pPr>
              <w:spacing w:before="120"/>
              <w:rPr>
                <w:b/>
              </w:rPr>
            </w:pPr>
            <w:r w:rsidRPr="00AB16B2">
              <w:rPr>
                <w:b/>
              </w:rPr>
              <w:t>Forty-</w:t>
            </w:r>
            <w:r w:rsidR="00846E4E">
              <w:rPr>
                <w:b/>
                <w:lang w:eastAsia="ko-KR"/>
              </w:rPr>
              <w:t>eight</w:t>
            </w:r>
            <w:r w:rsidRPr="00AB16B2">
              <w:rPr>
                <w:b/>
                <w:lang w:eastAsia="ko-KR"/>
              </w:rPr>
              <w:t xml:space="preserve"> </w:t>
            </w:r>
            <w:r w:rsidRPr="00AB16B2">
              <w:rPr>
                <w:b/>
              </w:rPr>
              <w:t>session</w:t>
            </w:r>
          </w:p>
          <w:p w:rsidR="005260A1" w:rsidRPr="00AB16B2" w:rsidRDefault="005260A1" w:rsidP="005260A1">
            <w:pPr>
              <w:rPr>
                <w:lang w:eastAsia="ko-KR"/>
              </w:rPr>
            </w:pPr>
            <w:r w:rsidRPr="00AB16B2">
              <w:t xml:space="preserve">Geneva, </w:t>
            </w:r>
            <w:r w:rsidR="00846E4E">
              <w:rPr>
                <w:lang w:eastAsia="ko-KR"/>
              </w:rPr>
              <w:t>30 November</w:t>
            </w:r>
            <w:r w:rsidRPr="00AB16B2">
              <w:rPr>
                <w:lang w:eastAsia="ko-KR"/>
              </w:rPr>
              <w:t>-</w:t>
            </w:r>
            <w:r w:rsidR="00846E4E">
              <w:rPr>
                <w:lang w:eastAsia="ko-KR"/>
              </w:rPr>
              <w:t>9 December</w:t>
            </w:r>
            <w:r w:rsidRPr="00AB16B2">
              <w:t xml:space="preserve"> 201</w:t>
            </w:r>
            <w:r w:rsidRPr="00AB16B2">
              <w:rPr>
                <w:lang w:eastAsia="ko-KR"/>
              </w:rPr>
              <w:t>5</w:t>
            </w:r>
          </w:p>
          <w:p w:rsidR="005260A1" w:rsidRPr="00AB16B2" w:rsidRDefault="005260A1" w:rsidP="005260A1">
            <w:r w:rsidRPr="00AB16B2">
              <w:t xml:space="preserve">Item </w:t>
            </w:r>
            <w:r w:rsidR="00CC0E1A">
              <w:t>6 (c)</w:t>
            </w:r>
            <w:r w:rsidR="000D3CED">
              <w:rPr>
                <w:lang w:eastAsia="ko-KR"/>
              </w:rPr>
              <w:t xml:space="preserve"> </w:t>
            </w:r>
            <w:r w:rsidRPr="00AB16B2">
              <w:t>of</w:t>
            </w:r>
            <w:r w:rsidR="00D42A94" w:rsidRPr="00AB16B2">
              <w:rPr>
                <w:lang w:eastAsia="ko-KR"/>
              </w:rPr>
              <w:t xml:space="preserve">  </w:t>
            </w:r>
            <w:r w:rsidRPr="00AB16B2">
              <w:t>the provisional agenda</w:t>
            </w:r>
          </w:p>
          <w:p w:rsidR="005260A1" w:rsidRPr="00CC0E1A" w:rsidRDefault="00CC0E1A" w:rsidP="00D42A94">
            <w:pPr>
              <w:rPr>
                <w:b/>
                <w:lang w:eastAsia="ko-KR"/>
              </w:rPr>
            </w:pPr>
            <w:r w:rsidRPr="00CC0E1A">
              <w:rPr>
                <w:b/>
              </w:rPr>
              <w:t xml:space="preserve">Miscellaneous proposals for amendments to the Model Regulations </w:t>
            </w:r>
            <w:r w:rsidRPr="00CC0E1A">
              <w:rPr>
                <w:b/>
              </w:rPr>
              <w:br/>
            </w:r>
            <w:r w:rsidRPr="00CC0E1A">
              <w:rPr>
                <w:b/>
              </w:rPr>
              <w:t>on the Transport of Dangerous Goods</w:t>
            </w:r>
            <w:r w:rsidRPr="00CC0E1A">
              <w:rPr>
                <w:b/>
              </w:rPr>
              <w:t xml:space="preserve">: </w:t>
            </w:r>
            <w:proofErr w:type="spellStart"/>
            <w:r w:rsidRPr="00CC0E1A">
              <w:rPr>
                <w:b/>
              </w:rPr>
              <w:t>p</w:t>
            </w:r>
            <w:r w:rsidRPr="00CC0E1A">
              <w:rPr>
                <w:b/>
              </w:rPr>
              <w:t>ackagings</w:t>
            </w:r>
            <w:proofErr w:type="spellEnd"/>
          </w:p>
        </w:tc>
      </w:tr>
    </w:tbl>
    <w:p w:rsidR="006203CE" w:rsidRPr="00977526" w:rsidRDefault="006203CE" w:rsidP="006203CE">
      <w:pPr>
        <w:pStyle w:val="HChG"/>
        <w:keepNext w:val="0"/>
        <w:keepLines w:val="0"/>
        <w:rPr>
          <w:lang w:val="en-US"/>
        </w:rPr>
      </w:pPr>
      <w:r>
        <w:rPr>
          <w:lang w:val="en-US"/>
        </w:rPr>
        <w:tab/>
      </w:r>
      <w:r>
        <w:rPr>
          <w:lang w:val="en-US"/>
        </w:rPr>
        <w:tab/>
        <w:t xml:space="preserve">Water </w:t>
      </w:r>
      <w:r>
        <w:t xml:space="preserve">temperature </w:t>
      </w:r>
      <w:r w:rsidRPr="00D86F81">
        <w:t>during</w:t>
      </w:r>
      <w:r>
        <w:t xml:space="preserve"> internal pressure (hydraulic) test with plastics</w:t>
      </w:r>
      <w:bookmarkStart w:id="0" w:name="_GoBack"/>
      <w:bookmarkEnd w:id="0"/>
      <w:r>
        <w:t xml:space="preserve"> </w:t>
      </w:r>
      <w:proofErr w:type="spellStart"/>
      <w:r>
        <w:t>packagings</w:t>
      </w:r>
      <w:proofErr w:type="spellEnd"/>
      <w:r>
        <w:t xml:space="preserve">, composite </w:t>
      </w:r>
      <w:proofErr w:type="spellStart"/>
      <w:r>
        <w:t>packagings</w:t>
      </w:r>
      <w:proofErr w:type="spellEnd"/>
      <w:r>
        <w:t xml:space="preserve"> (plastics receptacles), plastics IBCs and composite IBCs (plastic inner receptacles)</w:t>
      </w:r>
    </w:p>
    <w:p w:rsidR="006203CE" w:rsidRPr="004061CF" w:rsidRDefault="006203CE" w:rsidP="006203CE">
      <w:pPr>
        <w:pStyle w:val="H1G"/>
        <w:keepNext w:val="0"/>
        <w:keepLines w:val="0"/>
        <w:rPr>
          <w:lang w:val="en-US"/>
        </w:rPr>
      </w:pPr>
      <w:r>
        <w:rPr>
          <w:lang w:val="en-US"/>
        </w:rPr>
        <w:tab/>
      </w:r>
      <w:r>
        <w:rPr>
          <w:lang w:val="en-US"/>
        </w:rPr>
        <w:tab/>
      </w:r>
      <w:r w:rsidRPr="004061CF">
        <w:rPr>
          <w:lang w:val="en-US"/>
        </w:rPr>
        <w:t xml:space="preserve">Transmitted by the expert from </w:t>
      </w:r>
      <w:r>
        <w:rPr>
          <w:lang w:val="en-US"/>
        </w:rPr>
        <w:t>Germany</w:t>
      </w:r>
    </w:p>
    <w:p w:rsidR="006203CE" w:rsidRPr="00D86F81" w:rsidRDefault="006203CE" w:rsidP="006203CE">
      <w:pPr>
        <w:pStyle w:val="SingleTxtG"/>
      </w:pPr>
      <w:r w:rsidRPr="00D86F81">
        <w:t>1.</w:t>
      </w:r>
      <w:r w:rsidRPr="00D86F81">
        <w:tab/>
      </w:r>
      <w:r>
        <w:t xml:space="preserve">As already noted in document ST/SG/AC.1/C.3/2015/15 there are no rules in the Model Regulations regarding the internal (hydraulic) pressure </w:t>
      </w:r>
      <w:r w:rsidRPr="00D86F81">
        <w:t xml:space="preserve">which prescribe that the water temperature must be kept within a certain range during the test. Nevertheless, </w:t>
      </w:r>
      <w:r>
        <w:t>there are several investigations which show</w:t>
      </w:r>
      <w:r w:rsidRPr="00D86F81">
        <w:t xml:space="preserve"> that temperature has a big influence on the </w:t>
      </w:r>
      <w:proofErr w:type="gramStart"/>
      <w:r w:rsidRPr="00D86F81">
        <w:t>mechanical</w:t>
      </w:r>
      <w:proofErr w:type="gramEnd"/>
      <w:r w:rsidRPr="00D86F81">
        <w:t xml:space="preserve"> behaviour of plastics material</w:t>
      </w:r>
      <w:r>
        <w:t>.</w:t>
      </w:r>
    </w:p>
    <w:p w:rsidR="006203CE" w:rsidRDefault="006203CE" w:rsidP="006203CE">
      <w:pPr>
        <w:pStyle w:val="SingleTxtG"/>
      </w:pPr>
      <w:r w:rsidRPr="00D86F81">
        <w:t>2.</w:t>
      </w:r>
      <w:r w:rsidRPr="00D86F81">
        <w:tab/>
      </w:r>
      <w:r>
        <w:t xml:space="preserve">In 2008 the SP Technical Research Institute of Sweden did an investigation on internal pressure tests regarding the burst pressure at different temperatures. The tests were performed with three different </w:t>
      </w:r>
      <w:proofErr w:type="spellStart"/>
      <w:r>
        <w:t>jerricans</w:t>
      </w:r>
      <w:proofErr w:type="spellEnd"/>
      <w:r>
        <w:t xml:space="preserve"> made of PE at 3, 20, 40 and 55 °C. The results showed a decrease in the burst pressure with rising temperature. For instance, for </w:t>
      </w:r>
      <w:proofErr w:type="spellStart"/>
      <w:r>
        <w:t>jerrican</w:t>
      </w:r>
      <w:proofErr w:type="spellEnd"/>
      <w:r>
        <w:t xml:space="preserve"> A the burst pressure was 234 </w:t>
      </w:r>
      <w:proofErr w:type="spellStart"/>
      <w:r>
        <w:t>kPa</w:t>
      </w:r>
      <w:proofErr w:type="spellEnd"/>
      <w:r>
        <w:t xml:space="preserve"> at 3 °C, 175 </w:t>
      </w:r>
      <w:proofErr w:type="spellStart"/>
      <w:r>
        <w:t>kPa</w:t>
      </w:r>
      <w:proofErr w:type="spellEnd"/>
      <w:r>
        <w:t xml:space="preserve"> at 20 °C, 151 </w:t>
      </w:r>
      <w:proofErr w:type="spellStart"/>
      <w:r>
        <w:t>kPa</w:t>
      </w:r>
      <w:proofErr w:type="spellEnd"/>
      <w:r>
        <w:t xml:space="preserve"> at 40 °C and 114 </w:t>
      </w:r>
      <w:proofErr w:type="spellStart"/>
      <w:r>
        <w:t>kPa</w:t>
      </w:r>
      <w:proofErr w:type="spellEnd"/>
      <w:r>
        <w:t xml:space="preserve"> at 55 °C. </w:t>
      </w:r>
    </w:p>
    <w:p w:rsidR="006203CE" w:rsidRPr="00D86F81" w:rsidRDefault="006203CE" w:rsidP="006203CE">
      <w:pPr>
        <w:pStyle w:val="SingleTxtG"/>
      </w:pPr>
      <w:r>
        <w:t>3.</w:t>
      </w:r>
      <w:r>
        <w:tab/>
      </w:r>
      <w:r w:rsidRPr="00D86F81">
        <w:t>BAM (Federal Institute for Materials Research and Testing, Germany) has</w:t>
      </w:r>
      <w:r>
        <w:t xml:space="preserve"> also</w:t>
      </w:r>
      <w:r w:rsidRPr="00D86F81">
        <w:t xml:space="preserve"> performed </w:t>
      </w:r>
      <w:r>
        <w:t>internal</w:t>
      </w:r>
      <w:r w:rsidRPr="00D86F81">
        <w:t xml:space="preserve"> pressure tests to failure with plastics </w:t>
      </w:r>
      <w:proofErr w:type="spellStart"/>
      <w:r w:rsidRPr="00D86F81">
        <w:t>jerricans</w:t>
      </w:r>
      <w:proofErr w:type="spellEnd"/>
      <w:r w:rsidRPr="00D86F81">
        <w:t xml:space="preserve"> at different temperatures (10 °C, 15 °C, 21 °C)</w:t>
      </w:r>
      <w:r>
        <w:t xml:space="preserve"> as already described in document ST/SG/AC.1/C.3/2015/15. </w:t>
      </w:r>
      <w:r w:rsidRPr="00D86F81">
        <w:t xml:space="preserve"> </w:t>
      </w:r>
      <w:r>
        <w:t xml:space="preserve">In this case the time to failure was measured with a constant pressure of 3 </w:t>
      </w:r>
      <w:proofErr w:type="gramStart"/>
      <w:r>
        <w:t>bar</w:t>
      </w:r>
      <w:proofErr w:type="gramEnd"/>
      <w:r w:rsidRPr="00D86F81">
        <w:t xml:space="preserve">. </w:t>
      </w:r>
      <w:r>
        <w:t>T</w:t>
      </w:r>
      <w:r w:rsidRPr="00D86F81">
        <w:t>he times to failure range</w:t>
      </w:r>
      <w:r>
        <w:t>d at 21 °C from 20 minutes to 1 hour, a</w:t>
      </w:r>
      <w:r w:rsidRPr="00D86F81">
        <w:t>t 15 °C from 1 hour 20 minutes to 3 hours and at 10 °C from</w:t>
      </w:r>
      <w:r>
        <w:t> </w:t>
      </w:r>
      <w:r w:rsidRPr="00D86F81">
        <w:t xml:space="preserve">2 hours 40 minutes to 8 hours 20 minutes. </w:t>
      </w:r>
      <w:r>
        <w:t>These results show that the same design type passes the test in accordance with 6.1.5.5 at 10 °C and 15 °C but fails at 21 °C.</w:t>
      </w:r>
    </w:p>
    <w:p w:rsidR="006203CE" w:rsidRDefault="006203CE" w:rsidP="006203CE">
      <w:pPr>
        <w:pStyle w:val="SingleTxtG"/>
      </w:pPr>
      <w:r>
        <w:t>4</w:t>
      </w:r>
      <w:r w:rsidR="00EB2484">
        <w:t>.</w:t>
      </w:r>
      <w:r>
        <w:tab/>
        <w:t xml:space="preserve">The results of all investigations concerning the water temperature during internal pressure tests show clearly that a higher temperature leads to an earlier failure of the plastics packaging. Furthermore tests with different water temperatures applied to one design type can produce different test results (pass or failure). To make the test results more comparable the German expert proposes introducing a lower water temperature limit of 12 °C when testing plastics </w:t>
      </w:r>
      <w:proofErr w:type="spellStart"/>
      <w:r>
        <w:t>packagings</w:t>
      </w:r>
      <w:proofErr w:type="spellEnd"/>
      <w:r>
        <w:t xml:space="preserve">, composite </w:t>
      </w:r>
      <w:proofErr w:type="spellStart"/>
      <w:r>
        <w:t>packagings</w:t>
      </w:r>
      <w:proofErr w:type="spellEnd"/>
      <w:r>
        <w:t xml:space="preserve"> (plastics receptacles), plastics IBCs and composite IBCs (plastic inner receptacles). </w:t>
      </w:r>
      <w:r w:rsidRPr="00AA16B6">
        <w:t>Water with a temperature above 12 °C would be permitted but not water with a temperature below 12°C.</w:t>
      </w:r>
      <w:r>
        <w:t xml:space="preserve"> It can be </w:t>
      </w:r>
      <w:r w:rsidRPr="00AA16B6">
        <w:t xml:space="preserve">assumed that </w:t>
      </w:r>
      <w:r>
        <w:t>most of the test laboratories</w:t>
      </w:r>
      <w:r w:rsidRPr="00AA16B6">
        <w:t xml:space="preserve"> are </w:t>
      </w:r>
      <w:r>
        <w:t>using water</w:t>
      </w:r>
      <w:r w:rsidRPr="00AA16B6">
        <w:t xml:space="preserve"> with temperatures exceeding 12 °C </w:t>
      </w:r>
      <w:r>
        <w:t>due to the normal conditions in the test labs.</w:t>
      </w:r>
    </w:p>
    <w:p w:rsidR="006203CE" w:rsidRDefault="006203CE" w:rsidP="006203CE">
      <w:pPr>
        <w:pStyle w:val="SingleTxtG"/>
      </w:pPr>
      <w:r>
        <w:t>5</w:t>
      </w:r>
      <w:r w:rsidR="00EB2484">
        <w:t>.</w:t>
      </w:r>
      <w:r>
        <w:tab/>
        <w:t xml:space="preserve">At the last session, different opinions were expressed on the proposals in </w:t>
      </w:r>
      <w:r w:rsidRPr="00E27F30">
        <w:t xml:space="preserve">ST/SG/AC.1/C.3/2015/15 </w:t>
      </w:r>
      <w:r>
        <w:t xml:space="preserve">and </w:t>
      </w:r>
      <w:r w:rsidRPr="00E27F30">
        <w:t>INF.46</w:t>
      </w:r>
      <w:r>
        <w:t xml:space="preserve">. The sub-committee </w:t>
      </w:r>
      <w:r w:rsidRPr="00E27F30">
        <w:t xml:space="preserve">agreed that this question could </w:t>
      </w:r>
      <w:r w:rsidRPr="00E27F30">
        <w:lastRenderedPageBreak/>
        <w:t>be further considered at the next session on the basis of a new proposal</w:t>
      </w:r>
      <w:r>
        <w:t xml:space="preserve"> </w:t>
      </w:r>
      <w:r w:rsidRPr="00E27F30">
        <w:t>which would address the issues raised</w:t>
      </w:r>
      <w:r>
        <w:t xml:space="preserve">. </w:t>
      </w:r>
    </w:p>
    <w:p w:rsidR="006203CE" w:rsidRDefault="006203CE" w:rsidP="006203CE">
      <w:pPr>
        <w:pStyle w:val="SingleTxtG"/>
      </w:pPr>
      <w:r>
        <w:t xml:space="preserve">6. </w:t>
      </w:r>
      <w:r>
        <w:tab/>
        <w:t xml:space="preserve">German experts have reviewed the issue again. The current provisions on the level on the internal test pressure without connection to the temperature are technically incomplete, and thus provide a limited informative value on the safety level of the packages. Different practices have developed which cause competitive disadvantages and are contrary to the intention to have harmonized provisions as a basis for the worldwide acceptance of UN approved </w:t>
      </w:r>
      <w:proofErr w:type="spellStart"/>
      <w:r>
        <w:t>packagings</w:t>
      </w:r>
      <w:proofErr w:type="spellEnd"/>
      <w:r>
        <w:t xml:space="preserve">. The insertion of a requirement for a minimum temperature of 12 °C is still considered as an appropriate solution. The choice of 12°C is justified by the existing practice and it can be assumed that most of the existing </w:t>
      </w:r>
      <w:proofErr w:type="spellStart"/>
      <w:r>
        <w:t>packagings</w:t>
      </w:r>
      <w:proofErr w:type="spellEnd"/>
      <w:r>
        <w:t xml:space="preserve"> are capable to meet this test level. This approach is presented as proposal 1.</w:t>
      </w:r>
    </w:p>
    <w:p w:rsidR="006203CE" w:rsidRDefault="006203CE" w:rsidP="006203CE">
      <w:pPr>
        <w:pStyle w:val="SingleTxtG"/>
      </w:pPr>
      <w:r>
        <w:t xml:space="preserve">7. </w:t>
      </w:r>
      <w:r>
        <w:tab/>
        <w:t xml:space="preserve">Additionally, an alternative proposal 2 has been developed, taking into account the views of several experts which were in favour of the possibility to use a correction factor. Tables with correction factors should be inserted in the Model Regulations instead of referring to </w:t>
      </w:r>
      <w:r w:rsidRPr="00440FC5">
        <w:t xml:space="preserve">ISO 16495:2013 </w:t>
      </w:r>
      <w:r>
        <w:t xml:space="preserve">as proposed in </w:t>
      </w:r>
      <w:r w:rsidRPr="00440FC5">
        <w:t>UN/SCETDG/47/INF.46</w:t>
      </w:r>
      <w:r>
        <w:t>.</w:t>
      </w:r>
    </w:p>
    <w:p w:rsidR="006203CE" w:rsidRPr="00B02ED0" w:rsidRDefault="006203CE" w:rsidP="006203CE">
      <w:pPr>
        <w:pStyle w:val="SingleTxtG"/>
      </w:pPr>
      <w:r>
        <w:t>8</w:t>
      </w:r>
      <w:r w:rsidR="00EB2484">
        <w:t>.</w:t>
      </w:r>
      <w:r>
        <w:tab/>
        <w:t xml:space="preserve">The Sub-Committee is invited to discuss the proposals below and depending on the outcome of the discussion a formal document could be submitted to the next session of the UN Sub-Committee.  </w:t>
      </w:r>
    </w:p>
    <w:p w:rsidR="006203CE" w:rsidRDefault="006203CE" w:rsidP="006203CE">
      <w:pPr>
        <w:pStyle w:val="HChG"/>
      </w:pPr>
      <w:r>
        <w:tab/>
      </w:r>
      <w:r>
        <w:tab/>
      </w:r>
      <w:r w:rsidRPr="006203CE">
        <w:t>Proposal</w:t>
      </w:r>
      <w:r>
        <w:t xml:space="preserve"> 1</w:t>
      </w:r>
    </w:p>
    <w:p w:rsidR="006203CE" w:rsidRDefault="006203CE" w:rsidP="006203CE">
      <w:pPr>
        <w:pStyle w:val="SingleTxtG"/>
        <w:rPr>
          <w:b/>
        </w:rPr>
      </w:pPr>
      <w:r>
        <w:t>9</w:t>
      </w:r>
      <w:r w:rsidR="00EB2484">
        <w:t>.</w:t>
      </w:r>
      <w:r>
        <w:tab/>
      </w:r>
      <w:r w:rsidRPr="006E5ED6">
        <w:t>Amend the text of 6.1.5.5.</w:t>
      </w:r>
      <w:r>
        <w:t>3</w:t>
      </w:r>
      <w:r w:rsidRPr="006E5ED6">
        <w:t xml:space="preserve"> to read as follows (new added text in bold): </w:t>
      </w:r>
    </w:p>
    <w:p w:rsidR="006203CE" w:rsidRPr="006E5ED6" w:rsidRDefault="006203CE" w:rsidP="006203CE">
      <w:pPr>
        <w:pStyle w:val="SingleTxtG"/>
        <w:ind w:left="1701"/>
      </w:pPr>
      <w:r w:rsidRPr="006E5ED6">
        <w:t>“</w:t>
      </w:r>
      <w:r w:rsidRPr="006E5ED6">
        <w:rPr>
          <w:i/>
        </w:rPr>
        <w:t xml:space="preserve">Special preparation of </w:t>
      </w:r>
      <w:proofErr w:type="spellStart"/>
      <w:r w:rsidRPr="006E5ED6">
        <w:rPr>
          <w:i/>
        </w:rPr>
        <w:t>packagings</w:t>
      </w:r>
      <w:proofErr w:type="spellEnd"/>
      <w:r w:rsidRPr="006E5ED6">
        <w:rPr>
          <w:i/>
        </w:rPr>
        <w:t xml:space="preserve"> for testing: </w:t>
      </w:r>
      <w:r w:rsidRPr="006E5ED6">
        <w:t xml:space="preserve">either vented closures shall be replaced by similar non-vented closures or the vent shall be sealed. </w:t>
      </w:r>
      <w:r w:rsidRPr="006203CE">
        <w:rPr>
          <w:b/>
        </w:rPr>
        <w:t xml:space="preserve">Plastics </w:t>
      </w:r>
      <w:proofErr w:type="spellStart"/>
      <w:r w:rsidRPr="006203CE">
        <w:rPr>
          <w:b/>
        </w:rPr>
        <w:t>packagings</w:t>
      </w:r>
      <w:proofErr w:type="spellEnd"/>
      <w:r w:rsidRPr="006203CE">
        <w:rPr>
          <w:b/>
        </w:rPr>
        <w:t xml:space="preserve"> and composite </w:t>
      </w:r>
      <w:proofErr w:type="spellStart"/>
      <w:r w:rsidRPr="006203CE">
        <w:rPr>
          <w:b/>
        </w:rPr>
        <w:t>packagings</w:t>
      </w:r>
      <w:proofErr w:type="spellEnd"/>
      <w:r w:rsidRPr="006203CE">
        <w:rPr>
          <w:b/>
        </w:rPr>
        <w:t xml:space="preserve"> (plastics receptacles) shall be filled with water at room temperature. The water temperature shall not be below 12 °C and shall be measured and documented before testing.</w:t>
      </w:r>
      <w:proofErr w:type="gramStart"/>
      <w:r w:rsidRPr="006203CE">
        <w:rPr>
          <w:b/>
        </w:rPr>
        <w:t>”</w:t>
      </w:r>
      <w:r w:rsidRPr="006203CE">
        <w:rPr>
          <w:b/>
          <w:i/>
        </w:rPr>
        <w:t>.</w:t>
      </w:r>
      <w:proofErr w:type="gramEnd"/>
    </w:p>
    <w:p w:rsidR="006203CE" w:rsidRPr="00AA16B6" w:rsidRDefault="006203CE" w:rsidP="006203CE">
      <w:pPr>
        <w:pStyle w:val="SingleTxtG"/>
        <w:ind w:left="1701"/>
      </w:pPr>
      <w:r w:rsidRPr="00AA16B6">
        <w:t>Amend the text of 6.5.6.8.2 to read as follows:</w:t>
      </w:r>
    </w:p>
    <w:p w:rsidR="006203CE" w:rsidRPr="00D86F81" w:rsidRDefault="006203CE" w:rsidP="006203CE">
      <w:pPr>
        <w:pStyle w:val="SingleTxtG"/>
        <w:ind w:left="1701"/>
        <w:rPr>
          <w:i/>
        </w:rPr>
      </w:pPr>
      <w:r w:rsidRPr="00D86F81">
        <w:rPr>
          <w:i/>
        </w:rPr>
        <w:t>“Preparation of the IBC for test</w:t>
      </w:r>
    </w:p>
    <w:p w:rsidR="006203CE" w:rsidRDefault="006203CE" w:rsidP="006203CE">
      <w:pPr>
        <w:pStyle w:val="SingleTxtG"/>
        <w:ind w:left="1701"/>
      </w:pPr>
      <w:r w:rsidRPr="00AA16B6">
        <w:t xml:space="preserve">The test shall be carried out before the fitting of any thermal insulation equipment. Pressure-relief devices shall be removed and their apertures plugged, or shall be rendered inoperative. </w:t>
      </w:r>
      <w:r w:rsidRPr="0097576F">
        <w:rPr>
          <w:b/>
        </w:rPr>
        <w:t>Rigid</w:t>
      </w:r>
      <w:r>
        <w:rPr>
          <w:b/>
        </w:rPr>
        <w:t xml:space="preserve"> p</w:t>
      </w:r>
      <w:r w:rsidRPr="00F86A71">
        <w:rPr>
          <w:b/>
        </w:rPr>
        <w:t>lastics IBCs</w:t>
      </w:r>
      <w:r>
        <w:rPr>
          <w:b/>
        </w:rPr>
        <w:t xml:space="preserve"> and composite IBCs (plastic inner receptacles)</w:t>
      </w:r>
      <w:r w:rsidRPr="00F86A71">
        <w:rPr>
          <w:b/>
        </w:rPr>
        <w:t xml:space="preserve"> shall be filled with water at room temperature. The water temperature shall not be below 12 °C and shall be</w:t>
      </w:r>
      <w:r>
        <w:rPr>
          <w:b/>
        </w:rPr>
        <w:t xml:space="preserve"> measured and</w:t>
      </w:r>
      <w:r w:rsidRPr="00F86A71">
        <w:rPr>
          <w:b/>
        </w:rPr>
        <w:t xml:space="preserve"> documented before testing.</w:t>
      </w:r>
      <w:r w:rsidRPr="00AA16B6">
        <w:t>”</w:t>
      </w:r>
    </w:p>
    <w:p w:rsidR="006203CE" w:rsidRPr="004061CF" w:rsidRDefault="006203CE" w:rsidP="006203CE">
      <w:pPr>
        <w:pStyle w:val="HChG"/>
      </w:pPr>
      <w:r>
        <w:tab/>
      </w:r>
      <w:r>
        <w:tab/>
      </w:r>
      <w:r w:rsidRPr="006203CE">
        <w:t>Alternative</w:t>
      </w:r>
      <w:r>
        <w:t xml:space="preserve"> p</w:t>
      </w:r>
      <w:r w:rsidRPr="006B1E6C">
        <w:t>roposal</w:t>
      </w:r>
    </w:p>
    <w:p w:rsidR="006203CE" w:rsidRPr="006B1E6C" w:rsidRDefault="006203CE" w:rsidP="006203CE">
      <w:pPr>
        <w:pStyle w:val="SingleTxtG"/>
      </w:pPr>
      <w:r>
        <w:t>10</w:t>
      </w:r>
      <w:r w:rsidR="00EB2484">
        <w:t>.</w:t>
      </w:r>
      <w:r>
        <w:tab/>
      </w:r>
      <w:r w:rsidRPr="006B1E6C">
        <w:t xml:space="preserve">Amend 6.1.5.5.3 to read as follows (new added text </w:t>
      </w:r>
      <w:r>
        <w:t>in bold</w:t>
      </w:r>
      <w:r w:rsidRPr="006B1E6C">
        <w:t>):</w:t>
      </w:r>
    </w:p>
    <w:p w:rsidR="006203CE" w:rsidRDefault="006203CE" w:rsidP="006203CE">
      <w:pPr>
        <w:pStyle w:val="SingleTxtG"/>
        <w:spacing w:after="240"/>
        <w:ind w:left="1701"/>
        <w:rPr>
          <w:b/>
        </w:rPr>
      </w:pPr>
      <w:r w:rsidRPr="006B1E6C">
        <w:t>“</w:t>
      </w:r>
      <w:r w:rsidRPr="006B1E6C">
        <w:rPr>
          <w:i/>
        </w:rPr>
        <w:t xml:space="preserve">Special preparation of </w:t>
      </w:r>
      <w:proofErr w:type="spellStart"/>
      <w:r w:rsidRPr="006B1E6C">
        <w:rPr>
          <w:i/>
        </w:rPr>
        <w:t>packagings</w:t>
      </w:r>
      <w:proofErr w:type="spellEnd"/>
      <w:r w:rsidRPr="006B1E6C">
        <w:rPr>
          <w:i/>
        </w:rPr>
        <w:t xml:space="preserve"> for testing</w:t>
      </w:r>
      <w:r w:rsidRPr="006B1E6C">
        <w:t xml:space="preserve">: either vented closures shall be replaced by similar non-vented closures or the vent shall be sealed. </w:t>
      </w:r>
      <w:r w:rsidRPr="00C110CF">
        <w:rPr>
          <w:b/>
        </w:rPr>
        <w:t xml:space="preserve">Plastics </w:t>
      </w:r>
      <w:proofErr w:type="spellStart"/>
      <w:r w:rsidRPr="00C110CF">
        <w:rPr>
          <w:b/>
        </w:rPr>
        <w:t>packagings</w:t>
      </w:r>
      <w:proofErr w:type="spellEnd"/>
      <w:r w:rsidRPr="00C110CF">
        <w:rPr>
          <w:b/>
        </w:rPr>
        <w:t xml:space="preserve"> and composite </w:t>
      </w:r>
      <w:proofErr w:type="spellStart"/>
      <w:r w:rsidRPr="00C110CF">
        <w:rPr>
          <w:b/>
        </w:rPr>
        <w:t>packagings</w:t>
      </w:r>
      <w:proofErr w:type="spellEnd"/>
      <w:r w:rsidRPr="00C110CF">
        <w:rPr>
          <w:b/>
        </w:rPr>
        <w:t xml:space="preserve"> (plastics receptacles) shall be filled with water at room temperature. The water temperature shall not be below 12 °C and shall be</w:t>
      </w:r>
      <w:r>
        <w:rPr>
          <w:b/>
        </w:rPr>
        <w:t xml:space="preserve"> measured and</w:t>
      </w:r>
      <w:r w:rsidRPr="00C110CF">
        <w:rPr>
          <w:b/>
        </w:rPr>
        <w:t xml:space="preserve"> documented before testing.</w:t>
      </w:r>
      <w:r w:rsidRPr="00100B9B">
        <w:rPr>
          <w:b/>
        </w:rPr>
        <w:t xml:space="preserve"> </w:t>
      </w:r>
      <w:r>
        <w:rPr>
          <w:b/>
        </w:rPr>
        <w:t>If</w:t>
      </w:r>
      <w:r w:rsidRPr="00100B9B">
        <w:rPr>
          <w:b/>
        </w:rPr>
        <w:t xml:space="preserve"> the</w:t>
      </w:r>
      <w:r>
        <w:rPr>
          <w:b/>
        </w:rPr>
        <w:t xml:space="preserve"> measured water</w:t>
      </w:r>
      <w:r w:rsidRPr="00100B9B">
        <w:rPr>
          <w:b/>
        </w:rPr>
        <w:t xml:space="preserve"> temperature is above 12 °C the internal pressure to be applied may be reduced with a correction factor according to </w:t>
      </w:r>
      <w:r>
        <w:rPr>
          <w:b/>
        </w:rPr>
        <w:t>the table below:</w:t>
      </w:r>
    </w:p>
    <w:p w:rsidR="006203CE" w:rsidRDefault="006203CE">
      <w:pPr>
        <w:suppressAutoHyphens w:val="0"/>
        <w:spacing w:line="240" w:lineRule="auto"/>
        <w:rPr>
          <w:u w:val="single"/>
        </w:rPr>
      </w:pPr>
      <w:r>
        <w:rPr>
          <w:u w:val="single"/>
        </w:rPr>
        <w:br w:type="page"/>
      </w:r>
    </w:p>
    <w:p w:rsidR="006203CE" w:rsidRDefault="006203CE" w:rsidP="006203CE">
      <w:pPr>
        <w:pStyle w:val="SingleTxtG"/>
        <w:jc w:val="center"/>
        <w:rPr>
          <w:u w:val="single"/>
        </w:rPr>
      </w:pPr>
      <w:r w:rsidRPr="00364F16">
        <w:rPr>
          <w:b/>
        </w:rPr>
        <w:lastRenderedPageBreak/>
        <w:t xml:space="preserve">Water temperature adjustment factors for plastics </w:t>
      </w:r>
      <w:proofErr w:type="spellStart"/>
      <w:r w:rsidRPr="00364F16">
        <w:rPr>
          <w:b/>
        </w:rPr>
        <w:t>packagings</w:t>
      </w:r>
      <w:proofErr w:type="spellEnd"/>
      <w:r w:rsidRPr="00364F16">
        <w:rPr>
          <w:b/>
        </w:rPr>
        <w:t xml:space="preserve"> </w:t>
      </w:r>
      <w:r w:rsidRPr="00C110CF">
        <w:rPr>
          <w:b/>
        </w:rPr>
        <w:t>and composite</w:t>
      </w:r>
    </w:p>
    <w:tbl>
      <w:tblPr>
        <w:tblpPr w:leftFromText="141" w:rightFromText="141" w:vertAnchor="text" w:horzAnchor="margin" w:tblpXSpec="center" w:tblpY="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459"/>
      </w:tblGrid>
      <w:tr w:rsidR="006203CE" w:rsidRPr="00172899" w:rsidTr="00CD0687">
        <w:tc>
          <w:tcPr>
            <w:tcW w:w="3459" w:type="dxa"/>
            <w:vAlign w:val="center"/>
          </w:tcPr>
          <w:p w:rsidR="006203CE" w:rsidRPr="006E324E" w:rsidRDefault="006203CE" w:rsidP="00CD0687">
            <w:pPr>
              <w:autoSpaceDE w:val="0"/>
              <w:autoSpaceDN w:val="0"/>
              <w:adjustRightInd w:val="0"/>
              <w:jc w:val="center"/>
              <w:rPr>
                <w:rFonts w:cs="Arial"/>
                <w:b/>
              </w:rPr>
            </w:pPr>
            <w:r w:rsidRPr="006E324E">
              <w:rPr>
                <w:rFonts w:cs="Arial"/>
                <w:b/>
                <w:bCs/>
              </w:rPr>
              <w:t>Water temperature °C</w:t>
            </w:r>
          </w:p>
        </w:tc>
        <w:tc>
          <w:tcPr>
            <w:tcW w:w="3459" w:type="dxa"/>
            <w:vAlign w:val="center"/>
          </w:tcPr>
          <w:p w:rsidR="006203CE" w:rsidRPr="006E324E" w:rsidRDefault="006203CE" w:rsidP="00CD0687">
            <w:pPr>
              <w:autoSpaceDE w:val="0"/>
              <w:autoSpaceDN w:val="0"/>
              <w:adjustRightInd w:val="0"/>
              <w:jc w:val="center"/>
              <w:rPr>
                <w:rFonts w:cs="Arial"/>
                <w:b/>
                <w:bCs/>
              </w:rPr>
            </w:pPr>
          </w:p>
          <w:p w:rsidR="006203CE" w:rsidRPr="006E324E" w:rsidRDefault="006203CE" w:rsidP="00CD0687">
            <w:pPr>
              <w:autoSpaceDE w:val="0"/>
              <w:autoSpaceDN w:val="0"/>
              <w:adjustRightInd w:val="0"/>
              <w:jc w:val="center"/>
              <w:rPr>
                <w:rFonts w:cs="Arial"/>
                <w:b/>
                <w:bCs/>
              </w:rPr>
            </w:pPr>
            <w:r>
              <w:rPr>
                <w:rFonts w:cs="Arial"/>
                <w:b/>
                <w:bCs/>
              </w:rPr>
              <w:t>Correction</w:t>
            </w:r>
            <w:r w:rsidRPr="006E324E">
              <w:rPr>
                <w:rFonts w:cs="Arial"/>
                <w:b/>
                <w:bCs/>
              </w:rPr>
              <w:t xml:space="preserve"> factor</w:t>
            </w:r>
          </w:p>
          <w:p w:rsidR="006203CE" w:rsidRPr="006E324E" w:rsidRDefault="006203CE" w:rsidP="00CD0687">
            <w:pPr>
              <w:autoSpaceDE w:val="0"/>
              <w:autoSpaceDN w:val="0"/>
              <w:adjustRightInd w:val="0"/>
              <w:jc w:val="center"/>
              <w:rPr>
                <w:rFonts w:cs="Arial"/>
                <w:b/>
              </w:rPr>
            </w:pPr>
          </w:p>
        </w:tc>
      </w:tr>
      <w:tr w:rsidR="006203CE" w:rsidRPr="00172899" w:rsidTr="00CD0687">
        <w:trPr>
          <w:trHeight w:hRule="exact" w:val="510"/>
        </w:trPr>
        <w:tc>
          <w:tcPr>
            <w:tcW w:w="3459" w:type="dxa"/>
            <w:vAlign w:val="center"/>
          </w:tcPr>
          <w:p w:rsidR="006203CE" w:rsidRPr="006E324E" w:rsidRDefault="006203CE" w:rsidP="00CD0687">
            <w:pPr>
              <w:autoSpaceDE w:val="0"/>
              <w:autoSpaceDN w:val="0"/>
              <w:adjustRightInd w:val="0"/>
              <w:jc w:val="center"/>
              <w:rPr>
                <w:rFonts w:cs="Arial"/>
                <w:b/>
              </w:rPr>
            </w:pPr>
            <w:r w:rsidRPr="006E324E">
              <w:rPr>
                <w:rFonts w:cs="Arial"/>
                <w:b/>
              </w:rPr>
              <w:t>12 + 2</w:t>
            </w:r>
          </w:p>
        </w:tc>
        <w:tc>
          <w:tcPr>
            <w:tcW w:w="3459" w:type="dxa"/>
            <w:vAlign w:val="center"/>
          </w:tcPr>
          <w:p w:rsidR="006203CE" w:rsidRPr="006E324E" w:rsidRDefault="006203CE" w:rsidP="00CD0687">
            <w:pPr>
              <w:autoSpaceDE w:val="0"/>
              <w:autoSpaceDN w:val="0"/>
              <w:adjustRightInd w:val="0"/>
              <w:jc w:val="center"/>
              <w:rPr>
                <w:rFonts w:cs="Arial"/>
                <w:b/>
              </w:rPr>
            </w:pPr>
            <w:r>
              <w:rPr>
                <w:rFonts w:cs="Arial"/>
                <w:b/>
              </w:rPr>
              <w:t>1.</w:t>
            </w:r>
            <w:r w:rsidRPr="006E324E">
              <w:rPr>
                <w:rFonts w:cs="Arial"/>
                <w:b/>
              </w:rPr>
              <w:t>000</w:t>
            </w:r>
          </w:p>
        </w:tc>
      </w:tr>
      <w:tr w:rsidR="006203CE" w:rsidRPr="00172899" w:rsidTr="00CD0687">
        <w:trPr>
          <w:trHeight w:hRule="exact" w:val="510"/>
        </w:trPr>
        <w:tc>
          <w:tcPr>
            <w:tcW w:w="3459" w:type="dxa"/>
            <w:vAlign w:val="center"/>
          </w:tcPr>
          <w:p w:rsidR="006203CE" w:rsidRPr="006E324E" w:rsidRDefault="006203CE" w:rsidP="00CD0687">
            <w:pPr>
              <w:autoSpaceDE w:val="0"/>
              <w:autoSpaceDN w:val="0"/>
              <w:adjustRightInd w:val="0"/>
              <w:jc w:val="center"/>
              <w:rPr>
                <w:rFonts w:cs="Arial"/>
                <w:b/>
              </w:rPr>
            </w:pPr>
            <w:r w:rsidRPr="006E324E">
              <w:rPr>
                <w:rFonts w:cs="Arial"/>
                <w:b/>
              </w:rPr>
              <w:t>≥14</w:t>
            </w:r>
          </w:p>
        </w:tc>
        <w:tc>
          <w:tcPr>
            <w:tcW w:w="3459" w:type="dxa"/>
            <w:vAlign w:val="center"/>
          </w:tcPr>
          <w:p w:rsidR="006203CE" w:rsidRPr="006E324E" w:rsidRDefault="006203CE" w:rsidP="00CD0687">
            <w:pPr>
              <w:autoSpaceDE w:val="0"/>
              <w:autoSpaceDN w:val="0"/>
              <w:adjustRightInd w:val="0"/>
              <w:jc w:val="center"/>
              <w:rPr>
                <w:rFonts w:cs="Arial"/>
                <w:b/>
              </w:rPr>
            </w:pPr>
            <w:r>
              <w:rPr>
                <w:rFonts w:cs="Arial"/>
                <w:b/>
              </w:rPr>
              <w:t>0.</w:t>
            </w:r>
            <w:r w:rsidRPr="006E324E">
              <w:rPr>
                <w:rFonts w:cs="Arial"/>
                <w:b/>
              </w:rPr>
              <w:t>976</w:t>
            </w:r>
          </w:p>
        </w:tc>
      </w:tr>
      <w:tr w:rsidR="006203CE" w:rsidRPr="00172899" w:rsidTr="00CD0687">
        <w:trPr>
          <w:trHeight w:hRule="exact" w:val="510"/>
        </w:trPr>
        <w:tc>
          <w:tcPr>
            <w:tcW w:w="3459" w:type="dxa"/>
            <w:vAlign w:val="center"/>
          </w:tcPr>
          <w:p w:rsidR="006203CE" w:rsidRPr="006E324E" w:rsidRDefault="006203CE" w:rsidP="00CD0687">
            <w:pPr>
              <w:autoSpaceDE w:val="0"/>
              <w:autoSpaceDN w:val="0"/>
              <w:adjustRightInd w:val="0"/>
              <w:jc w:val="center"/>
              <w:rPr>
                <w:rFonts w:cs="Arial"/>
                <w:b/>
              </w:rPr>
            </w:pPr>
            <w:r w:rsidRPr="006E324E">
              <w:rPr>
                <w:rFonts w:cs="Arial"/>
                <w:b/>
              </w:rPr>
              <w:t>15</w:t>
            </w:r>
          </w:p>
        </w:tc>
        <w:tc>
          <w:tcPr>
            <w:tcW w:w="3459" w:type="dxa"/>
            <w:vAlign w:val="center"/>
          </w:tcPr>
          <w:p w:rsidR="006203CE" w:rsidRPr="006E324E" w:rsidRDefault="006203CE" w:rsidP="00CD0687">
            <w:pPr>
              <w:autoSpaceDE w:val="0"/>
              <w:autoSpaceDN w:val="0"/>
              <w:adjustRightInd w:val="0"/>
              <w:jc w:val="center"/>
              <w:rPr>
                <w:rFonts w:cs="Arial"/>
                <w:b/>
              </w:rPr>
            </w:pPr>
            <w:r>
              <w:rPr>
                <w:rFonts w:cs="Arial"/>
                <w:b/>
              </w:rPr>
              <w:t>0.</w:t>
            </w:r>
            <w:r w:rsidRPr="006E324E">
              <w:rPr>
                <w:rFonts w:cs="Arial"/>
                <w:b/>
              </w:rPr>
              <w:t>964</w:t>
            </w:r>
          </w:p>
        </w:tc>
      </w:tr>
      <w:tr w:rsidR="006203CE" w:rsidRPr="00172899" w:rsidTr="00CD0687">
        <w:trPr>
          <w:trHeight w:hRule="exact" w:val="510"/>
        </w:trPr>
        <w:tc>
          <w:tcPr>
            <w:tcW w:w="3459" w:type="dxa"/>
            <w:vAlign w:val="center"/>
          </w:tcPr>
          <w:p w:rsidR="006203CE" w:rsidRPr="006E324E" w:rsidRDefault="006203CE" w:rsidP="00CD0687">
            <w:pPr>
              <w:autoSpaceDE w:val="0"/>
              <w:autoSpaceDN w:val="0"/>
              <w:adjustRightInd w:val="0"/>
              <w:jc w:val="center"/>
              <w:rPr>
                <w:rFonts w:cs="Arial"/>
                <w:b/>
              </w:rPr>
            </w:pPr>
            <w:r w:rsidRPr="006E324E">
              <w:rPr>
                <w:rFonts w:cs="Arial"/>
                <w:b/>
              </w:rPr>
              <w:t>16</w:t>
            </w:r>
          </w:p>
        </w:tc>
        <w:tc>
          <w:tcPr>
            <w:tcW w:w="3459" w:type="dxa"/>
            <w:vAlign w:val="center"/>
          </w:tcPr>
          <w:p w:rsidR="006203CE" w:rsidRPr="006E324E" w:rsidRDefault="006203CE" w:rsidP="00CD0687">
            <w:pPr>
              <w:autoSpaceDE w:val="0"/>
              <w:autoSpaceDN w:val="0"/>
              <w:adjustRightInd w:val="0"/>
              <w:jc w:val="center"/>
              <w:rPr>
                <w:rFonts w:cs="Arial"/>
                <w:b/>
              </w:rPr>
            </w:pPr>
            <w:r>
              <w:rPr>
                <w:rFonts w:cs="Arial"/>
                <w:b/>
              </w:rPr>
              <w:t>0.</w:t>
            </w:r>
            <w:r w:rsidRPr="006E324E">
              <w:rPr>
                <w:rFonts w:cs="Arial"/>
                <w:b/>
              </w:rPr>
              <w:t>952</w:t>
            </w:r>
          </w:p>
        </w:tc>
      </w:tr>
      <w:tr w:rsidR="006203CE" w:rsidRPr="00172899" w:rsidTr="00CD0687">
        <w:trPr>
          <w:trHeight w:hRule="exact" w:val="510"/>
        </w:trPr>
        <w:tc>
          <w:tcPr>
            <w:tcW w:w="3459" w:type="dxa"/>
            <w:vAlign w:val="center"/>
          </w:tcPr>
          <w:p w:rsidR="006203CE" w:rsidRPr="006E324E" w:rsidRDefault="006203CE" w:rsidP="00CD0687">
            <w:pPr>
              <w:autoSpaceDE w:val="0"/>
              <w:autoSpaceDN w:val="0"/>
              <w:adjustRightInd w:val="0"/>
              <w:jc w:val="center"/>
              <w:rPr>
                <w:rFonts w:cs="Arial"/>
                <w:b/>
              </w:rPr>
            </w:pPr>
            <w:r w:rsidRPr="006E324E">
              <w:rPr>
                <w:rFonts w:cs="Arial"/>
                <w:b/>
              </w:rPr>
              <w:t>17</w:t>
            </w:r>
          </w:p>
        </w:tc>
        <w:tc>
          <w:tcPr>
            <w:tcW w:w="3459" w:type="dxa"/>
            <w:vAlign w:val="center"/>
          </w:tcPr>
          <w:p w:rsidR="006203CE" w:rsidRPr="006E324E" w:rsidRDefault="006203CE" w:rsidP="00CD0687">
            <w:pPr>
              <w:autoSpaceDE w:val="0"/>
              <w:autoSpaceDN w:val="0"/>
              <w:adjustRightInd w:val="0"/>
              <w:jc w:val="center"/>
              <w:rPr>
                <w:rFonts w:cs="Arial"/>
                <w:b/>
              </w:rPr>
            </w:pPr>
            <w:r>
              <w:rPr>
                <w:rFonts w:cs="Arial"/>
                <w:b/>
              </w:rPr>
              <w:t>0.</w:t>
            </w:r>
            <w:r w:rsidRPr="006E324E">
              <w:rPr>
                <w:rFonts w:cs="Arial"/>
                <w:b/>
              </w:rPr>
              <w:t>940</w:t>
            </w:r>
          </w:p>
        </w:tc>
      </w:tr>
      <w:tr w:rsidR="006203CE" w:rsidRPr="00172899" w:rsidTr="00CD0687">
        <w:trPr>
          <w:trHeight w:hRule="exact" w:val="510"/>
        </w:trPr>
        <w:tc>
          <w:tcPr>
            <w:tcW w:w="3459" w:type="dxa"/>
            <w:vAlign w:val="center"/>
          </w:tcPr>
          <w:p w:rsidR="006203CE" w:rsidRPr="006E324E" w:rsidRDefault="006203CE" w:rsidP="00CD0687">
            <w:pPr>
              <w:autoSpaceDE w:val="0"/>
              <w:autoSpaceDN w:val="0"/>
              <w:adjustRightInd w:val="0"/>
              <w:jc w:val="center"/>
              <w:rPr>
                <w:rFonts w:cs="Arial"/>
                <w:b/>
              </w:rPr>
            </w:pPr>
            <w:r w:rsidRPr="006E324E">
              <w:rPr>
                <w:rFonts w:cs="Arial"/>
                <w:b/>
              </w:rPr>
              <w:t>18</w:t>
            </w:r>
          </w:p>
        </w:tc>
        <w:tc>
          <w:tcPr>
            <w:tcW w:w="3459" w:type="dxa"/>
            <w:vAlign w:val="center"/>
          </w:tcPr>
          <w:p w:rsidR="006203CE" w:rsidRPr="006E324E" w:rsidRDefault="006203CE" w:rsidP="00CD0687">
            <w:pPr>
              <w:autoSpaceDE w:val="0"/>
              <w:autoSpaceDN w:val="0"/>
              <w:adjustRightInd w:val="0"/>
              <w:jc w:val="center"/>
              <w:rPr>
                <w:rFonts w:cs="Arial"/>
                <w:b/>
              </w:rPr>
            </w:pPr>
            <w:r>
              <w:rPr>
                <w:rFonts w:cs="Arial"/>
                <w:b/>
              </w:rPr>
              <w:t>0.</w:t>
            </w:r>
            <w:r w:rsidRPr="006E324E">
              <w:rPr>
                <w:rFonts w:cs="Arial"/>
                <w:b/>
              </w:rPr>
              <w:t>928</w:t>
            </w:r>
          </w:p>
        </w:tc>
      </w:tr>
      <w:tr w:rsidR="006203CE" w:rsidRPr="00172899" w:rsidTr="00CD0687">
        <w:trPr>
          <w:trHeight w:hRule="exact" w:val="510"/>
        </w:trPr>
        <w:tc>
          <w:tcPr>
            <w:tcW w:w="3459" w:type="dxa"/>
            <w:vAlign w:val="center"/>
          </w:tcPr>
          <w:p w:rsidR="006203CE" w:rsidRPr="006E324E" w:rsidRDefault="006203CE" w:rsidP="00CD0687">
            <w:pPr>
              <w:autoSpaceDE w:val="0"/>
              <w:autoSpaceDN w:val="0"/>
              <w:adjustRightInd w:val="0"/>
              <w:jc w:val="center"/>
              <w:rPr>
                <w:rFonts w:cs="Arial"/>
                <w:b/>
              </w:rPr>
            </w:pPr>
            <w:r w:rsidRPr="006E324E">
              <w:rPr>
                <w:rFonts w:cs="Arial"/>
                <w:b/>
              </w:rPr>
              <w:t>19</w:t>
            </w:r>
          </w:p>
        </w:tc>
        <w:tc>
          <w:tcPr>
            <w:tcW w:w="3459" w:type="dxa"/>
            <w:vAlign w:val="center"/>
          </w:tcPr>
          <w:p w:rsidR="006203CE" w:rsidRPr="006E324E" w:rsidRDefault="006203CE" w:rsidP="00CD0687">
            <w:pPr>
              <w:autoSpaceDE w:val="0"/>
              <w:autoSpaceDN w:val="0"/>
              <w:adjustRightInd w:val="0"/>
              <w:jc w:val="center"/>
              <w:rPr>
                <w:rFonts w:cs="Arial"/>
                <w:b/>
              </w:rPr>
            </w:pPr>
            <w:r>
              <w:rPr>
                <w:rFonts w:cs="Arial"/>
                <w:b/>
              </w:rPr>
              <w:t>0.</w:t>
            </w:r>
            <w:r w:rsidRPr="006E324E">
              <w:rPr>
                <w:rFonts w:cs="Arial"/>
                <w:b/>
              </w:rPr>
              <w:t>917</w:t>
            </w:r>
          </w:p>
        </w:tc>
      </w:tr>
      <w:tr w:rsidR="006203CE" w:rsidRPr="00172899" w:rsidTr="00CD0687">
        <w:trPr>
          <w:trHeight w:hRule="exact" w:val="510"/>
        </w:trPr>
        <w:tc>
          <w:tcPr>
            <w:tcW w:w="3459" w:type="dxa"/>
            <w:vAlign w:val="center"/>
          </w:tcPr>
          <w:p w:rsidR="006203CE" w:rsidRPr="006E324E" w:rsidRDefault="006203CE" w:rsidP="00CD0687">
            <w:pPr>
              <w:autoSpaceDE w:val="0"/>
              <w:autoSpaceDN w:val="0"/>
              <w:adjustRightInd w:val="0"/>
              <w:jc w:val="center"/>
              <w:rPr>
                <w:rFonts w:cs="Arial"/>
                <w:b/>
              </w:rPr>
            </w:pPr>
            <w:r w:rsidRPr="006E324E">
              <w:rPr>
                <w:rFonts w:cs="Arial"/>
                <w:b/>
              </w:rPr>
              <w:t xml:space="preserve">≥ </w:t>
            </w:r>
          </w:p>
        </w:tc>
        <w:tc>
          <w:tcPr>
            <w:tcW w:w="3459" w:type="dxa"/>
            <w:vAlign w:val="center"/>
          </w:tcPr>
          <w:p w:rsidR="006203CE" w:rsidRPr="006E324E" w:rsidRDefault="006203CE" w:rsidP="00CD0687">
            <w:pPr>
              <w:autoSpaceDE w:val="0"/>
              <w:autoSpaceDN w:val="0"/>
              <w:adjustRightInd w:val="0"/>
              <w:jc w:val="center"/>
              <w:rPr>
                <w:rFonts w:cs="Arial"/>
                <w:b/>
              </w:rPr>
            </w:pPr>
            <w:r>
              <w:rPr>
                <w:rFonts w:cs="Arial"/>
                <w:b/>
              </w:rPr>
              <w:t>0.</w:t>
            </w:r>
            <w:r w:rsidRPr="006E324E">
              <w:rPr>
                <w:rFonts w:cs="Arial"/>
                <w:b/>
              </w:rPr>
              <w:t>906</w:t>
            </w:r>
          </w:p>
        </w:tc>
      </w:tr>
    </w:tbl>
    <w:p w:rsidR="006203CE" w:rsidRDefault="006203CE" w:rsidP="006203CE">
      <w:pPr>
        <w:pStyle w:val="SingleTxtG"/>
        <w:ind w:left="0"/>
      </w:pPr>
    </w:p>
    <w:p w:rsidR="006203CE" w:rsidRDefault="006203CE" w:rsidP="006203CE">
      <w:pPr>
        <w:pStyle w:val="SingleTxtG"/>
        <w:ind w:left="0"/>
      </w:pPr>
    </w:p>
    <w:p w:rsidR="006203CE" w:rsidRDefault="006203CE" w:rsidP="006203CE">
      <w:pPr>
        <w:pStyle w:val="SingleTxtG"/>
        <w:ind w:left="0"/>
      </w:pPr>
    </w:p>
    <w:p w:rsidR="006203CE" w:rsidRDefault="006203CE" w:rsidP="006203CE">
      <w:pPr>
        <w:pStyle w:val="SingleTxtG"/>
        <w:ind w:left="0"/>
      </w:pPr>
    </w:p>
    <w:p w:rsidR="006203CE" w:rsidRDefault="006203CE" w:rsidP="006203CE">
      <w:pPr>
        <w:pStyle w:val="SingleTxtG"/>
        <w:ind w:left="0"/>
      </w:pPr>
    </w:p>
    <w:p w:rsidR="006203CE" w:rsidRDefault="006203CE" w:rsidP="006203CE">
      <w:pPr>
        <w:pStyle w:val="SingleTxtG"/>
        <w:ind w:left="0"/>
      </w:pPr>
    </w:p>
    <w:p w:rsidR="006203CE" w:rsidRDefault="006203CE" w:rsidP="006203CE">
      <w:pPr>
        <w:pStyle w:val="SingleTxtG"/>
        <w:ind w:left="0"/>
      </w:pPr>
    </w:p>
    <w:p w:rsidR="006203CE" w:rsidRDefault="006203CE" w:rsidP="006203CE">
      <w:pPr>
        <w:pStyle w:val="SingleTxtG"/>
        <w:ind w:left="0"/>
      </w:pPr>
    </w:p>
    <w:p w:rsidR="006203CE" w:rsidRDefault="006203CE" w:rsidP="006203CE">
      <w:pPr>
        <w:pStyle w:val="SingleTxtG"/>
        <w:ind w:left="0"/>
      </w:pPr>
    </w:p>
    <w:p w:rsidR="006203CE" w:rsidRDefault="006203CE" w:rsidP="006203CE">
      <w:pPr>
        <w:pStyle w:val="SingleTxtG"/>
        <w:ind w:left="0"/>
      </w:pPr>
    </w:p>
    <w:p w:rsidR="006203CE" w:rsidRDefault="006203CE" w:rsidP="006203CE">
      <w:pPr>
        <w:pStyle w:val="SingleTxtG"/>
        <w:ind w:left="0"/>
      </w:pPr>
    </w:p>
    <w:p w:rsidR="006203CE" w:rsidRDefault="006203CE" w:rsidP="006203CE">
      <w:pPr>
        <w:pStyle w:val="SingleTxtG"/>
        <w:ind w:left="0"/>
      </w:pPr>
    </w:p>
    <w:p w:rsidR="006203CE" w:rsidRDefault="006203CE" w:rsidP="006203CE">
      <w:pPr>
        <w:pStyle w:val="SingleTxtG"/>
        <w:ind w:left="0"/>
      </w:pPr>
    </w:p>
    <w:p w:rsidR="006203CE" w:rsidRDefault="006203CE" w:rsidP="006203CE">
      <w:pPr>
        <w:pStyle w:val="SingleTxtG"/>
        <w:ind w:left="0"/>
      </w:pPr>
    </w:p>
    <w:p w:rsidR="006203CE" w:rsidRDefault="006203CE" w:rsidP="006203CE">
      <w:pPr>
        <w:pStyle w:val="SingleTxtG"/>
        <w:ind w:left="0"/>
      </w:pPr>
    </w:p>
    <w:p w:rsidR="006203CE" w:rsidRDefault="006203CE" w:rsidP="006203CE">
      <w:pPr>
        <w:pStyle w:val="SingleTxtG"/>
        <w:ind w:left="0"/>
      </w:pPr>
    </w:p>
    <w:p w:rsidR="006203CE" w:rsidRPr="001434DC" w:rsidRDefault="006203CE" w:rsidP="006203CE">
      <w:pPr>
        <w:pStyle w:val="SingleTxtG"/>
        <w:spacing w:after="240"/>
        <w:jc w:val="center"/>
      </w:pPr>
      <w:proofErr w:type="spellStart"/>
      <w:proofErr w:type="gramStart"/>
      <w:r w:rsidRPr="00C110CF">
        <w:rPr>
          <w:b/>
        </w:rPr>
        <w:t>packagings</w:t>
      </w:r>
      <w:proofErr w:type="spellEnd"/>
      <w:proofErr w:type="gramEnd"/>
      <w:r w:rsidRPr="00C110CF">
        <w:rPr>
          <w:b/>
        </w:rPr>
        <w:t xml:space="preserve"> (plastics receptacles)</w:t>
      </w:r>
    </w:p>
    <w:p w:rsidR="006203CE" w:rsidRPr="00E2745B" w:rsidRDefault="006203CE" w:rsidP="006203CE">
      <w:pPr>
        <w:pStyle w:val="SingleTxtG"/>
        <w:spacing w:after="240"/>
        <w:ind w:left="1701" w:hanging="567"/>
      </w:pPr>
      <w:r w:rsidRPr="00E2745B">
        <w:t>Amend 6.5.6.8.2 to read as follows:</w:t>
      </w:r>
    </w:p>
    <w:p w:rsidR="006203CE" w:rsidRPr="006B1E6C" w:rsidRDefault="006203CE" w:rsidP="006203CE">
      <w:pPr>
        <w:pStyle w:val="SingleTxtG"/>
        <w:ind w:left="1701" w:hanging="567"/>
        <w:rPr>
          <w:i/>
        </w:rPr>
      </w:pPr>
      <w:r w:rsidRPr="006B1E6C">
        <w:rPr>
          <w:i/>
        </w:rPr>
        <w:t>“Preparation of the IBC for test</w:t>
      </w:r>
    </w:p>
    <w:p w:rsidR="006203CE" w:rsidRDefault="006203CE" w:rsidP="006203CE">
      <w:pPr>
        <w:pStyle w:val="SingleTxtG"/>
        <w:rPr>
          <w:b/>
        </w:rPr>
      </w:pPr>
      <w:r w:rsidRPr="00E2745B">
        <w:t xml:space="preserve">The test shall be carried out before the fitting of any thermal insulation equipment. Pressure-relief devices shall be removed and their apertures plugged, or shall be rendered inoperative. </w:t>
      </w:r>
      <w:r w:rsidRPr="0097576F">
        <w:rPr>
          <w:b/>
        </w:rPr>
        <w:t>Rigid</w:t>
      </w:r>
      <w:r>
        <w:rPr>
          <w:b/>
        </w:rPr>
        <w:t xml:space="preserve"> p</w:t>
      </w:r>
      <w:r w:rsidRPr="00F86A71">
        <w:rPr>
          <w:b/>
        </w:rPr>
        <w:t>lastics IBCs</w:t>
      </w:r>
      <w:r>
        <w:rPr>
          <w:b/>
        </w:rPr>
        <w:t xml:space="preserve"> and composite IBCs (plastic inner receptacles)</w:t>
      </w:r>
      <w:r w:rsidRPr="00F86A71">
        <w:rPr>
          <w:b/>
        </w:rPr>
        <w:t xml:space="preserve"> shall be filled with water at room temperature. The water temperature shall not be below 12 °C and shall be</w:t>
      </w:r>
      <w:r>
        <w:rPr>
          <w:b/>
        </w:rPr>
        <w:t xml:space="preserve"> measured and</w:t>
      </w:r>
      <w:r w:rsidRPr="00F86A71">
        <w:rPr>
          <w:b/>
        </w:rPr>
        <w:t xml:space="preserve"> documented before testing.</w:t>
      </w:r>
      <w:r w:rsidRPr="00100B9B">
        <w:rPr>
          <w:b/>
        </w:rPr>
        <w:t xml:space="preserve"> </w:t>
      </w:r>
      <w:r>
        <w:rPr>
          <w:b/>
        </w:rPr>
        <w:t>If</w:t>
      </w:r>
      <w:r w:rsidRPr="00100B9B">
        <w:rPr>
          <w:b/>
        </w:rPr>
        <w:t xml:space="preserve"> the</w:t>
      </w:r>
      <w:r>
        <w:rPr>
          <w:b/>
        </w:rPr>
        <w:t xml:space="preserve"> measured water</w:t>
      </w:r>
      <w:r w:rsidRPr="00100B9B">
        <w:rPr>
          <w:b/>
        </w:rPr>
        <w:t xml:space="preserve"> temperature is above 12 °C the internal pressure to be applied may be reduced with a correction factor according to </w:t>
      </w:r>
      <w:r>
        <w:rPr>
          <w:b/>
        </w:rPr>
        <w:t xml:space="preserve">the table below: </w:t>
      </w:r>
    </w:p>
    <w:p w:rsidR="006203CE" w:rsidRDefault="006203CE">
      <w:pPr>
        <w:suppressAutoHyphens w:val="0"/>
        <w:spacing w:line="240" w:lineRule="auto"/>
        <w:rPr>
          <w:b/>
        </w:rPr>
      </w:pPr>
      <w:r>
        <w:rPr>
          <w:b/>
        </w:rPr>
        <w:br w:type="page"/>
      </w:r>
    </w:p>
    <w:p w:rsidR="006203CE" w:rsidRDefault="006203CE" w:rsidP="006203CE">
      <w:pPr>
        <w:pStyle w:val="SingleTxtG"/>
        <w:spacing w:after="0"/>
      </w:pPr>
      <w:r w:rsidRPr="008A7FC7">
        <w:rPr>
          <w:b/>
        </w:rPr>
        <w:lastRenderedPageBreak/>
        <w:t>Water temperature adjustment factors for plastics IBCs and composite IBCs (plastic inner receptacles</w:t>
      </w:r>
      <w:r w:rsidRPr="00440FC5">
        <w:t>)</w:t>
      </w:r>
    </w:p>
    <w:p w:rsidR="006203CE" w:rsidRPr="00AF4BDD" w:rsidRDefault="006203CE" w:rsidP="006203CE">
      <w:pPr>
        <w:pStyle w:val="SingleTxtG"/>
        <w:spacing w:after="0"/>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459"/>
      </w:tblGrid>
      <w:tr w:rsidR="006203CE" w:rsidRPr="00172899" w:rsidTr="00CD0687">
        <w:tc>
          <w:tcPr>
            <w:tcW w:w="3459" w:type="dxa"/>
            <w:vAlign w:val="center"/>
          </w:tcPr>
          <w:p w:rsidR="006203CE" w:rsidRPr="00172899" w:rsidRDefault="006203CE" w:rsidP="00CD0687">
            <w:pPr>
              <w:autoSpaceDE w:val="0"/>
              <w:autoSpaceDN w:val="0"/>
              <w:adjustRightInd w:val="0"/>
              <w:jc w:val="center"/>
              <w:rPr>
                <w:rFonts w:cs="Arial"/>
              </w:rPr>
            </w:pPr>
            <w:r w:rsidRPr="00172899">
              <w:rPr>
                <w:rFonts w:cs="Arial"/>
                <w:b/>
                <w:bCs/>
              </w:rPr>
              <w:t>Water temperature °C</w:t>
            </w:r>
          </w:p>
        </w:tc>
        <w:tc>
          <w:tcPr>
            <w:tcW w:w="3459" w:type="dxa"/>
            <w:vAlign w:val="center"/>
          </w:tcPr>
          <w:p w:rsidR="006203CE" w:rsidRPr="00172899" w:rsidRDefault="006203CE" w:rsidP="00CD0687">
            <w:pPr>
              <w:autoSpaceDE w:val="0"/>
              <w:autoSpaceDN w:val="0"/>
              <w:adjustRightInd w:val="0"/>
              <w:jc w:val="center"/>
              <w:rPr>
                <w:rFonts w:cs="Arial"/>
                <w:b/>
                <w:bCs/>
              </w:rPr>
            </w:pPr>
          </w:p>
          <w:p w:rsidR="006203CE" w:rsidRPr="00172899" w:rsidRDefault="006203CE" w:rsidP="00CD0687">
            <w:pPr>
              <w:autoSpaceDE w:val="0"/>
              <w:autoSpaceDN w:val="0"/>
              <w:adjustRightInd w:val="0"/>
              <w:jc w:val="center"/>
              <w:rPr>
                <w:rFonts w:cs="Arial"/>
                <w:b/>
                <w:bCs/>
              </w:rPr>
            </w:pPr>
            <w:r>
              <w:rPr>
                <w:rFonts w:cs="Arial"/>
                <w:b/>
                <w:bCs/>
              </w:rPr>
              <w:t>Correction</w:t>
            </w:r>
            <w:r w:rsidRPr="00172899">
              <w:rPr>
                <w:rFonts w:cs="Arial"/>
                <w:b/>
                <w:bCs/>
              </w:rPr>
              <w:t xml:space="preserve"> factor</w:t>
            </w:r>
          </w:p>
          <w:p w:rsidR="006203CE" w:rsidRPr="00172899" w:rsidRDefault="006203CE" w:rsidP="00CD0687">
            <w:pPr>
              <w:autoSpaceDE w:val="0"/>
              <w:autoSpaceDN w:val="0"/>
              <w:adjustRightInd w:val="0"/>
              <w:jc w:val="center"/>
              <w:rPr>
                <w:rFonts w:cs="Arial"/>
              </w:rPr>
            </w:pPr>
          </w:p>
        </w:tc>
      </w:tr>
      <w:tr w:rsidR="006203CE" w:rsidRPr="00172899" w:rsidTr="00CD0687">
        <w:trPr>
          <w:trHeight w:hRule="exact" w:val="510"/>
        </w:trPr>
        <w:tc>
          <w:tcPr>
            <w:tcW w:w="3459" w:type="dxa"/>
            <w:vAlign w:val="center"/>
          </w:tcPr>
          <w:p w:rsidR="006203CE" w:rsidRPr="006E324E" w:rsidRDefault="006203CE" w:rsidP="00CD0687">
            <w:pPr>
              <w:autoSpaceDE w:val="0"/>
              <w:autoSpaceDN w:val="0"/>
              <w:adjustRightInd w:val="0"/>
              <w:jc w:val="center"/>
              <w:rPr>
                <w:rFonts w:cs="Arial"/>
                <w:b/>
              </w:rPr>
            </w:pPr>
            <w:r w:rsidRPr="006E324E">
              <w:rPr>
                <w:rFonts w:cs="Arial"/>
                <w:b/>
              </w:rPr>
              <w:t>12 + 2</w:t>
            </w:r>
          </w:p>
        </w:tc>
        <w:tc>
          <w:tcPr>
            <w:tcW w:w="3459" w:type="dxa"/>
            <w:vAlign w:val="center"/>
          </w:tcPr>
          <w:p w:rsidR="006203CE" w:rsidRPr="006E324E" w:rsidRDefault="006203CE" w:rsidP="00CD0687">
            <w:pPr>
              <w:autoSpaceDE w:val="0"/>
              <w:autoSpaceDN w:val="0"/>
              <w:adjustRightInd w:val="0"/>
              <w:jc w:val="center"/>
              <w:rPr>
                <w:rFonts w:cs="Arial"/>
                <w:b/>
              </w:rPr>
            </w:pPr>
            <w:r w:rsidRPr="006E324E">
              <w:rPr>
                <w:rFonts w:cs="Arial"/>
                <w:b/>
              </w:rPr>
              <w:t>1</w:t>
            </w:r>
            <w:r>
              <w:rPr>
                <w:rFonts w:cs="Arial"/>
                <w:b/>
              </w:rPr>
              <w:t>.</w:t>
            </w:r>
            <w:r w:rsidRPr="006E324E">
              <w:rPr>
                <w:rFonts w:cs="Arial"/>
                <w:b/>
              </w:rPr>
              <w:t>000</w:t>
            </w:r>
          </w:p>
        </w:tc>
      </w:tr>
      <w:tr w:rsidR="006203CE" w:rsidRPr="00172899" w:rsidTr="00CD0687">
        <w:trPr>
          <w:trHeight w:hRule="exact" w:val="510"/>
        </w:trPr>
        <w:tc>
          <w:tcPr>
            <w:tcW w:w="3459" w:type="dxa"/>
            <w:vAlign w:val="center"/>
          </w:tcPr>
          <w:p w:rsidR="006203CE" w:rsidRPr="006E324E" w:rsidRDefault="006203CE" w:rsidP="00CD0687">
            <w:pPr>
              <w:autoSpaceDE w:val="0"/>
              <w:autoSpaceDN w:val="0"/>
              <w:adjustRightInd w:val="0"/>
              <w:jc w:val="center"/>
              <w:rPr>
                <w:rFonts w:cs="Arial"/>
                <w:b/>
              </w:rPr>
            </w:pPr>
            <w:r w:rsidRPr="006E324E">
              <w:rPr>
                <w:rFonts w:cs="Arial"/>
                <w:b/>
              </w:rPr>
              <w:t>≥14</w:t>
            </w:r>
          </w:p>
        </w:tc>
        <w:tc>
          <w:tcPr>
            <w:tcW w:w="3459" w:type="dxa"/>
            <w:vAlign w:val="center"/>
          </w:tcPr>
          <w:p w:rsidR="006203CE" w:rsidRPr="006E324E" w:rsidRDefault="006203CE" w:rsidP="00CD0687">
            <w:pPr>
              <w:autoSpaceDE w:val="0"/>
              <w:autoSpaceDN w:val="0"/>
              <w:adjustRightInd w:val="0"/>
              <w:jc w:val="center"/>
              <w:rPr>
                <w:rFonts w:cs="Arial"/>
                <w:b/>
              </w:rPr>
            </w:pPr>
            <w:r>
              <w:rPr>
                <w:rFonts w:cs="Arial"/>
                <w:b/>
              </w:rPr>
              <w:t>0.</w:t>
            </w:r>
            <w:r w:rsidRPr="006E324E">
              <w:rPr>
                <w:rFonts w:cs="Arial"/>
                <w:b/>
              </w:rPr>
              <w:t>976</w:t>
            </w:r>
          </w:p>
        </w:tc>
      </w:tr>
      <w:tr w:rsidR="006203CE" w:rsidRPr="00172899" w:rsidTr="00CD0687">
        <w:trPr>
          <w:trHeight w:hRule="exact" w:val="510"/>
        </w:trPr>
        <w:tc>
          <w:tcPr>
            <w:tcW w:w="3459" w:type="dxa"/>
            <w:vAlign w:val="center"/>
          </w:tcPr>
          <w:p w:rsidR="006203CE" w:rsidRPr="006E324E" w:rsidRDefault="006203CE" w:rsidP="00CD0687">
            <w:pPr>
              <w:autoSpaceDE w:val="0"/>
              <w:autoSpaceDN w:val="0"/>
              <w:adjustRightInd w:val="0"/>
              <w:jc w:val="center"/>
              <w:rPr>
                <w:rFonts w:cs="Arial"/>
                <w:b/>
              </w:rPr>
            </w:pPr>
            <w:r w:rsidRPr="006E324E">
              <w:rPr>
                <w:rFonts w:cs="Arial"/>
                <w:b/>
              </w:rPr>
              <w:t>15</w:t>
            </w:r>
          </w:p>
        </w:tc>
        <w:tc>
          <w:tcPr>
            <w:tcW w:w="3459" w:type="dxa"/>
            <w:vAlign w:val="center"/>
          </w:tcPr>
          <w:p w:rsidR="006203CE" w:rsidRPr="006E324E" w:rsidRDefault="006203CE" w:rsidP="00CD0687">
            <w:pPr>
              <w:autoSpaceDE w:val="0"/>
              <w:autoSpaceDN w:val="0"/>
              <w:adjustRightInd w:val="0"/>
              <w:jc w:val="center"/>
              <w:rPr>
                <w:rFonts w:cs="Arial"/>
                <w:b/>
              </w:rPr>
            </w:pPr>
            <w:r>
              <w:rPr>
                <w:rFonts w:cs="Arial"/>
                <w:b/>
              </w:rPr>
              <w:t>0.</w:t>
            </w:r>
            <w:r w:rsidRPr="006E324E">
              <w:rPr>
                <w:rFonts w:cs="Arial"/>
                <w:b/>
              </w:rPr>
              <w:t>964</w:t>
            </w:r>
          </w:p>
        </w:tc>
      </w:tr>
      <w:tr w:rsidR="006203CE" w:rsidRPr="00172899" w:rsidTr="00CD0687">
        <w:trPr>
          <w:trHeight w:hRule="exact" w:val="510"/>
        </w:trPr>
        <w:tc>
          <w:tcPr>
            <w:tcW w:w="3459" w:type="dxa"/>
            <w:vAlign w:val="center"/>
          </w:tcPr>
          <w:p w:rsidR="006203CE" w:rsidRPr="006E324E" w:rsidRDefault="006203CE" w:rsidP="00CD0687">
            <w:pPr>
              <w:autoSpaceDE w:val="0"/>
              <w:autoSpaceDN w:val="0"/>
              <w:adjustRightInd w:val="0"/>
              <w:jc w:val="center"/>
              <w:rPr>
                <w:rFonts w:cs="Arial"/>
                <w:b/>
              </w:rPr>
            </w:pPr>
            <w:r w:rsidRPr="006E324E">
              <w:rPr>
                <w:rFonts w:cs="Arial"/>
                <w:b/>
              </w:rPr>
              <w:t>16</w:t>
            </w:r>
          </w:p>
        </w:tc>
        <w:tc>
          <w:tcPr>
            <w:tcW w:w="3459" w:type="dxa"/>
            <w:vAlign w:val="center"/>
          </w:tcPr>
          <w:p w:rsidR="006203CE" w:rsidRPr="006E324E" w:rsidRDefault="006203CE" w:rsidP="00CD0687">
            <w:pPr>
              <w:autoSpaceDE w:val="0"/>
              <w:autoSpaceDN w:val="0"/>
              <w:adjustRightInd w:val="0"/>
              <w:jc w:val="center"/>
              <w:rPr>
                <w:rFonts w:cs="Arial"/>
                <w:b/>
              </w:rPr>
            </w:pPr>
            <w:r>
              <w:rPr>
                <w:rFonts w:cs="Arial"/>
                <w:b/>
              </w:rPr>
              <w:t>0.</w:t>
            </w:r>
            <w:r w:rsidRPr="006E324E">
              <w:rPr>
                <w:rFonts w:cs="Arial"/>
                <w:b/>
              </w:rPr>
              <w:t>952</w:t>
            </w:r>
          </w:p>
        </w:tc>
      </w:tr>
      <w:tr w:rsidR="006203CE" w:rsidRPr="00172899" w:rsidTr="00CD0687">
        <w:trPr>
          <w:trHeight w:hRule="exact" w:val="510"/>
        </w:trPr>
        <w:tc>
          <w:tcPr>
            <w:tcW w:w="3459" w:type="dxa"/>
            <w:vAlign w:val="center"/>
          </w:tcPr>
          <w:p w:rsidR="006203CE" w:rsidRPr="006E324E" w:rsidRDefault="006203CE" w:rsidP="00CD0687">
            <w:pPr>
              <w:autoSpaceDE w:val="0"/>
              <w:autoSpaceDN w:val="0"/>
              <w:adjustRightInd w:val="0"/>
              <w:jc w:val="center"/>
              <w:rPr>
                <w:rFonts w:cs="Arial"/>
                <w:b/>
              </w:rPr>
            </w:pPr>
            <w:r w:rsidRPr="006E324E">
              <w:rPr>
                <w:rFonts w:cs="Arial"/>
                <w:b/>
              </w:rPr>
              <w:t>17</w:t>
            </w:r>
          </w:p>
        </w:tc>
        <w:tc>
          <w:tcPr>
            <w:tcW w:w="3459" w:type="dxa"/>
            <w:vAlign w:val="center"/>
          </w:tcPr>
          <w:p w:rsidR="006203CE" w:rsidRPr="006E324E" w:rsidRDefault="006203CE" w:rsidP="00CD0687">
            <w:pPr>
              <w:autoSpaceDE w:val="0"/>
              <w:autoSpaceDN w:val="0"/>
              <w:adjustRightInd w:val="0"/>
              <w:jc w:val="center"/>
              <w:rPr>
                <w:rFonts w:cs="Arial"/>
                <w:b/>
              </w:rPr>
            </w:pPr>
            <w:r>
              <w:rPr>
                <w:rFonts w:cs="Arial"/>
                <w:b/>
              </w:rPr>
              <w:t>0.</w:t>
            </w:r>
            <w:r w:rsidRPr="006E324E">
              <w:rPr>
                <w:rFonts w:cs="Arial"/>
                <w:b/>
              </w:rPr>
              <w:t>940</w:t>
            </w:r>
          </w:p>
        </w:tc>
      </w:tr>
      <w:tr w:rsidR="006203CE" w:rsidRPr="00172899" w:rsidTr="00CD0687">
        <w:trPr>
          <w:trHeight w:hRule="exact" w:val="510"/>
        </w:trPr>
        <w:tc>
          <w:tcPr>
            <w:tcW w:w="3459" w:type="dxa"/>
            <w:vAlign w:val="center"/>
          </w:tcPr>
          <w:p w:rsidR="006203CE" w:rsidRPr="006E324E" w:rsidRDefault="006203CE" w:rsidP="00CD0687">
            <w:pPr>
              <w:autoSpaceDE w:val="0"/>
              <w:autoSpaceDN w:val="0"/>
              <w:adjustRightInd w:val="0"/>
              <w:jc w:val="center"/>
              <w:rPr>
                <w:rFonts w:cs="Arial"/>
                <w:b/>
              </w:rPr>
            </w:pPr>
            <w:r w:rsidRPr="006E324E">
              <w:rPr>
                <w:rFonts w:cs="Arial"/>
                <w:b/>
              </w:rPr>
              <w:t>18</w:t>
            </w:r>
          </w:p>
        </w:tc>
        <w:tc>
          <w:tcPr>
            <w:tcW w:w="3459" w:type="dxa"/>
            <w:vAlign w:val="center"/>
          </w:tcPr>
          <w:p w:rsidR="006203CE" w:rsidRPr="006E324E" w:rsidRDefault="006203CE" w:rsidP="00CD0687">
            <w:pPr>
              <w:autoSpaceDE w:val="0"/>
              <w:autoSpaceDN w:val="0"/>
              <w:adjustRightInd w:val="0"/>
              <w:jc w:val="center"/>
              <w:rPr>
                <w:rFonts w:cs="Arial"/>
                <w:b/>
              </w:rPr>
            </w:pPr>
            <w:r>
              <w:rPr>
                <w:rFonts w:cs="Arial"/>
                <w:b/>
              </w:rPr>
              <w:t>0.</w:t>
            </w:r>
            <w:r w:rsidRPr="006E324E">
              <w:rPr>
                <w:rFonts w:cs="Arial"/>
                <w:b/>
              </w:rPr>
              <w:t>928</w:t>
            </w:r>
          </w:p>
        </w:tc>
      </w:tr>
      <w:tr w:rsidR="006203CE" w:rsidRPr="00172899" w:rsidTr="00CD0687">
        <w:trPr>
          <w:trHeight w:hRule="exact" w:val="510"/>
        </w:trPr>
        <w:tc>
          <w:tcPr>
            <w:tcW w:w="3459" w:type="dxa"/>
            <w:vAlign w:val="center"/>
          </w:tcPr>
          <w:p w:rsidR="006203CE" w:rsidRPr="006E324E" w:rsidRDefault="006203CE" w:rsidP="00CD0687">
            <w:pPr>
              <w:autoSpaceDE w:val="0"/>
              <w:autoSpaceDN w:val="0"/>
              <w:adjustRightInd w:val="0"/>
              <w:jc w:val="center"/>
              <w:rPr>
                <w:rFonts w:cs="Arial"/>
                <w:b/>
              </w:rPr>
            </w:pPr>
            <w:r w:rsidRPr="006E324E">
              <w:rPr>
                <w:rFonts w:cs="Arial"/>
                <w:b/>
              </w:rPr>
              <w:t>19</w:t>
            </w:r>
          </w:p>
        </w:tc>
        <w:tc>
          <w:tcPr>
            <w:tcW w:w="3459" w:type="dxa"/>
            <w:vAlign w:val="center"/>
          </w:tcPr>
          <w:p w:rsidR="006203CE" w:rsidRPr="006E324E" w:rsidRDefault="006203CE" w:rsidP="00CD0687">
            <w:pPr>
              <w:autoSpaceDE w:val="0"/>
              <w:autoSpaceDN w:val="0"/>
              <w:adjustRightInd w:val="0"/>
              <w:jc w:val="center"/>
              <w:rPr>
                <w:rFonts w:cs="Arial"/>
                <w:b/>
              </w:rPr>
            </w:pPr>
            <w:r>
              <w:rPr>
                <w:rFonts w:cs="Arial"/>
                <w:b/>
              </w:rPr>
              <w:t>0.</w:t>
            </w:r>
            <w:r w:rsidRPr="006E324E">
              <w:rPr>
                <w:rFonts w:cs="Arial"/>
                <w:b/>
              </w:rPr>
              <w:t>917</w:t>
            </w:r>
          </w:p>
        </w:tc>
      </w:tr>
      <w:tr w:rsidR="006203CE" w:rsidRPr="00172899" w:rsidTr="00CD0687">
        <w:trPr>
          <w:trHeight w:hRule="exact" w:val="510"/>
        </w:trPr>
        <w:tc>
          <w:tcPr>
            <w:tcW w:w="3459" w:type="dxa"/>
            <w:vAlign w:val="center"/>
          </w:tcPr>
          <w:p w:rsidR="006203CE" w:rsidRPr="006E324E" w:rsidRDefault="006203CE" w:rsidP="00CD0687">
            <w:pPr>
              <w:autoSpaceDE w:val="0"/>
              <w:autoSpaceDN w:val="0"/>
              <w:adjustRightInd w:val="0"/>
              <w:jc w:val="center"/>
              <w:rPr>
                <w:rFonts w:cs="Arial"/>
                <w:b/>
              </w:rPr>
            </w:pPr>
            <w:r w:rsidRPr="006E324E">
              <w:rPr>
                <w:rFonts w:cs="Arial"/>
                <w:b/>
              </w:rPr>
              <w:t xml:space="preserve">≥ </w:t>
            </w:r>
          </w:p>
        </w:tc>
        <w:tc>
          <w:tcPr>
            <w:tcW w:w="3459" w:type="dxa"/>
            <w:vAlign w:val="center"/>
          </w:tcPr>
          <w:p w:rsidR="006203CE" w:rsidRPr="006E324E" w:rsidRDefault="006203CE" w:rsidP="00CD0687">
            <w:pPr>
              <w:autoSpaceDE w:val="0"/>
              <w:autoSpaceDN w:val="0"/>
              <w:adjustRightInd w:val="0"/>
              <w:jc w:val="center"/>
              <w:rPr>
                <w:rFonts w:cs="Arial"/>
                <w:b/>
              </w:rPr>
            </w:pPr>
            <w:r>
              <w:rPr>
                <w:rFonts w:cs="Arial"/>
                <w:b/>
              </w:rPr>
              <w:t>0.</w:t>
            </w:r>
            <w:r w:rsidRPr="006E324E">
              <w:rPr>
                <w:rFonts w:cs="Arial"/>
                <w:b/>
              </w:rPr>
              <w:t>906</w:t>
            </w:r>
          </w:p>
        </w:tc>
      </w:tr>
    </w:tbl>
    <w:p w:rsidR="006203CE" w:rsidRPr="008A7FC7" w:rsidRDefault="006203CE" w:rsidP="006203CE">
      <w:pPr>
        <w:pStyle w:val="HChG"/>
      </w:pPr>
      <w:r>
        <w:tab/>
      </w:r>
      <w:r>
        <w:tab/>
      </w:r>
      <w:r w:rsidRPr="008A7FC7">
        <w:t>Conseque</w:t>
      </w:r>
      <w:r>
        <w:t>n</w:t>
      </w:r>
      <w:r w:rsidRPr="008A7FC7">
        <w:t>tial amendments</w:t>
      </w:r>
    </w:p>
    <w:p w:rsidR="006203CE" w:rsidRDefault="00EB2484" w:rsidP="006203CE">
      <w:pPr>
        <w:pStyle w:val="SingleTxtG"/>
        <w:spacing w:after="240"/>
        <w:jc w:val="left"/>
      </w:pPr>
      <w:r>
        <w:t>11.</w:t>
      </w:r>
      <w:r w:rsidR="006203CE">
        <w:tab/>
        <w:t>If these tables are applied for the internal (hydraulic) pressure test, further provisions have to be reviewed, as follows:</w:t>
      </w:r>
    </w:p>
    <w:p w:rsidR="006203CE" w:rsidRDefault="006203CE" w:rsidP="006203CE">
      <w:pPr>
        <w:pStyle w:val="Bullet1G"/>
      </w:pPr>
      <w:r>
        <w:t xml:space="preserve">6.1.5.5.4 (b) and (c) and 6.5.6.8.4.2 (b) (ii) and (iii) require a minimum test pressure of 100 </w:t>
      </w:r>
      <w:proofErr w:type="spellStart"/>
      <w:r>
        <w:t>kPa</w:t>
      </w:r>
      <w:proofErr w:type="spellEnd"/>
      <w:r>
        <w:t>, but the application of the correction factor implies that the test pressure may be below the minimum level required. Consequentially it has to be decided how the minimum test level requirement should be drafted.</w:t>
      </w:r>
    </w:p>
    <w:p w:rsidR="006203CE" w:rsidRDefault="006203CE" w:rsidP="006203CE">
      <w:pPr>
        <w:pStyle w:val="Bullet1G"/>
      </w:pPr>
      <w:r>
        <w:t>P620 and P650 contain capability requirements concerning the internal pressure which should be reviewed accordingly.</w:t>
      </w:r>
    </w:p>
    <w:p w:rsidR="006203CE" w:rsidRDefault="006203CE" w:rsidP="006203CE">
      <w:pPr>
        <w:pStyle w:val="Bullet1G"/>
      </w:pPr>
      <w:r>
        <w:t>It should be clarified how the marking of the hydraulic test pressure which the packaging was shown to withstand (see 6.1.3.1 (d), 6.5.2.2.1) should be applied.</w:t>
      </w:r>
    </w:p>
    <w:p w:rsidR="006203CE" w:rsidRPr="006203CE" w:rsidRDefault="006203CE" w:rsidP="006203CE">
      <w:pPr>
        <w:pStyle w:val="SingleTxtG"/>
        <w:spacing w:before="240" w:after="0"/>
        <w:jc w:val="center"/>
        <w:rPr>
          <w:u w:val="single"/>
        </w:rPr>
      </w:pPr>
      <w:r>
        <w:rPr>
          <w:u w:val="single"/>
        </w:rPr>
        <w:tab/>
      </w:r>
      <w:r>
        <w:rPr>
          <w:u w:val="single"/>
        </w:rPr>
        <w:tab/>
      </w:r>
      <w:r>
        <w:rPr>
          <w:u w:val="single"/>
        </w:rPr>
        <w:tab/>
      </w:r>
    </w:p>
    <w:p w:rsidR="006203CE" w:rsidRDefault="006203CE" w:rsidP="006203CE">
      <w:pPr>
        <w:pStyle w:val="SingleTxtG"/>
        <w:ind w:left="0"/>
      </w:pPr>
    </w:p>
    <w:p w:rsidR="006203CE" w:rsidRDefault="006203CE" w:rsidP="006203CE">
      <w:pPr>
        <w:pStyle w:val="SingleTxtG"/>
        <w:ind w:left="0"/>
      </w:pPr>
    </w:p>
    <w:p w:rsidR="006203CE" w:rsidRDefault="006203CE" w:rsidP="006203CE">
      <w:pPr>
        <w:pStyle w:val="SingleTxtG"/>
        <w:ind w:left="0"/>
      </w:pPr>
    </w:p>
    <w:p w:rsidR="006203CE" w:rsidRDefault="006203CE" w:rsidP="006203CE">
      <w:pPr>
        <w:pStyle w:val="SingleTxtG"/>
        <w:ind w:left="0"/>
      </w:pPr>
    </w:p>
    <w:p w:rsidR="006203CE" w:rsidRPr="006203CE" w:rsidRDefault="006203CE" w:rsidP="006203CE">
      <w:pPr>
        <w:pStyle w:val="SingleTxtG"/>
        <w:ind w:left="0"/>
      </w:pPr>
    </w:p>
    <w:sectPr w:rsidR="006203CE" w:rsidRPr="006203CE" w:rsidSect="00B564B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56" w:rsidRDefault="00997B56"/>
  </w:endnote>
  <w:endnote w:type="continuationSeparator" w:id="0">
    <w:p w:rsidR="00997B56" w:rsidRDefault="00997B56"/>
  </w:endnote>
  <w:endnote w:type="continuationNotice" w:id="1">
    <w:p w:rsidR="00997B56" w:rsidRDefault="00997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E6115A" w:rsidP="00284F49">
    <w:pPr>
      <w:pStyle w:val="Footer"/>
      <w:tabs>
        <w:tab w:val="right" w:pos="9638"/>
      </w:tabs>
      <w:rPr>
        <w:sz w:val="18"/>
      </w:rPr>
    </w:pPr>
    <w:r>
      <w:rPr>
        <w:rStyle w:val="PageNumber"/>
      </w:rPr>
      <w:fldChar w:fldCharType="begin"/>
    </w:r>
    <w:r w:rsidR="0042458C">
      <w:rPr>
        <w:rStyle w:val="PageNumber"/>
      </w:rPr>
      <w:instrText xml:space="preserve"> PAGE </w:instrText>
    </w:r>
    <w:r>
      <w:rPr>
        <w:rStyle w:val="PageNumber"/>
      </w:rPr>
      <w:fldChar w:fldCharType="separate"/>
    </w:r>
    <w:r w:rsidR="00CC0E1A">
      <w:rPr>
        <w:rStyle w:val="PageNumber"/>
        <w:noProof/>
      </w:rPr>
      <w:t>2</w:t>
    </w:r>
    <w:r>
      <w:rPr>
        <w:rStyle w:val="PageNumber"/>
      </w:rPr>
      <w:fldChar w:fldCharType="end"/>
    </w:r>
    <w:r w:rsidR="0042458C">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42458C" w:rsidP="00284F49">
    <w:pPr>
      <w:pStyle w:val="Footer"/>
      <w:tabs>
        <w:tab w:val="right" w:pos="9638"/>
      </w:tabs>
      <w:rPr>
        <w:b/>
        <w:sz w:val="18"/>
      </w:rPr>
    </w:pPr>
    <w:r>
      <w:tab/>
    </w:r>
    <w:r w:rsidR="00E6115A">
      <w:rPr>
        <w:rStyle w:val="PageNumber"/>
      </w:rPr>
      <w:fldChar w:fldCharType="begin"/>
    </w:r>
    <w:r>
      <w:rPr>
        <w:rStyle w:val="PageNumber"/>
      </w:rPr>
      <w:instrText xml:space="preserve"> PAGE </w:instrText>
    </w:r>
    <w:r w:rsidR="00E6115A">
      <w:rPr>
        <w:rStyle w:val="PageNumber"/>
      </w:rPr>
      <w:fldChar w:fldCharType="separate"/>
    </w:r>
    <w:r w:rsidR="00CC0E1A">
      <w:rPr>
        <w:rStyle w:val="PageNumber"/>
        <w:noProof/>
      </w:rPr>
      <w:t>3</w:t>
    </w:r>
    <w:r w:rsidR="00E6115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56" w:rsidRPr="000B175B" w:rsidRDefault="00997B56" w:rsidP="000B175B">
      <w:pPr>
        <w:tabs>
          <w:tab w:val="right" w:pos="2155"/>
        </w:tabs>
        <w:spacing w:after="80"/>
        <w:ind w:left="680"/>
        <w:rPr>
          <w:u w:val="single"/>
        </w:rPr>
      </w:pPr>
      <w:r>
        <w:rPr>
          <w:u w:val="single"/>
        </w:rPr>
        <w:tab/>
      </w:r>
    </w:p>
  </w:footnote>
  <w:footnote w:type="continuationSeparator" w:id="0">
    <w:p w:rsidR="00997B56" w:rsidRPr="00FC68B7" w:rsidRDefault="00997B56" w:rsidP="00FC68B7">
      <w:pPr>
        <w:tabs>
          <w:tab w:val="left" w:pos="2155"/>
        </w:tabs>
        <w:spacing w:after="80"/>
        <w:ind w:left="680"/>
        <w:rPr>
          <w:u w:val="single"/>
        </w:rPr>
      </w:pPr>
      <w:r>
        <w:rPr>
          <w:u w:val="single"/>
        </w:rPr>
        <w:tab/>
      </w:r>
    </w:p>
  </w:footnote>
  <w:footnote w:type="continuationNotice" w:id="1">
    <w:p w:rsidR="00997B56" w:rsidRDefault="00997B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A3" w:rsidRPr="00C935A3" w:rsidRDefault="001F24D6">
    <w:pPr>
      <w:pStyle w:val="Header"/>
      <w:rPr>
        <w:lang w:val="fr-CH"/>
      </w:rPr>
    </w:pPr>
    <w:r>
      <w:rPr>
        <w:lang w:val="fr-CH"/>
      </w:rPr>
      <w:t>UN/SCETDG/4</w:t>
    </w:r>
    <w:r w:rsidR="00757670">
      <w:rPr>
        <w:lang w:val="fr-CH"/>
      </w:rPr>
      <w:t>8</w:t>
    </w:r>
    <w:r>
      <w:rPr>
        <w:lang w:val="fr-CH"/>
      </w:rPr>
      <w:t>/INF.</w:t>
    </w:r>
    <w:r w:rsidR="006203CE">
      <w:rPr>
        <w:lang w:val="fr-CH"/>
      </w:rP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C935A3" w:rsidRDefault="00757670" w:rsidP="00C935A3">
    <w:pPr>
      <w:pStyle w:val="Header"/>
      <w:jc w:val="right"/>
      <w:rPr>
        <w:lang w:val="fr-CH"/>
      </w:rPr>
    </w:pPr>
    <w:r>
      <w:rPr>
        <w:lang w:val="fr-CH"/>
      </w:rPr>
      <w:t>UN/SCETDG/48</w:t>
    </w:r>
    <w:r w:rsidR="00C935A3">
      <w:rPr>
        <w:lang w:val="fr-CH"/>
      </w:rPr>
      <w:t>/INF.</w:t>
    </w:r>
    <w:r w:rsidR="001F24D6">
      <w:rPr>
        <w:lang w:val="fr-CH"/>
      </w:rPr>
      <w:t>1</w:t>
    </w:r>
    <w:r w:rsidR="006203CE">
      <w:rPr>
        <w:lang w:val="fr-CH"/>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2CE571C"/>
    <w:multiLevelType w:val="hybridMultilevel"/>
    <w:tmpl w:val="076C222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0"/>
  </w:num>
  <w:num w:numId="14">
    <w:abstractNumId w:val="15"/>
  </w:num>
  <w:num w:numId="15">
    <w:abstractNumId w:val="16"/>
  </w:num>
  <w:num w:numId="16">
    <w:abstractNumId w:val="11"/>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7BA"/>
    <w:rsid w:val="00227E92"/>
    <w:rsid w:val="002309A7"/>
    <w:rsid w:val="00231902"/>
    <w:rsid w:val="00233569"/>
    <w:rsid w:val="002335A3"/>
    <w:rsid w:val="00233D28"/>
    <w:rsid w:val="00237785"/>
    <w:rsid w:val="00240754"/>
    <w:rsid w:val="00241466"/>
    <w:rsid w:val="00242A98"/>
    <w:rsid w:val="00244E70"/>
    <w:rsid w:val="00245A08"/>
    <w:rsid w:val="00246F4A"/>
    <w:rsid w:val="00247EE5"/>
    <w:rsid w:val="0025155F"/>
    <w:rsid w:val="0025156D"/>
    <w:rsid w:val="002518E0"/>
    <w:rsid w:val="002543DD"/>
    <w:rsid w:val="00254599"/>
    <w:rsid w:val="00254B52"/>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233B"/>
    <w:rsid w:val="0035273B"/>
    <w:rsid w:val="003528CF"/>
    <w:rsid w:val="003532BE"/>
    <w:rsid w:val="0035588F"/>
    <w:rsid w:val="00356328"/>
    <w:rsid w:val="00360E44"/>
    <w:rsid w:val="00360EDB"/>
    <w:rsid w:val="003612AB"/>
    <w:rsid w:val="003631BC"/>
    <w:rsid w:val="00363D48"/>
    <w:rsid w:val="003656B0"/>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647"/>
    <w:rsid w:val="003A1892"/>
    <w:rsid w:val="003A1F7C"/>
    <w:rsid w:val="003A292B"/>
    <w:rsid w:val="003A2941"/>
    <w:rsid w:val="003A331F"/>
    <w:rsid w:val="003A5912"/>
    <w:rsid w:val="003A5DE7"/>
    <w:rsid w:val="003B1EB6"/>
    <w:rsid w:val="003B3F27"/>
    <w:rsid w:val="003B4464"/>
    <w:rsid w:val="003B59B4"/>
    <w:rsid w:val="003B7B3B"/>
    <w:rsid w:val="003B7B96"/>
    <w:rsid w:val="003B7F27"/>
    <w:rsid w:val="003C1B5A"/>
    <w:rsid w:val="003C2CC4"/>
    <w:rsid w:val="003C42F7"/>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649C"/>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95FEF"/>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24C"/>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B8D"/>
    <w:rsid w:val="00597E07"/>
    <w:rsid w:val="005A04B6"/>
    <w:rsid w:val="005A136F"/>
    <w:rsid w:val="005A264F"/>
    <w:rsid w:val="005A29EB"/>
    <w:rsid w:val="005A2FA1"/>
    <w:rsid w:val="005A336E"/>
    <w:rsid w:val="005A520B"/>
    <w:rsid w:val="005A636C"/>
    <w:rsid w:val="005A77BD"/>
    <w:rsid w:val="005A78C2"/>
    <w:rsid w:val="005B1135"/>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03CE"/>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F12"/>
    <w:rsid w:val="006B1935"/>
    <w:rsid w:val="006B1BA4"/>
    <w:rsid w:val="006B28B5"/>
    <w:rsid w:val="006B2C79"/>
    <w:rsid w:val="006B3A51"/>
    <w:rsid w:val="006B5300"/>
    <w:rsid w:val="006B5AF9"/>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F1F"/>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3FF"/>
    <w:rsid w:val="007635BE"/>
    <w:rsid w:val="00763E85"/>
    <w:rsid w:val="007667FE"/>
    <w:rsid w:val="00767241"/>
    <w:rsid w:val="007711E4"/>
    <w:rsid w:val="00774A4A"/>
    <w:rsid w:val="00774A8A"/>
    <w:rsid w:val="00774E61"/>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2437"/>
    <w:rsid w:val="008024C3"/>
    <w:rsid w:val="0080316E"/>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7073C"/>
    <w:rsid w:val="00871FD5"/>
    <w:rsid w:val="008747D9"/>
    <w:rsid w:val="008756EA"/>
    <w:rsid w:val="008759A6"/>
    <w:rsid w:val="00876304"/>
    <w:rsid w:val="00876A6E"/>
    <w:rsid w:val="00877C31"/>
    <w:rsid w:val="00877FF8"/>
    <w:rsid w:val="00880D9B"/>
    <w:rsid w:val="00881D13"/>
    <w:rsid w:val="00883A12"/>
    <w:rsid w:val="0088794F"/>
    <w:rsid w:val="00887AE5"/>
    <w:rsid w:val="00890A40"/>
    <w:rsid w:val="0089315C"/>
    <w:rsid w:val="00896AEB"/>
    <w:rsid w:val="008979B1"/>
    <w:rsid w:val="008A0C46"/>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927"/>
    <w:rsid w:val="008D48A0"/>
    <w:rsid w:val="008D4BD3"/>
    <w:rsid w:val="008D4FC6"/>
    <w:rsid w:val="008D6115"/>
    <w:rsid w:val="008D65B4"/>
    <w:rsid w:val="008E052F"/>
    <w:rsid w:val="008E0E46"/>
    <w:rsid w:val="008E13A1"/>
    <w:rsid w:val="008E3553"/>
    <w:rsid w:val="008E3D8D"/>
    <w:rsid w:val="008E434F"/>
    <w:rsid w:val="008E52B4"/>
    <w:rsid w:val="008E55C0"/>
    <w:rsid w:val="008E58B6"/>
    <w:rsid w:val="008E68BA"/>
    <w:rsid w:val="008F04D6"/>
    <w:rsid w:val="008F1101"/>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D28AE"/>
    <w:rsid w:val="009D327B"/>
    <w:rsid w:val="009D3446"/>
    <w:rsid w:val="009D3843"/>
    <w:rsid w:val="009D389D"/>
    <w:rsid w:val="009D3A86"/>
    <w:rsid w:val="009D42E6"/>
    <w:rsid w:val="009D434C"/>
    <w:rsid w:val="009D4EE5"/>
    <w:rsid w:val="009D6D22"/>
    <w:rsid w:val="009D7558"/>
    <w:rsid w:val="009E0146"/>
    <w:rsid w:val="009E289E"/>
    <w:rsid w:val="009E2D79"/>
    <w:rsid w:val="009E62D8"/>
    <w:rsid w:val="009E65AC"/>
    <w:rsid w:val="009F00CC"/>
    <w:rsid w:val="009F0F06"/>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98A"/>
    <w:rsid w:val="00A27A99"/>
    <w:rsid w:val="00A320B1"/>
    <w:rsid w:val="00A32B01"/>
    <w:rsid w:val="00A3327F"/>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6DB3"/>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71E1"/>
    <w:rsid w:val="00AC07CC"/>
    <w:rsid w:val="00AC15A0"/>
    <w:rsid w:val="00AC4A81"/>
    <w:rsid w:val="00AC5743"/>
    <w:rsid w:val="00AC7202"/>
    <w:rsid w:val="00AC7446"/>
    <w:rsid w:val="00AC770A"/>
    <w:rsid w:val="00AC7BC8"/>
    <w:rsid w:val="00AD16CB"/>
    <w:rsid w:val="00AD24D7"/>
    <w:rsid w:val="00AD2AE6"/>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786"/>
    <w:rsid w:val="00B25598"/>
    <w:rsid w:val="00B25845"/>
    <w:rsid w:val="00B25DE5"/>
    <w:rsid w:val="00B2687F"/>
    <w:rsid w:val="00B26B78"/>
    <w:rsid w:val="00B26E73"/>
    <w:rsid w:val="00B30179"/>
    <w:rsid w:val="00B307BC"/>
    <w:rsid w:val="00B328DB"/>
    <w:rsid w:val="00B33037"/>
    <w:rsid w:val="00B3317B"/>
    <w:rsid w:val="00B33D2A"/>
    <w:rsid w:val="00B345F1"/>
    <w:rsid w:val="00B3466A"/>
    <w:rsid w:val="00B34685"/>
    <w:rsid w:val="00B3573D"/>
    <w:rsid w:val="00B36263"/>
    <w:rsid w:val="00B36B1A"/>
    <w:rsid w:val="00B36F2E"/>
    <w:rsid w:val="00B4029C"/>
    <w:rsid w:val="00B404C4"/>
    <w:rsid w:val="00B417C5"/>
    <w:rsid w:val="00B4248B"/>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B19"/>
    <w:rsid w:val="00B57F4D"/>
    <w:rsid w:val="00B61396"/>
    <w:rsid w:val="00B619E2"/>
    <w:rsid w:val="00B6230D"/>
    <w:rsid w:val="00B63727"/>
    <w:rsid w:val="00B63A4B"/>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E0C"/>
    <w:rsid w:val="00C22EBE"/>
    <w:rsid w:val="00C232D0"/>
    <w:rsid w:val="00C24336"/>
    <w:rsid w:val="00C24338"/>
    <w:rsid w:val="00C24F09"/>
    <w:rsid w:val="00C25B81"/>
    <w:rsid w:val="00C26C36"/>
    <w:rsid w:val="00C276E7"/>
    <w:rsid w:val="00C27C99"/>
    <w:rsid w:val="00C31795"/>
    <w:rsid w:val="00C32844"/>
    <w:rsid w:val="00C32E50"/>
    <w:rsid w:val="00C33AE8"/>
    <w:rsid w:val="00C341F0"/>
    <w:rsid w:val="00C34E25"/>
    <w:rsid w:val="00C368D3"/>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3586"/>
    <w:rsid w:val="00CA48E4"/>
    <w:rsid w:val="00CA4D82"/>
    <w:rsid w:val="00CA52EA"/>
    <w:rsid w:val="00CA67EB"/>
    <w:rsid w:val="00CB1414"/>
    <w:rsid w:val="00CB443D"/>
    <w:rsid w:val="00CB6D3B"/>
    <w:rsid w:val="00CB7183"/>
    <w:rsid w:val="00CB7738"/>
    <w:rsid w:val="00CB7C97"/>
    <w:rsid w:val="00CC0E1A"/>
    <w:rsid w:val="00CC19C9"/>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4A8F"/>
    <w:rsid w:val="00CE687A"/>
    <w:rsid w:val="00CE74E6"/>
    <w:rsid w:val="00CE7E8B"/>
    <w:rsid w:val="00CF036B"/>
    <w:rsid w:val="00CF0FD3"/>
    <w:rsid w:val="00CF2EED"/>
    <w:rsid w:val="00CF3969"/>
    <w:rsid w:val="00CF462B"/>
    <w:rsid w:val="00CF6927"/>
    <w:rsid w:val="00CF7C05"/>
    <w:rsid w:val="00CF7DF6"/>
    <w:rsid w:val="00D015D9"/>
    <w:rsid w:val="00D020AE"/>
    <w:rsid w:val="00D02DB6"/>
    <w:rsid w:val="00D03FAD"/>
    <w:rsid w:val="00D044AC"/>
    <w:rsid w:val="00D0459E"/>
    <w:rsid w:val="00D05F4F"/>
    <w:rsid w:val="00D10926"/>
    <w:rsid w:val="00D11694"/>
    <w:rsid w:val="00D16352"/>
    <w:rsid w:val="00D16C6B"/>
    <w:rsid w:val="00D17E00"/>
    <w:rsid w:val="00D202CC"/>
    <w:rsid w:val="00D2031B"/>
    <w:rsid w:val="00D20321"/>
    <w:rsid w:val="00D214C0"/>
    <w:rsid w:val="00D2197E"/>
    <w:rsid w:val="00D23B07"/>
    <w:rsid w:val="00D243B0"/>
    <w:rsid w:val="00D24DCC"/>
    <w:rsid w:val="00D25FE2"/>
    <w:rsid w:val="00D2649C"/>
    <w:rsid w:val="00D301DF"/>
    <w:rsid w:val="00D30806"/>
    <w:rsid w:val="00D32317"/>
    <w:rsid w:val="00D32540"/>
    <w:rsid w:val="00D331A1"/>
    <w:rsid w:val="00D338FC"/>
    <w:rsid w:val="00D33918"/>
    <w:rsid w:val="00D354C2"/>
    <w:rsid w:val="00D36516"/>
    <w:rsid w:val="00D36C11"/>
    <w:rsid w:val="00D370BE"/>
    <w:rsid w:val="00D40553"/>
    <w:rsid w:val="00D409EC"/>
    <w:rsid w:val="00D41E69"/>
    <w:rsid w:val="00D41EE2"/>
    <w:rsid w:val="00D42718"/>
    <w:rsid w:val="00D42A94"/>
    <w:rsid w:val="00D43252"/>
    <w:rsid w:val="00D444F3"/>
    <w:rsid w:val="00D44646"/>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64A5"/>
    <w:rsid w:val="00DB6A3C"/>
    <w:rsid w:val="00DB720E"/>
    <w:rsid w:val="00DC0438"/>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D5C"/>
    <w:rsid w:val="00E44719"/>
    <w:rsid w:val="00E46044"/>
    <w:rsid w:val="00E46497"/>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484"/>
    <w:rsid w:val="00EB24D6"/>
    <w:rsid w:val="00EB2638"/>
    <w:rsid w:val="00EB450D"/>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3D9"/>
    <w:rsid w:val="00ED706C"/>
    <w:rsid w:val="00ED7892"/>
    <w:rsid w:val="00ED78FB"/>
    <w:rsid w:val="00ED79CE"/>
    <w:rsid w:val="00ED7A2A"/>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713E"/>
    <w:rsid w:val="00FB7972"/>
    <w:rsid w:val="00FC04D8"/>
    <w:rsid w:val="00FC3475"/>
    <w:rsid w:val="00FC5C73"/>
    <w:rsid w:val="00FC68B7"/>
    <w:rsid w:val="00FC72D3"/>
    <w:rsid w:val="00FD081D"/>
    <w:rsid w:val="00FD08C7"/>
    <w:rsid w:val="00FD1B00"/>
    <w:rsid w:val="00FD2323"/>
    <w:rsid w:val="00FD25F7"/>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4B49FC"/>
    <w:rPr>
      <w:sz w:val="6"/>
    </w:rPr>
  </w:style>
  <w:style w:type="paragraph" w:styleId="CommentText">
    <w:name w:val="annotation text"/>
    <w:basedOn w:val="Normal"/>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val="en-US" w:eastAsia="de-DE"/>
    </w:rPr>
  </w:style>
  <w:style w:type="paragraph" w:customStyle="1" w:styleId="Standardowy">
    <w:name w:val="Standardowy"/>
    <w:rsid w:val="00982D44"/>
    <w:rPr>
      <w:rFonts w:ascii="Arial" w:hAnsi="Arial"/>
      <w:snapToGrid w:val="0"/>
      <w:sz w:val="24"/>
      <w:lang w:eastAsia="en-US"/>
    </w:rPr>
  </w:style>
  <w:style w:type="paragraph" w:customStyle="1" w:styleId="1">
    <w:name w:val="–1"/>
    <w:rsid w:val="00982D44"/>
    <w:pPr>
      <w:autoSpaceDE w:val="0"/>
      <w:autoSpaceDN w:val="0"/>
      <w:adjustRightInd w:val="0"/>
    </w:pPr>
    <w:rPr>
      <w:rFonts w:ascii="Arial" w:hAnsi="Arial"/>
      <w:sz w:val="24"/>
      <w:lang w:val="en-US"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lang w:val="en-US" w:eastAsia="ko-KR"/>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eastAsia="en-US"/>
    </w:rPr>
  </w:style>
  <w:style w:type="character" w:customStyle="1" w:styleId="FootnoteTextChar">
    <w:name w:val="Footnote Text Char"/>
    <w:aliases w:val="5_G Char"/>
    <w:link w:val="FootnoteText"/>
    <w:rsid w:val="006D2216"/>
    <w:rPr>
      <w:sz w:val="18"/>
      <w:lang w:eastAsia="en-US"/>
    </w:rPr>
  </w:style>
  <w:style w:type="character" w:customStyle="1" w:styleId="H1GChar">
    <w:name w:val="_ H_1_G Char"/>
    <w:link w:val="H1G"/>
    <w:locked/>
    <w:rsid w:val="006D2216"/>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4B49FC"/>
    <w:rPr>
      <w:sz w:val="6"/>
    </w:rPr>
  </w:style>
  <w:style w:type="paragraph" w:styleId="CommentText">
    <w:name w:val="annotation text"/>
    <w:basedOn w:val="Normal"/>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val="en-US" w:eastAsia="de-DE"/>
    </w:rPr>
  </w:style>
  <w:style w:type="paragraph" w:customStyle="1" w:styleId="Standardowy">
    <w:name w:val="Standardowy"/>
    <w:rsid w:val="00982D44"/>
    <w:rPr>
      <w:rFonts w:ascii="Arial" w:hAnsi="Arial"/>
      <w:snapToGrid w:val="0"/>
      <w:sz w:val="24"/>
      <w:lang w:eastAsia="en-US"/>
    </w:rPr>
  </w:style>
  <w:style w:type="paragraph" w:customStyle="1" w:styleId="1">
    <w:name w:val="–1"/>
    <w:rsid w:val="00982D44"/>
    <w:pPr>
      <w:autoSpaceDE w:val="0"/>
      <w:autoSpaceDN w:val="0"/>
      <w:adjustRightInd w:val="0"/>
    </w:pPr>
    <w:rPr>
      <w:rFonts w:ascii="Arial" w:hAnsi="Arial"/>
      <w:sz w:val="24"/>
      <w:lang w:val="en-US"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lang w:val="en-US" w:eastAsia="ko-KR"/>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eastAsia="en-US"/>
    </w:rPr>
  </w:style>
  <w:style w:type="character" w:customStyle="1" w:styleId="FootnoteTextChar">
    <w:name w:val="Footnote Text Char"/>
    <w:aliases w:val="5_G Char"/>
    <w:link w:val="FootnoteText"/>
    <w:rsid w:val="006D2216"/>
    <w:rPr>
      <w:sz w:val="18"/>
      <w:lang w:eastAsia="en-US"/>
    </w:rPr>
  </w:style>
  <w:style w:type="character" w:customStyle="1" w:styleId="H1GChar">
    <w:name w:val="_ H_1_G Char"/>
    <w:link w:val="H1G"/>
    <w:locked/>
    <w:rsid w:val="006D2216"/>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D2D62-2D4F-49DE-B3EC-A159E64E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1193</Words>
  <Characters>6805</Characters>
  <Application>Microsoft Office Word</Application>
  <DocSecurity>0</DocSecurity>
  <Lines>56</Lines>
  <Paragraphs>15</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6</cp:revision>
  <cp:lastPrinted>2015-11-09T15:43:00Z</cp:lastPrinted>
  <dcterms:created xsi:type="dcterms:W3CDTF">2015-11-09T15:34:00Z</dcterms:created>
  <dcterms:modified xsi:type="dcterms:W3CDTF">2015-11-10T07:54:00Z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