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A07F17" w:rsidTr="009F0F06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A07F17" w:rsidRDefault="00446DE4" w:rsidP="00F54674">
            <w:pPr>
              <w:spacing w:after="80" w:line="340" w:lineRule="exact"/>
              <w:rPr>
                <w:lang w:val="es-ES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A07F17" w:rsidRDefault="00B9002F" w:rsidP="00F54674">
            <w:pPr>
              <w:spacing w:after="80" w:line="340" w:lineRule="exact"/>
              <w:rPr>
                <w:sz w:val="28"/>
                <w:szCs w:val="28"/>
                <w:lang w:val="es-ES"/>
              </w:rPr>
            </w:pPr>
            <w:r w:rsidRPr="00A07F17">
              <w:rPr>
                <w:sz w:val="28"/>
                <w:szCs w:val="28"/>
                <w:lang w:val="es-ES"/>
              </w:rPr>
              <w:t>Naciones Unidas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A07F17" w:rsidRDefault="00B9002F" w:rsidP="00B9002F">
            <w:pPr>
              <w:jc w:val="right"/>
              <w:rPr>
                <w:lang w:val="es-ES"/>
              </w:rPr>
            </w:pPr>
            <w:r w:rsidRPr="00A07F17">
              <w:rPr>
                <w:sz w:val="40"/>
                <w:lang w:val="es-ES"/>
              </w:rPr>
              <w:t>ST</w:t>
            </w:r>
            <w:r w:rsidRPr="00A07F17">
              <w:rPr>
                <w:lang w:val="es-ES"/>
              </w:rPr>
              <w:t>/SG/AC.10/42/Add.3/Corr.1</w:t>
            </w:r>
          </w:p>
        </w:tc>
      </w:tr>
      <w:tr w:rsidR="003107FA" w:rsidRPr="00A07F17" w:rsidTr="009F0F06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A07F17" w:rsidRDefault="00057FD8" w:rsidP="002B1CDA">
            <w:pPr>
              <w:spacing w:before="120"/>
              <w:jc w:val="center"/>
              <w:rPr>
                <w:lang w:val="es-ES"/>
              </w:rPr>
            </w:pPr>
            <w:r w:rsidRPr="00A07F17">
              <w:rPr>
                <w:noProof/>
                <w:lang w:eastAsia="zh-CN"/>
              </w:rPr>
              <w:drawing>
                <wp:inline distT="0" distB="0" distL="0" distR="0" wp14:anchorId="19E241D0" wp14:editId="18037DEA">
                  <wp:extent cx="714375" cy="590550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A07F17" w:rsidRDefault="00B9002F" w:rsidP="001633FB">
            <w:pPr>
              <w:spacing w:before="120" w:line="420" w:lineRule="exact"/>
              <w:rPr>
                <w:b/>
                <w:sz w:val="40"/>
                <w:szCs w:val="40"/>
                <w:lang w:val="es-ES"/>
              </w:rPr>
            </w:pPr>
            <w:r w:rsidRPr="00A07F17">
              <w:rPr>
                <w:b/>
                <w:sz w:val="40"/>
                <w:szCs w:val="40"/>
                <w:lang w:val="es-ES"/>
              </w:rPr>
              <w:t>Secretaría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F3659A" w:rsidRDefault="00B9002F" w:rsidP="00B9002F">
            <w:pPr>
              <w:spacing w:before="240" w:line="240" w:lineRule="exact"/>
              <w:rPr>
                <w:lang w:val="es-ES"/>
              </w:rPr>
            </w:pPr>
            <w:proofErr w:type="spellStart"/>
            <w:r w:rsidRPr="00F3659A">
              <w:rPr>
                <w:lang w:val="es-ES"/>
              </w:rPr>
              <w:t>Distr</w:t>
            </w:r>
            <w:proofErr w:type="spellEnd"/>
            <w:r w:rsidRPr="00F3659A">
              <w:rPr>
                <w:lang w:val="es-ES"/>
              </w:rPr>
              <w:t>.: General</w:t>
            </w:r>
          </w:p>
          <w:p w:rsidR="00B9002F" w:rsidRPr="00A07F17" w:rsidRDefault="00F3659A" w:rsidP="00B9002F">
            <w:pPr>
              <w:spacing w:line="240" w:lineRule="exact"/>
              <w:rPr>
                <w:lang w:val="es-ES"/>
              </w:rPr>
            </w:pPr>
            <w:r w:rsidRPr="00F3659A">
              <w:rPr>
                <w:lang w:val="es-ES"/>
              </w:rPr>
              <w:t>2</w:t>
            </w:r>
            <w:r w:rsidR="00B9002F" w:rsidRPr="00F3659A">
              <w:rPr>
                <w:lang w:val="es-ES"/>
              </w:rPr>
              <w:t xml:space="preserve"> </w:t>
            </w:r>
            <w:r w:rsidRPr="00F3659A">
              <w:rPr>
                <w:lang w:val="es-ES"/>
              </w:rPr>
              <w:t xml:space="preserve">Noviembre </w:t>
            </w:r>
            <w:r w:rsidR="00B9002F" w:rsidRPr="00F3659A">
              <w:rPr>
                <w:lang w:val="es-ES"/>
              </w:rPr>
              <w:t>2015</w:t>
            </w:r>
          </w:p>
          <w:p w:rsidR="00B9002F" w:rsidRPr="00A07F17" w:rsidRDefault="00B9002F" w:rsidP="00B9002F">
            <w:pPr>
              <w:spacing w:line="240" w:lineRule="exact"/>
              <w:rPr>
                <w:lang w:val="es-ES"/>
              </w:rPr>
            </w:pPr>
          </w:p>
          <w:p w:rsidR="00B9002F" w:rsidRPr="00A07F17" w:rsidRDefault="00931CB1" w:rsidP="00931CB1">
            <w:pPr>
              <w:spacing w:line="240" w:lineRule="exact"/>
              <w:rPr>
                <w:lang w:val="es-ES"/>
              </w:rPr>
            </w:pPr>
            <w:r w:rsidRPr="00A07F17">
              <w:rPr>
                <w:lang w:val="es-ES"/>
              </w:rPr>
              <w:t>Español solamente</w:t>
            </w:r>
          </w:p>
        </w:tc>
      </w:tr>
    </w:tbl>
    <w:p w:rsidR="00A07F17" w:rsidRPr="00A07F17" w:rsidRDefault="00A07F17" w:rsidP="00A07F17">
      <w:pPr>
        <w:spacing w:before="120"/>
        <w:rPr>
          <w:b/>
          <w:sz w:val="24"/>
          <w:szCs w:val="24"/>
          <w:lang w:val="es-ES"/>
        </w:rPr>
      </w:pPr>
      <w:r w:rsidRPr="00A07F17">
        <w:rPr>
          <w:b/>
          <w:sz w:val="24"/>
          <w:szCs w:val="24"/>
          <w:lang w:val="es-ES"/>
        </w:rPr>
        <w:t xml:space="preserve">Comité de Expertos en Transporte de Mercancías </w:t>
      </w:r>
      <w:r w:rsidRPr="00A07F17">
        <w:rPr>
          <w:b/>
          <w:sz w:val="24"/>
          <w:szCs w:val="24"/>
          <w:lang w:val="es-ES"/>
        </w:rPr>
        <w:br/>
        <w:t xml:space="preserve">Peligrosas y en el Sistema Globalmente Armonizado </w:t>
      </w:r>
      <w:r w:rsidRPr="00A07F17">
        <w:rPr>
          <w:b/>
          <w:sz w:val="24"/>
          <w:szCs w:val="24"/>
          <w:lang w:val="es-ES"/>
        </w:rPr>
        <w:br/>
        <w:t>de Clasificación y Etiquetado de Productos Químicos</w:t>
      </w:r>
    </w:p>
    <w:p w:rsidR="00A07F17" w:rsidRPr="00A07F17" w:rsidRDefault="00A07F17" w:rsidP="00A07F17">
      <w:pPr>
        <w:pStyle w:val="HChG"/>
        <w:rPr>
          <w:bCs/>
          <w:lang w:val="es-ES"/>
        </w:rPr>
      </w:pPr>
      <w:r w:rsidRPr="00A07F17">
        <w:rPr>
          <w:bCs/>
          <w:lang w:val="es-ES"/>
        </w:rPr>
        <w:tab/>
      </w:r>
      <w:r w:rsidRPr="00A07F17">
        <w:rPr>
          <w:bCs/>
          <w:lang w:val="es-ES"/>
        </w:rPr>
        <w:tab/>
      </w:r>
      <w:r w:rsidRPr="00A07F17">
        <w:rPr>
          <w:lang w:val="es-ES"/>
        </w:rPr>
        <w:t>Informe del Comité de Expertos en Transporte de Mercancías Peligrosas y en el Sistema Globalmente Armonizado de Clasificación y Etiquetado de Productos Químicos sobre su séptimo período de sesiones</w:t>
      </w:r>
    </w:p>
    <w:p w:rsidR="00A07F17" w:rsidRPr="00A07F17" w:rsidRDefault="00A07F17" w:rsidP="00A07F17">
      <w:pPr>
        <w:rPr>
          <w:lang w:val="es-ES"/>
        </w:rPr>
      </w:pPr>
      <w:r w:rsidRPr="00A07F17">
        <w:rPr>
          <w:lang w:val="es-ES"/>
        </w:rPr>
        <w:tab/>
      </w:r>
      <w:r w:rsidRPr="00A07F17">
        <w:rPr>
          <w:lang w:val="es-ES"/>
        </w:rPr>
        <w:tab/>
        <w:t>Celebrado en Ginebra el 12 de diciembre de 2014</w:t>
      </w:r>
    </w:p>
    <w:p w:rsidR="00A07F17" w:rsidRPr="00A07F17" w:rsidRDefault="00A07F17" w:rsidP="00A07F17">
      <w:pPr>
        <w:pStyle w:val="H23G"/>
        <w:rPr>
          <w:lang w:val="es-ES"/>
        </w:rPr>
      </w:pPr>
      <w:r w:rsidRPr="00A07F17">
        <w:rPr>
          <w:lang w:val="es-ES"/>
        </w:rPr>
        <w:tab/>
      </w:r>
      <w:r w:rsidRPr="00A07F17">
        <w:rPr>
          <w:lang w:val="es-ES"/>
        </w:rPr>
        <w:tab/>
        <w:t>Adición</w:t>
      </w:r>
    </w:p>
    <w:p w:rsidR="00A07F17" w:rsidRPr="00A07F17" w:rsidRDefault="00A07F17" w:rsidP="00A07F17">
      <w:pPr>
        <w:pStyle w:val="H1G"/>
        <w:rPr>
          <w:lang w:val="es-ES"/>
        </w:rPr>
      </w:pPr>
      <w:r w:rsidRPr="00A07F17">
        <w:rPr>
          <w:lang w:val="es-ES"/>
        </w:rPr>
        <w:tab/>
      </w:r>
      <w:r w:rsidRPr="00A07F17">
        <w:rPr>
          <w:lang w:val="es-ES"/>
        </w:rPr>
        <w:tab/>
        <w:t>Anexo III</w:t>
      </w:r>
    </w:p>
    <w:p w:rsidR="00A07F17" w:rsidRPr="00A07F17" w:rsidRDefault="00A07F17" w:rsidP="00A07F17">
      <w:pPr>
        <w:pStyle w:val="H1G"/>
        <w:rPr>
          <w:lang w:val="es-ES"/>
        </w:rPr>
      </w:pPr>
      <w:r w:rsidRPr="00A07F17">
        <w:rPr>
          <w:lang w:val="es-ES"/>
        </w:rPr>
        <w:tab/>
      </w:r>
      <w:r w:rsidRPr="00A07F17">
        <w:rPr>
          <w:lang w:val="es-ES"/>
        </w:rPr>
        <w:tab/>
        <w:t>Enmiendas a la quinta edición revisada del Sistema Globalmente Armonizado de Clasificación y Etiquetado de Productos Químicos (SGA) (ST/SG/AC.10/30/Rev.5)</w:t>
      </w:r>
    </w:p>
    <w:p w:rsidR="00A07F17" w:rsidRPr="00A07F17" w:rsidRDefault="00A07F17" w:rsidP="00A07F17">
      <w:pPr>
        <w:pStyle w:val="H1G"/>
        <w:rPr>
          <w:lang w:val="es-ES"/>
        </w:rPr>
      </w:pPr>
      <w:r w:rsidRPr="00A07F17">
        <w:rPr>
          <w:lang w:val="es-ES"/>
        </w:rPr>
        <w:tab/>
      </w:r>
      <w:r w:rsidRPr="00A07F17">
        <w:rPr>
          <w:lang w:val="es-ES"/>
        </w:rPr>
        <w:tab/>
        <w:t>Corrección</w:t>
      </w:r>
    </w:p>
    <w:p w:rsidR="00A07F17" w:rsidRPr="00A07F17" w:rsidRDefault="00BD7E42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1.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>Página 2, Capítulo 1.2, definición de sustancias explosivas insensibilizadas</w:t>
      </w:r>
    </w:p>
    <w:p w:rsidR="00A07F17" w:rsidRPr="00A07F17" w:rsidRDefault="00A07F17" w:rsidP="00A07F17">
      <w:pPr>
        <w:pStyle w:val="SingleTxtG"/>
        <w:rPr>
          <w:i/>
          <w:lang w:val="es-ES"/>
        </w:rPr>
      </w:pPr>
      <w:r w:rsidRPr="00A07F17">
        <w:rPr>
          <w:i/>
          <w:lang w:val="es-ES"/>
        </w:rPr>
        <w:t xml:space="preserve">Sustitúyase por </w:t>
      </w:r>
    </w:p>
    <w:p w:rsidR="00A07F17" w:rsidRPr="00A07F17" w:rsidRDefault="00507B2E" w:rsidP="00A07F17">
      <w:pPr>
        <w:pStyle w:val="SingleTxtG"/>
        <w:rPr>
          <w:lang w:val="es-ES"/>
        </w:rPr>
      </w:pPr>
      <w:r w:rsidRPr="00507B2E">
        <w:rPr>
          <w:b/>
          <w:i/>
          <w:lang w:val="es-ES"/>
        </w:rPr>
        <w:t>E</w:t>
      </w:r>
      <w:r w:rsidR="00A07F17" w:rsidRPr="00507B2E">
        <w:rPr>
          <w:b/>
          <w:i/>
          <w:lang w:val="es-ES"/>
        </w:rPr>
        <w:t>xplosivo insensibilizado</w:t>
      </w:r>
      <w:r w:rsidR="00A07F17" w:rsidRPr="00A07F17">
        <w:rPr>
          <w:b/>
          <w:lang w:val="es-ES"/>
        </w:rPr>
        <w:t xml:space="preserve">, </w:t>
      </w:r>
      <w:r w:rsidR="00A07F17" w:rsidRPr="00A07F17">
        <w:rPr>
          <w:lang w:val="es-ES"/>
        </w:rPr>
        <w:t xml:space="preserve">una sustancia o mezcla explosiva sólida o líquida a la que se ha añadido un </w:t>
      </w:r>
      <w:proofErr w:type="spellStart"/>
      <w:r w:rsidR="00A07F17" w:rsidRPr="00A07F17">
        <w:rPr>
          <w:lang w:val="es-ES"/>
        </w:rPr>
        <w:t>flemador</w:t>
      </w:r>
      <w:proofErr w:type="spellEnd"/>
      <w:r w:rsidR="00A07F17" w:rsidRPr="00A07F17">
        <w:rPr>
          <w:lang w:val="es-ES"/>
        </w:rPr>
        <w:t xml:space="preserve"> para neutralizar sus propiedades explosivas de manera que no explote </w:t>
      </w:r>
      <w:r>
        <w:rPr>
          <w:lang w:val="es-ES"/>
        </w:rPr>
        <w:t xml:space="preserve">en masa </w:t>
      </w:r>
      <w:r w:rsidR="00A07F17" w:rsidRPr="00A07F17">
        <w:rPr>
          <w:lang w:val="es-ES"/>
        </w:rPr>
        <w:t xml:space="preserve">ni arda con excesiva rapidez y, de ese modo, </w:t>
      </w:r>
      <w:r w:rsidR="00956BAB">
        <w:rPr>
          <w:lang w:val="es-ES"/>
        </w:rPr>
        <w:t>quede exenta de la clasificación en</w:t>
      </w:r>
      <w:r w:rsidR="00A07F17" w:rsidRPr="00A07F17">
        <w:rPr>
          <w:lang w:val="es-ES"/>
        </w:rPr>
        <w:t xml:space="preserve"> la clase de peligro “Explosivos” (véase el capítulo 2.1; véas</w:t>
      </w:r>
      <w:r w:rsidR="00BD7E42">
        <w:rPr>
          <w:lang w:val="es-ES"/>
        </w:rPr>
        <w:t>e también la nota 2 del párrafo </w:t>
      </w:r>
      <w:r w:rsidR="00A07F17" w:rsidRPr="00A07F17">
        <w:rPr>
          <w:lang w:val="es-ES"/>
        </w:rPr>
        <w:t>2.1.2.2)”</w:t>
      </w:r>
    </w:p>
    <w:p w:rsidR="00A07F17" w:rsidRPr="00A07F17" w:rsidRDefault="00BD7E42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2.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>Página 2, Capítulo 1.4, párrafo 1.4.10.4.4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i/>
          <w:lang w:val="es-ES"/>
        </w:rPr>
        <w:t>Sustitúyase</w:t>
      </w:r>
      <w:r w:rsidRPr="00A07F17">
        <w:rPr>
          <w:lang w:val="es-ES"/>
        </w:rPr>
        <w:t xml:space="preserve"> SMA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 xml:space="preserve"> SGA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i/>
          <w:lang w:val="es-ES"/>
        </w:rPr>
        <w:t>Sustitúyase</w:t>
      </w:r>
      <w:r w:rsidRPr="00A07F17">
        <w:rPr>
          <w:lang w:val="es-ES"/>
        </w:rPr>
        <w:t xml:space="preserve"> Reglamentación Modelo de las Naciones Unidas </w:t>
      </w:r>
      <w:r w:rsidRPr="00A07F17">
        <w:rPr>
          <w:i/>
          <w:lang w:val="es-ES"/>
        </w:rPr>
        <w:t>por</w:t>
      </w:r>
      <w:r w:rsidRPr="00A07F17">
        <w:rPr>
          <w:lang w:val="es-ES"/>
        </w:rPr>
        <w:t xml:space="preserve"> Recomendaciones de las Naciones Unidas </w:t>
      </w:r>
    </w:p>
    <w:p w:rsidR="00A07F17" w:rsidRPr="00A07F17" w:rsidRDefault="00BD7E42" w:rsidP="00BD7E42">
      <w:pPr>
        <w:pStyle w:val="SingleTxtG"/>
        <w:keepNext/>
        <w:keepLines/>
        <w:rPr>
          <w:b/>
          <w:lang w:val="es-ES"/>
        </w:rPr>
      </w:pPr>
      <w:r>
        <w:rPr>
          <w:b/>
          <w:lang w:val="es-ES"/>
        </w:rPr>
        <w:lastRenderedPageBreak/>
        <w:t>3.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>Página 3, Capítulo 2.1, párrafo 2.1.2.2, Nota 2, última oración</w:t>
      </w:r>
    </w:p>
    <w:p w:rsidR="0075472A" w:rsidRPr="00A07F17" w:rsidRDefault="00A07F17" w:rsidP="00BD7E42">
      <w:pPr>
        <w:pStyle w:val="SingleTxtG"/>
        <w:keepNext/>
        <w:keepLines/>
        <w:rPr>
          <w:lang w:val="es-ES"/>
        </w:rPr>
      </w:pPr>
      <w:r w:rsidRPr="00A07F17">
        <w:rPr>
          <w:i/>
          <w:lang w:val="es-ES"/>
        </w:rPr>
        <w:t xml:space="preserve">Sustitúyase </w:t>
      </w:r>
      <w:r w:rsidR="00507B2E">
        <w:rPr>
          <w:i/>
          <w:lang w:val="es-ES"/>
        </w:rPr>
        <w:br/>
      </w:r>
      <w:r w:rsidR="0075472A" w:rsidRPr="00A07F17">
        <w:rPr>
          <w:lang w:val="es-ES"/>
        </w:rPr>
        <w:t xml:space="preserve">Pueden ser un candidato para la clasificación como </w:t>
      </w:r>
      <w:r w:rsidR="0075472A">
        <w:rPr>
          <w:lang w:val="es-ES"/>
        </w:rPr>
        <w:t xml:space="preserve">sustancias </w:t>
      </w:r>
      <w:r w:rsidR="0075472A" w:rsidRPr="00A07F17">
        <w:rPr>
          <w:lang w:val="es-ES"/>
        </w:rPr>
        <w:t>explosiv</w:t>
      </w:r>
      <w:r w:rsidR="0075472A">
        <w:rPr>
          <w:lang w:val="es-ES"/>
        </w:rPr>
        <w:t>a</w:t>
      </w:r>
      <w:r w:rsidR="0075472A" w:rsidRPr="00A07F17">
        <w:rPr>
          <w:lang w:val="es-ES"/>
        </w:rPr>
        <w:t>s insensibilizad</w:t>
      </w:r>
      <w:r w:rsidR="0075472A">
        <w:rPr>
          <w:lang w:val="es-ES"/>
        </w:rPr>
        <w:t>a</w:t>
      </w:r>
      <w:r w:rsidR="0075472A" w:rsidRPr="00A07F17">
        <w:rPr>
          <w:lang w:val="es-ES"/>
        </w:rPr>
        <w:t xml:space="preserve">s (véase el capítulo 2.17) o pueden ser tratadas de forma diferente a las sustancias y mezclas explosivas (como </w:t>
      </w:r>
      <w:r w:rsidR="0075472A">
        <w:rPr>
          <w:lang w:val="es-ES"/>
        </w:rPr>
        <w:t xml:space="preserve">sustancias </w:t>
      </w:r>
      <w:r w:rsidR="0075472A" w:rsidRPr="00A07F17">
        <w:rPr>
          <w:lang w:val="es-ES"/>
        </w:rPr>
        <w:t>explosiv</w:t>
      </w:r>
      <w:r w:rsidR="0075472A">
        <w:rPr>
          <w:lang w:val="es-ES"/>
        </w:rPr>
        <w:t>a</w:t>
      </w:r>
      <w:r w:rsidR="0075472A" w:rsidRPr="00A07F17">
        <w:rPr>
          <w:lang w:val="es-ES"/>
        </w:rPr>
        <w:t>s insensibilizad</w:t>
      </w:r>
      <w:r w:rsidR="0075472A">
        <w:rPr>
          <w:lang w:val="es-ES"/>
        </w:rPr>
        <w:t>a</w:t>
      </w:r>
      <w:r w:rsidR="0075472A" w:rsidRPr="00A07F17">
        <w:rPr>
          <w:lang w:val="es-ES"/>
        </w:rPr>
        <w:t>s) en algunos reglamentos (por ejemplo, en el del transporte), véase 1.3.2.4.5.2.</w:t>
      </w:r>
    </w:p>
    <w:p w:rsidR="00A07F17" w:rsidRPr="00A07F17" w:rsidRDefault="00507B2E" w:rsidP="00507B2E">
      <w:pPr>
        <w:pStyle w:val="SingleTxtG"/>
        <w:keepNext/>
        <w:keepLines/>
        <w:rPr>
          <w:lang w:val="es-ES"/>
        </w:rPr>
      </w:pPr>
      <w:proofErr w:type="gramStart"/>
      <w:r>
        <w:rPr>
          <w:i/>
          <w:lang w:val="es-ES"/>
        </w:rPr>
        <w:t>p</w:t>
      </w:r>
      <w:r w:rsidR="00A07F17" w:rsidRPr="00A07F17">
        <w:rPr>
          <w:i/>
          <w:lang w:val="es-ES"/>
        </w:rPr>
        <w:t>or</w:t>
      </w:r>
      <w:proofErr w:type="gramEnd"/>
      <w:r>
        <w:rPr>
          <w:i/>
          <w:lang w:val="es-ES"/>
        </w:rPr>
        <w:br/>
      </w:r>
      <w:r w:rsidR="00A07F17" w:rsidRPr="00A07F17">
        <w:rPr>
          <w:lang w:val="es-ES"/>
        </w:rPr>
        <w:t xml:space="preserve">Pueden ser un candidato para la clasificación como explosivos insensibilizados (véase el capítulo 2.17) o pueden ser tratadas de forma diferente a las sustancias y mezclas explosivas (como explosivos insensibilizados) en algunos reglamentos (por ejemplo, en el del transporte), </w:t>
      </w:r>
      <w:r>
        <w:rPr>
          <w:lang w:val="es-ES"/>
        </w:rPr>
        <w:t>(</w:t>
      </w:r>
      <w:r w:rsidR="00A07F17" w:rsidRPr="00A07F17">
        <w:rPr>
          <w:lang w:val="es-ES"/>
        </w:rPr>
        <w:t>véase 1.3.2.4.5.2</w:t>
      </w:r>
      <w:r>
        <w:rPr>
          <w:lang w:val="es-ES"/>
        </w:rPr>
        <w:t>)</w:t>
      </w:r>
      <w:r w:rsidR="00A07F17" w:rsidRPr="00A07F17">
        <w:rPr>
          <w:lang w:val="es-ES"/>
        </w:rPr>
        <w:t>.</w:t>
      </w:r>
    </w:p>
    <w:p w:rsidR="00A07F17" w:rsidRPr="00A07F17" w:rsidRDefault="00BD7E42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4.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>Página 4</w:t>
      </w:r>
    </w:p>
    <w:p w:rsidR="00A07F17" w:rsidRPr="00BD7E42" w:rsidRDefault="00A07F17" w:rsidP="00BD7E42">
      <w:pPr>
        <w:pStyle w:val="Bullet1G"/>
        <w:numPr>
          <w:ilvl w:val="0"/>
          <w:numId w:val="0"/>
        </w:numPr>
        <w:ind w:left="1134"/>
      </w:pPr>
      <w:r w:rsidRPr="00BD7E42">
        <w:t xml:space="preserve">En el </w:t>
      </w:r>
      <w:proofErr w:type="spellStart"/>
      <w:r w:rsidRPr="00BD7E42">
        <w:t>título</w:t>
      </w:r>
      <w:proofErr w:type="spellEnd"/>
      <w:r w:rsidRPr="00BD7E42">
        <w:t xml:space="preserve"> de la </w:t>
      </w:r>
      <w:proofErr w:type="spellStart"/>
      <w:r w:rsidRPr="00BD7E42">
        <w:t>figura</w:t>
      </w:r>
      <w:proofErr w:type="spellEnd"/>
      <w:r w:rsidRPr="00BD7E42">
        <w:t xml:space="preserve">, </w:t>
      </w:r>
      <w:proofErr w:type="spellStart"/>
      <w:r w:rsidRPr="00507B2E">
        <w:rPr>
          <w:i/>
        </w:rPr>
        <w:t>donde</w:t>
      </w:r>
      <w:proofErr w:type="spellEnd"/>
      <w:r w:rsidRPr="00507B2E">
        <w:rPr>
          <w:i/>
        </w:rPr>
        <w:t xml:space="preserve"> dice</w:t>
      </w:r>
      <w:r w:rsidRPr="00BD7E42">
        <w:t xml:space="preserve"> </w:t>
      </w:r>
      <w:proofErr w:type="spellStart"/>
      <w:r w:rsidRPr="00BD7E42">
        <w:t>Gráfico</w:t>
      </w:r>
      <w:proofErr w:type="spellEnd"/>
      <w:r w:rsidRPr="00BD7E42">
        <w:t xml:space="preserve"> 2.1.3 </w:t>
      </w:r>
      <w:proofErr w:type="spellStart"/>
      <w:r w:rsidRPr="00507B2E">
        <w:rPr>
          <w:i/>
        </w:rPr>
        <w:t>debe</w:t>
      </w:r>
      <w:proofErr w:type="spellEnd"/>
      <w:r w:rsidRPr="00507B2E">
        <w:rPr>
          <w:i/>
        </w:rPr>
        <w:t xml:space="preserve"> </w:t>
      </w:r>
      <w:proofErr w:type="spellStart"/>
      <w:r w:rsidRPr="00507B2E">
        <w:rPr>
          <w:i/>
        </w:rPr>
        <w:t>decir</w:t>
      </w:r>
      <w:proofErr w:type="spellEnd"/>
      <w:r w:rsidRPr="00BD7E42">
        <w:t xml:space="preserve"> </w:t>
      </w:r>
      <w:proofErr w:type="spellStart"/>
      <w:r w:rsidRPr="00BD7E42">
        <w:t>Figura</w:t>
      </w:r>
      <w:proofErr w:type="spellEnd"/>
      <w:r w:rsidRPr="00BD7E42">
        <w:t xml:space="preserve"> 2.1.3</w:t>
      </w:r>
    </w:p>
    <w:p w:rsidR="006A0966" w:rsidRPr="00BD7E42" w:rsidRDefault="006A0966" w:rsidP="00BD7E42">
      <w:pPr>
        <w:pStyle w:val="Bullet1G"/>
        <w:numPr>
          <w:ilvl w:val="0"/>
          <w:numId w:val="0"/>
        </w:numPr>
        <w:ind w:left="1134"/>
      </w:pPr>
      <w:r w:rsidRPr="00BD7E42">
        <w:t xml:space="preserve">En el </w:t>
      </w:r>
      <w:proofErr w:type="spellStart"/>
      <w:r w:rsidRPr="00BD7E42">
        <w:t>cuarto</w:t>
      </w:r>
      <w:proofErr w:type="spellEnd"/>
      <w:r w:rsidRPr="00BD7E42">
        <w:t xml:space="preserve"> </w:t>
      </w:r>
      <w:proofErr w:type="spellStart"/>
      <w:r w:rsidRPr="00BD7E42">
        <w:t>cuadro</w:t>
      </w:r>
      <w:proofErr w:type="spellEnd"/>
      <w:r w:rsidRPr="00BD7E42">
        <w:t xml:space="preserve"> de </w:t>
      </w:r>
      <w:proofErr w:type="spellStart"/>
      <w:r w:rsidRPr="00BD7E42">
        <w:t>texto</w:t>
      </w:r>
      <w:proofErr w:type="spellEnd"/>
      <w:r w:rsidRPr="00BD7E42">
        <w:t xml:space="preserve"> en la </w:t>
      </w:r>
      <w:proofErr w:type="spellStart"/>
      <w:r w:rsidRPr="00BD7E42">
        <w:t>última</w:t>
      </w:r>
      <w:proofErr w:type="spellEnd"/>
      <w:r w:rsidRPr="00BD7E42">
        <w:t xml:space="preserve"> </w:t>
      </w:r>
      <w:proofErr w:type="spellStart"/>
      <w:r w:rsidRPr="00BD7E42">
        <w:t>línea</w:t>
      </w:r>
      <w:proofErr w:type="spellEnd"/>
      <w:r w:rsidRPr="00BD7E42">
        <w:t xml:space="preserve"> de la </w:t>
      </w:r>
      <w:proofErr w:type="spellStart"/>
      <w:r w:rsidRPr="00BD7E42">
        <w:t>figura</w:t>
      </w:r>
      <w:proofErr w:type="spellEnd"/>
      <w:r w:rsidRPr="00BD7E42">
        <w:t xml:space="preserve">, </w:t>
      </w:r>
      <w:proofErr w:type="spellStart"/>
      <w:r w:rsidRPr="00507B2E">
        <w:rPr>
          <w:i/>
        </w:rPr>
        <w:t>donde</w:t>
      </w:r>
      <w:proofErr w:type="spellEnd"/>
      <w:r w:rsidRPr="00507B2E">
        <w:rPr>
          <w:i/>
        </w:rPr>
        <w:t xml:space="preserve"> dice</w:t>
      </w:r>
      <w:r w:rsidRPr="00BD7E42">
        <w:t xml:space="preserve"> DIVISIÓN 1.5 (</w:t>
      </w:r>
      <w:proofErr w:type="spellStart"/>
      <w:r w:rsidRPr="00BD7E42">
        <w:t>Grupo</w:t>
      </w:r>
      <w:proofErr w:type="spellEnd"/>
      <w:r w:rsidRPr="00BD7E42">
        <w:t xml:space="preserve"> de </w:t>
      </w:r>
      <w:proofErr w:type="spellStart"/>
      <w:r w:rsidRPr="00BD7E42">
        <w:t>compatibilidad</w:t>
      </w:r>
      <w:proofErr w:type="spellEnd"/>
      <w:r w:rsidRPr="00BD7E42">
        <w:t xml:space="preserve"> S) </w:t>
      </w:r>
      <w:proofErr w:type="spellStart"/>
      <w:r w:rsidRPr="00507B2E">
        <w:rPr>
          <w:i/>
        </w:rPr>
        <w:t>debe</w:t>
      </w:r>
      <w:proofErr w:type="spellEnd"/>
      <w:r w:rsidRPr="00507B2E">
        <w:rPr>
          <w:i/>
        </w:rPr>
        <w:t xml:space="preserve"> </w:t>
      </w:r>
      <w:proofErr w:type="spellStart"/>
      <w:r w:rsidRPr="00507B2E">
        <w:rPr>
          <w:i/>
        </w:rPr>
        <w:t>decir</w:t>
      </w:r>
      <w:proofErr w:type="spellEnd"/>
      <w:r w:rsidRPr="00BD7E42">
        <w:t xml:space="preserve"> DIVISIÓN 1.4 (</w:t>
      </w:r>
      <w:proofErr w:type="spellStart"/>
      <w:r w:rsidRPr="00BD7E42">
        <w:t>Grupo</w:t>
      </w:r>
      <w:proofErr w:type="spellEnd"/>
      <w:r w:rsidRPr="00BD7E42">
        <w:t xml:space="preserve"> de </w:t>
      </w:r>
      <w:proofErr w:type="spellStart"/>
      <w:r w:rsidRPr="00BD7E42">
        <w:t>compatibilidad</w:t>
      </w:r>
      <w:proofErr w:type="spellEnd"/>
      <w:r w:rsidRPr="00BD7E42">
        <w:t xml:space="preserve"> S)</w:t>
      </w:r>
    </w:p>
    <w:p w:rsidR="00A07F17" w:rsidRPr="00BD7E42" w:rsidRDefault="00A07F17" w:rsidP="00BD7E42">
      <w:pPr>
        <w:pStyle w:val="Bullet1G"/>
        <w:numPr>
          <w:ilvl w:val="0"/>
          <w:numId w:val="0"/>
        </w:numPr>
        <w:ind w:left="1134"/>
      </w:pPr>
      <w:r w:rsidRPr="00BD7E42">
        <w:t xml:space="preserve">En la nota 1 </w:t>
      </w:r>
      <w:proofErr w:type="spellStart"/>
      <w:r w:rsidRPr="00BD7E42">
        <w:t>bajo</w:t>
      </w:r>
      <w:proofErr w:type="spellEnd"/>
      <w:r w:rsidRPr="00BD7E42">
        <w:t xml:space="preserve"> la </w:t>
      </w:r>
      <w:proofErr w:type="spellStart"/>
      <w:r w:rsidRPr="00BD7E42">
        <w:t>figura</w:t>
      </w:r>
      <w:proofErr w:type="spellEnd"/>
      <w:r w:rsidRPr="00BD7E42">
        <w:t xml:space="preserve">, </w:t>
      </w:r>
      <w:proofErr w:type="spellStart"/>
      <w:r w:rsidRPr="00507B2E">
        <w:rPr>
          <w:i/>
        </w:rPr>
        <w:t>donde</w:t>
      </w:r>
      <w:proofErr w:type="spellEnd"/>
      <w:r w:rsidRPr="00507B2E">
        <w:rPr>
          <w:i/>
        </w:rPr>
        <w:t xml:space="preserve"> dice</w:t>
      </w:r>
      <w:r w:rsidRPr="00BD7E42">
        <w:t xml:space="preserve"> </w:t>
      </w:r>
      <w:proofErr w:type="spellStart"/>
      <w:r w:rsidRPr="00BD7E42">
        <w:t>Reglamentación</w:t>
      </w:r>
      <w:proofErr w:type="spellEnd"/>
      <w:r w:rsidRPr="00BD7E42">
        <w:t xml:space="preserve"> </w:t>
      </w:r>
      <w:proofErr w:type="spellStart"/>
      <w:r w:rsidRPr="00BD7E42">
        <w:t>Modelo</w:t>
      </w:r>
      <w:proofErr w:type="spellEnd"/>
      <w:r w:rsidRPr="00BD7E42">
        <w:t xml:space="preserve"> de </w:t>
      </w:r>
      <w:proofErr w:type="spellStart"/>
      <w:r w:rsidRPr="00BD7E42">
        <w:t>las</w:t>
      </w:r>
      <w:proofErr w:type="spellEnd"/>
      <w:r w:rsidRPr="00BD7E42">
        <w:t xml:space="preserve"> </w:t>
      </w:r>
      <w:proofErr w:type="spellStart"/>
      <w:r w:rsidRPr="00BD7E42">
        <w:t>Naciones</w:t>
      </w:r>
      <w:proofErr w:type="spellEnd"/>
      <w:r w:rsidRPr="00BD7E42">
        <w:t xml:space="preserve"> </w:t>
      </w:r>
      <w:proofErr w:type="spellStart"/>
      <w:r w:rsidRPr="00BD7E42">
        <w:t>Unidas</w:t>
      </w:r>
      <w:proofErr w:type="spellEnd"/>
      <w:r w:rsidRPr="00BD7E42">
        <w:t xml:space="preserve"> </w:t>
      </w:r>
      <w:proofErr w:type="spellStart"/>
      <w:r w:rsidRPr="00507B2E">
        <w:rPr>
          <w:i/>
        </w:rPr>
        <w:t>debe</w:t>
      </w:r>
      <w:proofErr w:type="spellEnd"/>
      <w:r w:rsidRPr="00507B2E">
        <w:rPr>
          <w:i/>
        </w:rPr>
        <w:t xml:space="preserve"> </w:t>
      </w:r>
      <w:proofErr w:type="spellStart"/>
      <w:r w:rsidRPr="00507B2E">
        <w:rPr>
          <w:i/>
        </w:rPr>
        <w:t>decir</w:t>
      </w:r>
      <w:proofErr w:type="spellEnd"/>
      <w:r w:rsidRPr="00BD7E42">
        <w:t xml:space="preserve"> </w:t>
      </w:r>
      <w:proofErr w:type="spellStart"/>
      <w:r w:rsidRPr="00BD7E42">
        <w:t>Recomendaciones</w:t>
      </w:r>
      <w:proofErr w:type="spellEnd"/>
      <w:r w:rsidRPr="00BD7E42">
        <w:t xml:space="preserve"> de </w:t>
      </w:r>
      <w:proofErr w:type="spellStart"/>
      <w:r w:rsidRPr="00BD7E42">
        <w:t>las</w:t>
      </w:r>
      <w:proofErr w:type="spellEnd"/>
      <w:r w:rsidRPr="00BD7E42">
        <w:t xml:space="preserve"> </w:t>
      </w:r>
      <w:proofErr w:type="spellStart"/>
      <w:r w:rsidRPr="00BD7E42">
        <w:t>Naciones</w:t>
      </w:r>
      <w:proofErr w:type="spellEnd"/>
      <w:r w:rsidRPr="00BD7E42">
        <w:t xml:space="preserve"> </w:t>
      </w:r>
      <w:proofErr w:type="spellStart"/>
      <w:r w:rsidRPr="00BD7E42">
        <w:t>Unidas</w:t>
      </w:r>
      <w:proofErr w:type="spellEnd"/>
      <w:r w:rsidRPr="00BD7E42">
        <w:t xml:space="preserve"> </w:t>
      </w:r>
    </w:p>
    <w:p w:rsidR="00A07F17" w:rsidRPr="00A07F17" w:rsidRDefault="00BD7E42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5.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>Página 5, Capítulo 2.2, párrafo 2.2.1.2</w:t>
      </w:r>
    </w:p>
    <w:p w:rsidR="00A07F17" w:rsidRPr="00A07F17" w:rsidRDefault="00A07F17" w:rsidP="00A07F17">
      <w:pPr>
        <w:pStyle w:val="SingleTxtG"/>
        <w:rPr>
          <w:lang w:val="es-ES" w:eastAsia="zh-CN"/>
        </w:rPr>
      </w:pPr>
      <w:r w:rsidRPr="00A07F17">
        <w:rPr>
          <w:i/>
          <w:lang w:val="es-ES"/>
        </w:rPr>
        <w:t xml:space="preserve">Donde dice </w:t>
      </w:r>
      <w:r w:rsidRPr="00A07F17">
        <w:rPr>
          <w:lang w:val="es-ES"/>
        </w:rPr>
        <w:t xml:space="preserve">Se entiende por </w:t>
      </w:r>
      <w:r w:rsidRPr="00A07F17">
        <w:rPr>
          <w:i/>
          <w:lang w:val="es-ES"/>
        </w:rPr>
        <w:t>gas pirofórico</w:t>
      </w:r>
      <w:r w:rsidRPr="00A07F17">
        <w:rPr>
          <w:lang w:val="es-ES"/>
        </w:rPr>
        <w:t xml:space="preserve"> un gas inflamable </w:t>
      </w:r>
      <w:r w:rsidRPr="00A07F17">
        <w:rPr>
          <w:i/>
          <w:lang w:val="es-ES"/>
        </w:rPr>
        <w:t>debe decir</w:t>
      </w:r>
      <w:r w:rsidRPr="00A07F17">
        <w:rPr>
          <w:lang w:val="es-ES" w:eastAsia="zh-CN"/>
        </w:rPr>
        <w:t xml:space="preserve"> Un </w:t>
      </w:r>
      <w:r w:rsidRPr="00A07F17">
        <w:rPr>
          <w:i/>
          <w:lang w:val="es-ES" w:eastAsia="zh-CN"/>
        </w:rPr>
        <w:t>gas pirofórico</w:t>
      </w:r>
      <w:r w:rsidRPr="00A07F17">
        <w:rPr>
          <w:lang w:val="es-ES" w:eastAsia="zh-CN"/>
        </w:rPr>
        <w:t xml:space="preserve"> es un gas inflamable</w:t>
      </w:r>
    </w:p>
    <w:p w:rsidR="00A07F17" w:rsidRPr="00A07F17" w:rsidRDefault="00BD7E42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6.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>Página 6, Capítulo 2.2, párrafo 2.2.4.1, procedimiento de decisión 2.2 a)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 xml:space="preserve">En el primer cuadro de texto a la izquierda: </w:t>
      </w:r>
    </w:p>
    <w:p w:rsidR="00A07F17" w:rsidRPr="00A07F17" w:rsidRDefault="00A569BC" w:rsidP="00A569BC">
      <w:pPr>
        <w:pStyle w:val="Bullet1G"/>
        <w:tabs>
          <w:tab w:val="clear" w:pos="1701"/>
        </w:tabs>
        <w:ind w:left="1418" w:hanging="284"/>
        <w:rPr>
          <w:lang w:val="es-ES"/>
        </w:rPr>
      </w:pPr>
      <w:r>
        <w:rPr>
          <w:lang w:val="es-ES"/>
        </w:rPr>
        <w:t>A</w:t>
      </w:r>
      <w:r w:rsidR="00A07F17" w:rsidRPr="00A07F17">
        <w:rPr>
          <w:lang w:val="es-ES"/>
        </w:rPr>
        <w:t>partado a)</w:t>
      </w:r>
      <w:r>
        <w:rPr>
          <w:lang w:val="es-ES"/>
        </w:rPr>
        <w:t>:</w:t>
      </w:r>
      <w:r w:rsidR="00A07F17" w:rsidRPr="00A07F17">
        <w:rPr>
          <w:lang w:val="es-ES"/>
        </w:rPr>
        <w:t xml:space="preserve"> </w:t>
      </w:r>
      <w:r w:rsidR="00A07F17" w:rsidRPr="00A07F17">
        <w:rPr>
          <w:i/>
          <w:lang w:val="es-ES"/>
        </w:rPr>
        <w:t>sustitúyase por</w:t>
      </w:r>
      <w:r w:rsidR="00A07F17" w:rsidRPr="00A07F17">
        <w:rPr>
          <w:lang w:val="es-ES"/>
        </w:rPr>
        <w:t xml:space="preserve"> a) ¿es inflamable al mezclarse en proporción igual o inferior a 13%, en volumen, con el aire? o</w:t>
      </w:r>
    </w:p>
    <w:p w:rsidR="00A07F17" w:rsidRPr="00A07F17" w:rsidRDefault="00A569BC" w:rsidP="00A569BC">
      <w:pPr>
        <w:pStyle w:val="Bullet1G"/>
        <w:tabs>
          <w:tab w:val="clear" w:pos="1701"/>
        </w:tabs>
        <w:ind w:left="1418" w:hanging="284"/>
        <w:rPr>
          <w:lang w:val="es-ES"/>
        </w:rPr>
      </w:pPr>
      <w:r>
        <w:rPr>
          <w:lang w:val="es-ES"/>
        </w:rPr>
        <w:t xml:space="preserve">En </w:t>
      </w:r>
      <w:r w:rsidR="00A07F17" w:rsidRPr="00A07F17">
        <w:rPr>
          <w:lang w:val="es-ES"/>
        </w:rPr>
        <w:t xml:space="preserve">el apartado b), </w:t>
      </w:r>
      <w:r w:rsidR="00A07F17" w:rsidRPr="00A07F17">
        <w:rPr>
          <w:i/>
          <w:lang w:val="es-ES"/>
        </w:rPr>
        <w:t>sustitúyase</w:t>
      </w:r>
      <w:r w:rsidR="00A07F17" w:rsidRPr="00A07F17">
        <w:rPr>
          <w:lang w:val="es-ES"/>
        </w:rPr>
        <w:t xml:space="preserve"> del límite inferior </w:t>
      </w:r>
      <w:r w:rsidR="00A07F17" w:rsidRPr="00A07F17">
        <w:rPr>
          <w:i/>
          <w:lang w:val="es-ES"/>
        </w:rPr>
        <w:t>por</w:t>
      </w:r>
      <w:r w:rsidR="00A07F17" w:rsidRPr="00A07F17">
        <w:rPr>
          <w:lang w:val="es-ES"/>
        </w:rPr>
        <w:t xml:space="preserve"> del límite inferior de inflamabilidad</w:t>
      </w:r>
    </w:p>
    <w:p w:rsidR="00A07F17" w:rsidRPr="00A07F17" w:rsidRDefault="00BD7E42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7.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>Página 7, Capítulo 2.2, párrafo 2.2.4.2, procedimiento de decisión 2.2 b)</w:t>
      </w:r>
    </w:p>
    <w:p w:rsidR="00A07F17" w:rsidRPr="00A07F17" w:rsidRDefault="00A07F17" w:rsidP="00A07F17">
      <w:pPr>
        <w:pStyle w:val="SingleTxtG"/>
        <w:rPr>
          <w:vertAlign w:val="superscript"/>
          <w:lang w:val="es-ES"/>
        </w:rPr>
      </w:pPr>
      <w:r w:rsidRPr="00A07F17">
        <w:rPr>
          <w:lang w:val="es-ES"/>
        </w:rPr>
        <w:t xml:space="preserve">En el último cuadro de texto a la izquierda </w:t>
      </w:r>
      <w:r w:rsidRPr="00A07F17">
        <w:rPr>
          <w:i/>
          <w:lang w:val="es-ES"/>
        </w:rPr>
        <w:t>sustitúyase</w:t>
      </w:r>
      <w:r w:rsidRPr="00A07F17">
        <w:rPr>
          <w:lang w:val="es-ES"/>
        </w:rPr>
        <w:t xml:space="preserve"> a una temperatura </w:t>
      </w:r>
      <w:r w:rsidRPr="00A07F17">
        <w:rPr>
          <w:i/>
          <w:lang w:val="es-ES"/>
        </w:rPr>
        <w:t>por</w:t>
      </w:r>
      <w:r w:rsidRPr="00A07F17">
        <w:rPr>
          <w:lang w:val="es-ES"/>
        </w:rPr>
        <w:t xml:space="preserve"> a una temperatura igual o inferior a 54°C</w:t>
      </w:r>
      <w:proofErr w:type="gramStart"/>
      <w:r w:rsidRPr="00A07F17">
        <w:rPr>
          <w:lang w:val="es-ES"/>
        </w:rPr>
        <w:t>?</w:t>
      </w:r>
      <w:proofErr w:type="gramEnd"/>
      <w:r w:rsidRPr="00A07F17">
        <w:rPr>
          <w:vertAlign w:val="superscript"/>
          <w:lang w:val="es-ES"/>
        </w:rPr>
        <w:t>1</w:t>
      </w:r>
    </w:p>
    <w:p w:rsidR="00A07F17" w:rsidRPr="00A07F17" w:rsidRDefault="00BD7E42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8.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 xml:space="preserve">Página </w:t>
      </w:r>
      <w:r w:rsidR="007771A4">
        <w:rPr>
          <w:b/>
          <w:lang w:val="es-ES"/>
        </w:rPr>
        <w:t>7</w:t>
      </w:r>
      <w:r w:rsidR="00A07F17" w:rsidRPr="00A07F17">
        <w:rPr>
          <w:b/>
          <w:lang w:val="es-ES"/>
        </w:rPr>
        <w:t>, Capítulo 2.2, párrafo 2.2.4.4.3, penúltima frase</w:t>
      </w:r>
    </w:p>
    <w:p w:rsidR="00A07F17" w:rsidRPr="00A07F17" w:rsidRDefault="00A07F17" w:rsidP="00A07F17">
      <w:pPr>
        <w:pStyle w:val="SingleTxtG"/>
        <w:rPr>
          <w:lang w:val="es-ES" w:eastAsia="zh-CN"/>
        </w:rPr>
      </w:pPr>
      <w:r w:rsidRPr="00A07F17">
        <w:rPr>
          <w:i/>
          <w:lang w:val="es-ES"/>
        </w:rPr>
        <w:t>Donde dice</w:t>
      </w:r>
      <w:r w:rsidRPr="00A07F17">
        <w:rPr>
          <w:lang w:val="es-ES" w:eastAsia="zh-CN"/>
        </w:rPr>
        <w:t xml:space="preserve"> riesgos físicos de las mezclas </w:t>
      </w:r>
      <w:r w:rsidRPr="00A07F17">
        <w:rPr>
          <w:i/>
          <w:lang w:val="es-ES" w:eastAsia="zh-CN"/>
        </w:rPr>
        <w:t>debe decir</w:t>
      </w:r>
      <w:r w:rsidRPr="00A07F17">
        <w:rPr>
          <w:lang w:val="es-ES" w:eastAsia="zh-CN"/>
        </w:rPr>
        <w:t xml:space="preserve"> peligros físicos de las mezclas</w:t>
      </w:r>
    </w:p>
    <w:p w:rsidR="00A07F17" w:rsidRPr="00A07F17" w:rsidRDefault="00BD7E42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9.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>Página 8, Capítulo 2.17, título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i/>
          <w:lang w:val="es-ES"/>
        </w:rPr>
        <w:t xml:space="preserve">Sustitúyase </w:t>
      </w:r>
      <w:r w:rsidRPr="00A07F17">
        <w:rPr>
          <w:b/>
          <w:lang w:val="es-ES"/>
        </w:rPr>
        <w:t>Sustancias explosivas insensibilizadas</w:t>
      </w:r>
      <w:r w:rsidRPr="00A07F17">
        <w:rPr>
          <w:lang w:val="es-ES"/>
        </w:rPr>
        <w:t xml:space="preserve"> </w:t>
      </w:r>
      <w:r w:rsidRPr="00A07F17">
        <w:rPr>
          <w:i/>
          <w:lang w:val="es-ES"/>
        </w:rPr>
        <w:t xml:space="preserve">por </w:t>
      </w:r>
      <w:r w:rsidRPr="00A07F17">
        <w:rPr>
          <w:b/>
          <w:lang w:val="es-ES"/>
        </w:rPr>
        <w:t>Explosivos insensibilizados</w:t>
      </w:r>
    </w:p>
    <w:p w:rsidR="00A07F17" w:rsidRPr="00A07F17" w:rsidRDefault="00BD7E42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10.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>Página 8, Capítulo 2.17, párrafo 2.17.1.1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 xml:space="preserve">Modifíquese la definición para que diga: 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 xml:space="preserve">Un </w:t>
      </w:r>
      <w:r w:rsidRPr="00A07F17">
        <w:rPr>
          <w:i/>
          <w:lang w:val="es-ES"/>
        </w:rPr>
        <w:t>explosivo insensibilizado</w:t>
      </w:r>
      <w:r w:rsidRPr="00A07F17">
        <w:rPr>
          <w:lang w:val="es-ES"/>
        </w:rPr>
        <w:t xml:space="preserve"> es una sustancia o una mezcla explosiva sólida o líquida a la que se ha añadido un </w:t>
      </w:r>
      <w:proofErr w:type="spellStart"/>
      <w:r w:rsidRPr="00A07F17">
        <w:rPr>
          <w:lang w:val="es-ES"/>
        </w:rPr>
        <w:t>flemador</w:t>
      </w:r>
      <w:proofErr w:type="spellEnd"/>
      <w:r w:rsidRPr="00A07F17">
        <w:rPr>
          <w:lang w:val="es-ES"/>
        </w:rPr>
        <w:t xml:space="preserve"> para neutralizar sus propiedades explosivas de manera que no explote en masa ni arda con excesiva rapidez y, de ese modo, </w:t>
      </w:r>
      <w:r w:rsidR="0077015B">
        <w:rPr>
          <w:lang w:val="es-ES"/>
        </w:rPr>
        <w:t>quede exenta de la clasificación en</w:t>
      </w:r>
      <w:r w:rsidRPr="00A07F17">
        <w:rPr>
          <w:lang w:val="es-ES"/>
        </w:rPr>
        <w:t xml:space="preserve"> la clase de peligro "Explosivos" (véase el capítulo 2.1; véase también la nota 2 del párrafo 2.1.2.2).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>En la nota a pie de página:</w:t>
      </w:r>
    </w:p>
    <w:p w:rsidR="00A07F17" w:rsidRPr="00A07F17" w:rsidRDefault="00A07F17" w:rsidP="00A07F17">
      <w:pPr>
        <w:pStyle w:val="Bullet1G"/>
        <w:numPr>
          <w:ilvl w:val="0"/>
          <w:numId w:val="16"/>
        </w:numPr>
        <w:suppressAutoHyphens w:val="0"/>
        <w:rPr>
          <w:lang w:val="es-ES"/>
        </w:rPr>
      </w:pPr>
      <w:r w:rsidRPr="00A07F17">
        <w:rPr>
          <w:lang w:val="es-ES"/>
        </w:rPr>
        <w:t>Primera oración,</w:t>
      </w:r>
      <w:r w:rsidRPr="00A07F17">
        <w:rPr>
          <w:i/>
          <w:lang w:val="es-ES"/>
        </w:rPr>
        <w:t xml:space="preserve"> sustitúyase </w:t>
      </w:r>
      <w:r w:rsidRPr="00A07F17">
        <w:rPr>
          <w:lang w:val="es-ES"/>
        </w:rPr>
        <w:t xml:space="preserve">sustancias explosivas insensibilizadas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explosivos insensibilizados</w:t>
      </w:r>
    </w:p>
    <w:p w:rsidR="00A07F17" w:rsidRPr="00A07F17" w:rsidRDefault="00A07F17" w:rsidP="00A07F17">
      <w:pPr>
        <w:pStyle w:val="Bullet1G"/>
        <w:numPr>
          <w:ilvl w:val="0"/>
          <w:numId w:val="16"/>
        </w:numPr>
        <w:suppressAutoHyphens w:val="0"/>
        <w:rPr>
          <w:lang w:val="es-ES"/>
        </w:rPr>
      </w:pPr>
      <w:r w:rsidRPr="00A07F17">
        <w:rPr>
          <w:lang w:val="es-ES"/>
        </w:rPr>
        <w:lastRenderedPageBreak/>
        <w:t xml:space="preserve">Segunda oración, </w:t>
      </w: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>la</w:t>
      </w:r>
      <w:r w:rsidRPr="00A07F17">
        <w:rPr>
          <w:i/>
          <w:lang w:val="es-ES"/>
        </w:rPr>
        <w:t xml:space="preserve"> </w:t>
      </w:r>
      <w:r w:rsidRPr="00A07F17">
        <w:rPr>
          <w:lang w:val="es-ES"/>
        </w:rPr>
        <w:t>sustancia explosiva insensibilizada deberá someterse</w:t>
      </w:r>
      <w:r w:rsidR="00CB0AF8">
        <w:rPr>
          <w:lang w:val="es-ES"/>
        </w:rPr>
        <w:t xml:space="preserve"> a ensayo</w:t>
      </w:r>
      <w:r w:rsidRPr="00A07F17">
        <w:rPr>
          <w:lang w:val="es-ES"/>
        </w:rPr>
        <w:t xml:space="preserve">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el explosivo insensibilizado deberá someterse</w:t>
      </w:r>
      <w:r w:rsidR="00CB0AF8">
        <w:rPr>
          <w:lang w:val="es-ES"/>
        </w:rPr>
        <w:t xml:space="preserve"> a prueba</w:t>
      </w:r>
    </w:p>
    <w:p w:rsidR="00A07F17" w:rsidRPr="00A07F17" w:rsidRDefault="00BD7E42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11.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>Página 8, Capítulo 2.17, párrafo 2.17.1.2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>Primer</w:t>
      </w:r>
      <w:r w:rsidR="007771A4">
        <w:rPr>
          <w:lang w:val="es-ES"/>
        </w:rPr>
        <w:t>a</w:t>
      </w:r>
      <w:r w:rsidRPr="00A07F17">
        <w:rPr>
          <w:lang w:val="es-ES"/>
        </w:rPr>
        <w:t xml:space="preserve"> </w:t>
      </w:r>
      <w:r w:rsidR="007771A4">
        <w:rPr>
          <w:lang w:val="es-ES"/>
        </w:rPr>
        <w:t>oración</w:t>
      </w:r>
      <w:r w:rsidRPr="00A07F17">
        <w:rPr>
          <w:lang w:val="es-ES"/>
        </w:rPr>
        <w:t xml:space="preserve">, </w:t>
      </w:r>
      <w:r w:rsidRPr="00A07F17">
        <w:rPr>
          <w:i/>
          <w:lang w:val="es-ES"/>
        </w:rPr>
        <w:t xml:space="preserve">sustitúyase </w:t>
      </w:r>
      <w:r w:rsidR="007771A4" w:rsidRPr="007771A4">
        <w:rPr>
          <w:lang w:val="es-ES"/>
        </w:rPr>
        <w:t>La clase de</w:t>
      </w:r>
      <w:r w:rsidR="007771A4">
        <w:rPr>
          <w:i/>
          <w:lang w:val="es-ES"/>
        </w:rPr>
        <w:t xml:space="preserve"> </w:t>
      </w:r>
      <w:r w:rsidRPr="00A07F17">
        <w:rPr>
          <w:lang w:val="es-ES"/>
        </w:rPr>
        <w:t>las</w:t>
      </w:r>
      <w:r w:rsidRPr="00A07F17">
        <w:rPr>
          <w:i/>
          <w:lang w:val="es-ES"/>
        </w:rPr>
        <w:t xml:space="preserve"> </w:t>
      </w:r>
      <w:r w:rsidRPr="00A07F17">
        <w:rPr>
          <w:lang w:val="es-ES"/>
        </w:rPr>
        <w:t xml:space="preserve">sustancias explosivas insensibilizadas </w:t>
      </w:r>
      <w:r w:rsidRPr="00A07F17">
        <w:rPr>
          <w:i/>
          <w:lang w:val="es-ES"/>
        </w:rPr>
        <w:t xml:space="preserve">por </w:t>
      </w:r>
      <w:r w:rsidR="007771A4" w:rsidRPr="007771A4">
        <w:rPr>
          <w:lang w:val="es-ES"/>
        </w:rPr>
        <w:t>La clase de</w:t>
      </w:r>
      <w:r w:rsidR="007771A4">
        <w:rPr>
          <w:i/>
          <w:lang w:val="es-ES"/>
        </w:rPr>
        <w:t xml:space="preserve"> </w:t>
      </w:r>
      <w:r w:rsidRPr="00A07F17">
        <w:rPr>
          <w:lang w:val="es-ES"/>
        </w:rPr>
        <w:t>los</w:t>
      </w:r>
      <w:r w:rsidRPr="00A07F17">
        <w:rPr>
          <w:i/>
          <w:lang w:val="es-ES"/>
        </w:rPr>
        <w:t xml:space="preserve"> </w:t>
      </w:r>
      <w:r w:rsidRPr="00A07F17">
        <w:rPr>
          <w:lang w:val="es-ES"/>
        </w:rPr>
        <w:t>explosivos insensibilizados</w:t>
      </w:r>
    </w:p>
    <w:p w:rsidR="00A07F17" w:rsidRPr="00A07F17" w:rsidRDefault="00A07F17" w:rsidP="00A07F17">
      <w:pPr>
        <w:pStyle w:val="SingleTxtG"/>
        <w:rPr>
          <w:i/>
          <w:lang w:val="es-ES"/>
        </w:rPr>
      </w:pPr>
      <w:r w:rsidRPr="00A07F17">
        <w:rPr>
          <w:lang w:val="es-ES"/>
        </w:rPr>
        <w:t xml:space="preserve">Apartado a), </w:t>
      </w:r>
      <w:r w:rsidRPr="00A07F17">
        <w:rPr>
          <w:i/>
          <w:lang w:val="es-ES"/>
        </w:rPr>
        <w:t>modifíquese el principio para que diga</w:t>
      </w:r>
      <w:r w:rsidRPr="00A07F17">
        <w:rPr>
          <w:lang w:val="es-ES"/>
        </w:rPr>
        <w:t xml:space="preserve">: “Los explosivos insensibilizados sólidos: sustancias” </w:t>
      </w:r>
    </w:p>
    <w:p w:rsidR="00A07F17" w:rsidRPr="00A07F17" w:rsidRDefault="00A07F17" w:rsidP="00A07F17">
      <w:pPr>
        <w:pStyle w:val="SingleTxtG"/>
        <w:rPr>
          <w:i/>
          <w:lang w:val="es-ES"/>
        </w:rPr>
      </w:pPr>
      <w:r w:rsidRPr="00A07F17">
        <w:rPr>
          <w:lang w:val="es-ES"/>
        </w:rPr>
        <w:t xml:space="preserve">Apartado b), </w:t>
      </w:r>
      <w:r w:rsidRPr="005B3830">
        <w:rPr>
          <w:i/>
          <w:lang w:val="es-ES"/>
        </w:rPr>
        <w:t>modifíquese el principio para que diga</w:t>
      </w:r>
      <w:r w:rsidRPr="00A07F17">
        <w:rPr>
          <w:lang w:val="es-ES"/>
        </w:rPr>
        <w:t xml:space="preserve">: “Los explosivos insensibilizados líquidos: sustancias” </w:t>
      </w:r>
    </w:p>
    <w:p w:rsidR="00A07F17" w:rsidRPr="00A07F17" w:rsidRDefault="00BD7E42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12.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>Página</w:t>
      </w:r>
      <w:r w:rsidR="005B3830">
        <w:rPr>
          <w:b/>
          <w:lang w:val="es-ES"/>
        </w:rPr>
        <w:t>s</w:t>
      </w:r>
      <w:r w:rsidR="00A07F17" w:rsidRPr="00A07F17">
        <w:rPr>
          <w:b/>
          <w:lang w:val="es-ES"/>
        </w:rPr>
        <w:t xml:space="preserve"> 8</w:t>
      </w:r>
      <w:r w:rsidR="005B3830">
        <w:rPr>
          <w:b/>
          <w:lang w:val="es-ES"/>
        </w:rPr>
        <w:t xml:space="preserve"> y 9</w:t>
      </w:r>
      <w:r w:rsidR="00A07F17" w:rsidRPr="00A07F17">
        <w:rPr>
          <w:b/>
          <w:lang w:val="es-ES"/>
        </w:rPr>
        <w:t>, Capítulo 2.17, párrafo 2.17.2.1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 xml:space="preserve">En la primera oración </w:t>
      </w: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 xml:space="preserve">sustancia explosiva insensibilizada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explosivo insensibilizado</w:t>
      </w:r>
    </w:p>
    <w:p w:rsidR="00DB475C" w:rsidRDefault="00D4648C" w:rsidP="00A07F17">
      <w:pPr>
        <w:pStyle w:val="SingleTxtG"/>
        <w:rPr>
          <w:lang w:val="es-ES"/>
        </w:rPr>
      </w:pPr>
      <w:r>
        <w:rPr>
          <w:lang w:val="es-ES"/>
        </w:rPr>
        <w:t>En el</w:t>
      </w:r>
      <w:r w:rsidR="00A07F17" w:rsidRPr="00A07F17">
        <w:rPr>
          <w:lang w:val="es-ES"/>
        </w:rPr>
        <w:t xml:space="preserve"> apartado b)</w:t>
      </w:r>
      <w:r w:rsidR="00DB475C">
        <w:rPr>
          <w:lang w:val="es-ES"/>
        </w:rPr>
        <w:t>:</w:t>
      </w:r>
    </w:p>
    <w:p w:rsidR="00A07F17" w:rsidRDefault="00D4648C" w:rsidP="00DB475C">
      <w:pPr>
        <w:pStyle w:val="Bullet1G"/>
        <w:ind w:hanging="283"/>
        <w:rPr>
          <w:lang w:val="es-ES"/>
        </w:rPr>
      </w:pPr>
      <w:r w:rsidRPr="00D4648C">
        <w:rPr>
          <w:i/>
          <w:lang w:val="es-ES"/>
        </w:rPr>
        <w:t>sustitúyase dos veces</w:t>
      </w:r>
      <w:r w:rsidR="00A07F17" w:rsidRPr="00A07F17">
        <w:rPr>
          <w:lang w:val="es-ES"/>
        </w:rPr>
        <w:t xml:space="preserve"> tasa de combustión </w:t>
      </w:r>
      <w:r>
        <w:rPr>
          <w:i/>
          <w:lang w:val="es-ES"/>
        </w:rPr>
        <w:t xml:space="preserve">por </w:t>
      </w:r>
      <w:r w:rsidR="00A07F17" w:rsidRPr="00A07F17">
        <w:rPr>
          <w:lang w:val="es-ES"/>
        </w:rPr>
        <w:t>velocidad de combustión</w:t>
      </w:r>
    </w:p>
    <w:p w:rsidR="00DB475C" w:rsidRPr="00DB475C" w:rsidRDefault="00DB475C" w:rsidP="00DB475C">
      <w:pPr>
        <w:pStyle w:val="Bullet1G"/>
        <w:ind w:hanging="283"/>
        <w:rPr>
          <w:lang w:val="es-ES"/>
        </w:rPr>
      </w:pPr>
      <w:r w:rsidRPr="00DB475C">
        <w:rPr>
          <w:i/>
          <w:lang w:val="es-ES"/>
        </w:rPr>
        <w:t xml:space="preserve">sustitúyase </w:t>
      </w:r>
      <w:r>
        <w:rPr>
          <w:lang w:val="es-ES"/>
        </w:rPr>
        <w:t xml:space="preserve">con arreglo al ensayo </w:t>
      </w:r>
      <w:r w:rsidRPr="00DB475C">
        <w:rPr>
          <w:i/>
          <w:lang w:val="es-ES"/>
        </w:rPr>
        <w:t xml:space="preserve">por </w:t>
      </w:r>
      <w:r>
        <w:rPr>
          <w:lang w:val="es-ES"/>
        </w:rPr>
        <w:t>con arreglo a la prueba</w:t>
      </w:r>
    </w:p>
    <w:p w:rsidR="00D4648C" w:rsidRPr="00D4648C" w:rsidRDefault="00D4648C" w:rsidP="00A07F17">
      <w:pPr>
        <w:pStyle w:val="SingleTxtG"/>
        <w:rPr>
          <w:lang w:val="es-ES"/>
        </w:rPr>
      </w:pPr>
      <w:r>
        <w:rPr>
          <w:lang w:val="es-ES"/>
        </w:rPr>
        <w:t xml:space="preserve">En el apartado c), nota 1, </w:t>
      </w:r>
      <w:r w:rsidRPr="00D4648C">
        <w:rPr>
          <w:i/>
          <w:lang w:val="es-ES"/>
        </w:rPr>
        <w:t>sustitúyase</w:t>
      </w:r>
      <w:r>
        <w:rPr>
          <w:lang w:val="es-ES"/>
        </w:rPr>
        <w:t xml:space="preserve"> que cumplían </w:t>
      </w:r>
      <w:r w:rsidRPr="00D4648C">
        <w:rPr>
          <w:i/>
          <w:lang w:val="es-ES"/>
        </w:rPr>
        <w:t>por</w:t>
      </w:r>
      <w:r>
        <w:rPr>
          <w:lang w:val="es-ES"/>
        </w:rPr>
        <w:t xml:space="preserve"> que cumplan</w:t>
      </w:r>
    </w:p>
    <w:p w:rsidR="00A07F17" w:rsidRPr="00A07F17" w:rsidRDefault="00BD7E42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13.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>Página 9, Capítulo 2.17, párrafo 2.17.2.2, primera oración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E130FB">
        <w:rPr>
          <w:i/>
          <w:lang w:val="es-ES"/>
        </w:rPr>
        <w:t>Modifíquese el principio para que diga</w:t>
      </w:r>
      <w:r w:rsidR="00E130FB">
        <w:rPr>
          <w:i/>
          <w:lang w:val="es-ES"/>
        </w:rPr>
        <w:t xml:space="preserve">: </w:t>
      </w:r>
      <w:r w:rsidRPr="00A07F17">
        <w:rPr>
          <w:lang w:val="es-ES"/>
        </w:rPr>
        <w:t xml:space="preserve"> “Los explosivos insensibilizados se clasificarán en la forma en la que se hayan embalado/envasado para …</w:t>
      </w:r>
      <w:proofErr w:type="gramStart"/>
      <w:r w:rsidRPr="00A07F17">
        <w:rPr>
          <w:lang w:val="es-ES"/>
        </w:rPr>
        <w:t>..</w:t>
      </w:r>
      <w:proofErr w:type="gramEnd"/>
    </w:p>
    <w:p w:rsidR="00A07F17" w:rsidRDefault="005B3830" w:rsidP="00A07F17">
      <w:pPr>
        <w:pStyle w:val="SingleTxtG"/>
        <w:rPr>
          <w:lang w:val="es-ES"/>
        </w:rPr>
      </w:pPr>
      <w:r>
        <w:rPr>
          <w:i/>
          <w:lang w:val="es-ES"/>
        </w:rPr>
        <w:t>S</w:t>
      </w:r>
      <w:r w:rsidR="00A07F17" w:rsidRPr="00A07F17">
        <w:rPr>
          <w:i/>
          <w:lang w:val="es-ES"/>
        </w:rPr>
        <w:t>ustitúyase</w:t>
      </w:r>
      <w:r w:rsidR="00A07F17" w:rsidRPr="00A07F17">
        <w:rPr>
          <w:lang w:val="es-ES"/>
        </w:rPr>
        <w:t xml:space="preserve"> tasa de velocidad </w:t>
      </w:r>
      <w:r w:rsidR="00A07F17" w:rsidRPr="00A07F17">
        <w:rPr>
          <w:i/>
          <w:lang w:val="es-ES"/>
        </w:rPr>
        <w:t xml:space="preserve">por </w:t>
      </w:r>
      <w:r w:rsidR="00A07F17" w:rsidRPr="00A07F17">
        <w:rPr>
          <w:lang w:val="es-ES"/>
        </w:rPr>
        <w:t>velocidad de combustión</w:t>
      </w:r>
    </w:p>
    <w:p w:rsidR="00DB475C" w:rsidRDefault="00DB475C" w:rsidP="00DB475C">
      <w:pPr>
        <w:pStyle w:val="SingleTxtG"/>
        <w:rPr>
          <w:lang w:val="es-ES"/>
        </w:rPr>
      </w:pPr>
      <w:r>
        <w:rPr>
          <w:i/>
          <w:lang w:val="es-ES"/>
        </w:rPr>
        <w:t>S</w:t>
      </w:r>
      <w:r w:rsidRPr="00A07F17">
        <w:rPr>
          <w:i/>
          <w:lang w:val="es-ES"/>
        </w:rPr>
        <w:t>ustitúyase</w:t>
      </w:r>
      <w:r w:rsidRPr="00A07F17">
        <w:rPr>
          <w:lang w:val="es-ES"/>
        </w:rPr>
        <w:t xml:space="preserve"> </w:t>
      </w:r>
      <w:r>
        <w:rPr>
          <w:lang w:val="es-ES"/>
        </w:rPr>
        <w:t xml:space="preserve">mediante el ensayo “ensayo de la velocidad de combustión (fuego externo) descrito </w:t>
      </w:r>
      <w:r w:rsidRPr="00A07F17">
        <w:rPr>
          <w:i/>
          <w:lang w:val="es-ES"/>
        </w:rPr>
        <w:t xml:space="preserve">por </w:t>
      </w:r>
      <w:r>
        <w:rPr>
          <w:lang w:val="es-ES"/>
        </w:rPr>
        <w:t>mediante la prueba “prueba de la velocidad</w:t>
      </w:r>
      <w:r w:rsidRPr="00DB475C">
        <w:rPr>
          <w:lang w:val="es-ES"/>
        </w:rPr>
        <w:t xml:space="preserve"> </w:t>
      </w:r>
      <w:r>
        <w:rPr>
          <w:lang w:val="es-ES"/>
        </w:rPr>
        <w:t>de combustión (fuego externo) descrita</w:t>
      </w:r>
    </w:p>
    <w:p w:rsidR="00A07F17" w:rsidRPr="00A07F17" w:rsidRDefault="00BD7E42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14.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>Página 9, Capítulo 2.17, Tabla 2.17.1</w:t>
      </w:r>
    </w:p>
    <w:p w:rsidR="00A07F17" w:rsidRPr="00BD7E42" w:rsidRDefault="00A07F17" w:rsidP="00BD7E42">
      <w:pPr>
        <w:pStyle w:val="Bullet1G"/>
        <w:numPr>
          <w:ilvl w:val="0"/>
          <w:numId w:val="0"/>
        </w:numPr>
        <w:ind w:left="1134"/>
      </w:pPr>
      <w:r w:rsidRPr="00BD7E42">
        <w:t xml:space="preserve">En el </w:t>
      </w:r>
      <w:proofErr w:type="spellStart"/>
      <w:r w:rsidRPr="00BD7E42">
        <w:t>título</w:t>
      </w:r>
      <w:proofErr w:type="spellEnd"/>
      <w:r w:rsidRPr="00BD7E42">
        <w:t xml:space="preserve">, </w:t>
      </w:r>
      <w:proofErr w:type="spellStart"/>
      <w:r w:rsidRPr="00BD7E42">
        <w:rPr>
          <w:i/>
        </w:rPr>
        <w:t>sustitúyase</w:t>
      </w:r>
      <w:proofErr w:type="spellEnd"/>
      <w:r w:rsidRPr="00BD7E42">
        <w:t xml:space="preserve"> </w:t>
      </w:r>
      <w:proofErr w:type="spellStart"/>
      <w:r w:rsidRPr="00BD7E42">
        <w:t>las</w:t>
      </w:r>
      <w:proofErr w:type="spellEnd"/>
      <w:r w:rsidRPr="00BD7E42">
        <w:t xml:space="preserve"> </w:t>
      </w:r>
      <w:proofErr w:type="spellStart"/>
      <w:r w:rsidRPr="00BD7E42">
        <w:t>sustancias</w:t>
      </w:r>
      <w:proofErr w:type="spellEnd"/>
      <w:r w:rsidRPr="00BD7E42">
        <w:t xml:space="preserve"> </w:t>
      </w:r>
      <w:proofErr w:type="spellStart"/>
      <w:r w:rsidRPr="00BD7E42">
        <w:t>explosivas</w:t>
      </w:r>
      <w:proofErr w:type="spellEnd"/>
      <w:r w:rsidRPr="00BD7E42">
        <w:t xml:space="preserve"> </w:t>
      </w:r>
      <w:proofErr w:type="spellStart"/>
      <w:r w:rsidRPr="00BD7E42">
        <w:t>insensibilizadas</w:t>
      </w:r>
      <w:proofErr w:type="spellEnd"/>
      <w:r w:rsidRPr="00BD7E42">
        <w:t xml:space="preserve"> </w:t>
      </w:r>
      <w:proofErr w:type="spellStart"/>
      <w:r w:rsidRPr="00BD7E42">
        <w:rPr>
          <w:i/>
        </w:rPr>
        <w:t>por</w:t>
      </w:r>
      <w:proofErr w:type="spellEnd"/>
      <w:r w:rsidRPr="00BD7E42">
        <w:t xml:space="preserve"> los </w:t>
      </w:r>
      <w:proofErr w:type="spellStart"/>
      <w:r w:rsidRPr="00BD7E42">
        <w:t>explosivos</w:t>
      </w:r>
      <w:proofErr w:type="spellEnd"/>
      <w:r w:rsidRPr="00BD7E42">
        <w:t xml:space="preserve"> </w:t>
      </w:r>
      <w:proofErr w:type="spellStart"/>
      <w:r w:rsidRPr="00BD7E42">
        <w:t>insensibilizados</w:t>
      </w:r>
      <w:proofErr w:type="spellEnd"/>
    </w:p>
    <w:p w:rsidR="00A07F17" w:rsidRPr="00BD7E42" w:rsidRDefault="00A07F17" w:rsidP="00BD7E42">
      <w:pPr>
        <w:pStyle w:val="Bullet1G"/>
        <w:numPr>
          <w:ilvl w:val="0"/>
          <w:numId w:val="0"/>
        </w:numPr>
        <w:ind w:left="1134"/>
      </w:pPr>
      <w:r w:rsidRPr="00BD7E42">
        <w:t xml:space="preserve">En </w:t>
      </w:r>
      <w:proofErr w:type="spellStart"/>
      <w:r w:rsidRPr="00BD7E42">
        <w:t>las</w:t>
      </w:r>
      <w:proofErr w:type="spellEnd"/>
      <w:r w:rsidRPr="00BD7E42">
        <w:t xml:space="preserve"> </w:t>
      </w:r>
      <w:proofErr w:type="spellStart"/>
      <w:r w:rsidRPr="00BD7E42">
        <w:t>cuatro</w:t>
      </w:r>
      <w:proofErr w:type="spellEnd"/>
      <w:r w:rsidRPr="00BD7E42">
        <w:t xml:space="preserve"> </w:t>
      </w:r>
      <w:proofErr w:type="spellStart"/>
      <w:r w:rsidRPr="00BD7E42">
        <w:t>filas</w:t>
      </w:r>
      <w:proofErr w:type="spellEnd"/>
      <w:r w:rsidRPr="00BD7E42">
        <w:t xml:space="preserve"> </w:t>
      </w:r>
      <w:proofErr w:type="spellStart"/>
      <w:r w:rsidRPr="00BD7E42">
        <w:t>bajo</w:t>
      </w:r>
      <w:proofErr w:type="spellEnd"/>
      <w:r w:rsidRPr="00BD7E42">
        <w:t xml:space="preserve"> en el </w:t>
      </w:r>
      <w:proofErr w:type="spellStart"/>
      <w:r w:rsidRPr="00BD7E42">
        <w:t>encabezado</w:t>
      </w:r>
      <w:proofErr w:type="spellEnd"/>
      <w:r w:rsidRPr="00BD7E42">
        <w:t xml:space="preserve"> “</w:t>
      </w:r>
      <w:proofErr w:type="spellStart"/>
      <w:r w:rsidRPr="00BD7E42">
        <w:t>Criterios</w:t>
      </w:r>
      <w:proofErr w:type="spellEnd"/>
      <w:r w:rsidRPr="00BD7E42">
        <w:t>”:</w:t>
      </w:r>
    </w:p>
    <w:p w:rsidR="00A07F17" w:rsidRPr="00A07F17" w:rsidRDefault="00A07F17" w:rsidP="00A07F17">
      <w:pPr>
        <w:pStyle w:val="Bullet2G"/>
        <w:numPr>
          <w:ilvl w:val="0"/>
          <w:numId w:val="17"/>
        </w:numPr>
        <w:tabs>
          <w:tab w:val="clear" w:pos="2268"/>
        </w:tabs>
        <w:suppressAutoHyphens w:val="0"/>
        <w:ind w:left="1701" w:hanging="283"/>
        <w:rPr>
          <w:lang w:val="es-ES"/>
        </w:rPr>
      </w:pP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 xml:space="preserve">Sustancias explosivas insensibilizadas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Explosivos insensibilizados</w:t>
      </w:r>
    </w:p>
    <w:p w:rsidR="00A07F17" w:rsidRPr="00A07F17" w:rsidRDefault="00A07F17" w:rsidP="00A07F17">
      <w:pPr>
        <w:pStyle w:val="Bullet2G"/>
        <w:numPr>
          <w:ilvl w:val="0"/>
          <w:numId w:val="17"/>
        </w:numPr>
        <w:tabs>
          <w:tab w:val="clear" w:pos="2268"/>
        </w:tabs>
        <w:suppressAutoHyphens w:val="0"/>
        <w:ind w:left="1701" w:hanging="283"/>
        <w:rPr>
          <w:lang w:val="es-ES"/>
        </w:rPr>
      </w:pPr>
      <w:r w:rsidRPr="00A07F17">
        <w:rPr>
          <w:i/>
          <w:lang w:val="es-ES"/>
        </w:rPr>
        <w:t>Sustitúyase</w:t>
      </w:r>
      <w:r w:rsidRPr="00A07F17">
        <w:rPr>
          <w:lang w:val="es-ES"/>
        </w:rPr>
        <w:t xml:space="preserve"> tasa de </w:t>
      </w:r>
      <w:r w:rsidR="004118AE">
        <w:rPr>
          <w:lang w:val="es-ES"/>
        </w:rPr>
        <w:t>combustión</w:t>
      </w:r>
      <w:r w:rsidRPr="00A07F17">
        <w:rPr>
          <w:lang w:val="es-ES"/>
        </w:rPr>
        <w:t xml:space="preserve"> </w:t>
      </w:r>
      <w:r w:rsidRPr="00A07F17">
        <w:rPr>
          <w:i/>
          <w:lang w:val="es-ES"/>
        </w:rPr>
        <w:t xml:space="preserve"> por </w:t>
      </w:r>
      <w:r w:rsidRPr="00A07F17">
        <w:rPr>
          <w:lang w:val="es-ES"/>
        </w:rPr>
        <w:t>velocidad de combustión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15.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>Página 9, Capítulo 2.17, párrafo 2.17.2.2, Nota 1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 xml:space="preserve">En la primera oración </w:t>
      </w: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>Las</w:t>
      </w:r>
      <w:r w:rsidRPr="00A07F17">
        <w:rPr>
          <w:i/>
          <w:lang w:val="es-ES"/>
        </w:rPr>
        <w:t xml:space="preserve"> </w:t>
      </w:r>
      <w:r w:rsidRPr="00A07F17">
        <w:rPr>
          <w:lang w:val="es-ES"/>
        </w:rPr>
        <w:t xml:space="preserve">sustancias explosivas insensibilizadas deben prepararse </w:t>
      </w:r>
      <w:r w:rsidR="00952731">
        <w:rPr>
          <w:lang w:val="es-ES"/>
        </w:rPr>
        <w:t xml:space="preserve">de modo que se mantengan homogeneizadas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 xml:space="preserve">Los explosivos insensibilizados deben prepararse </w:t>
      </w:r>
      <w:r w:rsidR="00952731">
        <w:rPr>
          <w:lang w:val="es-ES"/>
        </w:rPr>
        <w:t>de modo que se mantengan homogeneizados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>En la tercera oración:</w:t>
      </w:r>
    </w:p>
    <w:p w:rsidR="00A07F17" w:rsidRPr="00A07F17" w:rsidRDefault="00A07F17" w:rsidP="00A07F17">
      <w:pPr>
        <w:pStyle w:val="Bullet1G"/>
        <w:numPr>
          <w:ilvl w:val="0"/>
          <w:numId w:val="16"/>
        </w:numPr>
        <w:suppressAutoHyphens w:val="0"/>
        <w:ind w:hanging="283"/>
        <w:rPr>
          <w:lang w:val="es-ES"/>
        </w:rPr>
      </w:pPr>
      <w:r w:rsidRPr="00A07F17">
        <w:rPr>
          <w:i/>
          <w:lang w:val="es-ES"/>
        </w:rPr>
        <w:t>sustitúyase</w:t>
      </w:r>
      <w:r w:rsidRPr="00A07F17">
        <w:rPr>
          <w:lang w:val="es-ES"/>
        </w:rPr>
        <w:t xml:space="preserve"> espesante </w:t>
      </w:r>
      <w:r w:rsidRPr="00A07F17">
        <w:rPr>
          <w:i/>
          <w:lang w:val="es-ES"/>
        </w:rPr>
        <w:t xml:space="preserve">por </w:t>
      </w:r>
      <w:proofErr w:type="spellStart"/>
      <w:r w:rsidRPr="00A07F17">
        <w:rPr>
          <w:lang w:val="es-ES"/>
        </w:rPr>
        <w:t>flemador</w:t>
      </w:r>
      <w:proofErr w:type="spellEnd"/>
    </w:p>
    <w:p w:rsidR="00A07F17" w:rsidRPr="00952731" w:rsidRDefault="00A07F17" w:rsidP="00A07F17">
      <w:pPr>
        <w:pStyle w:val="Bullet1G"/>
        <w:numPr>
          <w:ilvl w:val="0"/>
          <w:numId w:val="16"/>
        </w:numPr>
        <w:suppressAutoHyphens w:val="0"/>
        <w:ind w:hanging="283"/>
        <w:rPr>
          <w:lang w:val="es-ES"/>
        </w:rPr>
      </w:pPr>
      <w:r w:rsidRPr="00952731">
        <w:rPr>
          <w:i/>
          <w:lang w:val="es-ES"/>
        </w:rPr>
        <w:t>sustitúyase</w:t>
      </w:r>
      <w:r w:rsidRPr="00952731">
        <w:rPr>
          <w:lang w:val="es-ES"/>
        </w:rPr>
        <w:t xml:space="preserve"> </w:t>
      </w:r>
      <w:r w:rsidR="00952731" w:rsidRPr="00952731">
        <w:rPr>
          <w:lang w:val="es-ES"/>
        </w:rPr>
        <w:t xml:space="preserve">durante </w:t>
      </w:r>
      <w:r w:rsidRPr="00952731">
        <w:rPr>
          <w:lang w:val="es-ES"/>
        </w:rPr>
        <w:t xml:space="preserve">la entrega y la utilización </w:t>
      </w:r>
      <w:r w:rsidRPr="00952731">
        <w:rPr>
          <w:i/>
          <w:lang w:val="es-ES"/>
        </w:rPr>
        <w:t xml:space="preserve">por </w:t>
      </w:r>
      <w:r w:rsidR="00952731" w:rsidRPr="00952731">
        <w:rPr>
          <w:lang w:val="es-ES"/>
        </w:rPr>
        <w:t>durante su</w:t>
      </w:r>
      <w:r w:rsidR="00952731" w:rsidRPr="00952731">
        <w:rPr>
          <w:i/>
          <w:lang w:val="es-ES"/>
        </w:rPr>
        <w:t xml:space="preserve"> </w:t>
      </w:r>
      <w:r w:rsidRPr="00952731">
        <w:rPr>
          <w:lang w:val="es-ES"/>
        </w:rPr>
        <w:t>suministro y utilización</w:t>
      </w:r>
    </w:p>
    <w:p w:rsidR="00A07F17" w:rsidRPr="00A07F17" w:rsidRDefault="00A07F17" w:rsidP="00A07F17">
      <w:pPr>
        <w:pStyle w:val="Bullet1G"/>
        <w:numPr>
          <w:ilvl w:val="0"/>
          <w:numId w:val="16"/>
        </w:numPr>
        <w:suppressAutoHyphens w:val="0"/>
        <w:ind w:hanging="283"/>
        <w:rPr>
          <w:lang w:val="es-ES"/>
        </w:rPr>
      </w:pPr>
      <w:r w:rsidRPr="00A07F17">
        <w:rPr>
          <w:i/>
          <w:lang w:val="es-ES"/>
        </w:rPr>
        <w:t>sustitúyase</w:t>
      </w:r>
      <w:r w:rsidRPr="00A07F17">
        <w:rPr>
          <w:rFonts w:eastAsiaTheme="minorEastAsia"/>
          <w:lang w:val="es-ES" w:eastAsia="zh-CN"/>
        </w:rPr>
        <w:t xml:space="preserve"> peligro de la sustancia explosiva insensibilizada </w:t>
      </w:r>
      <w:r w:rsidRPr="00A07F17">
        <w:rPr>
          <w:rFonts w:eastAsiaTheme="minorEastAsia"/>
          <w:i/>
          <w:lang w:val="es-ES" w:eastAsia="zh-CN"/>
        </w:rPr>
        <w:t xml:space="preserve">por </w:t>
      </w:r>
      <w:r w:rsidRPr="00A07F17">
        <w:rPr>
          <w:lang w:val="es-ES" w:eastAsia="zh-CN"/>
        </w:rPr>
        <w:t>peligro del explosivo insensibilizado</w:t>
      </w:r>
    </w:p>
    <w:p w:rsidR="00A07F17" w:rsidRPr="00A07F17" w:rsidRDefault="00BC5D88" w:rsidP="00BC5D88">
      <w:pPr>
        <w:pStyle w:val="SingleTxtG"/>
        <w:keepNext/>
        <w:keepLines/>
        <w:rPr>
          <w:b/>
          <w:lang w:val="es-ES"/>
        </w:rPr>
      </w:pPr>
      <w:r>
        <w:rPr>
          <w:b/>
          <w:lang w:val="es-ES"/>
        </w:rPr>
        <w:t>16.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>Página</w:t>
      </w:r>
      <w:r w:rsidR="00952731">
        <w:rPr>
          <w:b/>
          <w:lang w:val="es-ES"/>
        </w:rPr>
        <w:t>s</w:t>
      </w:r>
      <w:r w:rsidR="00A07F17" w:rsidRPr="00A07F17">
        <w:rPr>
          <w:b/>
          <w:lang w:val="es-ES"/>
        </w:rPr>
        <w:t xml:space="preserve"> 9</w:t>
      </w:r>
      <w:r w:rsidR="00952731">
        <w:rPr>
          <w:b/>
          <w:lang w:val="es-ES"/>
        </w:rPr>
        <w:t xml:space="preserve"> y 10</w:t>
      </w:r>
      <w:r w:rsidR="00A07F17" w:rsidRPr="00A07F17">
        <w:rPr>
          <w:b/>
          <w:lang w:val="es-ES"/>
        </w:rPr>
        <w:t>, Capítulo 2.17, párrafo 2.17.2.2, Nota 2</w:t>
      </w:r>
    </w:p>
    <w:p w:rsidR="00A07F17" w:rsidRPr="00A07F17" w:rsidRDefault="00A07F17" w:rsidP="00BC5D88">
      <w:pPr>
        <w:pStyle w:val="SingleTxtG"/>
        <w:keepNext/>
        <w:keepLines/>
        <w:rPr>
          <w:lang w:val="es-ES"/>
        </w:rPr>
      </w:pPr>
      <w:r w:rsidRPr="00A07F17">
        <w:rPr>
          <w:lang w:val="es-ES"/>
        </w:rPr>
        <w:t xml:space="preserve">En la primera oración </w:t>
      </w: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>Las</w:t>
      </w:r>
      <w:r w:rsidRPr="00A07F17">
        <w:rPr>
          <w:i/>
          <w:lang w:val="es-ES"/>
        </w:rPr>
        <w:t xml:space="preserve"> </w:t>
      </w:r>
      <w:r w:rsidRPr="00A07F17">
        <w:rPr>
          <w:lang w:val="es-ES"/>
        </w:rPr>
        <w:t xml:space="preserve">sustancias explosivas insensibilizadas pueden </w:t>
      </w:r>
      <w:r w:rsidR="00952731">
        <w:rPr>
          <w:lang w:val="es-ES"/>
        </w:rPr>
        <w:t xml:space="preserve">tratarse de manera diferente a los fines de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Los explosivos insensibilizados pueden</w:t>
      </w:r>
      <w:r w:rsidR="00952731">
        <w:rPr>
          <w:lang w:val="es-ES"/>
        </w:rPr>
        <w:t xml:space="preserve"> tratarse de manera diferente en 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 xml:space="preserve">En la segunda oración </w:t>
      </w: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>La clasificación de las</w:t>
      </w:r>
      <w:r w:rsidRPr="00A07F17">
        <w:rPr>
          <w:i/>
          <w:lang w:val="es-ES"/>
        </w:rPr>
        <w:t xml:space="preserve"> </w:t>
      </w:r>
      <w:r w:rsidRPr="00A07F17">
        <w:rPr>
          <w:lang w:val="es-ES"/>
        </w:rPr>
        <w:t xml:space="preserve">sustancias explosivas insensibilizadas sólidas </w:t>
      </w:r>
      <w:r w:rsidRPr="00A07F17">
        <w:rPr>
          <w:i/>
          <w:lang w:val="es-ES"/>
        </w:rPr>
        <w:t xml:space="preserve">por </w:t>
      </w:r>
      <w:r w:rsidR="0030368F" w:rsidRPr="00A07F17">
        <w:rPr>
          <w:lang w:val="es-ES"/>
        </w:rPr>
        <w:t xml:space="preserve">La clasificación de </w:t>
      </w:r>
      <w:r w:rsidR="0030368F">
        <w:rPr>
          <w:lang w:val="es-ES"/>
        </w:rPr>
        <w:t>l</w:t>
      </w:r>
      <w:r w:rsidRPr="00A07F17">
        <w:rPr>
          <w:lang w:val="es-ES"/>
        </w:rPr>
        <w:t>os explosivos insensibilizados sólidos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 xml:space="preserve">En la tercera oración </w:t>
      </w: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>La clasificación de las</w:t>
      </w:r>
      <w:r w:rsidRPr="00A07F17">
        <w:rPr>
          <w:i/>
          <w:lang w:val="es-ES"/>
        </w:rPr>
        <w:t xml:space="preserve"> </w:t>
      </w:r>
      <w:r w:rsidRPr="00A07F17">
        <w:rPr>
          <w:lang w:val="es-ES"/>
        </w:rPr>
        <w:t xml:space="preserve">sustancias explosivas insensibilizadas líquidas </w:t>
      </w:r>
      <w:r w:rsidRPr="00A07F17">
        <w:rPr>
          <w:i/>
          <w:lang w:val="es-ES"/>
        </w:rPr>
        <w:t xml:space="preserve">por </w:t>
      </w:r>
      <w:r w:rsidR="0030368F" w:rsidRPr="00A07F17">
        <w:rPr>
          <w:lang w:val="es-ES"/>
        </w:rPr>
        <w:t xml:space="preserve">La clasificación de </w:t>
      </w:r>
      <w:r w:rsidR="0030368F">
        <w:rPr>
          <w:lang w:val="es-ES"/>
        </w:rPr>
        <w:t>l</w:t>
      </w:r>
      <w:r w:rsidRPr="00A07F17">
        <w:rPr>
          <w:lang w:val="es-ES"/>
        </w:rPr>
        <w:t>os explosivos insensibilizados líquid</w:t>
      </w:r>
      <w:r w:rsidR="0030368F">
        <w:rPr>
          <w:lang w:val="es-ES"/>
        </w:rPr>
        <w:t>o</w:t>
      </w:r>
      <w:r w:rsidRPr="00A07F17">
        <w:rPr>
          <w:lang w:val="es-ES"/>
        </w:rPr>
        <w:t>s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17.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>Página 10, Capítulo 2.17, párrafo 2.17.2.2, Nota 3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>En la primera oración:</w:t>
      </w:r>
    </w:p>
    <w:p w:rsidR="00A07F17" w:rsidRPr="00A07F17" w:rsidRDefault="0030368F" w:rsidP="00A07F17">
      <w:pPr>
        <w:pStyle w:val="Bullet2G"/>
        <w:numPr>
          <w:ilvl w:val="0"/>
          <w:numId w:val="17"/>
        </w:numPr>
        <w:tabs>
          <w:tab w:val="clear" w:pos="2268"/>
        </w:tabs>
        <w:suppressAutoHyphens w:val="0"/>
        <w:ind w:left="1701" w:hanging="283"/>
        <w:rPr>
          <w:i/>
          <w:lang w:val="es-ES"/>
        </w:rPr>
      </w:pPr>
      <w:r>
        <w:rPr>
          <w:i/>
          <w:lang w:val="es-ES"/>
        </w:rPr>
        <w:t>S</w:t>
      </w:r>
      <w:r w:rsidR="00A07F17" w:rsidRPr="00A07F17">
        <w:rPr>
          <w:i/>
          <w:lang w:val="es-ES"/>
        </w:rPr>
        <w:t xml:space="preserve">ustitúyase </w:t>
      </w:r>
      <w:r w:rsidR="00A07F17" w:rsidRPr="00A07F17">
        <w:rPr>
          <w:lang w:val="es-ES"/>
        </w:rPr>
        <w:t>Las propiedades explosivas de las sustancias explosivas insensibilizadas</w:t>
      </w:r>
      <w:r w:rsidR="00A07F17" w:rsidRPr="00A07F17">
        <w:rPr>
          <w:i/>
          <w:lang w:val="es-ES"/>
        </w:rPr>
        <w:t xml:space="preserve"> por </w:t>
      </w:r>
      <w:r w:rsidR="00A07F17" w:rsidRPr="00A07F17">
        <w:rPr>
          <w:lang w:val="es-ES"/>
        </w:rPr>
        <w:t>Las propiedades explosivas de los explosivos insensibilizados</w:t>
      </w:r>
    </w:p>
    <w:p w:rsidR="00A07F17" w:rsidRPr="00A07F17" w:rsidRDefault="0030368F" w:rsidP="00A07F17">
      <w:pPr>
        <w:pStyle w:val="Bullet2G"/>
        <w:numPr>
          <w:ilvl w:val="0"/>
          <w:numId w:val="17"/>
        </w:numPr>
        <w:tabs>
          <w:tab w:val="clear" w:pos="2268"/>
        </w:tabs>
        <w:suppressAutoHyphens w:val="0"/>
        <w:ind w:left="1701" w:hanging="283"/>
        <w:rPr>
          <w:i/>
          <w:lang w:val="es-ES"/>
        </w:rPr>
      </w:pPr>
      <w:r>
        <w:rPr>
          <w:i/>
          <w:lang w:val="es-ES"/>
        </w:rPr>
        <w:t>S</w:t>
      </w:r>
      <w:r w:rsidR="00A07F17" w:rsidRPr="00A07F17">
        <w:rPr>
          <w:i/>
          <w:lang w:val="es-ES"/>
        </w:rPr>
        <w:t xml:space="preserve">ustitúyase </w:t>
      </w:r>
      <w:r w:rsidR="00A07F17" w:rsidRPr="00A07F17">
        <w:rPr>
          <w:lang w:val="es-ES"/>
        </w:rPr>
        <w:t xml:space="preserve">serie de ensayos </w:t>
      </w:r>
      <w:r w:rsidR="00A07F17" w:rsidRPr="00A07F17">
        <w:rPr>
          <w:i/>
          <w:lang w:val="es-ES"/>
        </w:rPr>
        <w:t xml:space="preserve">por </w:t>
      </w:r>
      <w:r w:rsidR="00A07F17" w:rsidRPr="00A07F17">
        <w:rPr>
          <w:lang w:val="es-ES"/>
        </w:rPr>
        <w:t>serie de pruebas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 xml:space="preserve">En la segunda oración </w:t>
      </w: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 xml:space="preserve">Para el ensayo de sustancias explosivas insensibilizadas líquidas a efectos del transporte, se hace referencia a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El ensayo de explosivos insensibilizados líquidos a efectos de transporte se aborda en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 xml:space="preserve">En la tercera oración </w:t>
      </w: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 xml:space="preserve">El ensayo de las sustancias explosivas insensibilizadas sólidas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El ensayo de explosivos insensibilizados sólidos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18.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>Página 10, Capítulo 2.17, párrafo 2.17.2.2, Nota 4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>A los efectos del almacenamiento, la entrega y la utilización, las</w:t>
      </w:r>
      <w:r w:rsidRPr="00A07F17">
        <w:rPr>
          <w:i/>
          <w:lang w:val="es-ES"/>
        </w:rPr>
        <w:t xml:space="preserve"> </w:t>
      </w:r>
      <w:r w:rsidRPr="00A07F17">
        <w:rPr>
          <w:lang w:val="es-ES"/>
        </w:rPr>
        <w:t xml:space="preserve">sustancias explosivas insensibilizadas no están comprendidas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En lo que se refiere al almacenamiento, suministro y utilización, los explosivos insensibilizados no están comprendidos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19.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>Página 10, Capítulo 2.17, 2.17.3</w:t>
      </w:r>
      <w:r w:rsidR="00AF5090">
        <w:rPr>
          <w:b/>
          <w:lang w:val="es-ES"/>
        </w:rPr>
        <w:t>, título</w:t>
      </w:r>
    </w:p>
    <w:p w:rsidR="00A07F17" w:rsidRDefault="00AF5090" w:rsidP="00A07F17">
      <w:pPr>
        <w:pStyle w:val="SingleTxtG"/>
        <w:rPr>
          <w:lang w:val="es-ES"/>
        </w:rPr>
      </w:pPr>
      <w:r w:rsidRPr="00AF5090">
        <w:rPr>
          <w:i/>
          <w:lang w:val="es-ES"/>
        </w:rPr>
        <w:t>S</w:t>
      </w:r>
      <w:r w:rsidR="00A07F17" w:rsidRPr="00A07F17">
        <w:rPr>
          <w:i/>
          <w:lang w:val="es-ES"/>
        </w:rPr>
        <w:t xml:space="preserve">ustitúyase </w:t>
      </w:r>
      <w:r w:rsidR="00A07F17" w:rsidRPr="00A07F17">
        <w:rPr>
          <w:lang w:val="es-ES"/>
        </w:rPr>
        <w:t xml:space="preserve">riesgos </w:t>
      </w:r>
      <w:r w:rsidR="00A07F17" w:rsidRPr="00A07F17">
        <w:rPr>
          <w:i/>
          <w:lang w:val="es-ES"/>
        </w:rPr>
        <w:t xml:space="preserve">por </w:t>
      </w:r>
      <w:r w:rsidR="00A07F17" w:rsidRPr="00A07F17">
        <w:rPr>
          <w:lang w:val="es-ES"/>
        </w:rPr>
        <w:t>peligros</w:t>
      </w:r>
    </w:p>
    <w:p w:rsidR="0030368F" w:rsidRPr="00A07F17" w:rsidRDefault="00BC5D88" w:rsidP="0030368F">
      <w:pPr>
        <w:pStyle w:val="SingleTxtG"/>
        <w:rPr>
          <w:b/>
          <w:lang w:val="es-ES"/>
        </w:rPr>
      </w:pPr>
      <w:r>
        <w:rPr>
          <w:b/>
          <w:lang w:val="es-ES"/>
        </w:rPr>
        <w:t>20.</w:t>
      </w:r>
      <w:r>
        <w:rPr>
          <w:b/>
          <w:lang w:val="es-ES"/>
        </w:rPr>
        <w:tab/>
      </w:r>
      <w:r w:rsidR="0030368F" w:rsidRPr="00A07F17">
        <w:rPr>
          <w:b/>
          <w:lang w:val="es-ES"/>
        </w:rPr>
        <w:t xml:space="preserve">Página 10, Capítulo 2.17, tabla 2.17.2 </w:t>
      </w:r>
    </w:p>
    <w:p w:rsidR="0030368F" w:rsidRPr="00A07F17" w:rsidRDefault="0030368F" w:rsidP="0030368F">
      <w:pPr>
        <w:pStyle w:val="SingleTxtG"/>
        <w:rPr>
          <w:lang w:val="es-ES"/>
        </w:rPr>
      </w:pPr>
      <w:r w:rsidRPr="00A07F17">
        <w:rPr>
          <w:lang w:val="es-ES"/>
        </w:rPr>
        <w:t>En el título,</w:t>
      </w:r>
      <w:r w:rsidRPr="00A07F17">
        <w:rPr>
          <w:i/>
          <w:lang w:val="es-ES"/>
        </w:rPr>
        <w:t xml:space="preserve"> sustitúyase </w:t>
      </w:r>
      <w:r w:rsidRPr="00A07F17">
        <w:rPr>
          <w:lang w:val="es-ES"/>
        </w:rPr>
        <w:t>las</w:t>
      </w:r>
      <w:r w:rsidRPr="00A07F17">
        <w:rPr>
          <w:i/>
          <w:lang w:val="es-ES"/>
        </w:rPr>
        <w:t xml:space="preserve"> </w:t>
      </w:r>
      <w:r w:rsidRPr="00A07F17">
        <w:rPr>
          <w:lang w:val="es-ES"/>
        </w:rPr>
        <w:t xml:space="preserve">sustancias explosivas insensibilizadas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los explosivos insensibilizados</w:t>
      </w:r>
    </w:p>
    <w:p w:rsidR="0030368F" w:rsidRPr="00A07F17" w:rsidRDefault="0030368F" w:rsidP="00A07F17">
      <w:pPr>
        <w:pStyle w:val="SingleTxtG"/>
        <w:rPr>
          <w:b/>
          <w:lang w:val="es-ES"/>
        </w:rPr>
      </w:pPr>
      <w:r w:rsidRPr="00A07F17">
        <w:rPr>
          <w:lang w:val="es-ES"/>
        </w:rPr>
        <w:t xml:space="preserve">En la indicación de peligro correspondiente a la Categoría 1 </w:t>
      </w:r>
      <w:r w:rsidRPr="00A07F17">
        <w:rPr>
          <w:i/>
          <w:lang w:val="es-ES"/>
        </w:rPr>
        <w:t>sustitúyase</w:t>
      </w:r>
      <w:r w:rsidRPr="00A07F17">
        <w:rPr>
          <w:lang w:val="es-ES"/>
        </w:rPr>
        <w:t xml:space="preserve"> onda explosiva </w:t>
      </w:r>
      <w:r w:rsidRPr="00A07F17">
        <w:rPr>
          <w:i/>
          <w:lang w:val="es-ES"/>
        </w:rPr>
        <w:t>por</w:t>
      </w:r>
      <w:r w:rsidRPr="00A07F17">
        <w:rPr>
          <w:lang w:val="es-ES"/>
        </w:rPr>
        <w:t xml:space="preserve"> onda expansiva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21.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>Página 10, Capítulo 2.17, párrafo 2.17.4.1</w:t>
      </w:r>
    </w:p>
    <w:p w:rsidR="00A07F17" w:rsidRDefault="00A07F17" w:rsidP="00A07F17">
      <w:pPr>
        <w:pStyle w:val="SingleTxtG"/>
        <w:rPr>
          <w:lang w:val="es-ES"/>
        </w:rPr>
      </w:pP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>las</w:t>
      </w:r>
      <w:r w:rsidRPr="00A07F17">
        <w:rPr>
          <w:i/>
          <w:lang w:val="es-ES"/>
        </w:rPr>
        <w:t xml:space="preserve"> </w:t>
      </w:r>
      <w:r w:rsidRPr="00A07F17">
        <w:rPr>
          <w:lang w:val="es-ES"/>
        </w:rPr>
        <w:t xml:space="preserve">sustancias explosivas insensibilizadas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los explosivos insensibilizados</w:t>
      </w:r>
    </w:p>
    <w:p w:rsidR="00F11AB2" w:rsidRPr="00A07F17" w:rsidRDefault="00F11AB2" w:rsidP="00A07F17">
      <w:pPr>
        <w:pStyle w:val="SingleTxtG"/>
        <w:rPr>
          <w:lang w:val="es-ES"/>
        </w:rPr>
      </w:pPr>
      <w:r w:rsidRPr="00A07F17">
        <w:rPr>
          <w:i/>
          <w:lang w:val="es-ES"/>
        </w:rPr>
        <w:t xml:space="preserve">Sustitúyase </w:t>
      </w:r>
      <w:r>
        <w:rPr>
          <w:lang w:val="es-ES"/>
        </w:rPr>
        <w:t>tasa de combustión</w:t>
      </w:r>
      <w:r w:rsidRPr="00A07F17">
        <w:rPr>
          <w:lang w:val="es-ES"/>
        </w:rPr>
        <w:t xml:space="preserve"> </w:t>
      </w:r>
      <w:r w:rsidRPr="00A07F17">
        <w:rPr>
          <w:i/>
          <w:lang w:val="es-ES"/>
        </w:rPr>
        <w:t xml:space="preserve">por </w:t>
      </w:r>
      <w:r>
        <w:rPr>
          <w:lang w:val="es-ES"/>
        </w:rPr>
        <w:t>velocidad de combustión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22.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>Página 11, Capítulo 2.17, procedimiento de decisión 2.17.1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>En el título,</w:t>
      </w:r>
      <w:r w:rsidRPr="00A07F17">
        <w:rPr>
          <w:i/>
          <w:lang w:val="es-ES"/>
        </w:rPr>
        <w:t xml:space="preserve"> sustitúyase </w:t>
      </w:r>
      <w:r w:rsidRPr="00A07F17">
        <w:rPr>
          <w:lang w:val="es-ES"/>
        </w:rPr>
        <w:t>las</w:t>
      </w:r>
      <w:r w:rsidRPr="00A07F17">
        <w:rPr>
          <w:i/>
          <w:lang w:val="es-ES"/>
        </w:rPr>
        <w:t xml:space="preserve"> </w:t>
      </w:r>
      <w:r w:rsidRPr="00A07F17">
        <w:rPr>
          <w:lang w:val="es-ES"/>
        </w:rPr>
        <w:t xml:space="preserve">sustancias explosivas insensibilizadas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los explosivos insensibilizados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 xml:space="preserve">En el segundo cuadro de texto en la parte izquierda </w:t>
      </w:r>
      <w:r w:rsidRPr="00A07F17">
        <w:rPr>
          <w:i/>
          <w:lang w:val="es-ES"/>
        </w:rPr>
        <w:t>sustitúyase</w:t>
      </w:r>
      <w:r w:rsidRPr="00A07F17">
        <w:rPr>
          <w:lang w:val="es-ES"/>
        </w:rPr>
        <w:t xml:space="preserve"> espesante </w:t>
      </w:r>
      <w:r w:rsidRPr="00A07F17">
        <w:rPr>
          <w:i/>
          <w:lang w:val="es-ES"/>
        </w:rPr>
        <w:t xml:space="preserve">por </w:t>
      </w:r>
      <w:proofErr w:type="spellStart"/>
      <w:r w:rsidRPr="00A07F17">
        <w:rPr>
          <w:lang w:val="es-ES"/>
        </w:rPr>
        <w:t>flemador</w:t>
      </w:r>
      <w:proofErr w:type="spellEnd"/>
    </w:p>
    <w:p w:rsidR="006C27F8" w:rsidRDefault="00A07F17" w:rsidP="006C27F8">
      <w:pPr>
        <w:pStyle w:val="SingleTxtG"/>
        <w:rPr>
          <w:lang w:val="es-ES"/>
        </w:rPr>
      </w:pPr>
      <w:r w:rsidRPr="00A07F17">
        <w:rPr>
          <w:lang w:val="es-ES"/>
        </w:rPr>
        <w:t xml:space="preserve">En el </w:t>
      </w:r>
      <w:r w:rsidR="006C27F8">
        <w:rPr>
          <w:lang w:val="es-ES"/>
        </w:rPr>
        <w:t>cuadro</w:t>
      </w:r>
      <w:r w:rsidRPr="00A07F17">
        <w:rPr>
          <w:lang w:val="es-ES"/>
        </w:rPr>
        <w:t xml:space="preserve"> cuadro de texto en la parte derecha </w:t>
      </w:r>
      <w:r w:rsidRPr="00A07F17">
        <w:rPr>
          <w:i/>
          <w:lang w:val="es-ES"/>
        </w:rPr>
        <w:t>sustitúyase</w:t>
      </w:r>
      <w:r w:rsidRPr="00A07F17">
        <w:rPr>
          <w:lang w:val="es-ES"/>
        </w:rPr>
        <w:t xml:space="preserve"> </w:t>
      </w:r>
      <w:r w:rsidR="006C27F8">
        <w:rPr>
          <w:lang w:val="es-ES"/>
        </w:rPr>
        <w:t>Ensayo 6 a), 6 b)</w:t>
      </w:r>
      <w:r w:rsidRPr="00A07F17">
        <w:rPr>
          <w:lang w:val="es-ES"/>
        </w:rPr>
        <w:t xml:space="preserve"> </w:t>
      </w:r>
      <w:r w:rsidRPr="00A07F17">
        <w:rPr>
          <w:i/>
          <w:lang w:val="es-ES"/>
        </w:rPr>
        <w:t xml:space="preserve">por </w:t>
      </w:r>
      <w:r w:rsidR="00BC5D88">
        <w:rPr>
          <w:lang w:val="es-ES"/>
        </w:rPr>
        <w:t>Prueba 6 </w:t>
      </w:r>
      <w:r w:rsidR="006C27F8">
        <w:rPr>
          <w:lang w:val="es-ES"/>
        </w:rPr>
        <w:t>a), 6 b)</w:t>
      </w:r>
      <w:r w:rsidR="006C27F8" w:rsidRPr="00A07F17">
        <w:rPr>
          <w:lang w:val="es-ES"/>
        </w:rPr>
        <w:t xml:space="preserve"> 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>En el sexto cuadro de texto en la parte izquierda</w:t>
      </w:r>
      <w:r w:rsidRPr="00A07F17">
        <w:rPr>
          <w:i/>
          <w:lang w:val="es-ES"/>
        </w:rPr>
        <w:t xml:space="preserve"> sustitúyase</w:t>
      </w:r>
      <w:r w:rsidRPr="00A07F17">
        <w:rPr>
          <w:lang w:val="es-ES"/>
        </w:rPr>
        <w:t xml:space="preserve"> </w:t>
      </w:r>
      <w:r w:rsidR="00F11AB2">
        <w:rPr>
          <w:lang w:val="es-ES"/>
        </w:rPr>
        <w:t xml:space="preserve">Ensayo de la </w:t>
      </w:r>
      <w:r w:rsidRPr="00A07F17">
        <w:rPr>
          <w:lang w:val="es-ES"/>
        </w:rPr>
        <w:t xml:space="preserve">tasa de combustión </w:t>
      </w:r>
      <w:r w:rsidRPr="00A07F17">
        <w:rPr>
          <w:i/>
          <w:lang w:val="es-ES"/>
        </w:rPr>
        <w:t xml:space="preserve">por </w:t>
      </w:r>
      <w:r w:rsidR="00F11AB2">
        <w:rPr>
          <w:lang w:val="es-ES"/>
        </w:rPr>
        <w:t xml:space="preserve">Prueba de la </w:t>
      </w:r>
      <w:r w:rsidRPr="00A07F17">
        <w:rPr>
          <w:lang w:val="es-ES"/>
        </w:rPr>
        <w:t>velocidad de combustión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23.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>Página 12, Capítulo 2.17, párrafo 2.17.4.2.1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 xml:space="preserve">de sustancias explosivas insensibilizadas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para explosivos insensibilizados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24.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>Página 12, Capítulo 2.17, párrafo 2.17.4.2.2, primera oración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i/>
          <w:lang w:val="es-ES"/>
        </w:rPr>
        <w:t>Modifíquese para que diga</w:t>
      </w:r>
      <w:r w:rsidRPr="00A07F17">
        <w:rPr>
          <w:lang w:val="es-ES"/>
        </w:rPr>
        <w:t>: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>“La energía de descomposición exotérmica debe determinarse utilizando el explosivo ya insensibilizado (es decir, la mezcla homogénea sólida o líquida formada por el explosivo y la(s) sustancia(s) utilizada(s) para neutralizar sus propiedades explosivas).”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25.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>Página 13, Capítulo 3.8, párrafo 3.8.3.4.6</w:t>
      </w:r>
    </w:p>
    <w:p w:rsidR="00DB61D0" w:rsidRDefault="00DB61D0" w:rsidP="00A07F17">
      <w:pPr>
        <w:pStyle w:val="SingleTxtG"/>
        <w:rPr>
          <w:i/>
          <w:lang w:val="es-ES"/>
        </w:rPr>
      </w:pPr>
      <w:r w:rsidRPr="00A07F17">
        <w:rPr>
          <w:i/>
          <w:lang w:val="es-ES"/>
        </w:rPr>
        <w:t xml:space="preserve">Sustitúyase </w:t>
      </w:r>
      <w:r>
        <w:rPr>
          <w:lang w:val="es-ES"/>
        </w:rPr>
        <w:t>enfoque de adición</w:t>
      </w:r>
      <w:r w:rsidRPr="00A07F17">
        <w:rPr>
          <w:lang w:val="es-ES"/>
        </w:rPr>
        <w:t xml:space="preserve"> </w:t>
      </w:r>
      <w:r w:rsidRPr="00A07F17">
        <w:rPr>
          <w:i/>
          <w:lang w:val="es-ES"/>
        </w:rPr>
        <w:t xml:space="preserve">por </w:t>
      </w:r>
      <w:r w:rsidR="006C27F8">
        <w:rPr>
          <w:lang w:val="es-ES"/>
        </w:rPr>
        <w:t>principio</w:t>
      </w:r>
      <w:r>
        <w:rPr>
          <w:lang w:val="es-ES"/>
        </w:rPr>
        <w:t xml:space="preserve"> de adición</w:t>
      </w:r>
    </w:p>
    <w:p w:rsidR="00A07F17" w:rsidRPr="00A07F17" w:rsidRDefault="00A07F17" w:rsidP="00A07F17">
      <w:pPr>
        <w:pStyle w:val="SingleTxtG"/>
        <w:rPr>
          <w:b/>
          <w:lang w:val="es-ES"/>
        </w:rPr>
      </w:pP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 xml:space="preserve">sigue siendo pertinente al clasificar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sigue siendo pertinente para la clasificación de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26.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>Página 13, Capítulo 3.10, párrafo 3.10.3.3.2.1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 xml:space="preserve">se clasificará como Categoría 1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se clasificará en la Categoría 1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27.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>Página 13, Capítulo 3.10, párrafo 3.10.3.3.2.2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 xml:space="preserve">se separe claramente en dos o más capas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se separe en dos o más capas distintas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 xml:space="preserve">y tenga una viscosidad cinemática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y la mezcla tenga una viscosidad cinemática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28.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>Página 1</w:t>
      </w:r>
      <w:r w:rsidR="00DB61D0">
        <w:rPr>
          <w:b/>
          <w:lang w:val="es-ES"/>
        </w:rPr>
        <w:t>4</w:t>
      </w:r>
      <w:r w:rsidR="00A07F17" w:rsidRPr="00A07F17">
        <w:rPr>
          <w:b/>
          <w:lang w:val="es-ES"/>
        </w:rPr>
        <w:t>, Capítulo 3.10, párrafo 3.10.3.3.3.1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 xml:space="preserve">se clasificará como Categoría 1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se clasificará en la Categoría 1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29.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>Página 1</w:t>
      </w:r>
      <w:r w:rsidR="00DB61D0">
        <w:rPr>
          <w:b/>
          <w:lang w:val="es-ES"/>
        </w:rPr>
        <w:t>4</w:t>
      </w:r>
      <w:r w:rsidR="00A07F17" w:rsidRPr="00A07F17">
        <w:rPr>
          <w:b/>
          <w:lang w:val="es-ES"/>
        </w:rPr>
        <w:t>, Capítulo 3.10, párrafo 3.10.3.3.3.2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 xml:space="preserve">Para la clasificación de mezclas en esta categoría resulta esencial la opinión de los expertos acerca de </w:t>
      </w:r>
      <w:r w:rsidRPr="00A07F17">
        <w:rPr>
          <w:i/>
          <w:lang w:val="es-ES"/>
        </w:rPr>
        <w:t>por</w:t>
      </w:r>
      <w:r w:rsidRPr="00A07F17">
        <w:rPr>
          <w:lang w:val="es-ES"/>
        </w:rPr>
        <w:t xml:space="preserve"> La clasificación de las mezclas en esta categoría requerirá la opinión de expertos habida cuenta de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30.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>Página 1</w:t>
      </w:r>
      <w:r w:rsidR="00DB61D0">
        <w:rPr>
          <w:b/>
          <w:lang w:val="es-ES"/>
        </w:rPr>
        <w:t>4</w:t>
      </w:r>
      <w:r w:rsidR="00A07F17" w:rsidRPr="00A07F17">
        <w:rPr>
          <w:b/>
          <w:lang w:val="es-ES"/>
        </w:rPr>
        <w:t>, Capítulo 3.10, párrafo 3.10.3.3.3.3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 xml:space="preserve">se separe claramente en dos o más capas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se separe en dos o más capas distintas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 xml:space="preserve">y tenga una viscosidad cinemática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y la mezcla tenga una viscosidad cinemática</w:t>
      </w:r>
    </w:p>
    <w:p w:rsidR="00A07F17" w:rsidRPr="00A07F17" w:rsidRDefault="00BC5D88" w:rsidP="00A07F17">
      <w:pPr>
        <w:pStyle w:val="SingleTxtG"/>
        <w:keepNext/>
        <w:keepLines/>
        <w:rPr>
          <w:b/>
          <w:lang w:val="es-ES"/>
        </w:rPr>
      </w:pPr>
      <w:r>
        <w:rPr>
          <w:b/>
          <w:lang w:val="es-ES"/>
        </w:rPr>
        <w:t>31.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>Página 1</w:t>
      </w:r>
      <w:r w:rsidR="00D955B1">
        <w:rPr>
          <w:b/>
          <w:lang w:val="es-ES"/>
        </w:rPr>
        <w:t>4</w:t>
      </w:r>
      <w:r w:rsidR="00A07F17" w:rsidRPr="00A07F17">
        <w:rPr>
          <w:b/>
          <w:lang w:val="es-ES"/>
        </w:rPr>
        <w:t>, Capítulo 4.1, párrafo 4.1.1.5</w:t>
      </w:r>
    </w:p>
    <w:p w:rsidR="00A07F17" w:rsidRPr="00A07F17" w:rsidRDefault="00A07F17" w:rsidP="00A07F17">
      <w:pPr>
        <w:pStyle w:val="SingleTxtG"/>
        <w:keepNext/>
        <w:keepLines/>
        <w:rPr>
          <w:b/>
          <w:lang w:val="es-ES"/>
        </w:rPr>
      </w:pP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 xml:space="preserve">“…directrices de la OCDE 107, 117 o 123.”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“…directrices de ensayo 107, 117 o 123 de la OCDE.”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32.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>Página 15, Tabla A1.17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 xml:space="preserve">En el enunciado de la enmienda, </w:t>
      </w: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 xml:space="preserve">“Sustancias explosivas insensibilizadas” </w:t>
      </w:r>
      <w:r w:rsidRPr="00A07F17">
        <w:rPr>
          <w:i/>
          <w:lang w:val="es-ES"/>
        </w:rPr>
        <w:t>por “</w:t>
      </w:r>
      <w:r w:rsidRPr="00A07F17">
        <w:rPr>
          <w:lang w:val="es-ES"/>
        </w:rPr>
        <w:t>Explosivos insensibilizados”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 xml:space="preserve">En el título de la tabla y en la celda bajo el encabezado “Clase de peligro” </w:t>
      </w: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 xml:space="preserve">“Sustancias explosivas insensibilizadas” </w:t>
      </w:r>
      <w:r w:rsidRPr="00A07F17">
        <w:rPr>
          <w:i/>
          <w:lang w:val="es-ES"/>
        </w:rPr>
        <w:t>por “</w:t>
      </w:r>
      <w:r w:rsidRPr="00A07F17">
        <w:rPr>
          <w:lang w:val="es-ES"/>
        </w:rPr>
        <w:t>Explosivos insensibilizados”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 xml:space="preserve">En la indicación de peligro correspondiente a la Categoría 1 </w:t>
      </w:r>
      <w:r w:rsidRPr="00A07F17">
        <w:rPr>
          <w:i/>
          <w:lang w:val="es-ES"/>
        </w:rPr>
        <w:t>sustitúyase</w:t>
      </w:r>
      <w:r w:rsidRPr="00A07F17">
        <w:rPr>
          <w:lang w:val="es-ES"/>
        </w:rPr>
        <w:t xml:space="preserve"> onda explosiva </w:t>
      </w:r>
      <w:r w:rsidRPr="00A07F17">
        <w:rPr>
          <w:i/>
          <w:lang w:val="es-ES"/>
        </w:rPr>
        <w:t>por</w:t>
      </w:r>
      <w:r w:rsidRPr="00A07F17">
        <w:rPr>
          <w:lang w:val="es-ES"/>
        </w:rPr>
        <w:t xml:space="preserve"> onda expansiva</w:t>
      </w:r>
    </w:p>
    <w:p w:rsidR="00A07F17" w:rsidRPr="00A07F17" w:rsidRDefault="00A07F17" w:rsidP="00E130FB">
      <w:pPr>
        <w:pStyle w:val="SingleTxtG"/>
        <w:keepNext/>
        <w:keepLines/>
        <w:rPr>
          <w:lang w:val="es-ES"/>
        </w:rPr>
      </w:pPr>
      <w:r w:rsidRPr="00A07F17">
        <w:rPr>
          <w:lang w:val="es-ES"/>
        </w:rPr>
        <w:t xml:space="preserve">En la nota </w:t>
      </w:r>
      <w:r w:rsidRPr="00A07F17">
        <w:rPr>
          <w:i/>
          <w:lang w:val="es-ES"/>
        </w:rPr>
        <w:t>a</w:t>
      </w:r>
      <w:r w:rsidRPr="00A07F17">
        <w:rPr>
          <w:lang w:val="es-ES"/>
        </w:rPr>
        <w:t xml:space="preserve"> bajo la tabla:</w:t>
      </w:r>
    </w:p>
    <w:p w:rsidR="00A07F17" w:rsidRPr="00A07F17" w:rsidRDefault="00A07F17" w:rsidP="00A07F17">
      <w:pPr>
        <w:pStyle w:val="Bullet1G"/>
        <w:numPr>
          <w:ilvl w:val="0"/>
          <w:numId w:val="16"/>
        </w:numPr>
        <w:suppressAutoHyphens w:val="0"/>
        <w:rPr>
          <w:lang w:val="es-ES"/>
        </w:rPr>
      </w:pPr>
      <w:r w:rsidRPr="00A07F17">
        <w:rPr>
          <w:lang w:val="es-ES"/>
        </w:rPr>
        <w:t xml:space="preserve">En la primera oración </w:t>
      </w: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 xml:space="preserve">sustancias explosivas insensibilizadas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explosivos insensibilizados</w:t>
      </w:r>
    </w:p>
    <w:p w:rsidR="00A07F17" w:rsidRPr="00A07F17" w:rsidRDefault="00A07F17" w:rsidP="00A07F17">
      <w:pPr>
        <w:pStyle w:val="Bullet1G"/>
        <w:numPr>
          <w:ilvl w:val="0"/>
          <w:numId w:val="16"/>
        </w:numPr>
        <w:suppressAutoHyphens w:val="0"/>
        <w:rPr>
          <w:lang w:val="es-ES"/>
        </w:rPr>
      </w:pPr>
      <w:r w:rsidRPr="00A07F17">
        <w:rPr>
          <w:lang w:val="es-ES"/>
        </w:rPr>
        <w:t xml:space="preserve">En la segunda oración </w:t>
      </w: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>las</w:t>
      </w:r>
      <w:r w:rsidRPr="00A07F17">
        <w:rPr>
          <w:i/>
          <w:lang w:val="es-ES"/>
        </w:rPr>
        <w:t xml:space="preserve"> </w:t>
      </w:r>
      <w:r w:rsidRPr="00A07F17">
        <w:rPr>
          <w:lang w:val="es-ES"/>
        </w:rPr>
        <w:t xml:space="preserve">sustancias explosivas insensibilizadas sólidas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los explosivos insensibilizados sólidos</w:t>
      </w:r>
    </w:p>
    <w:p w:rsidR="00A07F17" w:rsidRPr="00A07F17" w:rsidRDefault="00A07F17" w:rsidP="00A07F17">
      <w:pPr>
        <w:pStyle w:val="Bullet1G"/>
        <w:numPr>
          <w:ilvl w:val="0"/>
          <w:numId w:val="16"/>
        </w:numPr>
        <w:suppressAutoHyphens w:val="0"/>
        <w:rPr>
          <w:lang w:val="es-ES"/>
        </w:rPr>
      </w:pPr>
      <w:r w:rsidRPr="00A07F17">
        <w:rPr>
          <w:lang w:val="es-ES"/>
        </w:rPr>
        <w:t xml:space="preserve">En la tercera oración </w:t>
      </w: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>las</w:t>
      </w:r>
      <w:r w:rsidRPr="00A07F17">
        <w:rPr>
          <w:i/>
          <w:lang w:val="es-ES"/>
        </w:rPr>
        <w:t xml:space="preserve"> </w:t>
      </w:r>
      <w:r w:rsidRPr="00A07F17">
        <w:rPr>
          <w:lang w:val="es-ES"/>
        </w:rPr>
        <w:t xml:space="preserve">sustancias explosivas insensibilizadas líquidas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los explosivos insensibilizados líquidos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33.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>Página 16, Anexo 3, sección 1, tabla A3.1.1</w:t>
      </w:r>
    </w:p>
    <w:p w:rsidR="00A07F17" w:rsidRPr="00A07F17" w:rsidRDefault="00A07F17" w:rsidP="00A07F17">
      <w:pPr>
        <w:pStyle w:val="SingleTxtG"/>
        <w:rPr>
          <w:b/>
          <w:lang w:val="es-ES"/>
        </w:rPr>
      </w:pPr>
      <w:r w:rsidRPr="00A07F17">
        <w:rPr>
          <w:lang w:val="es-ES"/>
        </w:rPr>
        <w:t xml:space="preserve">En la indicación de peligro H206 </w:t>
      </w:r>
      <w:r w:rsidRPr="00A07F17">
        <w:rPr>
          <w:i/>
          <w:lang w:val="es-ES"/>
        </w:rPr>
        <w:t>sustitúyase</w:t>
      </w:r>
      <w:r w:rsidRPr="00A07F17">
        <w:rPr>
          <w:lang w:val="es-ES"/>
        </w:rPr>
        <w:t xml:space="preserve"> onda explosiva </w:t>
      </w:r>
      <w:r w:rsidRPr="00A07F17">
        <w:rPr>
          <w:i/>
          <w:lang w:val="es-ES"/>
        </w:rPr>
        <w:t>por</w:t>
      </w:r>
      <w:r w:rsidRPr="00A07F17">
        <w:rPr>
          <w:lang w:val="es-ES"/>
        </w:rPr>
        <w:t xml:space="preserve"> onda expansiva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>En las celdas bajo el encabezado “Clase de peligro (capítulo del SGA),</w:t>
      </w:r>
      <w:r w:rsidRPr="00A07F17">
        <w:rPr>
          <w:b/>
          <w:lang w:val="es-ES"/>
        </w:rPr>
        <w:t xml:space="preserve"> </w:t>
      </w:r>
      <w:r w:rsidRPr="00A07F17">
        <w:rPr>
          <w:i/>
          <w:lang w:val="es-ES"/>
        </w:rPr>
        <w:t xml:space="preserve">sustitúyase </w:t>
      </w:r>
      <w:r w:rsidR="008F1E08">
        <w:rPr>
          <w:i/>
          <w:lang w:val="es-ES"/>
        </w:rPr>
        <w:t xml:space="preserve">tres veces </w:t>
      </w:r>
      <w:r w:rsidRPr="00A07F17">
        <w:rPr>
          <w:lang w:val="es-ES"/>
        </w:rPr>
        <w:t xml:space="preserve">Sustancias explosivas insensibilizadas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Explosivos insensibilizados</w:t>
      </w:r>
    </w:p>
    <w:p w:rsidR="004E5C3D" w:rsidRPr="00A07F17" w:rsidRDefault="00BC5D88" w:rsidP="00121BE8">
      <w:pPr>
        <w:pStyle w:val="SingleTxtG"/>
        <w:keepNext/>
        <w:keepLines/>
        <w:rPr>
          <w:b/>
          <w:lang w:val="es-ES"/>
        </w:rPr>
      </w:pPr>
      <w:r>
        <w:rPr>
          <w:b/>
          <w:lang w:val="es-ES"/>
        </w:rPr>
        <w:t>34.</w:t>
      </w:r>
      <w:r>
        <w:rPr>
          <w:b/>
          <w:lang w:val="es-ES"/>
        </w:rPr>
        <w:tab/>
      </w:r>
      <w:r w:rsidR="004E5C3D" w:rsidRPr="00A07F17">
        <w:rPr>
          <w:b/>
          <w:lang w:val="es-ES"/>
        </w:rPr>
        <w:t>Páginas 16 y 17, Anexo 3, sección 2, tabla A3.2.2, enmiendas relativas a los códigos de prudencia P210, P212, P230, P233 y P280</w:t>
      </w:r>
    </w:p>
    <w:p w:rsidR="004E5C3D" w:rsidRPr="00A07F17" w:rsidRDefault="004E5C3D" w:rsidP="00121BE8">
      <w:pPr>
        <w:pStyle w:val="SingleTxtG"/>
        <w:keepNext/>
        <w:keepLines/>
        <w:rPr>
          <w:lang w:val="es-ES"/>
        </w:rPr>
      </w:pP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 xml:space="preserve">Sustancias explosivas insensibilizadas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Explosivos insensibilizados</w:t>
      </w:r>
    </w:p>
    <w:p w:rsidR="004E5C3D" w:rsidRPr="00A07F17" w:rsidRDefault="00BC5D88" w:rsidP="004E5C3D">
      <w:pPr>
        <w:pStyle w:val="SingleTxtG"/>
        <w:rPr>
          <w:b/>
          <w:lang w:val="es-ES"/>
        </w:rPr>
      </w:pPr>
      <w:r>
        <w:rPr>
          <w:b/>
          <w:lang w:val="es-ES"/>
        </w:rPr>
        <w:t>35.</w:t>
      </w:r>
      <w:r>
        <w:rPr>
          <w:b/>
          <w:lang w:val="es-ES"/>
        </w:rPr>
        <w:tab/>
      </w:r>
      <w:r w:rsidR="004E5C3D" w:rsidRPr="00A07F17">
        <w:rPr>
          <w:b/>
          <w:lang w:val="es-ES"/>
        </w:rPr>
        <w:t>Página 16, Anexo 3, sección 2, tabla A3.2.2, indicación de peligro P</w:t>
      </w:r>
      <w:r w:rsidR="004E5C3D">
        <w:rPr>
          <w:b/>
          <w:lang w:val="es-ES"/>
        </w:rPr>
        <w:t>230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 xml:space="preserve">espesante </w:t>
      </w:r>
      <w:r w:rsidRPr="00A07F17">
        <w:rPr>
          <w:i/>
          <w:lang w:val="es-ES"/>
        </w:rPr>
        <w:t xml:space="preserve">por </w:t>
      </w:r>
      <w:proofErr w:type="spellStart"/>
      <w:r w:rsidRPr="00A07F17">
        <w:rPr>
          <w:lang w:val="es-ES"/>
        </w:rPr>
        <w:t>flemador</w:t>
      </w:r>
      <w:proofErr w:type="spellEnd"/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36.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>Página 17, Anexo 3, sección 3, tabla A3.2.3, enmiendas relativas a los códigos de prudencia P370, P371, P375, P380, P370+P380+P375, P371+P380+P375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 xml:space="preserve">Sustancias explosivas insensibilizadas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Explosivos insensibilizados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37.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>Página 18, Anexo 3, sección 3, tabla A3.2.4, enmienda relativa al código de prudencia P401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 xml:space="preserve">Sustancias explosivas insensibilizadas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Explosivos insensibilizados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i/>
          <w:lang w:val="es-ES"/>
        </w:rPr>
        <w:t>Sustitúyase la condición de uso por la siguiente</w:t>
      </w:r>
      <w:r w:rsidRPr="00A07F17">
        <w:rPr>
          <w:lang w:val="es-ES"/>
        </w:rPr>
        <w:t xml:space="preserve"> “…el fabricante/proveedor o la autoridad competente especificarán la reglamentación local/regional/nacional/internacional aplicable”.</w:t>
      </w:r>
    </w:p>
    <w:p w:rsidR="00A07F17" w:rsidRPr="00A07F17" w:rsidRDefault="00BC5D88" w:rsidP="00A07F17">
      <w:pPr>
        <w:pStyle w:val="SingleTxtG"/>
        <w:rPr>
          <w:lang w:val="es-ES"/>
        </w:rPr>
      </w:pPr>
      <w:r>
        <w:rPr>
          <w:b/>
          <w:lang w:val="es-ES"/>
        </w:rPr>
        <w:t>38.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>Página 18, Anexo 3, sección 3, tabla A3.2.5, enmienda relativa al código de prudencia P501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 xml:space="preserve">Sustancias explosivas insensibilizadas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Explosivos insensibilizados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 xml:space="preserve">En la condición de uso, </w:t>
      </w:r>
      <w:r w:rsidRPr="00A07F17">
        <w:rPr>
          <w:i/>
          <w:lang w:val="es-ES"/>
        </w:rPr>
        <w:t xml:space="preserve">donde </w:t>
      </w:r>
      <w:proofErr w:type="gramStart"/>
      <w:r w:rsidRPr="00A07F17">
        <w:rPr>
          <w:i/>
          <w:lang w:val="es-ES"/>
        </w:rPr>
        <w:t>dice</w:t>
      </w:r>
      <w:r w:rsidRPr="00A07F17">
        <w:rPr>
          <w:lang w:val="es-ES"/>
        </w:rPr>
        <w:t xml:space="preserve"> …</w:t>
      </w:r>
      <w:proofErr w:type="gramEnd"/>
      <w:r w:rsidRPr="00A07F17">
        <w:rPr>
          <w:lang w:val="es-ES"/>
        </w:rPr>
        <w:t xml:space="preserve">de conformidad con </w:t>
      </w:r>
      <w:r w:rsidRPr="00A07F17">
        <w:rPr>
          <w:i/>
          <w:lang w:val="es-ES"/>
        </w:rPr>
        <w:t>debe decir</w:t>
      </w:r>
      <w:r w:rsidRPr="00A07F17">
        <w:rPr>
          <w:lang w:val="es-ES"/>
        </w:rPr>
        <w:t xml:space="preserve"> …conforme a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39.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>Página 19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 xml:space="preserve">En el título del cuadro, </w:t>
      </w: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 xml:space="preserve">Sustancias explosivas insensibilizadas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EXPLOSIVOS INSENSIBILIZADOS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 xml:space="preserve">En la indicación de peligro H206 </w:t>
      </w:r>
      <w:r w:rsidRPr="00A07F17">
        <w:rPr>
          <w:i/>
          <w:lang w:val="es-ES"/>
        </w:rPr>
        <w:t>sustitúyase</w:t>
      </w:r>
      <w:r w:rsidRPr="00A07F17">
        <w:rPr>
          <w:lang w:val="es-ES"/>
        </w:rPr>
        <w:t xml:space="preserve"> onda explosiva </w:t>
      </w:r>
      <w:r w:rsidRPr="00A07F17">
        <w:rPr>
          <w:i/>
          <w:lang w:val="es-ES"/>
        </w:rPr>
        <w:t>por</w:t>
      </w:r>
      <w:r w:rsidRPr="00A07F17">
        <w:rPr>
          <w:lang w:val="es-ES"/>
        </w:rPr>
        <w:t xml:space="preserve"> onda expansiva</w:t>
      </w:r>
    </w:p>
    <w:p w:rsidR="00A07F17" w:rsidRPr="00A07F17" w:rsidRDefault="00A07F17" w:rsidP="00A07F17">
      <w:pPr>
        <w:pStyle w:val="SingleTxtG"/>
        <w:rPr>
          <w:b/>
          <w:lang w:val="es-ES"/>
        </w:rPr>
      </w:pPr>
      <w:r w:rsidRPr="00A07F17">
        <w:rPr>
          <w:lang w:val="es-ES"/>
        </w:rPr>
        <w:t>En el consejo de prudencia P203</w:t>
      </w:r>
      <w:r w:rsidRPr="00A07F17">
        <w:rPr>
          <w:i/>
          <w:lang w:val="es-ES"/>
        </w:rPr>
        <w:t xml:space="preserve"> sustitúyase</w:t>
      </w:r>
      <w:r w:rsidRPr="00A07F17">
        <w:rPr>
          <w:lang w:val="es-ES"/>
        </w:rPr>
        <w:t xml:space="preserve"> humedecido </w:t>
      </w:r>
      <w:r w:rsidRPr="00A07F17">
        <w:rPr>
          <w:i/>
          <w:lang w:val="es-ES"/>
        </w:rPr>
        <w:t>por</w:t>
      </w:r>
      <w:r w:rsidRPr="00A07F17">
        <w:rPr>
          <w:lang w:val="es-ES"/>
        </w:rPr>
        <w:t xml:space="preserve"> humidificado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40.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>Página 20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 xml:space="preserve">En el título del cuadro, </w:t>
      </w: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 xml:space="preserve">Sustancias explosivas insensibilizadas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EXPLOSIVOS INSENSIBILIZADOS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>En el consejo de prudencia P203</w:t>
      </w:r>
      <w:r w:rsidRPr="00A07F17">
        <w:rPr>
          <w:i/>
          <w:lang w:val="es-ES"/>
        </w:rPr>
        <w:t xml:space="preserve"> sustitúyase</w:t>
      </w:r>
      <w:r w:rsidRPr="00A07F17">
        <w:rPr>
          <w:lang w:val="es-ES"/>
        </w:rPr>
        <w:t xml:space="preserve"> humedecido </w:t>
      </w:r>
      <w:r w:rsidRPr="00A07F17">
        <w:rPr>
          <w:i/>
          <w:lang w:val="es-ES"/>
        </w:rPr>
        <w:t>por</w:t>
      </w:r>
      <w:r w:rsidRPr="00A07F17">
        <w:rPr>
          <w:lang w:val="es-ES"/>
        </w:rPr>
        <w:t xml:space="preserve"> humidificado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41.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>Página 20, Anexo 4, Sección 9, enunciado de la enmienda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 xml:space="preserve">SMA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SGA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42.</w:t>
      </w:r>
      <w:r>
        <w:rPr>
          <w:b/>
          <w:lang w:val="es-ES"/>
        </w:rPr>
        <w:tab/>
      </w:r>
      <w:r w:rsidR="00A07F17" w:rsidRPr="004E0AFE">
        <w:rPr>
          <w:b/>
          <w:lang w:val="es-ES"/>
        </w:rPr>
        <w:t xml:space="preserve">Página </w:t>
      </w:r>
      <w:r w:rsidR="00CA023B" w:rsidRPr="004E0AFE">
        <w:rPr>
          <w:b/>
          <w:lang w:val="es-ES"/>
        </w:rPr>
        <w:t>21</w:t>
      </w:r>
      <w:r w:rsidR="00A07F17" w:rsidRPr="004E0AFE">
        <w:rPr>
          <w:b/>
          <w:lang w:val="es-ES"/>
        </w:rPr>
        <w:t>, Anexo 4, Sección 9, párrafo A4.3.9.3</w:t>
      </w:r>
    </w:p>
    <w:p w:rsidR="00A07F17" w:rsidRDefault="00A07F17" w:rsidP="00A07F17">
      <w:pPr>
        <w:pStyle w:val="SingleTxtG"/>
        <w:rPr>
          <w:lang w:val="es-ES"/>
        </w:rPr>
      </w:pP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 xml:space="preserve">y los resultados de los ensayos que, aunque no son necesarios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 xml:space="preserve">y los resultados de las pruebas que, aunque no es obligatorio indicar </w:t>
      </w:r>
    </w:p>
    <w:p w:rsidR="00483121" w:rsidRPr="00A07F17" w:rsidRDefault="00483121" w:rsidP="00A07F17">
      <w:pPr>
        <w:pStyle w:val="SingleTxtG"/>
        <w:rPr>
          <w:lang w:val="es-ES"/>
        </w:rPr>
      </w:pPr>
      <w:r w:rsidRPr="00A07F17">
        <w:rPr>
          <w:i/>
          <w:lang w:val="es-ES"/>
        </w:rPr>
        <w:t xml:space="preserve">Sustitúyase </w:t>
      </w:r>
      <w:r>
        <w:rPr>
          <w:lang w:val="es-ES"/>
        </w:rPr>
        <w:t>unos</w:t>
      </w:r>
      <w:r w:rsidRPr="00A07F17">
        <w:rPr>
          <w:lang w:val="es-ES"/>
        </w:rPr>
        <w:t xml:space="preserve"> resultados de los ensayos </w:t>
      </w:r>
      <w:r>
        <w:rPr>
          <w:lang w:val="es-ES"/>
        </w:rPr>
        <w:t xml:space="preserve">negativos, pero cerca del límite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 xml:space="preserve">resultados </w:t>
      </w:r>
      <w:r>
        <w:rPr>
          <w:lang w:val="es-ES"/>
        </w:rPr>
        <w:t xml:space="preserve">de </w:t>
      </w:r>
      <w:proofErr w:type="gramStart"/>
      <w:r>
        <w:rPr>
          <w:lang w:val="es-ES"/>
        </w:rPr>
        <w:t>ensayo negativos pero próximos</w:t>
      </w:r>
      <w:proofErr w:type="gramEnd"/>
      <w:r>
        <w:rPr>
          <w:lang w:val="es-ES"/>
        </w:rPr>
        <w:t xml:space="preserve"> al valor límite)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43.</w:t>
      </w:r>
      <w:r>
        <w:rPr>
          <w:b/>
          <w:lang w:val="es-ES"/>
        </w:rPr>
        <w:tab/>
      </w:r>
      <w:r w:rsidR="00A07F17" w:rsidRPr="00483121">
        <w:rPr>
          <w:b/>
          <w:lang w:val="es-ES"/>
        </w:rPr>
        <w:t xml:space="preserve">Página </w:t>
      </w:r>
      <w:r w:rsidR="00CA023B" w:rsidRPr="00483121">
        <w:rPr>
          <w:b/>
          <w:lang w:val="es-ES"/>
        </w:rPr>
        <w:t>21</w:t>
      </w:r>
      <w:r w:rsidR="00A07F17" w:rsidRPr="00483121">
        <w:rPr>
          <w:b/>
          <w:lang w:val="es-ES"/>
        </w:rPr>
        <w:t>, Anexo 4, Sección 9, párrafo A4.3.9.4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 xml:space="preserve">y los resultados de los ensayos que no son necesarios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 xml:space="preserve">y los resultados de las pruebas que no es obligatorio indicar 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44.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 xml:space="preserve">Página </w:t>
      </w:r>
      <w:r w:rsidR="004E0AFE">
        <w:rPr>
          <w:b/>
          <w:lang w:val="es-ES"/>
        </w:rPr>
        <w:t>22</w:t>
      </w:r>
      <w:r w:rsidR="00A07F17" w:rsidRPr="00A07F17">
        <w:rPr>
          <w:b/>
          <w:lang w:val="es-ES"/>
        </w:rPr>
        <w:t>, Anexo 4, Sección 9, Tabla A4.3.9.1, fila correspondiente a “Olor”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>En el segundo inciso,</w:t>
      </w:r>
      <w:r w:rsidRPr="00A07F17">
        <w:rPr>
          <w:i/>
          <w:lang w:val="es-ES"/>
        </w:rPr>
        <w:t xml:space="preserve"> sustitúyase </w:t>
      </w:r>
      <w:r w:rsidRPr="00A07F17">
        <w:rPr>
          <w:lang w:val="es-ES"/>
        </w:rPr>
        <w:t xml:space="preserve">umbral del olor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umbral olfativo</w:t>
      </w:r>
    </w:p>
    <w:p w:rsidR="00A07F17" w:rsidRPr="00A07F17" w:rsidRDefault="00BC5D88" w:rsidP="00121BE8">
      <w:pPr>
        <w:pStyle w:val="SingleTxtG"/>
        <w:keepNext/>
        <w:keepLines/>
        <w:rPr>
          <w:b/>
          <w:lang w:val="es-ES"/>
        </w:rPr>
      </w:pPr>
      <w:r>
        <w:rPr>
          <w:b/>
          <w:lang w:val="es-ES"/>
        </w:rPr>
        <w:t>45.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 xml:space="preserve">Página </w:t>
      </w:r>
      <w:r w:rsidR="004E0AFE">
        <w:rPr>
          <w:b/>
          <w:lang w:val="es-ES"/>
        </w:rPr>
        <w:t>22</w:t>
      </w:r>
      <w:r w:rsidR="00A07F17" w:rsidRPr="00A07F17">
        <w:rPr>
          <w:b/>
          <w:lang w:val="es-ES"/>
        </w:rPr>
        <w:t>, Anexo 4, Sección 9, Tabla A4.3.9.1, fila correspondiente a “Punto de ebullición o punto de ebullición inicial e intervalo de ebullición”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>En el segundo inciso,</w:t>
      </w:r>
      <w:r w:rsidRPr="00A07F17">
        <w:rPr>
          <w:i/>
          <w:lang w:val="es-ES"/>
        </w:rPr>
        <w:t xml:space="preserve"> sustitúyase dos veces </w:t>
      </w:r>
      <w:r w:rsidRPr="00A07F17">
        <w:rPr>
          <w:lang w:val="es-ES"/>
        </w:rPr>
        <w:t xml:space="preserve">punto de fusión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punto de ebullición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46.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 xml:space="preserve">Página </w:t>
      </w:r>
      <w:r w:rsidR="00337735">
        <w:rPr>
          <w:b/>
          <w:lang w:val="es-ES"/>
        </w:rPr>
        <w:t>22</w:t>
      </w:r>
      <w:r w:rsidR="00A07F17" w:rsidRPr="00A07F17">
        <w:rPr>
          <w:b/>
          <w:lang w:val="es-ES"/>
        </w:rPr>
        <w:t>, Anexo 4, Sección 9, Tabla A4.3.9.1, fila correspondiente a “Inflamabilidad”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>En el segundo inciso,</w:t>
      </w:r>
      <w:r w:rsidRPr="00A07F17">
        <w:rPr>
          <w:i/>
          <w:lang w:val="es-ES"/>
        </w:rPr>
        <w:t xml:space="preserve"> sustitúyase </w:t>
      </w:r>
      <w:r w:rsidRPr="00A07F17">
        <w:rPr>
          <w:lang w:val="es-ES"/>
        </w:rPr>
        <w:t>en cuanto a la</w:t>
      </w:r>
      <w:r w:rsidRPr="00A07F17">
        <w:rPr>
          <w:i/>
          <w:lang w:val="es-ES"/>
        </w:rPr>
        <w:t xml:space="preserve"> </w:t>
      </w:r>
      <w:r w:rsidRPr="00A07F17">
        <w:rPr>
          <w:lang w:val="es-ES"/>
        </w:rPr>
        <w:t xml:space="preserve">inflamabilidad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como inflamable</w:t>
      </w:r>
    </w:p>
    <w:p w:rsidR="00A07F17" w:rsidRPr="00A07F17" w:rsidRDefault="00A07F17" w:rsidP="00A07F17">
      <w:pPr>
        <w:pStyle w:val="SingleTxtG"/>
        <w:rPr>
          <w:lang w:val="es-ES" w:eastAsia="zh-CN"/>
        </w:rPr>
      </w:pPr>
      <w:r w:rsidRPr="00A07F17">
        <w:rPr>
          <w:lang w:val="es-ES"/>
        </w:rPr>
        <w:t xml:space="preserve">En el último inciso, </w:t>
      </w:r>
      <w:r w:rsidRPr="00A07F17">
        <w:rPr>
          <w:i/>
          <w:lang w:val="es-ES"/>
        </w:rPr>
        <w:t>sustitúyase</w:t>
      </w:r>
      <w:r w:rsidRPr="00A07F17">
        <w:rPr>
          <w:lang w:val="es-ES"/>
        </w:rPr>
        <w:t xml:space="preserve"> los riesgos correspondientes </w:t>
      </w:r>
      <w:r w:rsidRPr="00A07F17">
        <w:rPr>
          <w:i/>
          <w:lang w:val="es-ES"/>
        </w:rPr>
        <w:t>por</w:t>
      </w:r>
      <w:r w:rsidRPr="00A07F17">
        <w:rPr>
          <w:lang w:val="es-ES" w:eastAsia="zh-CN"/>
        </w:rPr>
        <w:t xml:space="preserve"> los peligros correspondientes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47.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 xml:space="preserve">Página </w:t>
      </w:r>
      <w:r w:rsidR="00337735">
        <w:rPr>
          <w:b/>
          <w:lang w:val="es-ES"/>
        </w:rPr>
        <w:t>23</w:t>
      </w:r>
      <w:r w:rsidR="00A07F17" w:rsidRPr="00A07F17">
        <w:rPr>
          <w:b/>
          <w:lang w:val="es-ES"/>
        </w:rPr>
        <w:t>, Anexo 4, Sección 9, Tabla A4.3.9.1, fila correspondiente a “Temperatura de ignición espontánea”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>En el segundo inciso,</w:t>
      </w:r>
      <w:r w:rsidRPr="00A07F17">
        <w:rPr>
          <w:i/>
          <w:lang w:val="es-ES"/>
        </w:rPr>
        <w:t xml:space="preserve"> sustitúyase </w:t>
      </w:r>
      <w:r w:rsidRPr="00A07F17">
        <w:rPr>
          <w:lang w:val="es-ES"/>
        </w:rPr>
        <w:t xml:space="preserve">ingredientes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componentes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48.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 xml:space="preserve">Página </w:t>
      </w:r>
      <w:r w:rsidR="00337735">
        <w:rPr>
          <w:b/>
          <w:lang w:val="es-ES"/>
        </w:rPr>
        <w:t>24</w:t>
      </w:r>
      <w:r w:rsidR="00A07F17" w:rsidRPr="00A07F17">
        <w:rPr>
          <w:b/>
          <w:lang w:val="es-ES"/>
        </w:rPr>
        <w:t>, Anexo 4, Sección 9, Tabla A4.3.9.1, fila correspondiente a “Presión de vapor”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>En el cuarto inciso:</w:t>
      </w:r>
    </w:p>
    <w:p w:rsidR="00A07F17" w:rsidRPr="00A07F17" w:rsidRDefault="00A07F17" w:rsidP="00A07F17">
      <w:pPr>
        <w:pStyle w:val="Bullet1G"/>
        <w:numPr>
          <w:ilvl w:val="0"/>
          <w:numId w:val="16"/>
        </w:numPr>
        <w:tabs>
          <w:tab w:val="clear" w:pos="1701"/>
          <w:tab w:val="num" w:pos="1418"/>
        </w:tabs>
        <w:suppressAutoHyphens w:val="0"/>
        <w:ind w:left="1418" w:hanging="284"/>
        <w:rPr>
          <w:lang w:val="es-ES"/>
        </w:rPr>
      </w:pP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 xml:space="preserve">mezclas de gases licuadas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mezclas de gases licuados</w:t>
      </w:r>
    </w:p>
    <w:p w:rsidR="00A07F17" w:rsidRPr="00A07F17" w:rsidRDefault="00A07F17" w:rsidP="00A07F17">
      <w:pPr>
        <w:pStyle w:val="Bullet1G"/>
        <w:numPr>
          <w:ilvl w:val="0"/>
          <w:numId w:val="16"/>
        </w:numPr>
        <w:tabs>
          <w:tab w:val="clear" w:pos="1701"/>
          <w:tab w:val="num" w:pos="1418"/>
        </w:tabs>
        <w:suppressAutoHyphens w:val="0"/>
        <w:ind w:left="1418" w:hanging="284"/>
        <w:rPr>
          <w:lang w:val="es-ES"/>
        </w:rPr>
      </w:pP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 xml:space="preserve">ingredientes </w:t>
      </w:r>
      <w:r w:rsidRPr="00A07F17">
        <w:rPr>
          <w:i/>
          <w:lang w:val="es-ES"/>
        </w:rPr>
        <w:t>por</w:t>
      </w:r>
      <w:r w:rsidRPr="00A07F17">
        <w:rPr>
          <w:lang w:val="es-ES"/>
        </w:rPr>
        <w:t xml:space="preserve"> componentes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 xml:space="preserve">En el </w:t>
      </w:r>
      <w:r w:rsidR="00EA2CBE">
        <w:rPr>
          <w:lang w:val="es-ES"/>
        </w:rPr>
        <w:t xml:space="preserve">tercer, </w:t>
      </w:r>
      <w:r w:rsidR="006C27F8">
        <w:rPr>
          <w:lang w:val="es-ES"/>
        </w:rPr>
        <w:t xml:space="preserve">cuarto y </w:t>
      </w:r>
      <w:r w:rsidRPr="00A07F17">
        <w:rPr>
          <w:lang w:val="es-ES"/>
        </w:rPr>
        <w:t>quinto inciso</w:t>
      </w:r>
      <w:r w:rsidR="006C27F8">
        <w:rPr>
          <w:lang w:val="es-ES"/>
        </w:rPr>
        <w:t>s</w:t>
      </w:r>
      <w:r w:rsidRPr="00A07F17">
        <w:rPr>
          <w:lang w:val="es-ES"/>
        </w:rPr>
        <w:t xml:space="preserve"> </w:t>
      </w: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 xml:space="preserve">de gases licuadas </w:t>
      </w:r>
      <w:r w:rsidRPr="00A07F17">
        <w:rPr>
          <w:i/>
          <w:lang w:val="es-ES"/>
        </w:rPr>
        <w:t>por</w:t>
      </w:r>
      <w:r w:rsidRPr="00A07F17">
        <w:rPr>
          <w:lang w:val="es-ES"/>
        </w:rPr>
        <w:t xml:space="preserve"> de gases licuados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49.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 xml:space="preserve">Página </w:t>
      </w:r>
      <w:r w:rsidR="005F7DF5">
        <w:rPr>
          <w:b/>
          <w:lang w:val="es-ES"/>
        </w:rPr>
        <w:t>25</w:t>
      </w:r>
      <w:r w:rsidR="00A07F17" w:rsidRPr="00A07F17">
        <w:rPr>
          <w:b/>
          <w:lang w:val="es-ES"/>
        </w:rPr>
        <w:t>, Anexo 4, Sección 9, texto introductorio de la Tabla A4.3.9.2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>En el primer párrafo:</w:t>
      </w:r>
    </w:p>
    <w:p w:rsidR="00A07F17" w:rsidRPr="00A07F17" w:rsidRDefault="00A07F17" w:rsidP="00A07F17">
      <w:pPr>
        <w:pStyle w:val="Bullet1G"/>
        <w:numPr>
          <w:ilvl w:val="0"/>
          <w:numId w:val="16"/>
        </w:numPr>
        <w:tabs>
          <w:tab w:val="clear" w:pos="1701"/>
          <w:tab w:val="num" w:pos="1418"/>
        </w:tabs>
        <w:suppressAutoHyphens w:val="0"/>
        <w:ind w:left="1418" w:hanging="284"/>
        <w:rPr>
          <w:lang w:val="es-ES"/>
        </w:rPr>
      </w:pP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>los ensayos que no son necesarios en las FDS</w:t>
      </w:r>
      <w:r w:rsidRPr="00A07F17">
        <w:rPr>
          <w:i/>
          <w:lang w:val="es-ES"/>
        </w:rPr>
        <w:t xml:space="preserve">  por </w:t>
      </w:r>
      <w:r w:rsidRPr="00A07F17">
        <w:rPr>
          <w:lang w:val="es-ES"/>
        </w:rPr>
        <w:t>las pruebas que no es obligatorio indicar en la FDS</w:t>
      </w:r>
    </w:p>
    <w:p w:rsidR="00A07F17" w:rsidRPr="00A07F17" w:rsidRDefault="00A07F17" w:rsidP="00A07F17">
      <w:pPr>
        <w:pStyle w:val="Bullet1G"/>
        <w:numPr>
          <w:ilvl w:val="0"/>
          <w:numId w:val="16"/>
        </w:numPr>
        <w:tabs>
          <w:tab w:val="clear" w:pos="1701"/>
          <w:tab w:val="num" w:pos="1418"/>
        </w:tabs>
        <w:suppressAutoHyphens w:val="0"/>
        <w:ind w:left="1418" w:hanging="284"/>
        <w:rPr>
          <w:lang w:val="es-ES"/>
        </w:rPr>
      </w:pPr>
      <w:r w:rsidRPr="00A07F17">
        <w:rPr>
          <w:i/>
          <w:lang w:val="es-ES"/>
        </w:rPr>
        <w:t>Sustitúyase</w:t>
      </w:r>
      <w:r w:rsidRPr="00A07F17">
        <w:rPr>
          <w:lang w:val="es-ES"/>
        </w:rPr>
        <w:t xml:space="preserve"> (por ejemplo, unos resultados de los ensayos negativos, pero cerca del límite)</w:t>
      </w:r>
      <w:r w:rsidRPr="00A07F17">
        <w:rPr>
          <w:i/>
          <w:lang w:val="es-ES"/>
        </w:rPr>
        <w:t xml:space="preserve"> por </w:t>
      </w:r>
      <w:r w:rsidRPr="00A07F17">
        <w:rPr>
          <w:lang w:val="es-ES"/>
        </w:rPr>
        <w:t xml:space="preserve">(resultados negativos de </w:t>
      </w:r>
      <w:r w:rsidR="00EA2CBE">
        <w:rPr>
          <w:lang w:val="es-ES"/>
        </w:rPr>
        <w:t>las pruebas</w:t>
      </w:r>
      <w:r w:rsidRPr="00A07F17">
        <w:rPr>
          <w:lang w:val="es-ES"/>
        </w:rPr>
        <w:t>, pero próximos a los valores límite)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 xml:space="preserve">En el último párrafo </w:t>
      </w: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 xml:space="preserve">métodos de ensayo </w:t>
      </w:r>
      <w:r w:rsidRPr="00A07F17">
        <w:rPr>
          <w:i/>
          <w:lang w:val="es-ES"/>
        </w:rPr>
        <w:t>por</w:t>
      </w:r>
      <w:r w:rsidRPr="00A07F17">
        <w:rPr>
          <w:lang w:val="es-ES"/>
        </w:rPr>
        <w:t xml:space="preserve"> métodos de prueba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50.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 xml:space="preserve">Página </w:t>
      </w:r>
      <w:r w:rsidR="005F7DF5">
        <w:rPr>
          <w:b/>
          <w:lang w:val="es-ES"/>
        </w:rPr>
        <w:t>26</w:t>
      </w:r>
      <w:r w:rsidR="00A07F17" w:rsidRPr="00A07F17">
        <w:rPr>
          <w:b/>
          <w:lang w:val="es-ES"/>
        </w:rPr>
        <w:t>, Anexo 4, Sección 9, Tabla A4.3.9.2 encabezado de la tercera columna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i/>
          <w:lang w:val="es-ES"/>
        </w:rPr>
        <w:t>Sustitúyase</w:t>
      </w:r>
      <w:r w:rsidRPr="00A07F17">
        <w:rPr>
          <w:lang w:val="es-ES"/>
        </w:rPr>
        <w:t xml:space="preserve"> del Ensayo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de la</w:t>
      </w:r>
      <w:r w:rsidRPr="00A07F17">
        <w:rPr>
          <w:i/>
          <w:lang w:val="es-ES"/>
        </w:rPr>
        <w:t xml:space="preserve"> </w:t>
      </w:r>
      <w:r w:rsidRPr="00A07F17">
        <w:rPr>
          <w:lang w:val="es-ES"/>
        </w:rPr>
        <w:t>prueba</w:t>
      </w:r>
    </w:p>
    <w:p w:rsidR="00A07F17" w:rsidRPr="00A07F17" w:rsidRDefault="00BC5D88" w:rsidP="00E130FB">
      <w:pPr>
        <w:pStyle w:val="SingleTxtG"/>
        <w:keepNext/>
        <w:keepLines/>
        <w:rPr>
          <w:b/>
          <w:lang w:val="es-ES"/>
        </w:rPr>
      </w:pPr>
      <w:r>
        <w:rPr>
          <w:b/>
          <w:lang w:val="es-ES"/>
        </w:rPr>
        <w:t>51.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 xml:space="preserve">Página </w:t>
      </w:r>
      <w:r w:rsidR="005F7DF5">
        <w:rPr>
          <w:b/>
          <w:lang w:val="es-ES"/>
        </w:rPr>
        <w:t>26</w:t>
      </w:r>
      <w:r w:rsidR="00A07F17" w:rsidRPr="00A07F17">
        <w:rPr>
          <w:b/>
          <w:lang w:val="es-ES"/>
        </w:rPr>
        <w:t>, Anexo 4, Sección 9, Tabla A4.3.9.2, fila correspondiente a “Explosivos”</w:t>
      </w:r>
    </w:p>
    <w:p w:rsidR="00A07F17" w:rsidRPr="00A07F17" w:rsidRDefault="00A07F17" w:rsidP="00E130FB">
      <w:pPr>
        <w:pStyle w:val="SingleTxtG"/>
        <w:keepNext/>
        <w:keepLines/>
        <w:rPr>
          <w:b/>
          <w:lang w:val="es-ES"/>
        </w:rPr>
      </w:pPr>
      <w:r w:rsidRPr="00A07F17">
        <w:rPr>
          <w:lang w:val="es-ES"/>
        </w:rPr>
        <w:t>Siempre que aparezca,</w:t>
      </w:r>
      <w:r w:rsidRPr="00A07F17">
        <w:rPr>
          <w:b/>
          <w:lang w:val="es-ES"/>
        </w:rPr>
        <w:t xml:space="preserve"> </w:t>
      </w:r>
      <w:r w:rsidRPr="00A07F17">
        <w:rPr>
          <w:i/>
          <w:lang w:val="es-ES"/>
        </w:rPr>
        <w:t>sustitúyase</w:t>
      </w:r>
      <w:r w:rsidRPr="00A07F17">
        <w:rPr>
          <w:lang w:val="es-ES"/>
        </w:rPr>
        <w:t xml:space="preserve"> el ensayo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la</w:t>
      </w:r>
      <w:r w:rsidRPr="00A07F17">
        <w:rPr>
          <w:i/>
          <w:lang w:val="es-ES"/>
        </w:rPr>
        <w:t xml:space="preserve"> </w:t>
      </w:r>
      <w:r w:rsidRPr="00A07F17">
        <w:rPr>
          <w:lang w:val="es-ES"/>
        </w:rPr>
        <w:t>prueba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>Siempre que aparezca,</w:t>
      </w:r>
      <w:r w:rsidRPr="00A07F17">
        <w:rPr>
          <w:b/>
          <w:lang w:val="es-ES"/>
        </w:rPr>
        <w:t xml:space="preserve"> </w:t>
      </w:r>
      <w:r w:rsidRPr="00A07F17">
        <w:rPr>
          <w:i/>
          <w:lang w:val="es-ES"/>
        </w:rPr>
        <w:t>sustitúyase</w:t>
      </w:r>
      <w:r w:rsidRPr="00A07F17">
        <w:rPr>
          <w:lang w:val="es-ES"/>
        </w:rPr>
        <w:t xml:space="preserve"> artículo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sección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 xml:space="preserve">En el tercer inciso, </w:t>
      </w:r>
      <w:r w:rsidRPr="00A07F17">
        <w:rPr>
          <w:i/>
          <w:lang w:val="es-ES"/>
        </w:rPr>
        <w:t>sustitúyase</w:t>
      </w:r>
      <w:r w:rsidRPr="00A07F17">
        <w:rPr>
          <w:lang w:val="es-ES"/>
        </w:rPr>
        <w:t xml:space="preserve"> ignición en condiciones de aislamiento </w:t>
      </w:r>
      <w:r w:rsidRPr="00A07F17">
        <w:rPr>
          <w:i/>
          <w:lang w:val="es-ES"/>
        </w:rPr>
        <w:t>por</w:t>
      </w:r>
      <w:r w:rsidRPr="00A07F17">
        <w:rPr>
          <w:lang w:val="es-ES"/>
        </w:rPr>
        <w:t xml:space="preserve"> inflamación en un espacio limitado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>En el séptimo inciso:</w:t>
      </w:r>
    </w:p>
    <w:p w:rsidR="00A07F17" w:rsidRPr="00A07F17" w:rsidRDefault="00A07F17" w:rsidP="00A07F17">
      <w:pPr>
        <w:pStyle w:val="Bullet1G"/>
        <w:numPr>
          <w:ilvl w:val="0"/>
          <w:numId w:val="16"/>
        </w:numPr>
        <w:tabs>
          <w:tab w:val="clear" w:pos="1701"/>
          <w:tab w:val="num" w:pos="1418"/>
        </w:tabs>
        <w:suppressAutoHyphens w:val="0"/>
        <w:ind w:left="1418" w:hanging="284"/>
        <w:rPr>
          <w:lang w:val="es-ES"/>
        </w:rPr>
      </w:pP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>que est</w:t>
      </w:r>
      <w:r w:rsidR="005F7DF5">
        <w:rPr>
          <w:lang w:val="es-ES"/>
        </w:rPr>
        <w:t>á</w:t>
      </w:r>
      <w:r w:rsidRPr="00A07F17">
        <w:rPr>
          <w:lang w:val="es-ES"/>
        </w:rPr>
        <w:t>n exentos sobre la base de</w:t>
      </w:r>
      <w:r w:rsidRPr="00A07F17">
        <w:rPr>
          <w:i/>
          <w:lang w:val="es-ES"/>
        </w:rPr>
        <w:t xml:space="preserve"> por </w:t>
      </w:r>
      <w:r w:rsidRPr="00A07F17">
        <w:rPr>
          <w:lang w:val="es-ES"/>
        </w:rPr>
        <w:t>exentas conforme a lo dispuesto en</w:t>
      </w:r>
    </w:p>
    <w:p w:rsidR="00A07F17" w:rsidRPr="00A07F17" w:rsidRDefault="00A07F17" w:rsidP="00A07F17">
      <w:pPr>
        <w:pStyle w:val="Bullet1G"/>
        <w:numPr>
          <w:ilvl w:val="0"/>
          <w:numId w:val="16"/>
        </w:numPr>
        <w:tabs>
          <w:tab w:val="clear" w:pos="1701"/>
          <w:tab w:val="num" w:pos="1418"/>
        </w:tabs>
        <w:suppressAutoHyphens w:val="0"/>
        <w:ind w:left="1418" w:hanging="284"/>
        <w:rPr>
          <w:lang w:val="es-ES"/>
        </w:rPr>
      </w:pP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>condiciones de aislamiento</w:t>
      </w:r>
      <w:r w:rsidRPr="00A07F17">
        <w:rPr>
          <w:i/>
          <w:lang w:val="es-ES"/>
        </w:rPr>
        <w:t xml:space="preserve"> por </w:t>
      </w:r>
      <w:r w:rsidRPr="00A07F17">
        <w:rPr>
          <w:lang w:val="es-ES"/>
        </w:rPr>
        <w:t>un espacio limitado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52.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 xml:space="preserve">Página </w:t>
      </w:r>
      <w:r w:rsidR="005F7DF5">
        <w:rPr>
          <w:b/>
          <w:lang w:val="es-ES"/>
        </w:rPr>
        <w:t>27</w:t>
      </w:r>
      <w:r w:rsidR="00A07F17" w:rsidRPr="00A07F17">
        <w:rPr>
          <w:b/>
          <w:lang w:val="es-ES"/>
        </w:rPr>
        <w:t>, Anexo 4, Sección 9, Tabla A4.3.9.2, fila correspondiente a “líquidos inflamables”</w:t>
      </w:r>
    </w:p>
    <w:p w:rsidR="00A07F17" w:rsidRPr="00A07F17" w:rsidRDefault="00A07F17" w:rsidP="00A07F17">
      <w:pPr>
        <w:pStyle w:val="SingleTxtG"/>
        <w:rPr>
          <w:b/>
          <w:lang w:val="es-ES"/>
        </w:rPr>
      </w:pPr>
      <w:r w:rsidRPr="00A07F17">
        <w:rPr>
          <w:i/>
          <w:lang w:val="es-ES"/>
        </w:rPr>
        <w:t>Sustitúyase</w:t>
      </w:r>
      <w:r w:rsidRPr="00A07F17">
        <w:rPr>
          <w:lang w:val="es-ES"/>
        </w:rPr>
        <w:t xml:space="preserve"> el ensayo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la</w:t>
      </w:r>
      <w:r w:rsidRPr="00A07F17">
        <w:rPr>
          <w:i/>
          <w:lang w:val="es-ES"/>
        </w:rPr>
        <w:t xml:space="preserve"> </w:t>
      </w:r>
      <w:r w:rsidRPr="00A07F17">
        <w:rPr>
          <w:lang w:val="es-ES"/>
        </w:rPr>
        <w:t>prueba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53.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 xml:space="preserve">Página </w:t>
      </w:r>
      <w:r w:rsidR="005F7DF5">
        <w:rPr>
          <w:b/>
          <w:lang w:val="es-ES"/>
        </w:rPr>
        <w:t>27</w:t>
      </w:r>
      <w:r w:rsidR="00A07F17" w:rsidRPr="00A07F17">
        <w:rPr>
          <w:b/>
          <w:lang w:val="es-ES"/>
        </w:rPr>
        <w:t>, Anexo 4, Sección 9, Tabla A4.3.9.2, fila correspondiente a “Sólidos inflamables”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i/>
          <w:lang w:val="es-ES"/>
        </w:rPr>
        <w:t>Sustitúyase</w:t>
      </w:r>
      <w:r w:rsidRPr="00A07F17">
        <w:rPr>
          <w:lang w:val="es-ES"/>
        </w:rPr>
        <w:t xml:space="preserve"> el ensayo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la</w:t>
      </w:r>
      <w:r w:rsidRPr="00A07F17">
        <w:rPr>
          <w:i/>
          <w:lang w:val="es-ES"/>
        </w:rPr>
        <w:t xml:space="preserve"> </w:t>
      </w:r>
      <w:r w:rsidRPr="00A07F17">
        <w:rPr>
          <w:lang w:val="es-ES"/>
        </w:rPr>
        <w:t>prueba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i/>
          <w:lang w:val="es-ES"/>
        </w:rPr>
        <w:t>Sustitúyase</w:t>
      </w:r>
      <w:r w:rsidRPr="00A07F17">
        <w:rPr>
          <w:lang w:val="es-ES"/>
        </w:rPr>
        <w:t xml:space="preserve"> de metales </w:t>
      </w:r>
      <w:r w:rsidRPr="00A07F17">
        <w:rPr>
          <w:i/>
          <w:lang w:val="es-ES"/>
        </w:rPr>
        <w:t>por</w:t>
      </w:r>
      <w:r w:rsidRPr="00A07F17">
        <w:rPr>
          <w:lang w:val="es-ES"/>
        </w:rPr>
        <w:t xml:space="preserve"> metálicos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54.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 xml:space="preserve">Página </w:t>
      </w:r>
      <w:r w:rsidR="005F7DF5">
        <w:rPr>
          <w:b/>
          <w:lang w:val="es-ES"/>
        </w:rPr>
        <w:t>27</w:t>
      </w:r>
      <w:r w:rsidR="00A07F17" w:rsidRPr="00A07F17">
        <w:rPr>
          <w:b/>
          <w:lang w:val="es-ES"/>
        </w:rPr>
        <w:t>, Anexo 4, Sección 9, Tabla A4.3.9.2, fila correspondiente a “líquidos pirofóricos”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i/>
          <w:lang w:val="es-ES"/>
        </w:rPr>
        <w:t>Sustitúyase</w:t>
      </w:r>
      <w:r w:rsidRPr="00A07F17">
        <w:rPr>
          <w:lang w:val="es-ES"/>
        </w:rPr>
        <w:t xml:space="preserve"> el ensayo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la</w:t>
      </w:r>
      <w:r w:rsidRPr="00A07F17">
        <w:rPr>
          <w:i/>
          <w:lang w:val="es-ES"/>
        </w:rPr>
        <w:t xml:space="preserve"> </w:t>
      </w:r>
      <w:r w:rsidRPr="00A07F17">
        <w:rPr>
          <w:lang w:val="es-ES"/>
        </w:rPr>
        <w:t>prueba</w:t>
      </w:r>
    </w:p>
    <w:p w:rsidR="00A07F17" w:rsidRPr="00A07F17" w:rsidRDefault="00A07F17" w:rsidP="00A07F17">
      <w:pPr>
        <w:pStyle w:val="SingleTxtG"/>
        <w:rPr>
          <w:lang w:val="es-ES" w:eastAsia="zh-CN"/>
        </w:rPr>
      </w:pPr>
      <w:r w:rsidRPr="00A07F17">
        <w:rPr>
          <w:i/>
          <w:lang w:val="es-ES"/>
        </w:rPr>
        <w:t>Sustitúyase</w:t>
      </w:r>
      <w:r w:rsidRPr="00A07F17">
        <w:rPr>
          <w:lang w:val="es-ES"/>
        </w:rPr>
        <w:t xml:space="preserve"> </w:t>
      </w:r>
      <w:r w:rsidR="00C342D8">
        <w:rPr>
          <w:lang w:val="es-ES"/>
        </w:rPr>
        <w:t xml:space="preserve">se carboniza </w:t>
      </w:r>
      <w:r w:rsidRPr="00A07F17">
        <w:rPr>
          <w:lang w:val="es-ES"/>
        </w:rPr>
        <w:t xml:space="preserve">en el aire </w:t>
      </w:r>
      <w:r w:rsidRPr="00A07F17">
        <w:rPr>
          <w:i/>
          <w:lang w:val="es-ES"/>
        </w:rPr>
        <w:t>por</w:t>
      </w:r>
      <w:r w:rsidRPr="00A07F17">
        <w:rPr>
          <w:lang w:val="es-ES"/>
        </w:rPr>
        <w:t xml:space="preserve"> </w:t>
      </w:r>
      <w:proofErr w:type="spellStart"/>
      <w:r w:rsidR="00C342D8">
        <w:rPr>
          <w:lang w:val="es-ES"/>
        </w:rPr>
        <w:t>se</w:t>
      </w:r>
      <w:proofErr w:type="spellEnd"/>
      <w:r w:rsidR="00C342D8">
        <w:rPr>
          <w:lang w:val="es-ES"/>
        </w:rPr>
        <w:t xml:space="preserve"> carboniza </w:t>
      </w:r>
      <w:r w:rsidRPr="00A07F17">
        <w:rPr>
          <w:lang w:val="es-ES"/>
        </w:rPr>
        <w:t>en contacto con el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55.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 xml:space="preserve">Página </w:t>
      </w:r>
      <w:r w:rsidR="00C342D8">
        <w:rPr>
          <w:b/>
          <w:lang w:val="es-ES"/>
        </w:rPr>
        <w:t>27</w:t>
      </w:r>
      <w:r w:rsidR="00A07F17" w:rsidRPr="00A07F17">
        <w:rPr>
          <w:b/>
          <w:lang w:val="es-ES"/>
        </w:rPr>
        <w:t>, Anexo 4, Sección 9, Tabla A4.3.9.2, fila correspondiente a “sólidos pirofóricos”</w:t>
      </w:r>
    </w:p>
    <w:p w:rsidR="00A07F17" w:rsidRPr="00A07F17" w:rsidRDefault="00A07F17" w:rsidP="00A07F17">
      <w:pPr>
        <w:pStyle w:val="SingleTxtG"/>
        <w:rPr>
          <w:lang w:val="es-ES" w:eastAsia="zh-CN"/>
        </w:rPr>
      </w:pPr>
      <w:r w:rsidRPr="00A07F17">
        <w:rPr>
          <w:i/>
          <w:lang w:val="es-ES"/>
        </w:rPr>
        <w:t>Sustitúyase</w:t>
      </w:r>
      <w:r w:rsidRPr="00A07F17">
        <w:rPr>
          <w:lang w:val="es-ES"/>
        </w:rPr>
        <w:t xml:space="preserve"> cuando se vierte en un intervalo de cinco minutos </w:t>
      </w:r>
      <w:r w:rsidRPr="00A07F17">
        <w:rPr>
          <w:i/>
          <w:lang w:val="es-ES"/>
        </w:rPr>
        <w:t>por</w:t>
      </w:r>
      <w:r w:rsidRPr="00A07F17">
        <w:rPr>
          <w:lang w:val="es-ES"/>
        </w:rPr>
        <w:t xml:space="preserve"> cuando se vierte, o en un intervalo de cinco minutos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i/>
          <w:lang w:val="es-ES"/>
        </w:rPr>
        <w:t>Sustitúyase</w:t>
      </w:r>
      <w:r w:rsidRPr="00A07F17">
        <w:rPr>
          <w:lang w:val="es-ES"/>
        </w:rPr>
        <w:t xml:space="preserve"> el ensayo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la</w:t>
      </w:r>
      <w:r w:rsidRPr="00A07F17">
        <w:rPr>
          <w:i/>
          <w:lang w:val="es-ES"/>
        </w:rPr>
        <w:t xml:space="preserve"> </w:t>
      </w:r>
      <w:r w:rsidRPr="00A07F17">
        <w:rPr>
          <w:lang w:val="es-ES"/>
        </w:rPr>
        <w:t>prueba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56.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 xml:space="preserve">Página </w:t>
      </w:r>
      <w:r w:rsidR="00C342D8">
        <w:rPr>
          <w:b/>
          <w:lang w:val="es-ES"/>
        </w:rPr>
        <w:t>28</w:t>
      </w:r>
      <w:r w:rsidR="00A07F17" w:rsidRPr="00A07F17">
        <w:rPr>
          <w:b/>
          <w:lang w:val="es-ES"/>
        </w:rPr>
        <w:t>, Anexo 4, Sección 9, Tabla A4.3.9.2, fila correspondiente a “sustancias y mezclas que experimentan calentamiento espontáneo”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i/>
          <w:lang w:val="es-ES"/>
        </w:rPr>
        <w:t>Sustitúyase</w:t>
      </w:r>
      <w:r w:rsidRPr="00A07F17">
        <w:rPr>
          <w:lang w:val="es-ES"/>
        </w:rPr>
        <w:t xml:space="preserve"> el ensayo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la</w:t>
      </w:r>
      <w:r w:rsidRPr="00A07F17">
        <w:rPr>
          <w:i/>
          <w:lang w:val="es-ES"/>
        </w:rPr>
        <w:t xml:space="preserve"> </w:t>
      </w:r>
      <w:r w:rsidRPr="00A07F17">
        <w:rPr>
          <w:lang w:val="es-ES"/>
        </w:rPr>
        <w:t>prueba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i/>
          <w:lang w:val="es-ES"/>
        </w:rPr>
        <w:t>Sustitúyase</w:t>
      </w:r>
      <w:r w:rsidRPr="00A07F17">
        <w:rPr>
          <w:lang w:val="es-ES"/>
        </w:rPr>
        <w:t xml:space="preserve"> ensayos de detección  </w:t>
      </w:r>
      <w:r w:rsidRPr="00A07F17">
        <w:rPr>
          <w:i/>
          <w:lang w:val="es-ES"/>
        </w:rPr>
        <w:t>por</w:t>
      </w:r>
      <w:r w:rsidRPr="00A07F17">
        <w:rPr>
          <w:lang w:val="es-ES"/>
        </w:rPr>
        <w:t xml:space="preserve"> ensayos de selección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57.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 xml:space="preserve">Página </w:t>
      </w:r>
      <w:r w:rsidR="00C342D8">
        <w:rPr>
          <w:b/>
          <w:lang w:val="es-ES"/>
        </w:rPr>
        <w:t>28</w:t>
      </w:r>
      <w:r w:rsidR="00A07F17" w:rsidRPr="00A07F17">
        <w:rPr>
          <w:b/>
          <w:lang w:val="es-ES"/>
        </w:rPr>
        <w:t>, Anexo 4, Sección 9, Tabla A4.3.9.2, fila correspondiente a “sustancias y mezclas que, en contacto con el agua, desprenden gases inflamables”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i/>
          <w:lang w:val="es-ES"/>
        </w:rPr>
        <w:t>Sustitúyase dos veces</w:t>
      </w:r>
      <w:r w:rsidRPr="00A07F17">
        <w:rPr>
          <w:lang w:val="es-ES"/>
        </w:rPr>
        <w:t xml:space="preserve"> el ensayo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la</w:t>
      </w:r>
      <w:r w:rsidRPr="00A07F17">
        <w:rPr>
          <w:i/>
          <w:lang w:val="es-ES"/>
        </w:rPr>
        <w:t xml:space="preserve"> </w:t>
      </w:r>
      <w:r w:rsidRPr="00A07F17">
        <w:rPr>
          <w:lang w:val="es-ES"/>
        </w:rPr>
        <w:t>prueba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i/>
          <w:lang w:val="es-ES"/>
        </w:rPr>
        <w:t>Sustitúyase</w:t>
      </w:r>
      <w:r w:rsidRPr="00A07F17">
        <w:rPr>
          <w:lang w:val="es-ES"/>
        </w:rPr>
        <w:t xml:space="preserve"> la tasa de evolución </w:t>
      </w:r>
      <w:r w:rsidRPr="00A07F17">
        <w:rPr>
          <w:i/>
          <w:lang w:val="es-ES"/>
        </w:rPr>
        <w:t>por</w:t>
      </w:r>
      <w:r w:rsidRPr="00A07F17">
        <w:rPr>
          <w:lang w:val="es-ES"/>
        </w:rPr>
        <w:t xml:space="preserve"> el régimen de emanación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58.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 xml:space="preserve">Página </w:t>
      </w:r>
      <w:r w:rsidR="00C342D8">
        <w:rPr>
          <w:b/>
          <w:lang w:val="es-ES"/>
        </w:rPr>
        <w:t>28</w:t>
      </w:r>
      <w:r w:rsidR="00A07F17" w:rsidRPr="00A07F17">
        <w:rPr>
          <w:b/>
          <w:lang w:val="es-ES"/>
        </w:rPr>
        <w:t>, Anexo 4, Sección 9, Tabla A4.3.9.2, fila correspondiente a “líquidos comburentes”</w:t>
      </w:r>
    </w:p>
    <w:p w:rsidR="00A07F17" w:rsidRPr="00A07F17" w:rsidRDefault="00A07F17" w:rsidP="00A07F17">
      <w:pPr>
        <w:pStyle w:val="SingleTxtG"/>
        <w:rPr>
          <w:b/>
          <w:lang w:val="es-ES"/>
        </w:rPr>
      </w:pPr>
      <w:r w:rsidRPr="00A07F17">
        <w:rPr>
          <w:i/>
          <w:lang w:val="es-ES"/>
        </w:rPr>
        <w:t>Sustitúyase</w:t>
      </w:r>
      <w:r w:rsidRPr="00A07F17">
        <w:rPr>
          <w:lang w:val="es-ES"/>
        </w:rPr>
        <w:t xml:space="preserve"> </w:t>
      </w:r>
      <w:r w:rsidRPr="00A07F17">
        <w:rPr>
          <w:i/>
          <w:lang w:val="es-ES"/>
        </w:rPr>
        <w:t>dos veces</w:t>
      </w:r>
      <w:r w:rsidRPr="00A07F17">
        <w:rPr>
          <w:lang w:val="es-ES"/>
        </w:rPr>
        <w:t xml:space="preserve"> el ensayo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la</w:t>
      </w:r>
      <w:r w:rsidRPr="00A07F17">
        <w:rPr>
          <w:i/>
          <w:lang w:val="es-ES"/>
        </w:rPr>
        <w:t xml:space="preserve"> </w:t>
      </w:r>
      <w:r w:rsidRPr="00A07F17">
        <w:rPr>
          <w:lang w:val="es-ES"/>
        </w:rPr>
        <w:t>prueba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59.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 xml:space="preserve">Página </w:t>
      </w:r>
      <w:r w:rsidR="00C342D8">
        <w:rPr>
          <w:b/>
          <w:lang w:val="es-ES"/>
        </w:rPr>
        <w:t>28</w:t>
      </w:r>
      <w:r w:rsidR="00A07F17" w:rsidRPr="00A07F17">
        <w:rPr>
          <w:b/>
          <w:lang w:val="es-ES"/>
        </w:rPr>
        <w:t>, Anexo 4, Sección 9, Tabla A4.3.9.2, fila correspondiente a “</w:t>
      </w:r>
      <w:r w:rsidR="00C342D8">
        <w:rPr>
          <w:b/>
          <w:lang w:val="es-ES"/>
        </w:rPr>
        <w:t>sólidos comburentes</w:t>
      </w:r>
      <w:r w:rsidR="00A07F17" w:rsidRPr="00A07F17">
        <w:rPr>
          <w:b/>
          <w:lang w:val="es-ES"/>
        </w:rPr>
        <w:t>”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i/>
          <w:lang w:val="es-ES"/>
        </w:rPr>
        <w:t>Sustitúyase dos veces</w:t>
      </w:r>
      <w:r w:rsidRPr="00A07F17">
        <w:rPr>
          <w:lang w:val="es-ES"/>
        </w:rPr>
        <w:t xml:space="preserve"> los ensayos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las</w:t>
      </w:r>
      <w:r w:rsidRPr="00A07F17">
        <w:rPr>
          <w:i/>
          <w:lang w:val="es-ES"/>
        </w:rPr>
        <w:t xml:space="preserve"> </w:t>
      </w:r>
      <w:r w:rsidRPr="00A07F17">
        <w:rPr>
          <w:lang w:val="es-ES"/>
        </w:rPr>
        <w:t>pruebas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60.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 xml:space="preserve">Página </w:t>
      </w:r>
      <w:r w:rsidR="00C342D8">
        <w:rPr>
          <w:b/>
          <w:lang w:val="es-ES"/>
        </w:rPr>
        <w:t>28</w:t>
      </w:r>
      <w:r w:rsidR="00A07F17" w:rsidRPr="00A07F17">
        <w:rPr>
          <w:b/>
          <w:lang w:val="es-ES"/>
        </w:rPr>
        <w:t>, Anexo 4, Sección 9, Tabla A4.3.9.2, fila correspondiente a “peróxidos orgánicos”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 xml:space="preserve">En el cuarto inciso, </w:t>
      </w:r>
      <w:r w:rsidRPr="00693DD1">
        <w:rPr>
          <w:i/>
          <w:lang w:val="es-ES"/>
        </w:rPr>
        <w:t>s</w:t>
      </w:r>
      <w:r w:rsidRPr="00A07F17">
        <w:rPr>
          <w:i/>
          <w:lang w:val="es-ES"/>
        </w:rPr>
        <w:t>ustitúyase</w:t>
      </w:r>
      <w:r w:rsidRPr="00A07F17">
        <w:rPr>
          <w:lang w:val="es-ES"/>
        </w:rPr>
        <w:t xml:space="preserve"> en las actividades en embalaje/envasado </w:t>
      </w:r>
      <w:r w:rsidRPr="00A07F17">
        <w:rPr>
          <w:i/>
          <w:lang w:val="es-ES"/>
        </w:rPr>
        <w:t>por</w:t>
      </w:r>
      <w:r w:rsidRPr="00A07F17">
        <w:rPr>
          <w:lang w:val="es-ES"/>
        </w:rPr>
        <w:t xml:space="preserve"> en el embalaje/envase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>En el quinto inciso, s</w:t>
      </w:r>
      <w:r w:rsidRPr="00A07F17">
        <w:rPr>
          <w:i/>
          <w:lang w:val="es-ES"/>
        </w:rPr>
        <w:t>ustitúyase</w:t>
      </w:r>
      <w:r w:rsidRPr="00A07F17">
        <w:rPr>
          <w:lang w:val="es-ES"/>
        </w:rPr>
        <w:t xml:space="preserve"> en condiciones de aislamiento </w:t>
      </w:r>
      <w:r w:rsidRPr="00A07F17">
        <w:rPr>
          <w:i/>
          <w:lang w:val="es-ES"/>
        </w:rPr>
        <w:t>por</w:t>
      </w:r>
      <w:r w:rsidRPr="00A07F17">
        <w:rPr>
          <w:lang w:val="es-ES"/>
        </w:rPr>
        <w:t xml:space="preserve"> en un espacio limitado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61.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 xml:space="preserve">Página </w:t>
      </w:r>
      <w:r w:rsidR="00693DD1">
        <w:rPr>
          <w:b/>
          <w:lang w:val="es-ES"/>
        </w:rPr>
        <w:t>28</w:t>
      </w:r>
      <w:r w:rsidR="00A07F17" w:rsidRPr="00A07F17">
        <w:rPr>
          <w:b/>
          <w:lang w:val="es-ES"/>
        </w:rPr>
        <w:t>, Anexo 4, Sección 9, Tabla A4.3.9.2, f</w:t>
      </w:r>
      <w:r>
        <w:rPr>
          <w:b/>
          <w:lang w:val="es-ES"/>
        </w:rPr>
        <w:t>ila correspondiente al capítulo </w:t>
      </w:r>
      <w:r w:rsidR="00A07F17" w:rsidRPr="00A07F17">
        <w:rPr>
          <w:b/>
          <w:lang w:val="es-ES"/>
        </w:rPr>
        <w:t>2.16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>En la segunda columna, s</w:t>
      </w:r>
      <w:r w:rsidRPr="00A07F17">
        <w:rPr>
          <w:i/>
          <w:lang w:val="es-ES"/>
        </w:rPr>
        <w:t>ustitúyase</w:t>
      </w:r>
      <w:r w:rsidRPr="00A07F17">
        <w:rPr>
          <w:lang w:val="es-ES"/>
        </w:rPr>
        <w:t xml:space="preserve"> Sustancias corrosivas para los metales </w:t>
      </w:r>
      <w:r w:rsidRPr="00A07F17">
        <w:rPr>
          <w:i/>
          <w:lang w:val="es-ES"/>
        </w:rPr>
        <w:t>por</w:t>
      </w:r>
      <w:r w:rsidRPr="00A07F17">
        <w:rPr>
          <w:lang w:val="es-ES"/>
        </w:rPr>
        <w:t xml:space="preserve"> Sustancias y mezclas corrosivas para los metales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>En la tercera columna, segundo inciso:</w:t>
      </w:r>
    </w:p>
    <w:p w:rsidR="00A07F17" w:rsidRPr="00A07F17" w:rsidRDefault="00A07F17" w:rsidP="00A07F17">
      <w:pPr>
        <w:pStyle w:val="Bullet1G"/>
        <w:numPr>
          <w:ilvl w:val="0"/>
          <w:numId w:val="16"/>
        </w:numPr>
        <w:tabs>
          <w:tab w:val="clear" w:pos="1701"/>
          <w:tab w:val="num" w:pos="1418"/>
        </w:tabs>
        <w:suppressAutoHyphens w:val="0"/>
        <w:ind w:left="1418" w:hanging="284"/>
        <w:rPr>
          <w:b/>
          <w:lang w:val="es-ES"/>
        </w:rPr>
      </w:pP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>tasa de corrosión</w:t>
      </w:r>
      <w:r w:rsidRPr="00A07F17">
        <w:rPr>
          <w:i/>
          <w:lang w:val="es-ES"/>
        </w:rPr>
        <w:t xml:space="preserve"> por </w:t>
      </w:r>
      <w:r w:rsidRPr="00A07F17">
        <w:rPr>
          <w:lang w:val="es-ES"/>
        </w:rPr>
        <w:t>velocidad de corrosión</w:t>
      </w:r>
    </w:p>
    <w:p w:rsidR="00A07F17" w:rsidRPr="00A07F17" w:rsidRDefault="00A07F17" w:rsidP="00A07F17">
      <w:pPr>
        <w:pStyle w:val="Bullet1G"/>
        <w:numPr>
          <w:ilvl w:val="0"/>
          <w:numId w:val="16"/>
        </w:numPr>
        <w:tabs>
          <w:tab w:val="clear" w:pos="1701"/>
          <w:tab w:val="num" w:pos="1418"/>
        </w:tabs>
        <w:suppressAutoHyphens w:val="0"/>
        <w:ind w:left="1418" w:hanging="284"/>
        <w:rPr>
          <w:b/>
          <w:lang w:val="es-ES"/>
        </w:rPr>
      </w:pP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 xml:space="preserve">el ensayo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la</w:t>
      </w:r>
      <w:r w:rsidRPr="00A07F17">
        <w:rPr>
          <w:i/>
          <w:lang w:val="es-ES"/>
        </w:rPr>
        <w:t xml:space="preserve"> </w:t>
      </w:r>
      <w:r w:rsidRPr="00A07F17">
        <w:rPr>
          <w:lang w:val="es-ES"/>
        </w:rPr>
        <w:t>prueba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62.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 xml:space="preserve">Página </w:t>
      </w:r>
      <w:r w:rsidR="00693DD1">
        <w:rPr>
          <w:b/>
          <w:lang w:val="es-ES"/>
        </w:rPr>
        <w:t>28</w:t>
      </w:r>
      <w:r w:rsidR="00A07F17" w:rsidRPr="00A07F17">
        <w:rPr>
          <w:b/>
          <w:lang w:val="es-ES"/>
        </w:rPr>
        <w:t>, Anexo 4, Sección 9, Tabla A4.3.9.2, f</w:t>
      </w:r>
      <w:r w:rsidR="002501D7">
        <w:rPr>
          <w:b/>
          <w:lang w:val="es-ES"/>
        </w:rPr>
        <w:t>ila correspondiente al capítulo </w:t>
      </w:r>
      <w:r w:rsidR="00A07F17" w:rsidRPr="00A07F17">
        <w:rPr>
          <w:b/>
          <w:lang w:val="es-ES"/>
        </w:rPr>
        <w:t>2.17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>En la segunda columna, s</w:t>
      </w:r>
      <w:r w:rsidRPr="00A07F17">
        <w:rPr>
          <w:i/>
          <w:lang w:val="es-ES"/>
        </w:rPr>
        <w:t>ustitúyase</w:t>
      </w:r>
      <w:r w:rsidRPr="00A07F17">
        <w:rPr>
          <w:lang w:val="es-ES"/>
        </w:rPr>
        <w:t xml:space="preserve"> Sustancias explosivas insensibilizadas </w:t>
      </w:r>
      <w:r w:rsidRPr="00A07F17">
        <w:rPr>
          <w:i/>
          <w:lang w:val="es-ES"/>
        </w:rPr>
        <w:t>por</w:t>
      </w:r>
      <w:r w:rsidRPr="00A07F17">
        <w:rPr>
          <w:lang w:val="es-ES"/>
        </w:rPr>
        <w:t xml:space="preserve"> Explosivos insensibilizados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 xml:space="preserve">En la tercera columna, tercer inciso, </w:t>
      </w: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>tasa de combustión</w:t>
      </w:r>
      <w:r w:rsidRPr="00A07F17">
        <w:rPr>
          <w:i/>
          <w:lang w:val="es-ES"/>
        </w:rPr>
        <w:t xml:space="preserve"> por </w:t>
      </w:r>
      <w:r w:rsidRPr="00A07F17">
        <w:rPr>
          <w:lang w:val="es-ES"/>
        </w:rPr>
        <w:t>velocidad de combustión</w:t>
      </w:r>
    </w:p>
    <w:p w:rsidR="00A07F17" w:rsidRPr="00A07F17" w:rsidRDefault="00BC5D88" w:rsidP="00121BE8">
      <w:pPr>
        <w:pStyle w:val="SingleTxtG"/>
        <w:keepNext/>
        <w:keepLines/>
        <w:rPr>
          <w:b/>
          <w:lang w:val="es-ES"/>
        </w:rPr>
      </w:pPr>
      <w:r>
        <w:rPr>
          <w:b/>
          <w:lang w:val="es-ES"/>
        </w:rPr>
        <w:t>63.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 xml:space="preserve">Página </w:t>
      </w:r>
      <w:r w:rsidR="00693DD1">
        <w:rPr>
          <w:b/>
          <w:lang w:val="es-ES"/>
        </w:rPr>
        <w:t>29</w:t>
      </w:r>
      <w:r w:rsidR="00A07F17" w:rsidRPr="00A07F17">
        <w:rPr>
          <w:b/>
          <w:lang w:val="es-ES"/>
        </w:rPr>
        <w:t>, Anexo 4, Sección 9, texto introductorio de la Tabla A4.3.9.3</w:t>
      </w:r>
    </w:p>
    <w:p w:rsidR="00A07F17" w:rsidRPr="00A07F17" w:rsidRDefault="00A07F17" w:rsidP="00121BE8">
      <w:pPr>
        <w:pStyle w:val="SingleTxtG"/>
        <w:keepNext/>
        <w:keepLines/>
        <w:rPr>
          <w:lang w:val="es-ES"/>
        </w:rPr>
      </w:pP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>los ensayos que, aunque no es necesario consignar en las FDS</w:t>
      </w:r>
      <w:r w:rsidRPr="00A07F17">
        <w:rPr>
          <w:i/>
          <w:lang w:val="es-ES"/>
        </w:rPr>
        <w:t xml:space="preserve">  por </w:t>
      </w:r>
      <w:r w:rsidRPr="00A07F17">
        <w:rPr>
          <w:lang w:val="es-ES"/>
        </w:rPr>
        <w:t>las pruebas que, aunque no es obligatorio indicar en la FDS</w:t>
      </w:r>
      <w:bookmarkStart w:id="0" w:name="_GoBack"/>
      <w:bookmarkEnd w:id="0"/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64.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 xml:space="preserve">Página </w:t>
      </w:r>
      <w:r w:rsidR="0098030A">
        <w:rPr>
          <w:b/>
          <w:lang w:val="es-ES"/>
        </w:rPr>
        <w:t>29</w:t>
      </w:r>
      <w:r w:rsidR="00A07F17" w:rsidRPr="00A07F17">
        <w:rPr>
          <w:b/>
          <w:lang w:val="es-ES"/>
        </w:rPr>
        <w:t>, Anexo 4, Sección 9, texto introductorio de la Tabla A4.3.9.3, encabezado de la primera columna</w:t>
      </w:r>
    </w:p>
    <w:p w:rsidR="00A07F17" w:rsidRPr="00A07F17" w:rsidRDefault="00A07F17" w:rsidP="00A07F17">
      <w:pPr>
        <w:pStyle w:val="SingleTxtG"/>
        <w:rPr>
          <w:b/>
          <w:lang w:val="es-ES"/>
        </w:rPr>
      </w:pPr>
      <w:r w:rsidRPr="00A07F17">
        <w:rPr>
          <w:i/>
          <w:lang w:val="es-ES"/>
        </w:rPr>
        <w:t xml:space="preserve">Sustitúyase </w:t>
      </w:r>
      <w:r w:rsidRPr="00A07F17">
        <w:rPr>
          <w:lang w:val="es-ES"/>
        </w:rPr>
        <w:t>un ensayo</w:t>
      </w:r>
      <w:r w:rsidRPr="00A07F17">
        <w:rPr>
          <w:i/>
          <w:lang w:val="es-ES"/>
        </w:rPr>
        <w:t xml:space="preserve">  por </w:t>
      </w:r>
      <w:r w:rsidRPr="00A07F17">
        <w:rPr>
          <w:lang w:val="es-ES"/>
        </w:rPr>
        <w:t>la prueba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65.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 xml:space="preserve">Página </w:t>
      </w:r>
      <w:r w:rsidR="0098030A">
        <w:rPr>
          <w:b/>
          <w:lang w:val="es-ES"/>
        </w:rPr>
        <w:t>29</w:t>
      </w:r>
      <w:r w:rsidR="00A07F17" w:rsidRPr="00A07F17">
        <w:rPr>
          <w:b/>
          <w:lang w:val="es-ES"/>
        </w:rPr>
        <w:t>, Anexo 4, Sección 9, Tabla A4.3.9.3, fila correspondiente a “Sensibilidad mecánica”</w:t>
      </w:r>
    </w:p>
    <w:p w:rsidR="00A07F17" w:rsidRDefault="00A07F17" w:rsidP="00A07F17">
      <w:pPr>
        <w:pStyle w:val="SingleTxtG"/>
        <w:rPr>
          <w:lang w:val="es-ES"/>
        </w:rPr>
      </w:pPr>
      <w:r w:rsidRPr="00A07F17">
        <w:rPr>
          <w:i/>
          <w:lang w:val="es-ES"/>
        </w:rPr>
        <w:t>Sustitúyase</w:t>
      </w:r>
      <w:r w:rsidRPr="00A07F17">
        <w:rPr>
          <w:lang w:val="es-ES"/>
        </w:rPr>
        <w:t xml:space="preserve"> </w:t>
      </w:r>
      <w:r w:rsidRPr="00A07F17">
        <w:rPr>
          <w:i/>
          <w:lang w:val="es-ES"/>
        </w:rPr>
        <w:t>dos veces</w:t>
      </w:r>
      <w:r w:rsidRPr="00A07F17">
        <w:rPr>
          <w:lang w:val="es-ES"/>
        </w:rPr>
        <w:t xml:space="preserve"> el ensayo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la</w:t>
      </w:r>
      <w:r w:rsidRPr="00A07F17">
        <w:rPr>
          <w:i/>
          <w:lang w:val="es-ES"/>
        </w:rPr>
        <w:t xml:space="preserve"> </w:t>
      </w:r>
      <w:r w:rsidRPr="00A07F17">
        <w:rPr>
          <w:lang w:val="es-ES"/>
        </w:rPr>
        <w:t>prueba</w:t>
      </w:r>
    </w:p>
    <w:p w:rsidR="0098030A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>En el segundo inciso</w:t>
      </w:r>
      <w:r w:rsidR="0098030A">
        <w:rPr>
          <w:lang w:val="es-ES"/>
        </w:rPr>
        <w:t>:</w:t>
      </w:r>
    </w:p>
    <w:p w:rsidR="0098030A" w:rsidRDefault="0098030A" w:rsidP="0098030A">
      <w:pPr>
        <w:pStyle w:val="Bullet1G"/>
        <w:rPr>
          <w:lang w:val="es-ES"/>
        </w:rPr>
      </w:pPr>
      <w:r w:rsidRPr="00A07F17">
        <w:rPr>
          <w:i/>
          <w:lang w:val="es-ES"/>
        </w:rPr>
        <w:t>Sustitúyase</w:t>
      </w:r>
      <w:r w:rsidRPr="00A07F17">
        <w:rPr>
          <w:lang w:val="es-ES"/>
        </w:rPr>
        <w:t xml:space="preserve"> </w:t>
      </w:r>
      <w:r>
        <w:rPr>
          <w:lang w:val="es-ES"/>
        </w:rPr>
        <w:t xml:space="preserve">artículo </w:t>
      </w:r>
      <w:r w:rsidRPr="00A07F17">
        <w:rPr>
          <w:i/>
          <w:lang w:val="es-ES"/>
        </w:rPr>
        <w:t xml:space="preserve">por </w:t>
      </w:r>
      <w:r>
        <w:rPr>
          <w:lang w:val="es-ES"/>
        </w:rPr>
        <w:t>sección</w:t>
      </w:r>
    </w:p>
    <w:p w:rsidR="00A07F17" w:rsidRPr="00A07F17" w:rsidRDefault="00A07F17" w:rsidP="0098030A">
      <w:pPr>
        <w:pStyle w:val="Bullet1G"/>
        <w:rPr>
          <w:lang w:val="es-ES"/>
        </w:rPr>
      </w:pPr>
      <w:r w:rsidRPr="00A07F17">
        <w:rPr>
          <w:i/>
          <w:lang w:val="es-ES"/>
        </w:rPr>
        <w:t>sustitúyase</w:t>
      </w:r>
      <w:r w:rsidRPr="00A07F17">
        <w:rPr>
          <w:lang w:val="es-ES"/>
        </w:rPr>
        <w:t xml:space="preserve"> energía de impacto límite </w:t>
      </w:r>
      <w:r w:rsidRPr="00A07F17">
        <w:rPr>
          <w:i/>
          <w:lang w:val="es-ES"/>
        </w:rPr>
        <w:t>por</w:t>
      </w:r>
      <w:r w:rsidRPr="00A07F17">
        <w:rPr>
          <w:lang w:val="es-ES"/>
        </w:rPr>
        <w:t xml:space="preserve"> energía límite de choque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66.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 xml:space="preserve">Página </w:t>
      </w:r>
      <w:r w:rsidR="0098030A">
        <w:rPr>
          <w:b/>
          <w:lang w:val="es-ES"/>
        </w:rPr>
        <w:t>29</w:t>
      </w:r>
      <w:r w:rsidR="00A07F17" w:rsidRPr="00A07F17">
        <w:rPr>
          <w:b/>
          <w:lang w:val="es-ES"/>
        </w:rPr>
        <w:t xml:space="preserve">, Anexo 4, Sección 9, Tabla A4.3.9.3, tercera fila 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>En la primera columna,</w:t>
      </w:r>
      <w:r w:rsidRPr="00A07F17">
        <w:rPr>
          <w:b/>
          <w:lang w:val="es-ES"/>
        </w:rPr>
        <w:t xml:space="preserve"> </w:t>
      </w:r>
      <w:r w:rsidRPr="00A07F17">
        <w:rPr>
          <w:i/>
          <w:lang w:val="es-ES"/>
        </w:rPr>
        <w:t>sustitúyase</w:t>
      </w:r>
      <w:r w:rsidRPr="00A07F17">
        <w:rPr>
          <w:lang w:val="es-ES"/>
        </w:rPr>
        <w:t xml:space="preserve"> las mezclas </w:t>
      </w:r>
      <w:proofErr w:type="spellStart"/>
      <w:r w:rsidRPr="00A07F17">
        <w:rPr>
          <w:lang w:val="es-ES"/>
        </w:rPr>
        <w:t>explosionables</w:t>
      </w:r>
      <w:proofErr w:type="spellEnd"/>
      <w:r w:rsidRPr="00A07F17">
        <w:rPr>
          <w:lang w:val="es-ES"/>
        </w:rPr>
        <w:t xml:space="preserve"> </w:t>
      </w:r>
      <w:r w:rsidRPr="00A07F17">
        <w:rPr>
          <w:i/>
          <w:lang w:val="es-ES"/>
        </w:rPr>
        <w:t>por</w:t>
      </w:r>
      <w:r w:rsidRPr="00A07F17">
        <w:rPr>
          <w:lang w:val="es-ES"/>
        </w:rPr>
        <w:t xml:space="preserve"> las mezclas explosivas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 xml:space="preserve">En la segunda columna, tercer inciso, </w:t>
      </w:r>
      <w:r w:rsidRPr="00A07F17">
        <w:rPr>
          <w:i/>
          <w:lang w:val="es-ES"/>
        </w:rPr>
        <w:t>sustitúyase</w:t>
      </w:r>
      <w:r w:rsidRPr="00A07F17">
        <w:rPr>
          <w:lang w:val="es-ES"/>
        </w:rPr>
        <w:t xml:space="preserve"> </w:t>
      </w:r>
      <w:proofErr w:type="spellStart"/>
      <w:r w:rsidRPr="00A07F17">
        <w:rPr>
          <w:lang w:val="es-ES"/>
        </w:rPr>
        <w:t>explosionables</w:t>
      </w:r>
      <w:proofErr w:type="spellEnd"/>
      <w:r w:rsidRPr="00A07F17">
        <w:rPr>
          <w:i/>
          <w:lang w:val="es-ES"/>
        </w:rPr>
        <w:t xml:space="preserve"> por</w:t>
      </w:r>
      <w:r w:rsidRPr="00A07F17">
        <w:rPr>
          <w:lang w:val="es-ES"/>
        </w:rPr>
        <w:t xml:space="preserve"> explosivas</w:t>
      </w:r>
    </w:p>
    <w:p w:rsidR="00A07F17" w:rsidRPr="00A07F17" w:rsidRDefault="00A07F17" w:rsidP="00A07F17">
      <w:pPr>
        <w:pStyle w:val="SingleTxtG"/>
        <w:rPr>
          <w:b/>
          <w:lang w:val="es-ES"/>
        </w:rPr>
      </w:pPr>
      <w:r w:rsidRPr="00A07F17">
        <w:rPr>
          <w:lang w:val="es-ES"/>
        </w:rPr>
        <w:t xml:space="preserve">En la nota 2, </w:t>
      </w:r>
      <w:r w:rsidRPr="00A07F17">
        <w:rPr>
          <w:i/>
          <w:lang w:val="es-ES"/>
        </w:rPr>
        <w:t>sustitúyase</w:t>
      </w:r>
      <w:r w:rsidRPr="00A07F17">
        <w:rPr>
          <w:lang w:val="es-ES"/>
        </w:rPr>
        <w:t xml:space="preserve"> al ensayo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a</w:t>
      </w:r>
      <w:r w:rsidRPr="00A07F17">
        <w:rPr>
          <w:i/>
          <w:lang w:val="es-ES"/>
        </w:rPr>
        <w:t xml:space="preserve"> </w:t>
      </w:r>
      <w:r w:rsidRPr="00A07F17">
        <w:rPr>
          <w:lang w:val="es-ES"/>
        </w:rPr>
        <w:t>prueba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67.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 xml:space="preserve">Página </w:t>
      </w:r>
      <w:r w:rsidR="0098030A">
        <w:rPr>
          <w:b/>
          <w:lang w:val="es-ES"/>
        </w:rPr>
        <w:t>29</w:t>
      </w:r>
      <w:r w:rsidR="00A07F17" w:rsidRPr="00A07F17">
        <w:rPr>
          <w:b/>
          <w:lang w:val="es-ES"/>
        </w:rPr>
        <w:t>, Anexo 4, Sección 9, Tabla A4.3.9.3, fila correspondiente a “Reserva ácida/alcalina”</w:t>
      </w:r>
    </w:p>
    <w:p w:rsidR="00A07F17" w:rsidRPr="00A07F17" w:rsidRDefault="00A07F17" w:rsidP="00A07F17">
      <w:pPr>
        <w:pStyle w:val="SingleTxtG"/>
        <w:rPr>
          <w:b/>
          <w:lang w:val="es-ES"/>
        </w:rPr>
      </w:pPr>
      <w:r w:rsidRPr="00A07F17">
        <w:rPr>
          <w:i/>
          <w:lang w:val="es-ES"/>
        </w:rPr>
        <w:t>Sustitúyase</w:t>
      </w:r>
      <w:r w:rsidRPr="00A07F17">
        <w:rPr>
          <w:lang w:val="es-ES"/>
        </w:rPr>
        <w:t xml:space="preserve"> cutáneo y ocular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para la piel y los ojos</w:t>
      </w:r>
    </w:p>
    <w:p w:rsidR="00A07F17" w:rsidRPr="00A07F17" w:rsidRDefault="00BC5D88" w:rsidP="00A07F17">
      <w:pPr>
        <w:pStyle w:val="SingleTxtG"/>
        <w:keepNext/>
        <w:keepLines/>
        <w:rPr>
          <w:b/>
          <w:lang w:val="es-ES"/>
        </w:rPr>
      </w:pPr>
      <w:r>
        <w:rPr>
          <w:b/>
          <w:lang w:val="es-ES"/>
        </w:rPr>
        <w:t>68.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>Páginas 30 y 31, Anexo 7</w:t>
      </w:r>
      <w:r w:rsidR="009400B4">
        <w:rPr>
          <w:b/>
          <w:lang w:val="es-ES"/>
        </w:rPr>
        <w:t>, ejemplo 8</w:t>
      </w:r>
    </w:p>
    <w:p w:rsidR="00A07F17" w:rsidRPr="00A07F17" w:rsidRDefault="00A07F17" w:rsidP="00A07F17">
      <w:pPr>
        <w:pStyle w:val="SingleTxtG"/>
        <w:keepNext/>
        <w:keepLines/>
        <w:rPr>
          <w:lang w:val="es-ES"/>
        </w:rPr>
      </w:pPr>
      <w:r w:rsidRPr="00A07F17">
        <w:rPr>
          <w:lang w:val="es-ES"/>
        </w:rPr>
        <w:t>Siempre que aparezca en el texto</w:t>
      </w:r>
      <w:r w:rsidR="0098030A">
        <w:rPr>
          <w:lang w:val="es-ES"/>
        </w:rPr>
        <w:t xml:space="preserve"> del ejemplo 8:</w:t>
      </w:r>
    </w:p>
    <w:p w:rsidR="00A07F17" w:rsidRPr="00A07F17" w:rsidRDefault="00A07F17" w:rsidP="0098030A">
      <w:pPr>
        <w:pStyle w:val="Bullet1G"/>
        <w:rPr>
          <w:lang w:val="es-ES"/>
        </w:rPr>
      </w:pPr>
      <w:r w:rsidRPr="009400B4">
        <w:rPr>
          <w:i/>
          <w:lang w:val="es-ES"/>
        </w:rPr>
        <w:t>sustitúyase</w:t>
      </w:r>
      <w:r w:rsidRPr="00A07F17">
        <w:rPr>
          <w:lang w:val="es-ES"/>
        </w:rPr>
        <w:t xml:space="preserve"> SMA </w:t>
      </w:r>
      <w:r w:rsidRPr="009400B4">
        <w:rPr>
          <w:i/>
          <w:lang w:val="es-ES"/>
        </w:rPr>
        <w:t>por</w:t>
      </w:r>
      <w:r w:rsidRPr="00A07F17">
        <w:rPr>
          <w:lang w:val="es-ES"/>
        </w:rPr>
        <w:t xml:space="preserve"> SGA</w:t>
      </w:r>
    </w:p>
    <w:p w:rsidR="00A07F17" w:rsidRPr="00A07F17" w:rsidRDefault="00A07F17" w:rsidP="0098030A">
      <w:pPr>
        <w:pStyle w:val="Bullet1G"/>
        <w:rPr>
          <w:lang w:val="es-ES"/>
        </w:rPr>
      </w:pPr>
      <w:r w:rsidRPr="009400B4">
        <w:rPr>
          <w:i/>
          <w:lang w:val="es-ES"/>
        </w:rPr>
        <w:t>sustitúyase</w:t>
      </w:r>
      <w:r w:rsidRPr="00A07F17">
        <w:rPr>
          <w:lang w:val="es-ES"/>
        </w:rPr>
        <w:t xml:space="preserve"> </w:t>
      </w:r>
      <w:proofErr w:type="spellStart"/>
      <w:r w:rsidRPr="00A07F17">
        <w:rPr>
          <w:lang w:val="es-ES"/>
        </w:rPr>
        <w:t>politeno</w:t>
      </w:r>
      <w:proofErr w:type="spellEnd"/>
      <w:r w:rsidRPr="00A07F17">
        <w:rPr>
          <w:lang w:val="es-ES"/>
        </w:rPr>
        <w:t xml:space="preserve"> </w:t>
      </w:r>
      <w:r w:rsidRPr="009400B4">
        <w:rPr>
          <w:i/>
          <w:lang w:val="es-ES"/>
        </w:rPr>
        <w:t>por</w:t>
      </w:r>
      <w:r w:rsidRPr="00A07F17">
        <w:rPr>
          <w:lang w:val="es-ES"/>
        </w:rPr>
        <w:t xml:space="preserve"> polietileno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 xml:space="preserve">En el primer y tercer párrafos, </w:t>
      </w:r>
      <w:r w:rsidRPr="00A07F17">
        <w:rPr>
          <w:i/>
          <w:lang w:val="es-ES"/>
        </w:rPr>
        <w:t>sustitúyase</w:t>
      </w:r>
      <w:r w:rsidRPr="00A07F17">
        <w:rPr>
          <w:lang w:val="es-ES"/>
        </w:rPr>
        <w:t xml:space="preserve"> recipiente inmediato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recipiente intermedio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 xml:space="preserve">En el sexto párrafo, </w:t>
      </w:r>
      <w:r w:rsidRPr="00A07F17">
        <w:rPr>
          <w:i/>
          <w:lang w:val="es-ES"/>
        </w:rPr>
        <w:t>sustitúyase</w:t>
      </w:r>
      <w:r w:rsidRPr="00A07F17">
        <w:rPr>
          <w:lang w:val="es-ES"/>
        </w:rPr>
        <w:t xml:space="preserve"> sus riesgos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sus peligros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 xml:space="preserve">En el modelo de reverso de envase interior, </w:t>
      </w:r>
      <w:r w:rsidRPr="00A07F17">
        <w:rPr>
          <w:i/>
          <w:lang w:val="es-ES"/>
        </w:rPr>
        <w:t>sustitúyase</w:t>
      </w:r>
      <w:r w:rsidRPr="00A07F17">
        <w:rPr>
          <w:lang w:val="es-ES"/>
        </w:rPr>
        <w:t xml:space="preserve"> DICE ETIQUETA COMPLETA </w:t>
      </w:r>
      <w:r w:rsidRPr="00A07F17">
        <w:rPr>
          <w:i/>
          <w:lang w:val="es-ES"/>
        </w:rPr>
        <w:t xml:space="preserve">por </w:t>
      </w:r>
      <w:r w:rsidRPr="00A07F17">
        <w:rPr>
          <w:lang w:val="es-ES"/>
        </w:rPr>
        <w:t>LÉASE LA ETIQUETA COMPLETA</w:t>
      </w:r>
    </w:p>
    <w:p w:rsidR="00A07F17" w:rsidRPr="00A07F17" w:rsidRDefault="00BC5D88" w:rsidP="00A07F17">
      <w:pPr>
        <w:pStyle w:val="SingleTxtG"/>
        <w:rPr>
          <w:b/>
          <w:lang w:val="es-ES"/>
        </w:rPr>
      </w:pPr>
      <w:r>
        <w:rPr>
          <w:b/>
          <w:lang w:val="es-ES"/>
        </w:rPr>
        <w:t>69.</w:t>
      </w:r>
      <w:r>
        <w:rPr>
          <w:b/>
          <w:lang w:val="es-ES"/>
        </w:rPr>
        <w:tab/>
      </w:r>
      <w:r w:rsidR="00A07F17" w:rsidRPr="00A07F17">
        <w:rPr>
          <w:b/>
          <w:lang w:val="es-ES"/>
        </w:rPr>
        <w:t>Página 32, Anexo 9, párrafo A9.5.2.4.2</w:t>
      </w:r>
    </w:p>
    <w:p w:rsidR="00A07F17" w:rsidRPr="00A07F17" w:rsidRDefault="00A07F17" w:rsidP="00A07F17">
      <w:pPr>
        <w:pStyle w:val="SingleTxtG"/>
        <w:rPr>
          <w:lang w:val="es-ES"/>
        </w:rPr>
      </w:pPr>
      <w:r w:rsidRPr="00A07F17">
        <w:rPr>
          <w:lang w:val="es-ES"/>
        </w:rPr>
        <w:t xml:space="preserve">Al final de la enmienda correspondiente a la primera oración del primer párrafo, </w:t>
      </w:r>
      <w:r w:rsidRPr="00A07F17">
        <w:rPr>
          <w:i/>
          <w:lang w:val="es-ES"/>
        </w:rPr>
        <w:t>añádase “</w:t>
      </w:r>
      <w:r w:rsidRPr="00A07F17">
        <w:rPr>
          <w:lang w:val="es-ES"/>
        </w:rPr>
        <w:t>y sustitúyase “, ASTM (1993)” por “y ASTM (1993).”.</w:t>
      </w:r>
    </w:p>
    <w:p w:rsidR="00A07F17" w:rsidRPr="00A07F17" w:rsidRDefault="00A07F17" w:rsidP="00A07F17">
      <w:pPr>
        <w:pStyle w:val="SingleTxtG"/>
        <w:spacing w:before="240" w:after="0"/>
        <w:jc w:val="center"/>
        <w:rPr>
          <w:u w:val="single"/>
          <w:lang w:val="es-ES"/>
        </w:rPr>
      </w:pPr>
      <w:r w:rsidRPr="00A07F17">
        <w:rPr>
          <w:u w:val="single"/>
          <w:lang w:val="es-ES"/>
        </w:rPr>
        <w:tab/>
      </w:r>
      <w:r w:rsidRPr="00A07F17">
        <w:rPr>
          <w:u w:val="single"/>
          <w:lang w:val="es-ES"/>
        </w:rPr>
        <w:tab/>
      </w:r>
      <w:r w:rsidRPr="00A07F17">
        <w:rPr>
          <w:u w:val="single"/>
          <w:lang w:val="es-ES"/>
        </w:rPr>
        <w:tab/>
      </w:r>
    </w:p>
    <w:sectPr w:rsidR="00A07F17" w:rsidRPr="00A07F17" w:rsidSect="00B9002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3C9" w:rsidRDefault="00D913C9"/>
  </w:endnote>
  <w:endnote w:type="continuationSeparator" w:id="0">
    <w:p w:rsidR="00D913C9" w:rsidRDefault="00D913C9"/>
  </w:endnote>
  <w:endnote w:type="continuationNotice" w:id="1">
    <w:p w:rsidR="00D913C9" w:rsidRDefault="00D913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2F" w:rsidRPr="00B9002F" w:rsidRDefault="00B9002F" w:rsidP="00B9002F">
    <w:pPr>
      <w:pStyle w:val="Footer"/>
      <w:tabs>
        <w:tab w:val="right" w:pos="9638"/>
      </w:tabs>
      <w:rPr>
        <w:sz w:val="18"/>
      </w:rPr>
    </w:pPr>
    <w:r w:rsidRPr="00B9002F">
      <w:rPr>
        <w:b/>
        <w:sz w:val="18"/>
      </w:rPr>
      <w:fldChar w:fldCharType="begin"/>
    </w:r>
    <w:r w:rsidRPr="00B9002F">
      <w:rPr>
        <w:b/>
        <w:sz w:val="18"/>
      </w:rPr>
      <w:instrText xml:space="preserve"> PAGE  \* MERGEFORMAT </w:instrText>
    </w:r>
    <w:r w:rsidRPr="00B9002F">
      <w:rPr>
        <w:b/>
        <w:sz w:val="18"/>
      </w:rPr>
      <w:fldChar w:fldCharType="separate"/>
    </w:r>
    <w:r w:rsidR="002501D7">
      <w:rPr>
        <w:b/>
        <w:noProof/>
        <w:sz w:val="18"/>
      </w:rPr>
      <w:t>10</w:t>
    </w:r>
    <w:r w:rsidRPr="00B9002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2F" w:rsidRPr="00B9002F" w:rsidRDefault="00B9002F" w:rsidP="00B9002F">
    <w:pPr>
      <w:pStyle w:val="Footer"/>
      <w:tabs>
        <w:tab w:val="right" w:pos="9638"/>
      </w:tabs>
      <w:rPr>
        <w:b/>
        <w:sz w:val="18"/>
      </w:rPr>
    </w:pPr>
    <w:r>
      <w:tab/>
    </w:r>
    <w:r w:rsidRPr="00B9002F">
      <w:rPr>
        <w:b/>
        <w:sz w:val="18"/>
      </w:rPr>
      <w:fldChar w:fldCharType="begin"/>
    </w:r>
    <w:r w:rsidRPr="00B9002F">
      <w:rPr>
        <w:b/>
        <w:sz w:val="18"/>
      </w:rPr>
      <w:instrText xml:space="preserve"> PAGE  \* MERGEFORMAT </w:instrText>
    </w:r>
    <w:r w:rsidRPr="00B9002F">
      <w:rPr>
        <w:b/>
        <w:sz w:val="18"/>
      </w:rPr>
      <w:fldChar w:fldCharType="separate"/>
    </w:r>
    <w:r w:rsidR="002501D7">
      <w:rPr>
        <w:b/>
        <w:noProof/>
        <w:sz w:val="18"/>
      </w:rPr>
      <w:t>9</w:t>
    </w:r>
    <w:r w:rsidRPr="00B9002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DB3" w:rsidRPr="00B9002F" w:rsidRDefault="00A07F17">
    <w:pPr>
      <w:pStyle w:val="Footer"/>
      <w:rPr>
        <w:sz w:val="20"/>
      </w:rPr>
    </w:pPr>
    <w:r>
      <w:rPr>
        <w:noProof/>
        <w:sz w:val="20"/>
        <w:lang w:eastAsia="zh-CN"/>
      </w:rPr>
      <w:drawing>
        <wp:anchor distT="0" distB="0" distL="114300" distR="114300" simplePos="0" relativeHeight="251658240" behindDoc="0" locked="1" layoutInCell="1" allowOverlap="1" wp14:anchorId="01D2023D" wp14:editId="70AC8C17">
          <wp:simplePos x="0" y="0"/>
          <wp:positionH relativeFrom="margin">
            <wp:posOffset>5039995</wp:posOffset>
          </wp:positionH>
          <wp:positionV relativeFrom="margin">
            <wp:posOffset>8397875</wp:posOffset>
          </wp:positionV>
          <wp:extent cx="1085850" cy="228600"/>
          <wp:effectExtent l="0" t="0" r="0" b="0"/>
          <wp:wrapNone/>
          <wp:docPr id="10" name="Picture 10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002F">
      <w:rPr>
        <w:sz w:val="20"/>
      </w:rPr>
      <w:t>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3C9" w:rsidRPr="000B175B" w:rsidRDefault="00D913C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913C9" w:rsidRPr="00FC68B7" w:rsidRDefault="00D913C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913C9" w:rsidRDefault="00D913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2F" w:rsidRPr="00B9002F" w:rsidRDefault="00B9002F">
    <w:pPr>
      <w:pStyle w:val="Header"/>
    </w:pPr>
    <w:r>
      <w:t>ST/SG/AC.10/42/Add.3/Corr.1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2F" w:rsidRPr="00B9002F" w:rsidRDefault="00B9002F" w:rsidP="00B9002F">
    <w:pPr>
      <w:pStyle w:val="Header"/>
      <w:jc w:val="right"/>
    </w:pPr>
    <w:r>
      <w:t>ST/SG/AC.10/42/Add.3/Corr.1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6"/>
  </w:num>
  <w:num w:numId="16">
    <w:abstractNumId w:val="15"/>
  </w:num>
  <w:num w:numId="17">
    <w:abstractNumId w:val="12"/>
  </w:num>
  <w:num w:numId="18">
    <w:abstractNumId w:val="1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C9"/>
    <w:rsid w:val="00050F6B"/>
    <w:rsid w:val="00057FD8"/>
    <w:rsid w:val="00072C8C"/>
    <w:rsid w:val="00091419"/>
    <w:rsid w:val="000931C0"/>
    <w:rsid w:val="000B175B"/>
    <w:rsid w:val="000B3A0F"/>
    <w:rsid w:val="000E0415"/>
    <w:rsid w:val="0011582C"/>
    <w:rsid w:val="00117787"/>
    <w:rsid w:val="00121BE8"/>
    <w:rsid w:val="00131D42"/>
    <w:rsid w:val="001633FB"/>
    <w:rsid w:val="001B4B04"/>
    <w:rsid w:val="001C6663"/>
    <w:rsid w:val="001C7895"/>
    <w:rsid w:val="001D26DF"/>
    <w:rsid w:val="001D2FDC"/>
    <w:rsid w:val="00211E0B"/>
    <w:rsid w:val="002309A7"/>
    <w:rsid w:val="00237785"/>
    <w:rsid w:val="00241466"/>
    <w:rsid w:val="002501D7"/>
    <w:rsid w:val="002725CA"/>
    <w:rsid w:val="00280EB7"/>
    <w:rsid w:val="002B1CDA"/>
    <w:rsid w:val="0030322E"/>
    <w:rsid w:val="0030368F"/>
    <w:rsid w:val="003107FA"/>
    <w:rsid w:val="003229D8"/>
    <w:rsid w:val="00337735"/>
    <w:rsid w:val="0039277A"/>
    <w:rsid w:val="003972E0"/>
    <w:rsid w:val="003C2CC4"/>
    <w:rsid w:val="003D4B23"/>
    <w:rsid w:val="004118AE"/>
    <w:rsid w:val="004325CB"/>
    <w:rsid w:val="00437F3F"/>
    <w:rsid w:val="00446DE4"/>
    <w:rsid w:val="00483121"/>
    <w:rsid w:val="004B2C9D"/>
    <w:rsid w:val="004E0AFE"/>
    <w:rsid w:val="004E5C3D"/>
    <w:rsid w:val="00507B2E"/>
    <w:rsid w:val="00527910"/>
    <w:rsid w:val="005420F2"/>
    <w:rsid w:val="00590144"/>
    <w:rsid w:val="005B3830"/>
    <w:rsid w:val="005B3DB3"/>
    <w:rsid w:val="005F7DF5"/>
    <w:rsid w:val="00601AF1"/>
    <w:rsid w:val="00611FC4"/>
    <w:rsid w:val="006176FB"/>
    <w:rsid w:val="0063419C"/>
    <w:rsid w:val="00640B26"/>
    <w:rsid w:val="00693DD1"/>
    <w:rsid w:val="006A0966"/>
    <w:rsid w:val="006A7392"/>
    <w:rsid w:val="006C0D34"/>
    <w:rsid w:val="006C27F8"/>
    <w:rsid w:val="006E564B"/>
    <w:rsid w:val="0072632A"/>
    <w:rsid w:val="0075472A"/>
    <w:rsid w:val="0077015B"/>
    <w:rsid w:val="007771A4"/>
    <w:rsid w:val="00790791"/>
    <w:rsid w:val="007B6BA5"/>
    <w:rsid w:val="007C3390"/>
    <w:rsid w:val="007C4F4B"/>
    <w:rsid w:val="007F6611"/>
    <w:rsid w:val="008175E9"/>
    <w:rsid w:val="008242D7"/>
    <w:rsid w:val="00871FD5"/>
    <w:rsid w:val="00883BE0"/>
    <w:rsid w:val="008979B1"/>
    <w:rsid w:val="008A6B25"/>
    <w:rsid w:val="008A6C4F"/>
    <w:rsid w:val="008E0E46"/>
    <w:rsid w:val="008F1E08"/>
    <w:rsid w:val="00931CB1"/>
    <w:rsid w:val="009400B4"/>
    <w:rsid w:val="00945A5D"/>
    <w:rsid w:val="00952731"/>
    <w:rsid w:val="00956BAB"/>
    <w:rsid w:val="00963CBA"/>
    <w:rsid w:val="0098030A"/>
    <w:rsid w:val="0099124E"/>
    <w:rsid w:val="00991261"/>
    <w:rsid w:val="0099386C"/>
    <w:rsid w:val="009F0F06"/>
    <w:rsid w:val="00A07F17"/>
    <w:rsid w:val="00A1427D"/>
    <w:rsid w:val="00A569BC"/>
    <w:rsid w:val="00A56BA9"/>
    <w:rsid w:val="00A72F22"/>
    <w:rsid w:val="00A748A6"/>
    <w:rsid w:val="00A75EC9"/>
    <w:rsid w:val="00A81FD3"/>
    <w:rsid w:val="00A879A4"/>
    <w:rsid w:val="00AF5090"/>
    <w:rsid w:val="00B30179"/>
    <w:rsid w:val="00B3317B"/>
    <w:rsid w:val="00B81E12"/>
    <w:rsid w:val="00B9002F"/>
    <w:rsid w:val="00B93068"/>
    <w:rsid w:val="00BC5D88"/>
    <w:rsid w:val="00BC74E9"/>
    <w:rsid w:val="00BD7E42"/>
    <w:rsid w:val="00BE618E"/>
    <w:rsid w:val="00C342D8"/>
    <w:rsid w:val="00C463DD"/>
    <w:rsid w:val="00C62F76"/>
    <w:rsid w:val="00C745C3"/>
    <w:rsid w:val="00CA023B"/>
    <w:rsid w:val="00CB0AF8"/>
    <w:rsid w:val="00CE4A8F"/>
    <w:rsid w:val="00CF5DB3"/>
    <w:rsid w:val="00D2031B"/>
    <w:rsid w:val="00D25FE2"/>
    <w:rsid w:val="00D43252"/>
    <w:rsid w:val="00D4648C"/>
    <w:rsid w:val="00D753D8"/>
    <w:rsid w:val="00D83E09"/>
    <w:rsid w:val="00D913C9"/>
    <w:rsid w:val="00D955B1"/>
    <w:rsid w:val="00D96CC5"/>
    <w:rsid w:val="00D978C6"/>
    <w:rsid w:val="00DA67AD"/>
    <w:rsid w:val="00DB475C"/>
    <w:rsid w:val="00DB61D0"/>
    <w:rsid w:val="00E130AB"/>
    <w:rsid w:val="00E130FB"/>
    <w:rsid w:val="00E5644E"/>
    <w:rsid w:val="00E7260F"/>
    <w:rsid w:val="00E8535A"/>
    <w:rsid w:val="00E96630"/>
    <w:rsid w:val="00EA2CBE"/>
    <w:rsid w:val="00EA772F"/>
    <w:rsid w:val="00EB6832"/>
    <w:rsid w:val="00ED7A2A"/>
    <w:rsid w:val="00EF1D7F"/>
    <w:rsid w:val="00F11AB2"/>
    <w:rsid w:val="00F3659A"/>
    <w:rsid w:val="00F40E75"/>
    <w:rsid w:val="00F54674"/>
    <w:rsid w:val="00FC68B7"/>
    <w:rsid w:val="00FD6B2B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FD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1FD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1FD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1FD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1FD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1FD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1FD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1FD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1FD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1FD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1F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1F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A81FD3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A81FD3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1FD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1FD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A81FD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A81FD3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A81FD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1FD3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1FD3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qFormat/>
    <w:rsid w:val="00A81FD3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1F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A81FD3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A81FD3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1FD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1FD3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1FD3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D913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13C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A07F17"/>
    <w:rPr>
      <w:b/>
      <w:sz w:val="28"/>
      <w:lang w:eastAsia="en-US"/>
    </w:rPr>
  </w:style>
  <w:style w:type="character" w:customStyle="1" w:styleId="SingleTxtGChar">
    <w:name w:val="_ Single Txt_G Char"/>
    <w:link w:val="SingleTxtG"/>
    <w:rsid w:val="00A07F17"/>
    <w:rPr>
      <w:lang w:eastAsia="en-US"/>
    </w:rPr>
  </w:style>
  <w:style w:type="character" w:customStyle="1" w:styleId="H1GChar">
    <w:name w:val="_ H_1_G Char"/>
    <w:link w:val="H1G"/>
    <w:rsid w:val="00A07F17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FD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1FD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1FD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1FD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1FD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1FD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1FD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1FD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1FD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1FD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1F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1F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A81FD3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A81FD3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1FD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1FD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A81FD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A81FD3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A81FD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1FD3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1FD3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qFormat/>
    <w:rsid w:val="00A81FD3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1F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A81FD3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A81FD3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1FD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1FD3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1FD3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D913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13C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A07F17"/>
    <w:rPr>
      <w:b/>
      <w:sz w:val="28"/>
      <w:lang w:eastAsia="en-US"/>
    </w:rPr>
  </w:style>
  <w:style w:type="character" w:customStyle="1" w:styleId="SingleTxtGChar">
    <w:name w:val="_ Single Txt_G Char"/>
    <w:link w:val="SingleTxtG"/>
    <w:rsid w:val="00A07F17"/>
    <w:rPr>
      <w:lang w:eastAsia="en-US"/>
    </w:rPr>
  </w:style>
  <w:style w:type="character" w:customStyle="1" w:styleId="H1GChar">
    <w:name w:val="_ H_1_G Char"/>
    <w:link w:val="H1G"/>
    <w:rsid w:val="00A07F17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4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93B25-FFB0-4228-B8B1-F8F53433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AC10_C4_E.dotm</Template>
  <TotalTime>249</TotalTime>
  <Pages>10</Pages>
  <Words>3047</Words>
  <Characters>17368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Rosa Garcia-Couto</cp:lastModifiedBy>
  <cp:revision>18</cp:revision>
  <cp:lastPrinted>2015-10-15T14:46:00Z</cp:lastPrinted>
  <dcterms:created xsi:type="dcterms:W3CDTF">2015-10-15T13:58:00Z</dcterms:created>
  <dcterms:modified xsi:type="dcterms:W3CDTF">2015-11-02T10:18:00Z</dcterms:modified>
</cp:coreProperties>
</file>