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F" w:rsidRDefault="00CD218F">
      <w:bookmarkStart w:id="0" w:name="_GoBack"/>
      <w:bookmarkEnd w:id="0"/>
      <w:r>
        <w:t>An issue has arisen in the implementation of ECER90:02 which requires consideration by GRRF</w:t>
      </w:r>
    </w:p>
    <w:p w:rsidR="00BC75B5" w:rsidRDefault="00BC75B5">
      <w:r>
        <w:t>This paper is for information purposes; it is intended to bring forward a proposal to the 79</w:t>
      </w:r>
      <w:r w:rsidRPr="00BC75B5">
        <w:rPr>
          <w:vertAlign w:val="superscript"/>
        </w:rPr>
        <w:t>th</w:t>
      </w:r>
      <w:r>
        <w:t xml:space="preserve"> session of GRRF</w:t>
      </w:r>
    </w:p>
    <w:p w:rsidR="00CD218F" w:rsidRDefault="00A07617">
      <w:r>
        <w:t xml:space="preserve">For testing purposes, the </w:t>
      </w:r>
      <w:r w:rsidR="00CD218F">
        <w:t>regulation permits</w:t>
      </w:r>
      <w:r>
        <w:t xml:space="preserve">, under paragraph 2.3.7, the </w:t>
      </w:r>
      <w:r w:rsidR="00CD218F">
        <w:t>grouping</w:t>
      </w:r>
      <w:r>
        <w:t xml:space="preserve"> of parts having the same characteristics</w:t>
      </w:r>
      <w:r w:rsidR="00CD218F">
        <w:t xml:space="preserve"> as a “</w:t>
      </w:r>
      <w:r>
        <w:t>Test Group” (family)</w:t>
      </w:r>
      <w:r w:rsidR="00CD218F">
        <w:t xml:space="preserve"> </w:t>
      </w:r>
    </w:p>
    <w:p w:rsidR="00A07617" w:rsidRDefault="00A07617">
      <w:r>
        <w:t>In paragraph 2.3.8 the regulation defines a “Variant” as an individual brake disc/drum within a given test group</w:t>
      </w:r>
    </w:p>
    <w:p w:rsidR="006D4319" w:rsidRDefault="006D4319">
      <w:r>
        <w:t xml:space="preserve">The resulting approval number is of the following form </w:t>
      </w:r>
    </w:p>
    <w:p w:rsidR="006D4319" w:rsidRPr="00BC0121" w:rsidRDefault="006D4319" w:rsidP="006D4319">
      <w:pPr>
        <w:pStyle w:val="SingleTxtG"/>
        <w:keepNext/>
        <w:keepLines/>
        <w:ind w:left="2268" w:hanging="1134"/>
      </w:pPr>
      <w:r>
        <w:t>4</w:t>
      </w:r>
      <w:r w:rsidRPr="00BC0121">
        <w:t>.2.3.</w:t>
      </w:r>
      <w:r w:rsidRPr="00BC0121">
        <w:tab/>
        <w:t xml:space="preserve">The next four digits </w:t>
      </w:r>
      <w:r w:rsidRPr="00BC0121">
        <w:rPr>
          <w:rFonts w:ascii="(Asiatische Schriftart verwende" w:hAnsi="(Asiatische Schriftart verwende"/>
          <w:szCs w:val="24"/>
        </w:rPr>
        <w:t>shall</w:t>
      </w:r>
      <w:r w:rsidRPr="00BC0121">
        <w:t xml:space="preserve"> indicate the manufacture and the type of the brake lining, the type of disc or the type of drum.</w:t>
      </w:r>
    </w:p>
    <w:p w:rsidR="006D4319" w:rsidRPr="00BC0121" w:rsidRDefault="006D4319" w:rsidP="006D4319">
      <w:pPr>
        <w:pStyle w:val="SingleTxtG"/>
        <w:keepNext/>
        <w:keepLines/>
        <w:ind w:left="2268"/>
      </w:pPr>
      <w:r w:rsidRPr="00BC0121">
        <w:t>A suffix of four digits shall indicate</w:t>
      </w:r>
    </w:p>
    <w:p w:rsidR="006D4319" w:rsidRPr="00BC0121" w:rsidRDefault="006D4319" w:rsidP="006D4319">
      <w:pPr>
        <w:pStyle w:val="SingleTxtG"/>
        <w:keepNext/>
        <w:keepLines/>
        <w:ind w:left="2835" w:hanging="567"/>
        <w:rPr>
          <w:rFonts w:cs="Courier New"/>
          <w:spacing w:val="1"/>
        </w:rPr>
      </w:pPr>
      <w:r w:rsidRPr="00BC0121">
        <w:rPr>
          <w:rFonts w:cs="Courier New"/>
          <w:spacing w:val="1"/>
        </w:rPr>
        <w:t>(a)</w:t>
      </w:r>
      <w:r w:rsidRPr="00BC0121">
        <w:rPr>
          <w:rFonts w:cs="Courier New"/>
          <w:spacing w:val="1"/>
        </w:rPr>
        <w:tab/>
      </w:r>
      <w:proofErr w:type="gramStart"/>
      <w:r w:rsidRPr="00BC0121">
        <w:rPr>
          <w:rFonts w:cs="Courier New"/>
          <w:spacing w:val="1"/>
        </w:rPr>
        <w:t>the</w:t>
      </w:r>
      <w:proofErr w:type="gramEnd"/>
      <w:r w:rsidRPr="00BC0121">
        <w:rPr>
          <w:rFonts w:cs="Courier New"/>
          <w:spacing w:val="1"/>
        </w:rPr>
        <w:t xml:space="preserve"> shoe or back plate or specific dimension in the case of drum brake linings</w:t>
      </w:r>
    </w:p>
    <w:p w:rsidR="006D4319" w:rsidRPr="00BC0121" w:rsidRDefault="006D4319" w:rsidP="006D4319">
      <w:pPr>
        <w:pStyle w:val="SingleTxtG"/>
        <w:keepNext/>
        <w:keepLines/>
        <w:spacing w:after="240"/>
        <w:ind w:left="2268"/>
      </w:pPr>
      <w:r w:rsidRPr="00BC0121">
        <w:rPr>
          <w:rFonts w:cs="Courier New"/>
          <w:spacing w:val="1"/>
        </w:rPr>
        <w:t>(b)</w:t>
      </w:r>
      <w:r w:rsidRPr="00BC0121">
        <w:rPr>
          <w:rFonts w:cs="Courier New"/>
          <w:spacing w:val="1"/>
        </w:rPr>
        <w:tab/>
      </w:r>
      <w:proofErr w:type="gramStart"/>
      <w:r w:rsidRPr="00BC0121">
        <w:rPr>
          <w:rFonts w:cs="Courier New"/>
          <w:spacing w:val="1"/>
        </w:rPr>
        <w:t>the</w:t>
      </w:r>
      <w:proofErr w:type="gramEnd"/>
      <w:r w:rsidRPr="00BC0121">
        <w:rPr>
          <w:rFonts w:cs="Courier New"/>
          <w:spacing w:val="1"/>
        </w:rPr>
        <w:t xml:space="preserve"> variant</w:t>
      </w:r>
      <w:r w:rsidRPr="00BC0121">
        <w:t xml:space="preserve"> in the case of a replacement disc or replacement drum</w:t>
      </w: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334"/>
      </w:tblGrid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BC0121">
              <w:rPr>
                <w:rFonts w:ascii="Arial" w:eastAsia="MS Mincho" w:hAnsi="Arial" w:cs="Arial"/>
                <w:b/>
                <w:lang w:eastAsia="ja-JP"/>
              </w:rPr>
              <w:t>_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trHeight w:hRule="exact" w:val="8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4 digits indicate the variant / shoe / back plate / specific dimension of the replacement part (0001 to 9999)</w:t>
            </w:r>
          </w:p>
        </w:tc>
      </w:tr>
      <w:tr w:rsidR="006D4319" w:rsidRPr="00BC0121" w:rsidTr="00984003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4 digits indicate (manufacturer and) the type of the replacement part (0001 to 9999)</w:t>
            </w:r>
          </w:p>
        </w:tc>
      </w:tr>
      <w:tr w:rsidR="006D4319" w:rsidRPr="00BC0121" w:rsidTr="00984003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1 digit (A to D) indicates the category of the replacement part</w:t>
            </w: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  <w:r w:rsidRPr="00BC0121">
              <w:rPr>
                <w:rFonts w:eastAsia="MS Mincho"/>
                <w:lang w:eastAsia="ja-JP"/>
              </w:rPr>
              <w:t>2 digits indicate series of amendment (01 to 99)</w:t>
            </w:r>
          </w:p>
        </w:tc>
      </w:tr>
      <w:tr w:rsidR="006D4319" w:rsidRPr="00BC0121" w:rsidTr="009840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C0121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19" w:rsidRPr="00BC0121" w:rsidRDefault="006D4319" w:rsidP="00984003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</w:tbl>
    <w:p w:rsidR="006D4319" w:rsidRDefault="006D4319">
      <w:r>
        <w:t xml:space="preserve">The implications of this are that an approval of a Test Group requires individual certification for each part </w:t>
      </w:r>
      <w:r w:rsidR="00BC75B5">
        <w:t xml:space="preserve">(variant) within the Test Group with a consequent increase in the administrative burden and the cost to the applicant of securing approval and with no safety benefit to the consumer  </w:t>
      </w:r>
    </w:p>
    <w:p w:rsidR="00BC75B5" w:rsidRDefault="006D4319">
      <w:r>
        <w:lastRenderedPageBreak/>
        <w:t xml:space="preserve">This </w:t>
      </w:r>
      <w:r w:rsidR="004F79EF">
        <w:t xml:space="preserve">was not the intention of the working group that drafted the extension to ECER90 and </w:t>
      </w:r>
      <w:r>
        <w:t xml:space="preserve">is different to what has previously been the case with the approval of brake linings where the approval of all parts contained within a Test Group was covered by a single </w:t>
      </w:r>
      <w:r w:rsidR="00BC75B5">
        <w:t>certificate</w:t>
      </w:r>
    </w:p>
    <w:p w:rsidR="006D4319" w:rsidRDefault="00BC75B5">
      <w:r>
        <w:t xml:space="preserve">It is proposed to try to reconcile this matter  </w:t>
      </w:r>
    </w:p>
    <w:sectPr w:rsidR="006D4319" w:rsidSect="00321F3E">
      <w:headerReference w:type="default" r:id="rId7"/>
      <w:headerReference w:type="first" r:id="rId8"/>
      <w:pgSz w:w="11906" w:h="16838"/>
      <w:pgMar w:top="1027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F" w:rsidRDefault="00AD55FF" w:rsidP="00AD55FF">
      <w:pPr>
        <w:spacing w:after="0" w:line="240" w:lineRule="auto"/>
      </w:pPr>
      <w:r>
        <w:separator/>
      </w:r>
    </w:p>
  </w:endnote>
  <w:endnote w:type="continuationSeparator" w:id="0">
    <w:p w:rsidR="00AD55FF" w:rsidRDefault="00AD55FF" w:rsidP="00A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F" w:rsidRDefault="00AD55FF" w:rsidP="00AD55FF">
      <w:pPr>
        <w:spacing w:after="0" w:line="240" w:lineRule="auto"/>
      </w:pPr>
      <w:r>
        <w:separator/>
      </w:r>
    </w:p>
  </w:footnote>
  <w:footnote w:type="continuationSeparator" w:id="0">
    <w:p w:rsidR="00AD55FF" w:rsidRDefault="00AD55FF" w:rsidP="00A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AD55FF" w:rsidRPr="001D7DE3" w:rsidTr="005E24E6">
      <w:tc>
        <w:tcPr>
          <w:tcW w:w="4927" w:type="dxa"/>
          <w:shd w:val="clear" w:color="auto" w:fill="auto"/>
        </w:tcPr>
        <w:p w:rsidR="00AD55FF" w:rsidRPr="001D7DE3" w:rsidRDefault="00AD55FF" w:rsidP="005E24E6">
          <w:pPr>
            <w:pStyle w:val="Header"/>
            <w:ind w:right="-851"/>
            <w:rPr>
              <w:b/>
            </w:rPr>
          </w:pPr>
        </w:p>
      </w:tc>
      <w:tc>
        <w:tcPr>
          <w:tcW w:w="4928" w:type="dxa"/>
          <w:shd w:val="clear" w:color="auto" w:fill="auto"/>
        </w:tcPr>
        <w:p w:rsidR="00AD55FF" w:rsidRPr="001D7DE3" w:rsidRDefault="00AD55FF" w:rsidP="005E24E6">
          <w:pPr>
            <w:pStyle w:val="Header"/>
            <w:ind w:left="1734"/>
          </w:pPr>
        </w:p>
      </w:tc>
    </w:tr>
  </w:tbl>
  <w:p w:rsidR="00AD55FF" w:rsidRPr="00AD55FF" w:rsidRDefault="00AD55FF" w:rsidP="00AD5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7"/>
      <w:gridCol w:w="4599"/>
    </w:tblGrid>
    <w:tr w:rsidR="00AD55FF" w:rsidRPr="00AD55FF" w:rsidTr="005E24E6">
      <w:tc>
        <w:tcPr>
          <w:tcW w:w="4927" w:type="dxa"/>
          <w:shd w:val="clear" w:color="auto" w:fill="auto"/>
        </w:tcPr>
        <w:p w:rsidR="00AD55FF" w:rsidRPr="00DD7222" w:rsidRDefault="00AD55FF" w:rsidP="00DD7222">
          <w:pPr>
            <w:pStyle w:val="Header"/>
            <w:ind w:right="-851"/>
            <w:rPr>
              <w:rFonts w:ascii="Times New Roman" w:hAnsi="Times New Roman" w:cs="Times New Roman"/>
              <w:sz w:val="24"/>
              <w:szCs w:val="24"/>
            </w:rPr>
          </w:pPr>
          <w:r w:rsidRPr="00DD7222">
            <w:rPr>
              <w:rFonts w:ascii="Times New Roman" w:hAnsi="Times New Roman" w:cs="Times New Roman"/>
              <w:sz w:val="24"/>
              <w:szCs w:val="24"/>
            </w:rPr>
            <w:t xml:space="preserve">Submitted by the expert from </w:t>
          </w:r>
          <w:r w:rsidR="00DD7222" w:rsidRPr="00DD7222">
            <w:rPr>
              <w:rFonts w:ascii="Times New Roman" w:hAnsi="Times New Roman" w:cs="Times New Roman"/>
              <w:sz w:val="24"/>
              <w:szCs w:val="24"/>
            </w:rPr>
            <w:t>CLEPA</w:t>
          </w:r>
        </w:p>
      </w:tc>
      <w:tc>
        <w:tcPr>
          <w:tcW w:w="4928" w:type="dxa"/>
          <w:shd w:val="clear" w:color="auto" w:fill="auto"/>
        </w:tcPr>
        <w:p w:rsidR="00AD55FF" w:rsidRPr="00AD55FF" w:rsidRDefault="00AD55FF" w:rsidP="00AD55FF">
          <w:pPr>
            <w:pStyle w:val="Header"/>
            <w:ind w:left="74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D55FF">
            <w:rPr>
              <w:rFonts w:ascii="Times New Roman" w:hAnsi="Times New Roman" w:cs="Times New Roman"/>
              <w:sz w:val="24"/>
              <w:szCs w:val="24"/>
              <w:u w:val="single"/>
            </w:rPr>
            <w:t>Informal document</w:t>
          </w:r>
          <w:r w:rsidRPr="00AD55F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D55FF">
            <w:rPr>
              <w:rFonts w:ascii="Times New Roman" w:hAnsi="Times New Roman" w:cs="Times New Roman"/>
              <w:b/>
              <w:sz w:val="24"/>
              <w:szCs w:val="24"/>
            </w:rPr>
            <w:t>GRRF-78-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3A2B19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  <w:p w:rsidR="00AD55FF" w:rsidRPr="00AD55FF" w:rsidRDefault="00AD55FF" w:rsidP="00AD55FF">
          <w:pPr>
            <w:pStyle w:val="Header"/>
            <w:ind w:left="743"/>
            <w:rPr>
              <w:rFonts w:ascii="Times New Roman" w:hAnsi="Times New Roman" w:cs="Times New Roman"/>
              <w:sz w:val="24"/>
              <w:szCs w:val="24"/>
            </w:rPr>
          </w:pPr>
          <w:r w:rsidRPr="00AD55FF">
            <w:rPr>
              <w:rFonts w:ascii="Times New Roman" w:hAnsi="Times New Roman" w:cs="Times New Roman"/>
              <w:sz w:val="24"/>
              <w:szCs w:val="24"/>
            </w:rPr>
            <w:t>78</w:t>
          </w:r>
          <w:r w:rsidRPr="00AD55FF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Pr="00AD55FF">
            <w:rPr>
              <w:rFonts w:ascii="Times New Roman" w:hAnsi="Times New Roman" w:cs="Times New Roman"/>
              <w:sz w:val="24"/>
              <w:szCs w:val="24"/>
            </w:rPr>
            <w:t xml:space="preserve"> GRRF, 16-19 September 2014</w:t>
          </w:r>
        </w:p>
        <w:p w:rsidR="00AD55FF" w:rsidRPr="00AD55FF" w:rsidRDefault="00AD55FF" w:rsidP="000C72F0">
          <w:pPr>
            <w:pStyle w:val="Header"/>
            <w:ind w:left="743"/>
            <w:rPr>
              <w:rFonts w:ascii="Times New Roman" w:hAnsi="Times New Roman" w:cs="Times New Roman"/>
              <w:sz w:val="24"/>
              <w:szCs w:val="24"/>
            </w:rPr>
          </w:pPr>
          <w:r w:rsidRPr="00AD55FF">
            <w:rPr>
              <w:rFonts w:ascii="Times New Roman" w:hAnsi="Times New Roman" w:cs="Times New Roman"/>
              <w:sz w:val="24"/>
              <w:szCs w:val="24"/>
            </w:rPr>
            <w:t>Agenda item 1</w:t>
          </w:r>
          <w:r w:rsidR="000C72F0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AD55FF">
            <w:rPr>
              <w:rFonts w:ascii="Times New Roman" w:hAnsi="Times New Roman" w:cs="Times New Roman"/>
              <w:sz w:val="24"/>
              <w:szCs w:val="24"/>
            </w:rPr>
            <w:t>(d)</w:t>
          </w:r>
        </w:p>
      </w:tc>
    </w:tr>
  </w:tbl>
  <w:p w:rsidR="00AD55FF" w:rsidRDefault="00AD5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8F"/>
    <w:rsid w:val="000C72F0"/>
    <w:rsid w:val="00321F3E"/>
    <w:rsid w:val="003518F3"/>
    <w:rsid w:val="003A2B19"/>
    <w:rsid w:val="004F79EF"/>
    <w:rsid w:val="006D4319"/>
    <w:rsid w:val="00A07617"/>
    <w:rsid w:val="00AD55FF"/>
    <w:rsid w:val="00BC75B5"/>
    <w:rsid w:val="00CD218F"/>
    <w:rsid w:val="00DD7222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basedOn w:val="DefaultParagraphFont"/>
    <w:link w:val="SingleTxtG"/>
    <w:rsid w:val="00CD218F"/>
  </w:style>
  <w:style w:type="paragraph" w:customStyle="1" w:styleId="SingleTxtG">
    <w:name w:val="_ Single Txt_G"/>
    <w:basedOn w:val="Normal"/>
    <w:link w:val="SingleTxtGChar"/>
    <w:rsid w:val="00CD218F"/>
    <w:pPr>
      <w:suppressAutoHyphens/>
      <w:spacing w:after="120" w:line="240" w:lineRule="atLeast"/>
      <w:ind w:left="1134" w:right="1134"/>
      <w:jc w:val="both"/>
    </w:pPr>
  </w:style>
  <w:style w:type="paragraph" w:styleId="Header">
    <w:name w:val="header"/>
    <w:aliases w:val="6_G"/>
    <w:basedOn w:val="Normal"/>
    <w:link w:val="HeaderChar"/>
    <w:unhideWhenUsed/>
    <w:rsid w:val="00AD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AD55FF"/>
  </w:style>
  <w:style w:type="paragraph" w:styleId="Footer">
    <w:name w:val="footer"/>
    <w:basedOn w:val="Normal"/>
    <w:link w:val="FooterChar"/>
    <w:uiPriority w:val="99"/>
    <w:unhideWhenUsed/>
    <w:rsid w:val="00AD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GRRF</dc:creator>
  <cp:lastModifiedBy>Armengol</cp:lastModifiedBy>
  <cp:revision>13</cp:revision>
  <cp:lastPrinted>2014-09-18T16:20:00Z</cp:lastPrinted>
  <dcterms:created xsi:type="dcterms:W3CDTF">2014-09-18T12:24:00Z</dcterms:created>
  <dcterms:modified xsi:type="dcterms:W3CDTF">2014-09-18T16:33:00Z</dcterms:modified>
</cp:coreProperties>
</file>