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72" w:rsidRPr="00272849" w:rsidRDefault="002A7C72" w:rsidP="00692386">
      <w:pPr>
        <w:pStyle w:val="HChG"/>
        <w:ind w:left="0" w:firstLine="0"/>
        <w:outlineLvl w:val="0"/>
      </w:pPr>
      <w:r>
        <w:tab/>
      </w:r>
      <w:r w:rsidRPr="00272849">
        <w:t xml:space="preserve">Compliance by </w:t>
      </w:r>
      <w:smartTag w:uri="urn:schemas-microsoft-com:office:smarttags" w:element="place">
        <w:smartTag w:uri="urn:schemas-microsoft-com:office:smarttags" w:element="country-region">
          <w:r w:rsidRPr="00272849">
            <w:t>Armenia</w:t>
          </w:r>
        </w:smartTag>
      </w:smartTag>
      <w:r w:rsidRPr="00272849">
        <w:t xml:space="preserve"> with its obligations under the Convention</w:t>
      </w:r>
    </w:p>
    <w:p w:rsidR="002A7C72" w:rsidRPr="00272849" w:rsidRDefault="002A7C72" w:rsidP="00692386"/>
    <w:p w:rsidR="002A7C72" w:rsidRPr="00272849" w:rsidRDefault="002A7C72" w:rsidP="00692386">
      <w:pPr>
        <w:pStyle w:val="HChG"/>
      </w:pPr>
      <w:r w:rsidRPr="00272849">
        <w:tab/>
        <w:t>I.</w:t>
      </w:r>
      <w:r w:rsidRPr="00272849">
        <w:tab/>
        <w:t>Introduction - decision IV/9a of the Meeting of the Parties</w:t>
      </w:r>
    </w:p>
    <w:p w:rsidR="002A7C72" w:rsidRPr="00272849" w:rsidRDefault="002A7C72" w:rsidP="00692386">
      <w:pPr>
        <w:pStyle w:val="SingleTxtG"/>
        <w:numPr>
          <w:ilvl w:val="0"/>
          <w:numId w:val="1"/>
        </w:numPr>
        <w:ind w:left="0" w:firstLine="0"/>
      </w:pPr>
      <w:r w:rsidRPr="00272849">
        <w:t>At its fourth session, the Meeting of the Parties to the Convention on Access to Information, Public Participation in Decision-making and Access to Justice in Environmental Matters (Aarhus Convention) adopted decision IV/9a on compliance by Armenia with its obligations under the Conve</w:t>
      </w:r>
      <w:r w:rsidR="00D126B9">
        <w:t>ntion (included in ECE/MP.PP/20</w:t>
      </w:r>
      <w:r w:rsidRPr="00272849">
        <w:t>11/2/Add.1).</w:t>
      </w:r>
    </w:p>
    <w:p w:rsidR="00660C0A" w:rsidRPr="002275F9" w:rsidRDefault="002A7C72" w:rsidP="00660C0A">
      <w:pPr>
        <w:pStyle w:val="SingleTxtG"/>
        <w:numPr>
          <w:ilvl w:val="0"/>
          <w:numId w:val="1"/>
        </w:numPr>
        <w:ind w:left="0" w:firstLine="0"/>
      </w:pPr>
      <w:r w:rsidRPr="002275F9">
        <w:t>Armenia</w:t>
      </w:r>
      <w:r w:rsidR="0093325D" w:rsidRPr="002275F9">
        <w:t>’s compliance with the Convention</w:t>
      </w:r>
      <w:r w:rsidRPr="002275F9">
        <w:t xml:space="preserve"> has been </w:t>
      </w:r>
      <w:r w:rsidR="00EA1FBA" w:rsidRPr="002275F9">
        <w:t>under the review of</w:t>
      </w:r>
      <w:r w:rsidR="0093325D" w:rsidRPr="002275F9">
        <w:t xml:space="preserve"> </w:t>
      </w:r>
      <w:r w:rsidRPr="002275F9">
        <w:t>the Compliance Committee since 2004</w:t>
      </w:r>
      <w:r w:rsidR="00EA1FBA" w:rsidRPr="002275F9">
        <w:t>, beginning</w:t>
      </w:r>
      <w:r w:rsidRPr="002275F9">
        <w:t xml:space="preserve"> with communication ACCC/C/2004/08 concerning the decision-making on the modification of land use designation and zoning as well as on the leasing of certain plots in the agricultural area of </w:t>
      </w:r>
      <w:proofErr w:type="spellStart"/>
      <w:r w:rsidRPr="002275F9">
        <w:t>Dalma</w:t>
      </w:r>
      <w:proofErr w:type="spellEnd"/>
      <w:r w:rsidRPr="002275F9">
        <w:t xml:space="preserve"> Orchards. </w:t>
      </w:r>
      <w:r w:rsidR="00EA1FBA" w:rsidRPr="002275F9">
        <w:t>In its findings adopted on 31 March 2006</w:t>
      </w:r>
      <w:r w:rsidRPr="002275F9">
        <w:t xml:space="preserve">, the Committee had found non-compliance with article 4, paragraphs 1 and 2, article 6, paragraph 1(a) in connection with article 6, paragraphs 2 to 5 and 7 to 9, article 7 and article 9, paragraphs 2 to </w:t>
      </w:r>
      <w:proofErr w:type="gramStart"/>
      <w:r w:rsidRPr="002275F9">
        <w:t>4</w:t>
      </w:r>
      <w:r w:rsidR="00660C0A" w:rsidRPr="002275F9">
        <w:t xml:space="preserve">  (</w:t>
      </w:r>
      <w:proofErr w:type="gramEnd"/>
      <w:r w:rsidR="00660C0A" w:rsidRPr="002275F9">
        <w:rPr>
          <w:rFonts w:eastAsia="Calibri"/>
          <w:lang w:eastAsia="zh-CN"/>
        </w:rPr>
        <w:t xml:space="preserve">ECE/MP.PP/C.1/2006/2/Add.1). </w:t>
      </w:r>
      <w:r w:rsidR="00660C0A" w:rsidRPr="002275F9">
        <w:t xml:space="preserve">The Committee </w:t>
      </w:r>
      <w:r w:rsidRPr="002275F9">
        <w:t xml:space="preserve">made </w:t>
      </w:r>
      <w:r w:rsidR="00660C0A" w:rsidRPr="002275F9">
        <w:t xml:space="preserve">the following </w:t>
      </w:r>
      <w:r w:rsidRPr="002275F9">
        <w:t>recommendations to the Party concerned with its agreement</w:t>
      </w:r>
      <w:r w:rsidR="00660C0A" w:rsidRPr="002275F9">
        <w:t xml:space="preserve">: </w:t>
      </w:r>
    </w:p>
    <w:p w:rsidR="00660C0A" w:rsidRPr="002275F9" w:rsidRDefault="00660C0A" w:rsidP="002275F9">
      <w:pPr>
        <w:pStyle w:val="SingleTxtG"/>
        <w:spacing w:after="0"/>
        <w:ind w:left="0"/>
      </w:pPr>
      <w:r w:rsidRPr="002275F9">
        <w:t xml:space="preserve"> (a) </w:t>
      </w:r>
      <w:r w:rsidR="00FA0DB7" w:rsidRPr="002275F9">
        <w:tab/>
      </w:r>
      <w:proofErr w:type="gramStart"/>
      <w:r w:rsidRPr="002275F9">
        <w:t>undertake</w:t>
      </w:r>
      <w:proofErr w:type="gramEnd"/>
      <w:r w:rsidRPr="002275F9">
        <w:t xml:space="preserve"> practical and legislative measures to overcome the existing problems with access to environmental information, including, where appropriate, statistical monitoring of processing information requests ;</w:t>
      </w:r>
    </w:p>
    <w:p w:rsidR="00660C0A" w:rsidRPr="002275F9" w:rsidRDefault="00660C0A" w:rsidP="002275F9">
      <w:pPr>
        <w:pStyle w:val="SingleTxtG"/>
        <w:spacing w:after="0"/>
        <w:ind w:left="0"/>
      </w:pPr>
    </w:p>
    <w:p w:rsidR="00660C0A" w:rsidRPr="002275F9" w:rsidRDefault="00660C0A" w:rsidP="002275F9">
      <w:pPr>
        <w:pStyle w:val="SingleTxtG"/>
        <w:spacing w:after="0"/>
        <w:ind w:left="0"/>
      </w:pPr>
      <w:r w:rsidRPr="002275F9">
        <w:t xml:space="preserve">(b) </w:t>
      </w:r>
      <w:r w:rsidR="00FA0DB7" w:rsidRPr="002275F9">
        <w:tab/>
      </w:r>
      <w:proofErr w:type="gramStart"/>
      <w:r w:rsidRPr="002275F9">
        <w:t>ensure</w:t>
      </w:r>
      <w:proofErr w:type="gramEnd"/>
      <w:r w:rsidRPr="002275F9">
        <w:t xml:space="preserve"> practical application of public participation procedures at all levels of decision-making in accordance with article 7 of the Convention and relevant domestic legislation;</w:t>
      </w:r>
    </w:p>
    <w:p w:rsidR="00660C0A" w:rsidRPr="002275F9" w:rsidRDefault="00660C0A" w:rsidP="002275F9">
      <w:pPr>
        <w:pStyle w:val="SingleTxtG"/>
        <w:spacing w:after="0"/>
        <w:ind w:left="0"/>
      </w:pPr>
    </w:p>
    <w:p w:rsidR="00660C0A" w:rsidRPr="002275F9" w:rsidRDefault="00660C0A" w:rsidP="002275F9">
      <w:pPr>
        <w:pStyle w:val="SingleTxtG"/>
        <w:spacing w:after="0"/>
        <w:ind w:left="0"/>
      </w:pPr>
      <w:r w:rsidRPr="002275F9">
        <w:t xml:space="preserve">(c) </w:t>
      </w:r>
      <w:r w:rsidR="00FA0DB7" w:rsidRPr="002275F9">
        <w:tab/>
      </w:r>
      <w:r w:rsidRPr="002275F9">
        <w:t>develop detailed procedures for public participation in decision-making on activities referred to in article 6, paragraph 1, of the Convention, inter alia by incorporating them into the new Law on Environmental Impact Assessment, and to ensure their practical application, including by providing training to officials of all the relevant public authorities at various levels of administration;</w:t>
      </w:r>
    </w:p>
    <w:p w:rsidR="00660C0A" w:rsidRPr="002275F9" w:rsidRDefault="00660C0A" w:rsidP="002275F9">
      <w:pPr>
        <w:pStyle w:val="SingleTxtG"/>
        <w:spacing w:after="0"/>
        <w:ind w:left="0"/>
      </w:pPr>
    </w:p>
    <w:p w:rsidR="00660C0A" w:rsidRPr="002275F9" w:rsidRDefault="00660C0A" w:rsidP="002275F9">
      <w:pPr>
        <w:pStyle w:val="SingleTxtG"/>
        <w:spacing w:after="0"/>
        <w:ind w:left="0"/>
      </w:pPr>
      <w:r w:rsidRPr="002275F9">
        <w:t xml:space="preserve">(d) </w:t>
      </w:r>
      <w:r w:rsidR="00FA0DB7" w:rsidRPr="002275F9">
        <w:tab/>
      </w:r>
      <w:proofErr w:type="gramStart"/>
      <w:r w:rsidRPr="002275F9">
        <w:t>ensure</w:t>
      </w:r>
      <w:proofErr w:type="gramEnd"/>
      <w:r w:rsidRPr="002275F9">
        <w:t xml:space="preserve"> that appropriate forms of decisions are used in decision-making on matters subject to articles 6 and 7, so as to ensure that the public can effectively exercise their rights under the Convention;</w:t>
      </w:r>
    </w:p>
    <w:p w:rsidR="00660C0A" w:rsidRPr="002275F9" w:rsidRDefault="00660C0A" w:rsidP="002275F9">
      <w:pPr>
        <w:pStyle w:val="SingleTxtG"/>
        <w:spacing w:after="0"/>
        <w:ind w:left="0"/>
      </w:pPr>
    </w:p>
    <w:p w:rsidR="00660C0A" w:rsidRPr="002275F9" w:rsidRDefault="00660C0A" w:rsidP="002275F9">
      <w:pPr>
        <w:pStyle w:val="SingleTxtG"/>
        <w:spacing w:after="0"/>
        <w:ind w:left="0"/>
      </w:pPr>
      <w:r w:rsidRPr="002275F9">
        <w:t xml:space="preserve">(e) </w:t>
      </w:r>
      <w:r w:rsidR="00FA0DB7" w:rsidRPr="002275F9">
        <w:tab/>
      </w:r>
      <w:r w:rsidRPr="002275F9">
        <w:t>undertake appropriate practical measures to ensure effective access to justice, including the availability of adequate and effective remedies to challenge the legality of decisions on matters regulated by articles 6 and 7 of the Convention;</w:t>
      </w:r>
    </w:p>
    <w:p w:rsidR="00660C0A" w:rsidRPr="002275F9" w:rsidRDefault="00660C0A" w:rsidP="002275F9">
      <w:pPr>
        <w:pStyle w:val="SingleTxtG"/>
        <w:spacing w:after="0"/>
        <w:ind w:left="0"/>
      </w:pPr>
    </w:p>
    <w:p w:rsidR="00660C0A" w:rsidRPr="002275F9" w:rsidRDefault="00660C0A" w:rsidP="002275F9">
      <w:pPr>
        <w:pStyle w:val="SingleTxtG"/>
        <w:spacing w:after="0"/>
        <w:ind w:left="0"/>
      </w:pPr>
      <w:r w:rsidRPr="002275F9">
        <w:t xml:space="preserve">(f) </w:t>
      </w:r>
      <w:r w:rsidR="00FA0DB7" w:rsidRPr="002275F9">
        <w:tab/>
      </w:r>
      <w:proofErr w:type="gramStart"/>
      <w:r w:rsidRPr="002275F9">
        <w:t>take</w:t>
      </w:r>
      <w:proofErr w:type="gramEnd"/>
      <w:r w:rsidRPr="002275F9">
        <w:t xml:space="preserve"> the consideration and evaluation of the Committee into account in the on-</w:t>
      </w:r>
      <w:r w:rsidR="00D135A7" w:rsidRPr="002275F9">
        <w:t xml:space="preserve">going revision of legislation (specifically, the Constitution and draft laws on administration and on environmental impact assessment), </w:t>
      </w:r>
      <w:r w:rsidRPr="002275F9">
        <w:t>as well as in further consideration of the specific matter raised by the communicants; and</w:t>
      </w:r>
    </w:p>
    <w:p w:rsidR="00660C0A" w:rsidRPr="002275F9" w:rsidRDefault="00660C0A" w:rsidP="002275F9">
      <w:pPr>
        <w:pStyle w:val="SingleTxtG"/>
        <w:spacing w:after="0"/>
        <w:ind w:left="0"/>
      </w:pPr>
    </w:p>
    <w:p w:rsidR="00660C0A" w:rsidRPr="002275F9" w:rsidRDefault="00660C0A" w:rsidP="002275F9">
      <w:pPr>
        <w:pStyle w:val="SingleTxtG"/>
        <w:spacing w:after="0"/>
        <w:ind w:left="0"/>
      </w:pPr>
      <w:r w:rsidRPr="002275F9">
        <w:t xml:space="preserve">(g) </w:t>
      </w:r>
      <w:r w:rsidR="00FA0DB7" w:rsidRPr="002275F9">
        <w:tab/>
      </w:r>
      <w:proofErr w:type="gramStart"/>
      <w:r w:rsidRPr="002275F9">
        <w:t>take</w:t>
      </w:r>
      <w:proofErr w:type="gramEnd"/>
      <w:r w:rsidRPr="002275F9">
        <w:t xml:space="preserve"> the findings and conclusions of the Committee into account in further consideration of the specific matter raised by the communicants.</w:t>
      </w:r>
    </w:p>
    <w:p w:rsidR="00660C0A" w:rsidRPr="002275F9" w:rsidRDefault="00660C0A" w:rsidP="002275F9">
      <w:pPr>
        <w:pStyle w:val="SingleTxtG"/>
        <w:ind w:left="0"/>
      </w:pPr>
    </w:p>
    <w:p w:rsidR="002A7C72" w:rsidRPr="002275F9" w:rsidRDefault="001B4587" w:rsidP="002275F9">
      <w:pPr>
        <w:pStyle w:val="SingleTxtG"/>
        <w:numPr>
          <w:ilvl w:val="0"/>
          <w:numId w:val="1"/>
        </w:numPr>
        <w:ind w:left="0" w:firstLine="0"/>
      </w:pPr>
      <w:r w:rsidRPr="002275F9">
        <w:t xml:space="preserve">In its report to the third session of the Meeting of the Parties on the </w:t>
      </w:r>
      <w:r w:rsidR="00556DCF" w:rsidRPr="002275F9">
        <w:t xml:space="preserve">progress </w:t>
      </w:r>
      <w:r w:rsidRPr="002275F9">
        <w:t xml:space="preserve">made by the Party concerned in implementing the above recommendations </w:t>
      </w:r>
      <w:r w:rsidR="00556DCF" w:rsidRPr="002275F9">
        <w:t xml:space="preserve"> </w:t>
      </w:r>
      <w:r w:rsidR="002A7C72" w:rsidRPr="002275F9">
        <w:t>(ECE/MP.PP/2008/5/Add. 2)</w:t>
      </w:r>
      <w:r w:rsidRPr="002275F9">
        <w:t>,</w:t>
      </w:r>
      <w:r w:rsidR="00556DCF" w:rsidRPr="002275F9">
        <w:t xml:space="preserve"> the Committee noted with appreciation that the Party concerned recognized that legislative changes and development of detailed public participation procedures were required. The Committee took note of </w:t>
      </w:r>
      <w:r w:rsidR="00556DCF" w:rsidRPr="002275F9">
        <w:lastRenderedPageBreak/>
        <w:t>information provided by the Party concerned that several specific procedures were currently being developed, while noting that such a general reference did not allow the Committee to evaluate in a concrete way the qualitative progress made with regard to implementation of specific recommendations. The Committee therefore considered that it was not in a position to conclude that the Party concerned was</w:t>
      </w:r>
      <w:r w:rsidR="00D61C95">
        <w:t xml:space="preserve"> at that time</w:t>
      </w:r>
      <w:r w:rsidR="00556DCF" w:rsidRPr="002275F9">
        <w:t xml:space="preserve"> </w:t>
      </w:r>
      <w:r w:rsidR="00556DCF" w:rsidRPr="00ED2C37">
        <w:rPr>
          <w:strike/>
        </w:rPr>
        <w:t>now</w:t>
      </w:r>
      <w:r w:rsidR="00556DCF" w:rsidRPr="002275F9">
        <w:t xml:space="preserve"> in compliance with the Convention. The Committee therefore recommended to the Meeting of the Parties to welcome progress made by the Party concerned and to endorse the original findings and recommendations of the Committee </w:t>
      </w:r>
      <w:r w:rsidR="00D135A7" w:rsidRPr="002275F9">
        <w:t>on communication ACCC/C/2004/08.</w:t>
      </w:r>
    </w:p>
    <w:p w:rsidR="00F03D6B" w:rsidRPr="002275F9" w:rsidRDefault="002A7C72" w:rsidP="00F03D6B">
      <w:pPr>
        <w:pStyle w:val="SingleTxtG"/>
        <w:numPr>
          <w:ilvl w:val="0"/>
          <w:numId w:val="1"/>
        </w:numPr>
        <w:ind w:left="0" w:firstLine="0"/>
      </w:pPr>
      <w:r w:rsidRPr="002275F9">
        <w:t>Through decision III/6b (ECE/MP.PP/2008/2/Add.10), the Meeting of the Parties at its third session endorsed the Committee’s findings on communication ACCC/C/2004/08, welcomed its recommendations</w:t>
      </w:r>
      <w:r w:rsidR="00F03D6B" w:rsidRPr="002275F9">
        <w:t xml:space="preserve"> and requested  the Party concerned:</w:t>
      </w:r>
    </w:p>
    <w:p w:rsidR="00F03D6B" w:rsidRPr="002275F9" w:rsidRDefault="00F03D6B" w:rsidP="00F03D6B">
      <w:pPr>
        <w:pStyle w:val="SingleTxtG"/>
        <w:numPr>
          <w:ilvl w:val="1"/>
          <w:numId w:val="1"/>
        </w:numPr>
        <w:ind w:left="0" w:firstLine="0"/>
      </w:pPr>
      <w:r w:rsidRPr="002275F9">
        <w:t xml:space="preserve">To ensure practical application of public participation procedures at all levels of decision-making in accordance with article 7 of the Convention and relevant domestic legislation; </w:t>
      </w:r>
    </w:p>
    <w:p w:rsidR="00F03D6B" w:rsidRPr="002275F9" w:rsidRDefault="00F03D6B" w:rsidP="00F03D6B">
      <w:pPr>
        <w:pStyle w:val="SingleTxtG"/>
        <w:numPr>
          <w:ilvl w:val="1"/>
          <w:numId w:val="1"/>
        </w:numPr>
        <w:ind w:left="0" w:firstLine="0"/>
      </w:pPr>
      <w:r w:rsidRPr="002275F9">
        <w:t xml:space="preserve">To develop detailed procedures for public participation in decision-making on the activities referred to in article 6, paragraph 1, of the Convention; </w:t>
      </w:r>
    </w:p>
    <w:p w:rsidR="00F03D6B" w:rsidRPr="002275F9" w:rsidRDefault="00F03D6B" w:rsidP="00F03D6B">
      <w:pPr>
        <w:pStyle w:val="SingleTxtG"/>
        <w:numPr>
          <w:ilvl w:val="1"/>
          <w:numId w:val="1"/>
        </w:numPr>
        <w:ind w:left="0" w:firstLine="0"/>
      </w:pPr>
      <w:r w:rsidRPr="002275F9">
        <w:t>To undertake appropriate practical measures to ensure effective access to justice, including the availability of adequate and effective remedies to challenge the legality of decisions on matters regulated by articles 6 and 7 of the Convention.</w:t>
      </w:r>
    </w:p>
    <w:p w:rsidR="00F03D6B" w:rsidRPr="002275F9" w:rsidRDefault="00F03D6B" w:rsidP="00F03D6B">
      <w:pPr>
        <w:pStyle w:val="Default"/>
        <w:rPr>
          <w:rFonts w:eastAsia="Times New Roman"/>
          <w:color w:val="auto"/>
          <w:sz w:val="20"/>
          <w:szCs w:val="20"/>
          <w:lang w:eastAsia="en-US"/>
        </w:rPr>
      </w:pPr>
    </w:p>
    <w:p w:rsidR="00060792" w:rsidRPr="00060792" w:rsidRDefault="002A7C72" w:rsidP="00060792">
      <w:pPr>
        <w:pStyle w:val="SingleTxtG"/>
        <w:numPr>
          <w:ilvl w:val="0"/>
          <w:numId w:val="1"/>
        </w:numPr>
        <w:ind w:left="0" w:right="1120" w:firstLine="0"/>
      </w:pPr>
      <w:r w:rsidRPr="002275F9">
        <w:t xml:space="preserve">During </w:t>
      </w:r>
      <w:r w:rsidR="00A43FF5" w:rsidRPr="002275F9">
        <w:t xml:space="preserve">the </w:t>
      </w:r>
      <w:proofErr w:type="spellStart"/>
      <w:r w:rsidR="00A43FF5" w:rsidRPr="002275F9">
        <w:t>intersessional</w:t>
      </w:r>
      <w:proofErr w:type="spellEnd"/>
      <w:r w:rsidR="00A43FF5" w:rsidRPr="002275F9">
        <w:t xml:space="preserve"> </w:t>
      </w:r>
      <w:r w:rsidRPr="002275F9">
        <w:t>period</w:t>
      </w:r>
      <w:r w:rsidR="00A43FF5" w:rsidRPr="002275F9">
        <w:t xml:space="preserve"> 2008-2011</w:t>
      </w:r>
      <w:r w:rsidRPr="002275F9">
        <w:t>, the Committee considered communication ACCC/C/2009/43 concerning compliance by Armenia with the provisions of the Convention on public participation and access to justice in relation to the issuance and renewal of licences to a developer for the exploitation of copper and molybdenum deposits in the Lori region. On that occasion, while acknowledging the continuous efforts by the Party concerned in implementing decision III6/b, the Committee found that there were still shortcomings in Armenian law and practice and, due to these shortcomings, the Party concerned failed in the case of ACCC/C/2009/43 to comply with article 3, paragraph 1, of the Convention; and article 6, paragraphs 2, 4 and 9, of the Convention</w:t>
      </w:r>
      <w:r w:rsidR="00060792">
        <w:t xml:space="preserve"> </w:t>
      </w:r>
      <w:r w:rsidR="00060792" w:rsidRPr="002275F9">
        <w:t>(ECE/MP.PP/2011/11/Add.1)</w:t>
      </w:r>
      <w:r w:rsidRPr="002275F9">
        <w:t xml:space="preserve">. The Committee made </w:t>
      </w:r>
      <w:r w:rsidR="00060792">
        <w:t>the following</w:t>
      </w:r>
      <w:r w:rsidRPr="002275F9">
        <w:t xml:space="preserve"> recommendations directly to the Meeting of the Parties</w:t>
      </w:r>
      <w:r w:rsidR="00060792">
        <w:t>, namely that the Meeting of the Parties re</w:t>
      </w:r>
      <w:r w:rsidR="00060792" w:rsidRPr="00060792">
        <w:t xml:space="preserve">commend to the Party concerned to take the necessary legislative, regulatory, and administrative measures and practical arrangements to ensure that: </w:t>
      </w:r>
    </w:p>
    <w:p w:rsidR="00060792" w:rsidRPr="00255FF9" w:rsidRDefault="00060792" w:rsidP="00060792">
      <w:pPr>
        <w:pStyle w:val="Default"/>
        <w:numPr>
          <w:ilvl w:val="0"/>
          <w:numId w:val="10"/>
        </w:numPr>
        <w:spacing w:after="120"/>
        <w:ind w:left="0" w:right="1120" w:firstLine="0"/>
        <w:jc w:val="both"/>
        <w:rPr>
          <w:sz w:val="20"/>
          <w:szCs w:val="20"/>
        </w:rPr>
      </w:pPr>
      <w:r w:rsidRPr="00255FF9">
        <w:rPr>
          <w:sz w:val="20"/>
          <w:szCs w:val="20"/>
        </w:rPr>
        <w:t>Thresholds for activities subject to an EIA procedure, including public participation, are set in a clear manner;</w:t>
      </w:r>
    </w:p>
    <w:p w:rsidR="00060792" w:rsidRPr="00255FF9" w:rsidRDefault="00060792" w:rsidP="00060792">
      <w:pPr>
        <w:pStyle w:val="Default"/>
        <w:numPr>
          <w:ilvl w:val="0"/>
          <w:numId w:val="10"/>
        </w:numPr>
        <w:spacing w:after="120"/>
        <w:ind w:left="0" w:right="1120" w:firstLine="0"/>
        <w:jc w:val="both"/>
        <w:rPr>
          <w:color w:val="auto"/>
          <w:sz w:val="20"/>
          <w:szCs w:val="20"/>
        </w:rPr>
      </w:pPr>
      <w:r w:rsidRPr="00255FF9">
        <w:rPr>
          <w:color w:val="auto"/>
          <w:sz w:val="20"/>
          <w:szCs w:val="20"/>
        </w:rPr>
        <w:t xml:space="preserve">The public is informed as early as possible in the decision-making procedure, when all options are open, and that reasonable time frames are set for the public to consult and comment on project-related documentation; </w:t>
      </w:r>
    </w:p>
    <w:p w:rsidR="00060792" w:rsidRPr="00255FF9" w:rsidRDefault="00060792" w:rsidP="00060792">
      <w:pPr>
        <w:pStyle w:val="Default"/>
        <w:spacing w:after="120"/>
        <w:ind w:right="1120"/>
        <w:jc w:val="both"/>
        <w:rPr>
          <w:color w:val="auto"/>
          <w:sz w:val="20"/>
          <w:szCs w:val="20"/>
        </w:rPr>
      </w:pPr>
      <w:r w:rsidRPr="00255FF9">
        <w:rPr>
          <w:color w:val="auto"/>
          <w:sz w:val="20"/>
          <w:szCs w:val="20"/>
        </w:rPr>
        <w:t xml:space="preserve">(iii) </w:t>
      </w:r>
      <w:r>
        <w:rPr>
          <w:color w:val="auto"/>
          <w:sz w:val="20"/>
          <w:szCs w:val="20"/>
        </w:rPr>
        <w:tab/>
      </w:r>
      <w:r w:rsidRPr="00255FF9">
        <w:rPr>
          <w:color w:val="auto"/>
          <w:sz w:val="20"/>
          <w:szCs w:val="20"/>
        </w:rPr>
        <w:t xml:space="preserve">The responsibilities of different actors (public authorities, local authorities, developer) on the organization of public participation procedures are defined as clearly as possible; </w:t>
      </w:r>
    </w:p>
    <w:p w:rsidR="00060792" w:rsidRPr="00255FF9" w:rsidRDefault="00060792" w:rsidP="00060792">
      <w:pPr>
        <w:pStyle w:val="Default"/>
        <w:spacing w:after="120"/>
        <w:ind w:right="1120"/>
        <w:jc w:val="both"/>
        <w:rPr>
          <w:color w:val="auto"/>
          <w:sz w:val="20"/>
          <w:szCs w:val="20"/>
        </w:rPr>
      </w:pPr>
      <w:proofErr w:type="gramStart"/>
      <w:r w:rsidRPr="00255FF9">
        <w:rPr>
          <w:color w:val="auto"/>
          <w:sz w:val="20"/>
          <w:szCs w:val="20"/>
        </w:rPr>
        <w:t xml:space="preserve">(iv) </w:t>
      </w:r>
      <w:r>
        <w:rPr>
          <w:color w:val="auto"/>
          <w:sz w:val="20"/>
          <w:szCs w:val="20"/>
        </w:rPr>
        <w:tab/>
      </w:r>
      <w:r w:rsidRPr="00255FF9">
        <w:rPr>
          <w:color w:val="auto"/>
          <w:sz w:val="20"/>
          <w:szCs w:val="20"/>
        </w:rPr>
        <w:t>A</w:t>
      </w:r>
      <w:proofErr w:type="gramEnd"/>
      <w:r w:rsidRPr="00255FF9">
        <w:rPr>
          <w:color w:val="auto"/>
          <w:sz w:val="20"/>
          <w:szCs w:val="20"/>
        </w:rPr>
        <w:t xml:space="preserve"> system of prompt notification of the public concerned on final conclusions of environmental expertise is arranged, e.g., through the website of th</w:t>
      </w:r>
      <w:r>
        <w:rPr>
          <w:color w:val="auto"/>
          <w:sz w:val="20"/>
          <w:szCs w:val="20"/>
        </w:rPr>
        <w:t>e Ministry of Nature Protection.</w:t>
      </w:r>
      <w:r w:rsidRPr="00255FF9">
        <w:rPr>
          <w:color w:val="auto"/>
          <w:sz w:val="20"/>
          <w:szCs w:val="20"/>
        </w:rPr>
        <w:t xml:space="preserve"> </w:t>
      </w:r>
    </w:p>
    <w:p w:rsidR="00060792" w:rsidRDefault="00060792" w:rsidP="00692386">
      <w:pPr>
        <w:pStyle w:val="SingleTxtG"/>
        <w:numPr>
          <w:ilvl w:val="0"/>
          <w:numId w:val="1"/>
        </w:numPr>
        <w:ind w:left="0" w:firstLine="0"/>
      </w:pPr>
      <w:r>
        <w:t>The Committee also recommended that the Meeting of the Parties invite the Party concerned to d</w:t>
      </w:r>
      <w:r w:rsidRPr="00255FF9">
        <w:t>raw up an action plan for implementing the above recommendations with a view to submitting an initial progress report to the Committee by 1 December 2011, and the action plan by 1 April 2012</w:t>
      </w:r>
      <w:r>
        <w:t xml:space="preserve">, and to provide </w:t>
      </w:r>
      <w:r w:rsidRPr="00255FF9">
        <w:t>information to the Committee at the latest six months in advance of the fifth Meeting of the Parties on the measures taken and the results achieved in implementati</w:t>
      </w:r>
      <w:r>
        <w:t>on of the above recommendations.</w:t>
      </w:r>
    </w:p>
    <w:p w:rsidR="002275F9" w:rsidRDefault="002D00FA" w:rsidP="002275F9">
      <w:pPr>
        <w:pStyle w:val="SingleTxtG"/>
        <w:numPr>
          <w:ilvl w:val="0"/>
          <w:numId w:val="1"/>
        </w:numPr>
        <w:ind w:left="0" w:firstLine="0"/>
      </w:pPr>
      <w:r w:rsidRPr="002275F9">
        <w:t>In its report to the Meeting of the Parties at its fourth session on the progress made by Armenia in the implementation of decision III/6b</w:t>
      </w:r>
      <w:r w:rsidR="003B1451" w:rsidRPr="002275F9">
        <w:t xml:space="preserve"> (ECE/MP.PP/C.1/2011/2/Add.2), </w:t>
      </w:r>
      <w:r w:rsidRPr="002275F9">
        <w:t>the Committee noted with appreciation that the Party had seriously and actively engaged to follow the recommendations of decision III/6b</w:t>
      </w:r>
      <w:r w:rsidR="003B1451" w:rsidRPr="002275F9">
        <w:t xml:space="preserve">. The Committee found that the Party had </w:t>
      </w:r>
      <w:r w:rsidRPr="002275F9">
        <w:t xml:space="preserve">demonstrated considerable progress with regard to access to justice. However, the Committee expressed concern at the slow process for finalizing and enacting the new legislation on environmental impact assessment, including procedures for public participation in it. </w:t>
      </w:r>
      <w:r w:rsidR="003B1451" w:rsidRPr="002275F9">
        <w:t xml:space="preserve">It </w:t>
      </w:r>
      <w:r w:rsidRPr="002275F9">
        <w:t xml:space="preserve">recommended to the Meeting of the Parties to urge </w:t>
      </w:r>
      <w:r w:rsidRPr="002275F9">
        <w:rPr>
          <w:rFonts w:eastAsia="Calibri"/>
          <w:lang w:eastAsia="zh-CN"/>
        </w:rPr>
        <w:t xml:space="preserve">Armenia to take into consideration the </w:t>
      </w:r>
      <w:r w:rsidR="003B1451" w:rsidRPr="002275F9">
        <w:rPr>
          <w:rFonts w:eastAsia="Calibri"/>
          <w:lang w:eastAsia="zh-CN"/>
        </w:rPr>
        <w:t xml:space="preserve">Committee’s </w:t>
      </w:r>
      <w:r w:rsidRPr="002275F9">
        <w:rPr>
          <w:rFonts w:eastAsia="Calibri"/>
          <w:lang w:eastAsia="zh-CN"/>
        </w:rPr>
        <w:t>recommendations on ACCC/C/2009/43, including in the finalization of the draft law on environmental impact assessment</w:t>
      </w:r>
      <w:r w:rsidR="003B1451" w:rsidRPr="002275F9">
        <w:rPr>
          <w:rFonts w:eastAsia="Calibri"/>
          <w:lang w:eastAsia="zh-CN"/>
        </w:rPr>
        <w:t>,</w:t>
      </w:r>
      <w:r w:rsidRPr="002275F9">
        <w:rPr>
          <w:rFonts w:eastAsia="Calibri"/>
          <w:lang w:eastAsia="zh-CN"/>
        </w:rPr>
        <w:t xml:space="preserve"> and to request Armenia to provide a draft of the new law to the Committee as soon as possible. </w:t>
      </w:r>
    </w:p>
    <w:p w:rsidR="002A7C72" w:rsidRPr="002275F9" w:rsidRDefault="002275F9" w:rsidP="008E534E">
      <w:pPr>
        <w:pStyle w:val="SingleTxtG"/>
        <w:ind w:left="0"/>
      </w:pPr>
      <w:r>
        <w:t>7.</w:t>
      </w:r>
      <w:r>
        <w:tab/>
      </w:r>
      <w:r w:rsidR="002A7C72" w:rsidRPr="002275F9">
        <w:t xml:space="preserve">The Meeting of the Parties at its fourth session took note </w:t>
      </w:r>
      <w:r w:rsidR="00A43FF5" w:rsidRPr="002275F9">
        <w:t xml:space="preserve">of </w:t>
      </w:r>
      <w:r w:rsidR="002A7C72" w:rsidRPr="002275F9">
        <w:t>both the Committee’s report with regard to follow up by Armenia with decision III/6b and also the Committee’s findings and recommendations on communication ACCC/C/2009/43. Through its decision</w:t>
      </w:r>
      <w:r w:rsidR="00A43FF5" w:rsidRPr="002275F9">
        <w:t xml:space="preserve"> IV/9a</w:t>
      </w:r>
      <w:r w:rsidR="002A7C72" w:rsidRPr="002275F9">
        <w:t xml:space="preserve">, the Meeting of the Parties </w:t>
      </w:r>
      <w:r w:rsidR="003B1451" w:rsidRPr="002275F9">
        <w:t>took note of the serious and active engagement of and progress made by the</w:t>
      </w:r>
      <w:r w:rsidR="00CA59AA" w:rsidRPr="002275F9">
        <w:t xml:space="preserve"> </w:t>
      </w:r>
      <w:r w:rsidR="003B1451" w:rsidRPr="002275F9">
        <w:t>Party concerned in implementing decision III/6b</w:t>
      </w:r>
      <w:r w:rsidR="00CA59AA" w:rsidRPr="002275F9">
        <w:t>,</w:t>
      </w:r>
      <w:r w:rsidR="003B1451" w:rsidRPr="002275F9">
        <w:t xml:space="preserve"> </w:t>
      </w:r>
      <w:r w:rsidR="002A7C72" w:rsidRPr="002275F9">
        <w:t xml:space="preserve">endorsed the Committee’s findings </w:t>
      </w:r>
      <w:r w:rsidR="00CA59AA" w:rsidRPr="002275F9">
        <w:t xml:space="preserve">that, despite the continuous efforts of the Party concerned in implementing decision III6/b, there were still shortcomings in Armenian law and practice, encouraged the Party concerned to continue its constructive dialogue with the Committee and to accelerate the process for the new legislation on environmental impact assessment (EIA), including procedures on public participation in it, to be finalized and come into effect, </w:t>
      </w:r>
      <w:r w:rsidR="002A7C72" w:rsidRPr="002275F9">
        <w:t>and invited the Party concerned to take the necessary legislative, regulatory and administrative measures and practical arrangements to ensure that:</w:t>
      </w:r>
    </w:p>
    <w:p w:rsidR="008E534E" w:rsidRDefault="008E534E" w:rsidP="00692386">
      <w:pPr>
        <w:pStyle w:val="SingleTxtG"/>
        <w:numPr>
          <w:ilvl w:val="1"/>
          <w:numId w:val="1"/>
        </w:numPr>
        <w:ind w:left="567" w:firstLine="0"/>
      </w:pPr>
      <w:r w:rsidRPr="002275F9">
        <w:t>Thresholds for activities subject to an environmental impact assessment (EIA) procedure, including public participation, are set in a clear manner;</w:t>
      </w:r>
    </w:p>
    <w:p w:rsidR="002A7C72" w:rsidRPr="002275F9" w:rsidRDefault="002A7C72" w:rsidP="00692386">
      <w:pPr>
        <w:pStyle w:val="SingleTxtG"/>
        <w:numPr>
          <w:ilvl w:val="1"/>
          <w:numId w:val="1"/>
        </w:numPr>
        <w:ind w:left="567" w:firstLine="0"/>
      </w:pPr>
      <w:r w:rsidRPr="002275F9">
        <w:t>The public is informed as early as possible in the decision-making procedure, when all options are open, and that reasonable time frames are set for the public to consult and comment on project-related documentation;</w:t>
      </w:r>
    </w:p>
    <w:p w:rsidR="002A7C72" w:rsidRPr="002275F9" w:rsidRDefault="002A7C72" w:rsidP="00692386">
      <w:pPr>
        <w:pStyle w:val="SingleTxtG"/>
        <w:numPr>
          <w:ilvl w:val="1"/>
          <w:numId w:val="1"/>
        </w:numPr>
        <w:ind w:left="567" w:firstLine="0"/>
      </w:pPr>
      <w:r w:rsidRPr="002275F9">
        <w:t>The responsibilities of different actors (public authorities, local authorities, developer) in the organization of public participation procedures are defined as clearly as possible;</w:t>
      </w:r>
    </w:p>
    <w:p w:rsidR="002A7C72" w:rsidRPr="002275F9" w:rsidRDefault="002A7C72" w:rsidP="00692386">
      <w:pPr>
        <w:pStyle w:val="SingleTxtG"/>
        <w:numPr>
          <w:ilvl w:val="1"/>
          <w:numId w:val="1"/>
        </w:numPr>
        <w:ind w:left="567" w:firstLine="0"/>
      </w:pPr>
      <w:r w:rsidRPr="002275F9">
        <w:t>A system of prompt notification of the public concerned on final conclusions of environmental expertise is arranged, e.g., through the website of the Ministry of Nature Protection.</w:t>
      </w:r>
    </w:p>
    <w:p w:rsidR="002A7C72" w:rsidRPr="002275F9" w:rsidRDefault="002275F9" w:rsidP="002275F9">
      <w:pPr>
        <w:pStyle w:val="SingleTxtG"/>
        <w:ind w:left="0"/>
      </w:pPr>
      <w:r>
        <w:t>8.</w:t>
      </w:r>
      <w:r>
        <w:tab/>
      </w:r>
      <w:r w:rsidR="002A7C72" w:rsidRPr="002275F9">
        <w:t xml:space="preserve">The Meeting of the Parties also invited the Party concerned to take those elements into account in finalizing its law on EIA and to provide a draft of the new law to the Committee as soon as possible; to draw up an action plan for implementing the above recommendations with a view to submitting an initial progress report to the Committee by 1 December 2011 and the action plan by 1 April 2012; and also to provide information to the Committee at the latest six months </w:t>
      </w:r>
      <w:r w:rsidR="00A43FF5" w:rsidRPr="002275F9">
        <w:t xml:space="preserve">before </w:t>
      </w:r>
      <w:r w:rsidR="002A7C72" w:rsidRPr="002275F9">
        <w:t>the fifth session of the Meeting of the Parties and the measures taken and the results achieved in implementation of the recommendations.</w:t>
      </w:r>
    </w:p>
    <w:p w:rsidR="00AC4ECB" w:rsidRPr="002275F9" w:rsidRDefault="002275F9" w:rsidP="002275F9">
      <w:pPr>
        <w:pStyle w:val="ListParagraph"/>
        <w:ind w:left="0" w:right="1138"/>
        <w:jc w:val="both"/>
      </w:pPr>
      <w:r>
        <w:t>9.</w:t>
      </w:r>
      <w:r>
        <w:tab/>
      </w:r>
      <w:r w:rsidR="00AC4ECB" w:rsidRPr="002275F9">
        <w:t xml:space="preserve">In the </w:t>
      </w:r>
      <w:proofErr w:type="spellStart"/>
      <w:r w:rsidR="00CA59AA" w:rsidRPr="002275F9">
        <w:t>intersessional</w:t>
      </w:r>
      <w:proofErr w:type="spellEnd"/>
      <w:r w:rsidR="00CA59AA" w:rsidRPr="002275F9">
        <w:t xml:space="preserve"> period 2011-2014</w:t>
      </w:r>
      <w:r w:rsidR="00AC4ECB" w:rsidRPr="002275F9">
        <w:t>, the Committee received and considered communication ACCC/C/2011/62 concerning non-compliance by Armenia with respect to access to justice</w:t>
      </w:r>
      <w:r w:rsidR="00B11242" w:rsidRPr="002275F9">
        <w:t xml:space="preserve"> and adopted its findings on 28 June 2013 </w:t>
      </w:r>
      <w:r w:rsidR="00AC4ECB" w:rsidRPr="002275F9">
        <w:t>(</w:t>
      </w:r>
      <w:r w:rsidR="00AC4ECB" w:rsidRPr="002275F9">
        <w:rPr>
          <w:rFonts w:ascii="TimesNewRoman" w:eastAsia="Calibri" w:hAnsi="TimesNewRoman" w:cs="TimesNewRoman"/>
          <w:lang w:eastAsia="zh-CN"/>
        </w:rPr>
        <w:t>ECE/MP.PP/C.1/2013/14</w:t>
      </w:r>
      <w:r w:rsidR="00B11242" w:rsidRPr="002275F9">
        <w:rPr>
          <w:rFonts w:ascii="TimesNewRoman" w:eastAsia="Calibri" w:hAnsi="TimesNewRoman" w:cs="TimesNewRoman"/>
          <w:lang w:eastAsia="zh-CN"/>
        </w:rPr>
        <w:t xml:space="preserve">). Given the </w:t>
      </w:r>
      <w:r w:rsidR="00CA59AA" w:rsidRPr="002275F9">
        <w:rPr>
          <w:rFonts w:ascii="TimesNewRoman" w:eastAsia="Calibri" w:hAnsi="TimesNewRoman" w:cs="TimesNewRoman"/>
          <w:lang w:eastAsia="zh-CN"/>
        </w:rPr>
        <w:t xml:space="preserve">relatively </w:t>
      </w:r>
      <w:r w:rsidR="00B11242" w:rsidRPr="002275F9">
        <w:rPr>
          <w:rFonts w:ascii="TimesNewRoman" w:eastAsia="Calibri" w:hAnsi="TimesNewRoman" w:cs="TimesNewRoman"/>
          <w:lang w:eastAsia="zh-CN"/>
        </w:rPr>
        <w:t xml:space="preserve">short time until the fifth session of the Meeting of the Parties would be held, the Committee made its recommendations </w:t>
      </w:r>
      <w:r w:rsidR="008746BC">
        <w:rPr>
          <w:rFonts w:ascii="TimesNewRoman" w:eastAsia="Calibri" w:hAnsi="TimesNewRoman" w:cs="TimesNewRoman"/>
          <w:lang w:eastAsia="zh-CN"/>
        </w:rPr>
        <w:t xml:space="preserve">on </w:t>
      </w:r>
      <w:r w:rsidR="00CA59AA" w:rsidRPr="002275F9">
        <w:t xml:space="preserve">communication ACCC/C/2011/62 </w:t>
      </w:r>
      <w:r w:rsidR="00B11242" w:rsidRPr="002275F9">
        <w:rPr>
          <w:rFonts w:ascii="TimesNewRoman" w:eastAsia="Calibri" w:hAnsi="TimesNewRoman" w:cs="TimesNewRoman"/>
          <w:lang w:eastAsia="zh-CN"/>
        </w:rPr>
        <w:t>directly to the Meeting of the Parties</w:t>
      </w:r>
      <w:r w:rsidR="00D61C95">
        <w:rPr>
          <w:rFonts w:ascii="TimesNewRoman" w:eastAsia="Calibri" w:hAnsi="TimesNewRoman" w:cs="TimesNewRoman"/>
          <w:lang w:eastAsia="zh-CN"/>
        </w:rPr>
        <w:t xml:space="preserve"> and  </w:t>
      </w:r>
      <w:r w:rsidR="00CA59AA" w:rsidRPr="002275F9">
        <w:rPr>
          <w:rFonts w:ascii="TimesNewRoman" w:eastAsia="Calibri" w:hAnsi="TimesNewRoman" w:cs="TimesNewRoman"/>
          <w:lang w:eastAsia="zh-CN"/>
        </w:rPr>
        <w:t xml:space="preserve">the </w:t>
      </w:r>
      <w:r w:rsidR="005C41A3" w:rsidRPr="002275F9">
        <w:rPr>
          <w:rFonts w:ascii="TimesNewRoman" w:eastAsia="Calibri" w:hAnsi="TimesNewRoman" w:cs="TimesNewRoman"/>
          <w:lang w:eastAsia="zh-CN"/>
        </w:rPr>
        <w:t xml:space="preserve">implementation </w:t>
      </w:r>
      <w:r w:rsidR="00CA59AA" w:rsidRPr="002275F9">
        <w:rPr>
          <w:rFonts w:ascii="TimesNewRoman" w:eastAsia="Calibri" w:hAnsi="TimesNewRoman" w:cs="TimesNewRoman"/>
          <w:lang w:eastAsia="zh-CN"/>
        </w:rPr>
        <w:t xml:space="preserve">of those recommendations </w:t>
      </w:r>
      <w:r w:rsidR="005C41A3" w:rsidRPr="002275F9">
        <w:rPr>
          <w:rFonts w:ascii="TimesNewRoman" w:eastAsia="Calibri" w:hAnsi="TimesNewRoman" w:cs="TimesNewRoman"/>
          <w:lang w:eastAsia="zh-CN"/>
        </w:rPr>
        <w:t xml:space="preserve">is not within the scope of the present report. </w:t>
      </w:r>
    </w:p>
    <w:p w:rsidR="00AC4ECB" w:rsidRPr="002275F9" w:rsidRDefault="00AC4ECB" w:rsidP="002275F9">
      <w:pPr>
        <w:pStyle w:val="SingleTxtG"/>
        <w:ind w:left="0"/>
      </w:pPr>
    </w:p>
    <w:p w:rsidR="002A7C72" w:rsidRPr="002275F9" w:rsidRDefault="002A7C72" w:rsidP="00692386">
      <w:pPr>
        <w:pStyle w:val="HChG"/>
      </w:pPr>
      <w:r w:rsidRPr="002275F9">
        <w:tab/>
        <w:t>II.</w:t>
      </w:r>
      <w:r w:rsidRPr="002275F9">
        <w:tab/>
        <w:t>Summary of follow-up action with decision IV/9a</w:t>
      </w:r>
    </w:p>
    <w:p w:rsidR="00E336DB" w:rsidRDefault="002275F9" w:rsidP="002275F9">
      <w:pPr>
        <w:pStyle w:val="SingleTxtG"/>
        <w:ind w:left="0"/>
      </w:pPr>
      <w:r>
        <w:t>10.</w:t>
      </w:r>
      <w:r>
        <w:tab/>
      </w:r>
      <w:r w:rsidR="002A7C72" w:rsidRPr="002275F9">
        <w:t xml:space="preserve">On 29 November 2011, the secretariat received a letter (dated 31 October 2011) from Environment Public Alliance </w:t>
      </w:r>
      <w:r w:rsidR="00701125" w:rsidRPr="002275F9">
        <w:t xml:space="preserve">(Armenia) </w:t>
      </w:r>
      <w:r w:rsidR="002A7C72" w:rsidRPr="002275F9">
        <w:t>on behalf of a number of Armenian NGOs addressed to the President of Armenia and copying the Executive Secretary of the United Nations Economic Commission for Europe (ECE), and on 1 December 2011 another letter from Transparency International</w:t>
      </w:r>
      <w:r w:rsidR="00701125" w:rsidRPr="002275F9">
        <w:t xml:space="preserve"> (Armenia)</w:t>
      </w:r>
      <w:r w:rsidR="002A7C72" w:rsidRPr="002275F9">
        <w:t>. In their letters, the NGO</w:t>
      </w:r>
      <w:r w:rsidR="00701125" w:rsidRPr="002275F9">
        <w:t xml:space="preserve">s </w:t>
      </w:r>
      <w:r w:rsidR="002A7C72" w:rsidRPr="002275F9">
        <w:t xml:space="preserve">expressed </w:t>
      </w:r>
      <w:r w:rsidR="00701125" w:rsidRPr="002275F9">
        <w:t xml:space="preserve">their </w:t>
      </w:r>
      <w:r w:rsidR="002A7C72" w:rsidRPr="002275F9">
        <w:t xml:space="preserve">disappointment at the lack of progress by Armenia in implementing the Convention, in particular with respect to </w:t>
      </w:r>
      <w:r w:rsidR="00701125" w:rsidRPr="002275F9">
        <w:t xml:space="preserve">the content of, and </w:t>
      </w:r>
      <w:r w:rsidR="002A7C72" w:rsidRPr="002275F9">
        <w:t xml:space="preserve">the slow process </w:t>
      </w:r>
      <w:r w:rsidR="00701125" w:rsidRPr="002275F9">
        <w:t xml:space="preserve">to adopt, </w:t>
      </w:r>
      <w:r w:rsidR="002A7C72" w:rsidRPr="002275F9">
        <w:t xml:space="preserve">the new law on EIA. On 6 December 2011, the Party concerned submitted its initial progress report, as requested by the Meeting of the Parties </w:t>
      </w:r>
      <w:r w:rsidR="00701125" w:rsidRPr="002275F9">
        <w:t xml:space="preserve">through </w:t>
      </w:r>
      <w:r w:rsidR="005A171A" w:rsidRPr="002275F9">
        <w:t xml:space="preserve">paragraph 6 of </w:t>
      </w:r>
      <w:r w:rsidR="002A7C72" w:rsidRPr="002275F9">
        <w:t>decision IV/9a.</w:t>
      </w:r>
    </w:p>
    <w:p w:rsidR="002A7C72" w:rsidRPr="002275F9" w:rsidRDefault="00E336DB" w:rsidP="002275F9">
      <w:pPr>
        <w:pStyle w:val="SingleTxtG"/>
        <w:ind w:left="0"/>
      </w:pPr>
      <w:r>
        <w:t>11.</w:t>
      </w:r>
      <w:r>
        <w:tab/>
      </w:r>
      <w:r w:rsidR="002A7C72" w:rsidRPr="002275F9">
        <w:t>At its thirty-fifth meeting (13-16 December 2011), the Committee considered the two letters submitted by the NGO</w:t>
      </w:r>
      <w:r w:rsidR="00701125" w:rsidRPr="002275F9">
        <w:t>s</w:t>
      </w:r>
      <w:r w:rsidR="002A7C72" w:rsidRPr="002275F9">
        <w:t xml:space="preserve"> and the progress report by the Party concerned. The Committee agreed to review the materials received in further detail at its thirty-sixth meeting (27-30 March 2012).</w:t>
      </w:r>
    </w:p>
    <w:p w:rsidR="002A7C72" w:rsidRPr="002275F9" w:rsidRDefault="00E336DB" w:rsidP="002275F9">
      <w:pPr>
        <w:pStyle w:val="SingleTxtG"/>
        <w:ind w:left="0"/>
      </w:pPr>
      <w:r>
        <w:t>12.</w:t>
      </w:r>
      <w:r>
        <w:tab/>
      </w:r>
      <w:r w:rsidR="002A7C72" w:rsidRPr="002275F9">
        <w:t xml:space="preserve">On 29 February 2012, the Committee received a letter from </w:t>
      </w:r>
      <w:proofErr w:type="spellStart"/>
      <w:r w:rsidR="002A7C72" w:rsidRPr="002275F9">
        <w:t>Ecodar</w:t>
      </w:r>
      <w:proofErr w:type="spellEnd"/>
      <w:r w:rsidR="002A7C72" w:rsidRPr="002275F9">
        <w:t xml:space="preserve"> (Armenia) expressing concerns about the procedure for the adoption of the new EIA law and enquiring about the possibility of participation at the Committee’s thirty-sixth meeting.</w:t>
      </w:r>
    </w:p>
    <w:p w:rsidR="002A7C72" w:rsidRPr="002275F9" w:rsidRDefault="00E336DB" w:rsidP="002275F9">
      <w:pPr>
        <w:pStyle w:val="SingleTxtG"/>
        <w:ind w:left="0"/>
      </w:pPr>
      <w:r>
        <w:t>13.</w:t>
      </w:r>
      <w:r>
        <w:tab/>
      </w:r>
      <w:r w:rsidR="002A7C72" w:rsidRPr="002275F9">
        <w:t xml:space="preserve">On 12 April 2012, the Party concerned submitted its action plan as requested by the Meeting of the Parties </w:t>
      </w:r>
      <w:r w:rsidR="00701125" w:rsidRPr="002275F9">
        <w:t xml:space="preserve">through </w:t>
      </w:r>
      <w:r w:rsidR="005A171A" w:rsidRPr="002275F9">
        <w:t xml:space="preserve">paragraph 6 of </w:t>
      </w:r>
      <w:r w:rsidR="002A7C72" w:rsidRPr="002275F9">
        <w:t>decision IV/9a.</w:t>
      </w:r>
    </w:p>
    <w:p w:rsidR="002A7C72" w:rsidRPr="002275F9" w:rsidRDefault="00E336DB" w:rsidP="002275F9">
      <w:pPr>
        <w:pStyle w:val="SingleTxtG"/>
        <w:ind w:left="0"/>
      </w:pPr>
      <w:r>
        <w:t>14.</w:t>
      </w:r>
      <w:r>
        <w:tab/>
      </w:r>
      <w:r w:rsidR="002A7C72" w:rsidRPr="002275F9">
        <w:t xml:space="preserve">At its thirty-sixth meeting, the Committee noted that the Party concerned had notified the secretariat that the draft amendment to the EIA law had not been signed by the President and that a new draft would be prepared to better address the classification of activities, public participation and fees. The Party concerned had also informed the secretariat that, owing to internal procedures, it would not be able to submit the </w:t>
      </w:r>
      <w:r w:rsidR="00AE1BA6" w:rsidRPr="002275F9">
        <w:t>a</w:t>
      </w:r>
      <w:r w:rsidR="002A7C72" w:rsidRPr="002275F9">
        <w:t xml:space="preserve">ction </w:t>
      </w:r>
      <w:r w:rsidR="00AE1BA6" w:rsidRPr="002275F9">
        <w:t>p</w:t>
      </w:r>
      <w:r w:rsidR="002A7C72" w:rsidRPr="002275F9">
        <w:t xml:space="preserve">lan within the deadline of 1 April 2012. The Committee then considered the letter submitted by </w:t>
      </w:r>
      <w:proofErr w:type="spellStart"/>
      <w:r w:rsidR="002A7C72" w:rsidRPr="002275F9">
        <w:t>Ecodar</w:t>
      </w:r>
      <w:proofErr w:type="spellEnd"/>
      <w:r w:rsidR="002A7C72" w:rsidRPr="002275F9">
        <w:t xml:space="preserve">. During the meeting, representatives of the NGO community in Armenia made a statement criticizing the Party concerned for its continuous failure to take the necessary measures to implement the recommendations of the Meeting of the Parties and to organize appropriate public participation in mining activities. The Committee took note of the information and invited the NGOs to follow-up with the developments in implementing the decision. It then instructed the secretariat to request the Party concerned to submit </w:t>
      </w:r>
      <w:r w:rsidR="00701125" w:rsidRPr="002275F9">
        <w:t xml:space="preserve">an English or Russian </w:t>
      </w:r>
      <w:r w:rsidR="002A7C72" w:rsidRPr="002275F9">
        <w:t xml:space="preserve">translation of the draft EIA law </w:t>
      </w:r>
      <w:r w:rsidR="00701125" w:rsidRPr="002275F9">
        <w:t xml:space="preserve">to the Committee </w:t>
      </w:r>
      <w:r w:rsidR="002A7C72" w:rsidRPr="002275F9">
        <w:t>and to remind it of the upcoming deadline of 1 April 2012 for the submission of its action plan.</w:t>
      </w:r>
    </w:p>
    <w:p w:rsidR="00AE1BA6" w:rsidRPr="002275F9" w:rsidRDefault="00E336DB" w:rsidP="002275F9">
      <w:pPr>
        <w:pStyle w:val="SingleTxtG"/>
        <w:ind w:left="0"/>
      </w:pPr>
      <w:r>
        <w:t>15.</w:t>
      </w:r>
      <w:r>
        <w:tab/>
      </w:r>
      <w:r w:rsidR="00AE1BA6" w:rsidRPr="002275F9">
        <w:t>On 12 April 2012, the Party concerned submitted the action plan requested through decision IV/9a.</w:t>
      </w:r>
    </w:p>
    <w:p w:rsidR="002A7C72" w:rsidRPr="002275F9" w:rsidRDefault="00E336DB" w:rsidP="002275F9">
      <w:pPr>
        <w:pStyle w:val="SingleTxtG"/>
        <w:ind w:left="0"/>
      </w:pPr>
      <w:r>
        <w:t>16.</w:t>
      </w:r>
      <w:r>
        <w:tab/>
      </w:r>
      <w:r w:rsidR="002A7C72" w:rsidRPr="002275F9">
        <w:t xml:space="preserve">On 20 April 2012, </w:t>
      </w:r>
      <w:proofErr w:type="spellStart"/>
      <w:r w:rsidR="002A7C72" w:rsidRPr="002275F9">
        <w:t>Ecodar</w:t>
      </w:r>
      <w:proofErr w:type="spellEnd"/>
      <w:r w:rsidR="002A7C72" w:rsidRPr="002275F9">
        <w:t xml:space="preserve"> sent a letter expressing concern </w:t>
      </w:r>
      <w:r w:rsidR="00DF6F05" w:rsidRPr="002275F9">
        <w:t xml:space="preserve">at the </w:t>
      </w:r>
      <w:r w:rsidR="000E7F41" w:rsidRPr="002275F9">
        <w:t xml:space="preserve">continued failure by the </w:t>
      </w:r>
      <w:r w:rsidR="00AE1BA6" w:rsidRPr="002275F9">
        <w:t xml:space="preserve">Party concerned to take into </w:t>
      </w:r>
      <w:r w:rsidR="00DF6F05" w:rsidRPr="002275F9">
        <w:t xml:space="preserve">account </w:t>
      </w:r>
      <w:r w:rsidR="00AE1BA6" w:rsidRPr="002275F9">
        <w:t xml:space="preserve">the findings of the Compliance Committee concerning public participation in the decision-making </w:t>
      </w:r>
      <w:r w:rsidR="00DF6F05" w:rsidRPr="002275F9">
        <w:t xml:space="preserve">regarding the mining operation in the </w:t>
      </w:r>
      <w:proofErr w:type="spellStart"/>
      <w:r w:rsidR="00DF6F05" w:rsidRPr="002275F9">
        <w:t>Teghut</w:t>
      </w:r>
      <w:proofErr w:type="spellEnd"/>
      <w:r w:rsidR="00DF6F05" w:rsidRPr="002275F9">
        <w:t xml:space="preserve"> area. It also alleged that the </w:t>
      </w:r>
      <w:r w:rsidR="002A7C72" w:rsidRPr="002275F9">
        <w:t>action plan submitted by the Party concerned did not meet the recommendations of the Meeting of the Parties</w:t>
      </w:r>
      <w:r w:rsidR="00AE1BA6" w:rsidRPr="002275F9">
        <w:t xml:space="preserve">. </w:t>
      </w:r>
    </w:p>
    <w:p w:rsidR="002A7C72" w:rsidRPr="002275F9" w:rsidRDefault="00E336DB" w:rsidP="002275F9">
      <w:pPr>
        <w:pStyle w:val="SingleTxtG"/>
        <w:ind w:left="0"/>
      </w:pPr>
      <w:r>
        <w:t>17.</w:t>
      </w:r>
      <w:r>
        <w:tab/>
      </w:r>
      <w:r w:rsidR="002A7C72" w:rsidRPr="002275F9">
        <w:t xml:space="preserve">On 22 May and 18 June 2012, the Party concerned informed the Committee that, since the draft law “On changes and addendums to the Law of the Republic of Armenia on environmental impact expertize” had been rejected by the President of Armenia, a new draft was being prepared by the Working Group established by the Minister of Nature Protection and led by the first Deputy Minister of Nature Protection. Once finalized, the new draft would be forwarded to the Interagency Commission on Implementing the Aarhus Convention and then circulated to other stakeholders. </w:t>
      </w:r>
      <w:r w:rsidR="00D40ED4" w:rsidRPr="002275F9">
        <w:t>T</w:t>
      </w:r>
      <w:r w:rsidR="002A7C72" w:rsidRPr="002275F9">
        <w:t xml:space="preserve">he Party concerned </w:t>
      </w:r>
      <w:r w:rsidR="00D40ED4" w:rsidRPr="002275F9">
        <w:t xml:space="preserve">indicated that, due to legislative process being at an early stage, it </w:t>
      </w:r>
      <w:r w:rsidR="002A7C72" w:rsidRPr="002275F9">
        <w:t>was not able to provide a</w:t>
      </w:r>
      <w:r w:rsidR="00D40ED4" w:rsidRPr="002275F9">
        <w:t xml:space="preserve">n English or Russian </w:t>
      </w:r>
      <w:r w:rsidR="002A7C72" w:rsidRPr="002275F9">
        <w:t xml:space="preserve">translation of the draft </w:t>
      </w:r>
      <w:r w:rsidR="00D40ED4" w:rsidRPr="002275F9">
        <w:t>law</w:t>
      </w:r>
      <w:r w:rsidR="002A7C72" w:rsidRPr="002275F9">
        <w:t xml:space="preserve">, as </w:t>
      </w:r>
      <w:r w:rsidR="00D40ED4" w:rsidRPr="002275F9">
        <w:t xml:space="preserve">previously </w:t>
      </w:r>
      <w:r w:rsidR="002A7C72" w:rsidRPr="002275F9">
        <w:t>requested by the Committee</w:t>
      </w:r>
      <w:r w:rsidR="00D40ED4" w:rsidRPr="002275F9">
        <w:t xml:space="preserve">. It stated that it would </w:t>
      </w:r>
      <w:r w:rsidR="00C47250">
        <w:t xml:space="preserve">keep </w:t>
      </w:r>
      <w:r w:rsidR="002A7C72" w:rsidRPr="002275F9">
        <w:t xml:space="preserve">the Committee informed about the process. </w:t>
      </w:r>
    </w:p>
    <w:p w:rsidR="002A7C72" w:rsidRPr="002275F9" w:rsidRDefault="00E336DB" w:rsidP="002275F9">
      <w:pPr>
        <w:pStyle w:val="SingleTxtG"/>
        <w:ind w:left="0"/>
      </w:pPr>
      <w:r>
        <w:t>18.</w:t>
      </w:r>
      <w:r>
        <w:tab/>
      </w:r>
      <w:r w:rsidR="002A7C72" w:rsidRPr="002275F9">
        <w:t>At its thirty-seventh meeting (26-29 June 2012), the Committee took note of the action plan submitted by the Party concerned on 12 April 2012 and of the subsequent information received. The Committee requested the Party concerned to report to the Committee on the progress of the legislative process as soon as possible, but not later than November 2012. It also requested the Party concerned to report on how the elements of paragraph 4 of decision IV/9a were addressed in the draft law. It agreed that it would review the materials received in greater detail at its thirty-ninth meeting.</w:t>
      </w:r>
    </w:p>
    <w:p w:rsidR="002A7C72" w:rsidRPr="002275F9" w:rsidRDefault="00E336DB" w:rsidP="002275F9">
      <w:pPr>
        <w:pStyle w:val="SingleTxtG"/>
        <w:ind w:left="0"/>
      </w:pPr>
      <w:r>
        <w:t>19.</w:t>
      </w:r>
      <w:r>
        <w:tab/>
      </w:r>
      <w:r w:rsidR="002A7C72" w:rsidRPr="002275F9">
        <w:t>On 19 December 2012, the Party concerned sent a letter updating the Committee about the ongoing legislative developmen</w:t>
      </w:r>
      <w:r w:rsidR="001321A6">
        <w:t>ts concerning the draft EIA law.</w:t>
      </w:r>
    </w:p>
    <w:p w:rsidR="002A7C72" w:rsidRPr="002275F9" w:rsidRDefault="00E336DB" w:rsidP="002275F9">
      <w:pPr>
        <w:pStyle w:val="SingleTxtG"/>
        <w:ind w:left="0"/>
      </w:pPr>
      <w:r>
        <w:t>20.</w:t>
      </w:r>
      <w:r>
        <w:tab/>
      </w:r>
      <w:r w:rsidR="002A7C72" w:rsidRPr="002275F9">
        <w:t>At its thirty-ninth meeting (11-14 December 2012), the Committee noted with disappointment that the Party concerned had not submitted the requested information by the deadline (November 2012), despite reminders from the secretariat. It asked the secretariat to urge the Party to submit the requested information as soon as possible and agreed to review the situation at its fortieth meeting.</w:t>
      </w:r>
    </w:p>
    <w:p w:rsidR="002A7C72" w:rsidRPr="002275F9" w:rsidRDefault="00E336DB" w:rsidP="002275F9">
      <w:pPr>
        <w:pStyle w:val="SingleTxtG"/>
        <w:ind w:left="0"/>
      </w:pPr>
      <w:r>
        <w:t>21.</w:t>
      </w:r>
      <w:r>
        <w:tab/>
      </w:r>
      <w:r w:rsidR="002A7C72" w:rsidRPr="002275F9">
        <w:t xml:space="preserve">On 5 February 2013, the Party concerned submitted its report, </w:t>
      </w:r>
      <w:r w:rsidR="00935F31" w:rsidRPr="002275F9">
        <w:t xml:space="preserve">which had been </w:t>
      </w:r>
      <w:r w:rsidR="002A7C72" w:rsidRPr="002275F9">
        <w:t>due in November 2012.</w:t>
      </w:r>
    </w:p>
    <w:p w:rsidR="002A7C72" w:rsidRPr="002275F9" w:rsidRDefault="00E336DB" w:rsidP="002275F9">
      <w:pPr>
        <w:pStyle w:val="SingleTxtG"/>
        <w:ind w:left="0"/>
      </w:pPr>
      <w:r>
        <w:t>22.</w:t>
      </w:r>
      <w:r>
        <w:tab/>
      </w:r>
      <w:r w:rsidR="002A7C72" w:rsidRPr="002275F9">
        <w:t>At its fortieth meeting</w:t>
      </w:r>
      <w:r w:rsidR="008E534E">
        <w:t xml:space="preserve"> (</w:t>
      </w:r>
      <w:r w:rsidR="001321A6" w:rsidRPr="002275F9">
        <w:t>25-28 March 2013</w:t>
      </w:r>
      <w:r w:rsidR="008E534E">
        <w:t>)</w:t>
      </w:r>
      <w:r w:rsidR="002A7C72" w:rsidRPr="002275F9">
        <w:t>, the Committee took note of the report of the Party concerned. The Committee noted with regret that the Party concerned had submitted its report late, but in particular lamented the very slow progress with regard to the enactment of the new EIA Law, which was expected to implement decision III/6a of the Meeting of the Parties (2008) and its subsequent decision IV/9a (2011). Moreover, the report was very vague. The Committee requested the secretariat to draw the attention of the Party concerned to the extremely slow legislative process during the past five years and to ask for further details about the law.</w:t>
      </w:r>
    </w:p>
    <w:p w:rsidR="002A7C72" w:rsidRPr="002275F9" w:rsidRDefault="00E336DB" w:rsidP="002275F9">
      <w:pPr>
        <w:pStyle w:val="SingleTxtG"/>
        <w:ind w:left="0"/>
      </w:pPr>
      <w:r>
        <w:t>23.</w:t>
      </w:r>
      <w:r>
        <w:tab/>
      </w:r>
      <w:r w:rsidR="002A7C72" w:rsidRPr="002275F9">
        <w:t>On 31 May 2013, the Party concerned submitted a</w:t>
      </w:r>
      <w:r w:rsidR="00935F31" w:rsidRPr="002275F9">
        <w:t>n English</w:t>
      </w:r>
      <w:r w:rsidR="002A7C72" w:rsidRPr="002275F9">
        <w:t xml:space="preserve"> translation of the draft EIA law (“Law of the Republic of Armenia on Environmental Impact Assessment and Expert Examination”.</w:t>
      </w:r>
    </w:p>
    <w:p w:rsidR="002A7C72" w:rsidRPr="002275F9" w:rsidRDefault="00E336DB" w:rsidP="002275F9">
      <w:pPr>
        <w:pStyle w:val="SingleTxtG"/>
        <w:ind w:left="0"/>
      </w:pPr>
      <w:r>
        <w:t>24.</w:t>
      </w:r>
      <w:r>
        <w:tab/>
      </w:r>
      <w:r w:rsidR="002A7C72" w:rsidRPr="002275F9">
        <w:t xml:space="preserve">At its forty-first meeting (25-28 June 2013), the Committee </w:t>
      </w:r>
      <w:r w:rsidR="00935F31" w:rsidRPr="002275F9">
        <w:t>reviewed the English translation of the draft EIA law submitted</w:t>
      </w:r>
      <w:r w:rsidR="002A7C72" w:rsidRPr="002275F9">
        <w:t xml:space="preserve"> by the Party concerned. The Committee observed that the draft Law </w:t>
      </w:r>
      <w:r w:rsidR="00935F31" w:rsidRPr="002275F9">
        <w:t xml:space="preserve">appeared </w:t>
      </w:r>
      <w:r w:rsidR="002A7C72" w:rsidRPr="002275F9">
        <w:t xml:space="preserve">to address the issues raised in paragraph 4 (a) to (d) of decision IV/9a, but agreed to review the situation in </w:t>
      </w:r>
      <w:r w:rsidR="00935F31" w:rsidRPr="002275F9">
        <w:t xml:space="preserve">greater </w:t>
      </w:r>
      <w:r w:rsidR="002A7C72" w:rsidRPr="002275F9">
        <w:t xml:space="preserve">detail at its forty-second meeting. It instructed the secretariat to request the Party </w:t>
      </w:r>
      <w:r w:rsidR="00935F31" w:rsidRPr="002275F9">
        <w:t xml:space="preserve">concerned </w:t>
      </w:r>
      <w:r w:rsidR="002A7C72" w:rsidRPr="002275F9">
        <w:t xml:space="preserve">to provide </w:t>
      </w:r>
      <w:r w:rsidR="00935F31" w:rsidRPr="002275F9">
        <w:t xml:space="preserve">by 1 September 2013 </w:t>
      </w:r>
      <w:r w:rsidR="002A7C72" w:rsidRPr="002275F9">
        <w:t xml:space="preserve">a timeline for the adoption of the draft Law and considered that, if needed, it would discuss the matter with the Party concerned and interested observers (in person or by </w:t>
      </w:r>
      <w:proofErr w:type="spellStart"/>
      <w:r w:rsidR="002A7C72" w:rsidRPr="002275F9">
        <w:t>tele</w:t>
      </w:r>
      <w:proofErr w:type="spellEnd"/>
      <w:r w:rsidR="002A7C72" w:rsidRPr="002275F9">
        <w:t xml:space="preserve">- or videoconference) at its next meeting. </w:t>
      </w:r>
      <w:r w:rsidR="00935F31" w:rsidRPr="002275F9">
        <w:t>The</w:t>
      </w:r>
      <w:r w:rsidR="002A7C72" w:rsidRPr="002275F9">
        <w:t xml:space="preserve"> Party concerned </w:t>
      </w:r>
      <w:r w:rsidR="00935F31" w:rsidRPr="002275F9">
        <w:t xml:space="preserve">subsequently </w:t>
      </w:r>
      <w:r w:rsidR="002A7C72" w:rsidRPr="002275F9">
        <w:t xml:space="preserve">confirmed its availability for such </w:t>
      </w:r>
      <w:r w:rsidR="00935F31" w:rsidRPr="002275F9">
        <w:t xml:space="preserve">a </w:t>
      </w:r>
      <w:r w:rsidR="002A7C72" w:rsidRPr="002275F9">
        <w:t xml:space="preserve">discussion. A letter should also be sent to the communicant inviting it to comment on the draft law. </w:t>
      </w:r>
      <w:r w:rsidR="00935F31" w:rsidRPr="002275F9">
        <w:t>The</w:t>
      </w:r>
      <w:r w:rsidR="002A7C72" w:rsidRPr="002275F9">
        <w:t xml:space="preserve"> Committee </w:t>
      </w:r>
      <w:r w:rsidR="00935F31" w:rsidRPr="002275F9">
        <w:t xml:space="preserve">agreed that at its forty-second meeting it </w:t>
      </w:r>
      <w:r w:rsidR="002A7C72" w:rsidRPr="002275F9">
        <w:t>would also consider its recommendations to the Meeting of the Parties at its fifth session.</w:t>
      </w:r>
    </w:p>
    <w:p w:rsidR="002A7C72" w:rsidRPr="002275F9" w:rsidRDefault="00E336DB" w:rsidP="002275F9">
      <w:pPr>
        <w:pStyle w:val="SingleTxtG"/>
        <w:ind w:left="0"/>
      </w:pPr>
      <w:r>
        <w:t>25.</w:t>
      </w:r>
      <w:r>
        <w:tab/>
      </w:r>
      <w:r w:rsidR="00935F31" w:rsidRPr="002275F9">
        <w:t xml:space="preserve">By </w:t>
      </w:r>
      <w:r w:rsidR="005D742E" w:rsidRPr="002275F9">
        <w:t>email</w:t>
      </w:r>
      <w:r w:rsidR="00935F31" w:rsidRPr="002275F9">
        <w:t xml:space="preserve"> of </w:t>
      </w:r>
      <w:r w:rsidR="002A7C72" w:rsidRPr="002275F9">
        <w:t xml:space="preserve">12 August 2013, the Party concerned informed </w:t>
      </w:r>
      <w:r w:rsidR="00935F31" w:rsidRPr="002275F9">
        <w:t xml:space="preserve">the Committee </w:t>
      </w:r>
      <w:r w:rsidR="002A7C72" w:rsidRPr="002275F9">
        <w:t xml:space="preserve">that the draft EIA law had been submitted to the Parliament for consideration and was expected </w:t>
      </w:r>
      <w:r w:rsidR="00935F31" w:rsidRPr="002275F9">
        <w:t>to</w:t>
      </w:r>
      <w:r w:rsidR="002A7C72" w:rsidRPr="002275F9">
        <w:t xml:space="preserve"> be adopted by the end of 2013. It also underlined that the draft had been prepared with the participation of the NGO community, including the communicants who had triggered </w:t>
      </w:r>
      <w:r w:rsidR="005D742E" w:rsidRPr="002275F9">
        <w:t xml:space="preserve">review </w:t>
      </w:r>
      <w:r w:rsidR="002A7C72" w:rsidRPr="002275F9">
        <w:t xml:space="preserve">of </w:t>
      </w:r>
      <w:r w:rsidR="005D742E" w:rsidRPr="002275F9">
        <w:t xml:space="preserve">Armenia’s </w:t>
      </w:r>
      <w:r w:rsidR="002A7C72" w:rsidRPr="002275F9">
        <w:t>compliance.</w:t>
      </w:r>
    </w:p>
    <w:p w:rsidR="002A7C72" w:rsidRPr="002275F9" w:rsidRDefault="00E336DB" w:rsidP="002275F9">
      <w:pPr>
        <w:pStyle w:val="SingleTxtG"/>
        <w:ind w:left="0"/>
      </w:pPr>
      <w:r>
        <w:t>26.</w:t>
      </w:r>
      <w:r>
        <w:tab/>
      </w:r>
      <w:r w:rsidR="002A7C72" w:rsidRPr="002275F9">
        <w:t>At its forty-second meeting (Geneva, 24-27 September 2013), the Compliance Committee held a telephone conference with the Party concerned</w:t>
      </w:r>
      <w:r w:rsidR="00154957" w:rsidRPr="002275F9">
        <w:t>.</w:t>
      </w:r>
      <w:r w:rsidR="002A7C72" w:rsidRPr="002275F9">
        <w:t xml:space="preserve"> </w:t>
      </w:r>
      <w:r w:rsidR="00154957" w:rsidRPr="002275F9">
        <w:t>A</w:t>
      </w:r>
      <w:r w:rsidR="002A7C72" w:rsidRPr="002275F9">
        <w:t xml:space="preserve">n observer, </w:t>
      </w:r>
      <w:proofErr w:type="spellStart"/>
      <w:r w:rsidR="002A7C72" w:rsidRPr="002275F9">
        <w:t>Dalma-Sona</w:t>
      </w:r>
      <w:proofErr w:type="spellEnd"/>
      <w:r w:rsidR="002A7C72" w:rsidRPr="002275F9">
        <w:t xml:space="preserve"> Fund (Armenia)</w:t>
      </w:r>
      <w:r w:rsidR="00CF5F19" w:rsidRPr="002275F9">
        <w:t xml:space="preserve"> also took</w:t>
      </w:r>
      <w:r w:rsidR="0080094D" w:rsidRPr="002275F9">
        <w:t xml:space="preserve"> part. T</w:t>
      </w:r>
      <w:r w:rsidR="002A7C72" w:rsidRPr="002275F9">
        <w:t>he Party concerned provided a statement as to how it had addressed each subparagraph of decision</w:t>
      </w:r>
      <w:r w:rsidR="005258D8" w:rsidRPr="002275F9">
        <w:t xml:space="preserve"> IV/9a, in particular through the development of the draft Law on EIA and Expert Examination and the draft Framework Law on Environmental Policy</w:t>
      </w:r>
      <w:r w:rsidR="002A7C72" w:rsidRPr="002275F9">
        <w:t>.</w:t>
      </w:r>
      <w:r w:rsidR="005258D8" w:rsidRPr="002275F9">
        <w:t xml:space="preserve"> The Party concerned reported that the Draft Law was currently before Parliament</w:t>
      </w:r>
      <w:r w:rsidR="009D732D" w:rsidRPr="002275F9">
        <w:t xml:space="preserve"> but did not provide a definite date by when it would be adopted.</w:t>
      </w:r>
      <w:r w:rsidR="002A7C72" w:rsidRPr="002275F9">
        <w:t xml:space="preserve"> The observer provided both written and oral comments, including on its view of the compliance of the draft EIA law with the Convention. The Committee commenced preparation of its draft </w:t>
      </w:r>
      <w:r w:rsidR="0080094D" w:rsidRPr="002275F9">
        <w:t>report</w:t>
      </w:r>
      <w:r w:rsidR="002A7C72" w:rsidRPr="002275F9">
        <w:t xml:space="preserve"> to the fifth session of the Meeting of the Parties</w:t>
      </w:r>
      <w:r w:rsidR="0080094D" w:rsidRPr="002275F9">
        <w:t xml:space="preserve"> on the implementation of decision IV/9a</w:t>
      </w:r>
      <w:r w:rsidR="002A7C72" w:rsidRPr="002275F9">
        <w:t xml:space="preserve"> and agreed to continue </w:t>
      </w:r>
      <w:r w:rsidR="0080094D" w:rsidRPr="002275F9">
        <w:t xml:space="preserve">this </w:t>
      </w:r>
      <w:r w:rsidR="002A7C72" w:rsidRPr="002275F9">
        <w:t>at its forty-third meeting.</w:t>
      </w:r>
    </w:p>
    <w:p w:rsidR="001A7733" w:rsidRPr="002275F9" w:rsidRDefault="00E336DB" w:rsidP="002275F9">
      <w:pPr>
        <w:pStyle w:val="SingleTxtG"/>
        <w:ind w:left="0"/>
      </w:pPr>
      <w:r>
        <w:t>27.</w:t>
      </w:r>
      <w:r>
        <w:tab/>
      </w:r>
      <w:r w:rsidR="002A7C72" w:rsidRPr="002275F9">
        <w:t xml:space="preserve">No additional information was provided by the Party concerned between the forty-second and the forty-third meeting (Geneva, 17-20 December 2013). </w:t>
      </w:r>
      <w:r w:rsidR="00B24835" w:rsidRPr="002275F9">
        <w:t xml:space="preserve">At its forty-third meeting, </w:t>
      </w:r>
      <w:r w:rsidR="00AC4ECB" w:rsidRPr="002275F9">
        <w:t>the Committee</w:t>
      </w:r>
      <w:r w:rsidR="001A7733" w:rsidRPr="002275F9">
        <w:t xml:space="preserve"> continued preparation of its draft report </w:t>
      </w:r>
      <w:r w:rsidR="00AC4ECB" w:rsidRPr="002275F9">
        <w:t>to the fifth session of the Meeting of the Parties</w:t>
      </w:r>
      <w:r w:rsidR="001A7733" w:rsidRPr="002275F9">
        <w:t xml:space="preserve">, completing the draft report through its electronic decision-making procedure before sending it to the parties for their comments. </w:t>
      </w:r>
    </w:p>
    <w:p w:rsidR="002A7C72" w:rsidRPr="002275F9" w:rsidRDefault="002A7C72" w:rsidP="008B0ABD">
      <w:pPr>
        <w:pStyle w:val="SingleTxtG"/>
        <w:suppressAutoHyphens w:val="0"/>
        <w:spacing w:line="240" w:lineRule="auto"/>
        <w:ind w:left="0"/>
        <w:rPr>
          <w:lang w:val="en-US"/>
        </w:rPr>
      </w:pPr>
    </w:p>
    <w:p w:rsidR="002A7C72" w:rsidRPr="002275F9" w:rsidRDefault="002A7C72" w:rsidP="00692386">
      <w:pPr>
        <w:pStyle w:val="HChG"/>
      </w:pPr>
      <w:r w:rsidRPr="002275F9">
        <w:tab/>
        <w:t>III.</w:t>
      </w:r>
      <w:r w:rsidRPr="002275F9">
        <w:tab/>
        <w:t>Considerations and evaluation by the Committee</w:t>
      </w:r>
    </w:p>
    <w:p w:rsidR="00041D94" w:rsidRPr="002275F9" w:rsidRDefault="00E336DB" w:rsidP="00E336DB">
      <w:pPr>
        <w:pStyle w:val="ListParagraph"/>
        <w:suppressAutoHyphens w:val="0"/>
        <w:spacing w:line="240" w:lineRule="auto"/>
        <w:ind w:left="0" w:right="1138"/>
        <w:jc w:val="both"/>
      </w:pPr>
      <w:r>
        <w:t>28.</w:t>
      </w:r>
      <w:r>
        <w:tab/>
      </w:r>
      <w:r w:rsidR="002A7C72" w:rsidRPr="002275F9">
        <w:t xml:space="preserve">In order to </w:t>
      </w:r>
      <w:r w:rsidR="00600A72" w:rsidRPr="002275F9">
        <w:t>fulfil</w:t>
      </w:r>
      <w:r w:rsidR="002A7C72" w:rsidRPr="002275F9">
        <w:t xml:space="preserve"> the requirements of the decision IV/9a, the </w:t>
      </w:r>
      <w:r w:rsidR="00041D94" w:rsidRPr="002275F9">
        <w:t>Party concerned</w:t>
      </w:r>
      <w:r w:rsidR="002A7C72" w:rsidRPr="002275F9">
        <w:t xml:space="preserve"> would need </w:t>
      </w:r>
      <w:r w:rsidR="00041D94" w:rsidRPr="002275F9">
        <w:t xml:space="preserve">to provide the Committee </w:t>
      </w:r>
      <w:r w:rsidR="002A7C72" w:rsidRPr="002275F9">
        <w:t>with evidence that:</w:t>
      </w:r>
    </w:p>
    <w:p w:rsidR="00041D94" w:rsidRPr="002275F9" w:rsidRDefault="002A7C72" w:rsidP="00593501">
      <w:pPr>
        <w:pStyle w:val="ListParagraph"/>
        <w:numPr>
          <w:ilvl w:val="0"/>
          <w:numId w:val="6"/>
        </w:numPr>
        <w:suppressAutoHyphens w:val="0"/>
        <w:spacing w:line="240" w:lineRule="auto"/>
        <w:ind w:right="1138"/>
        <w:jc w:val="both"/>
      </w:pPr>
      <w:r w:rsidRPr="002275F9">
        <w:t xml:space="preserve">the </w:t>
      </w:r>
      <w:r w:rsidR="00000179" w:rsidRPr="002275F9">
        <w:t xml:space="preserve">draft EIA law and other </w:t>
      </w:r>
      <w:r w:rsidRPr="002275F9">
        <w:t xml:space="preserve">legislative measures </w:t>
      </w:r>
      <w:r w:rsidR="00000179" w:rsidRPr="002275F9">
        <w:t xml:space="preserve">that have been proposed by the Party concerned to meet the requirements of decision IV/9a have </w:t>
      </w:r>
      <w:r w:rsidRPr="002275F9">
        <w:t xml:space="preserve">indeed </w:t>
      </w:r>
      <w:r w:rsidR="00000179" w:rsidRPr="002275F9">
        <w:t xml:space="preserve">been </w:t>
      </w:r>
      <w:r w:rsidRPr="002275F9">
        <w:t>adopted;</w:t>
      </w:r>
      <w:r w:rsidR="00041D94" w:rsidRPr="002275F9">
        <w:t xml:space="preserve"> and</w:t>
      </w:r>
    </w:p>
    <w:p w:rsidR="0099676A" w:rsidRDefault="002A7C72" w:rsidP="00E336DB">
      <w:pPr>
        <w:pStyle w:val="ListParagraph"/>
        <w:numPr>
          <w:ilvl w:val="0"/>
          <w:numId w:val="6"/>
        </w:numPr>
        <w:suppressAutoHyphens w:val="0"/>
        <w:spacing w:line="240" w:lineRule="auto"/>
        <w:ind w:right="1138"/>
        <w:jc w:val="both"/>
      </w:pPr>
      <w:r w:rsidRPr="002275F9">
        <w:t>the</w:t>
      </w:r>
      <w:r w:rsidR="00041D94" w:rsidRPr="002275F9">
        <w:t xml:space="preserve"> legislative</w:t>
      </w:r>
      <w:r w:rsidRPr="002275F9">
        <w:t xml:space="preserve"> measures as adopted fulfil the requirements of the Convention, in particular  </w:t>
      </w:r>
      <w:r w:rsidR="00041D94" w:rsidRPr="002275F9">
        <w:t>article 3,</w:t>
      </w:r>
      <w:r w:rsidR="00670130">
        <w:t xml:space="preserve"> paragraph 1, </w:t>
      </w:r>
      <w:r w:rsidR="00041D94" w:rsidRPr="002275F9">
        <w:t>and article 6, paragraphs 2, 4 and 9</w:t>
      </w:r>
      <w:r w:rsidR="0099676A">
        <w:t xml:space="preserve">, and </w:t>
      </w:r>
      <w:r w:rsidR="00670130">
        <w:t xml:space="preserve">would </w:t>
      </w:r>
      <w:r w:rsidR="0099676A">
        <w:t>ensure that:</w:t>
      </w:r>
    </w:p>
    <w:p w:rsidR="0099676A" w:rsidRPr="00E81A33" w:rsidRDefault="0099676A" w:rsidP="0099676A">
      <w:pPr>
        <w:pStyle w:val="SingleTxtG"/>
        <w:numPr>
          <w:ilvl w:val="2"/>
          <w:numId w:val="6"/>
        </w:numPr>
        <w:spacing w:after="0"/>
        <w:ind w:left="1276"/>
      </w:pPr>
      <w:r w:rsidRPr="00E81A33">
        <w:t>Thresholds for activities subject to an environmental impact assessment (EIA) procedure, including public participation, are set in a clear manner;</w:t>
      </w:r>
    </w:p>
    <w:p w:rsidR="0099676A" w:rsidRPr="00E81A33" w:rsidRDefault="0099676A" w:rsidP="0099676A">
      <w:pPr>
        <w:pStyle w:val="SingleTxtG"/>
        <w:numPr>
          <w:ilvl w:val="2"/>
          <w:numId w:val="6"/>
        </w:numPr>
        <w:spacing w:after="0"/>
        <w:ind w:left="1276"/>
      </w:pPr>
      <w:r w:rsidRPr="00E81A33">
        <w:t>The public is informed as early as possible in the decision-making procedure, when all options are open, and that reasonable time frames are set for the public to consult and comment on project-related documentation;</w:t>
      </w:r>
    </w:p>
    <w:p w:rsidR="0099676A" w:rsidRPr="00E81A33" w:rsidRDefault="0099676A" w:rsidP="0099676A">
      <w:pPr>
        <w:pStyle w:val="SingleTxtG"/>
        <w:numPr>
          <w:ilvl w:val="2"/>
          <w:numId w:val="6"/>
        </w:numPr>
        <w:spacing w:after="0"/>
        <w:ind w:left="1276"/>
      </w:pPr>
      <w:r w:rsidRPr="00E81A33">
        <w:t>The responsibilities of different actors (public authorities, local authorities, developer) in the organization of public participation procedures are defined as clearly as possible;</w:t>
      </w:r>
    </w:p>
    <w:p w:rsidR="002A7C72" w:rsidRPr="002275F9" w:rsidRDefault="0099676A" w:rsidP="0099676A">
      <w:pPr>
        <w:pStyle w:val="SingleTxtG"/>
        <w:numPr>
          <w:ilvl w:val="2"/>
          <w:numId w:val="6"/>
        </w:numPr>
        <w:suppressAutoHyphens w:val="0"/>
        <w:spacing w:after="0" w:line="240" w:lineRule="auto"/>
        <w:ind w:left="1276" w:right="1138"/>
      </w:pPr>
      <w:r w:rsidRPr="00E81A33">
        <w:t>A system of prompt notification of the public concerned on final conclusions of environmental expertise is arranged, e.g., through the website of the Ministry of Nature Protection.</w:t>
      </w:r>
      <w:r w:rsidR="00041D94" w:rsidRPr="002275F9">
        <w:t xml:space="preserve"> </w:t>
      </w:r>
    </w:p>
    <w:p w:rsidR="00600A72" w:rsidRPr="002275F9" w:rsidRDefault="00600A72" w:rsidP="008B0ABD">
      <w:pPr>
        <w:pStyle w:val="ListParagraph"/>
        <w:suppressAutoHyphens w:val="0"/>
        <w:spacing w:line="240" w:lineRule="auto"/>
        <w:ind w:left="0" w:right="1138"/>
        <w:jc w:val="both"/>
      </w:pPr>
    </w:p>
    <w:p w:rsidR="001A7733" w:rsidRPr="002275F9" w:rsidRDefault="00E336DB" w:rsidP="00E336DB">
      <w:pPr>
        <w:pStyle w:val="SingleTxtG"/>
        <w:suppressAutoHyphens w:val="0"/>
        <w:spacing w:line="240" w:lineRule="auto"/>
        <w:ind w:left="0"/>
      </w:pPr>
      <w:r>
        <w:t>29.</w:t>
      </w:r>
      <w:r>
        <w:tab/>
      </w:r>
      <w:proofErr w:type="gramStart"/>
      <w:r w:rsidR="00A26782" w:rsidRPr="002275F9">
        <w:t>The</w:t>
      </w:r>
      <w:proofErr w:type="gramEnd"/>
      <w:r w:rsidR="00A26782" w:rsidRPr="002275F9">
        <w:t xml:space="preserve"> most recent information received from the Party concerned (</w:t>
      </w:r>
      <w:r w:rsidR="00000179" w:rsidRPr="002275F9">
        <w:t xml:space="preserve">provided </w:t>
      </w:r>
      <w:r w:rsidR="00A26782" w:rsidRPr="002275F9">
        <w:t xml:space="preserve">at the Committee’s forty-second meeting), was that the draft EIA law was pending before the Parliament, and no definite date for its adoption was set. </w:t>
      </w:r>
      <w:r w:rsidR="00CC6389" w:rsidRPr="002275F9">
        <w:t>Similarly, no indication was given as to when the draft Framework Law on Enviro</w:t>
      </w:r>
      <w:r w:rsidR="001321A6">
        <w:t>nmental Policy would be adopted</w:t>
      </w:r>
      <w:r w:rsidR="00CC6389" w:rsidRPr="002275F9">
        <w:t xml:space="preserve">. </w:t>
      </w:r>
      <w:r w:rsidR="00A26782" w:rsidRPr="002275F9">
        <w:t>I</w:t>
      </w:r>
      <w:r w:rsidR="001A7733" w:rsidRPr="002275F9">
        <w:t xml:space="preserve">t </w:t>
      </w:r>
      <w:r w:rsidR="00A26782" w:rsidRPr="002275F9">
        <w:t xml:space="preserve">thus </w:t>
      </w:r>
      <w:r w:rsidR="001A7733" w:rsidRPr="002275F9">
        <w:t xml:space="preserve">remains unclear </w:t>
      </w:r>
      <w:r w:rsidR="00CC6389" w:rsidRPr="002275F9">
        <w:t xml:space="preserve">as to </w:t>
      </w:r>
      <w:r w:rsidR="001A7733" w:rsidRPr="002275F9">
        <w:t xml:space="preserve">when the draft </w:t>
      </w:r>
      <w:r w:rsidR="00CC6389" w:rsidRPr="002275F9">
        <w:t>legislative measures</w:t>
      </w:r>
      <w:r w:rsidR="001A7733" w:rsidRPr="002275F9">
        <w:t xml:space="preserve"> will be </w:t>
      </w:r>
      <w:r w:rsidR="00A26782" w:rsidRPr="002275F9">
        <w:t xml:space="preserve">adopted </w:t>
      </w:r>
      <w:r w:rsidR="001A7733" w:rsidRPr="002275F9">
        <w:t xml:space="preserve">and whether the final </w:t>
      </w:r>
      <w:r w:rsidR="00A26782" w:rsidRPr="002275F9">
        <w:t xml:space="preserve">adopted </w:t>
      </w:r>
      <w:r w:rsidR="001A7733" w:rsidRPr="002275F9">
        <w:t>text</w:t>
      </w:r>
      <w:r w:rsidR="00CC6389" w:rsidRPr="002275F9">
        <w:t>s</w:t>
      </w:r>
      <w:r w:rsidR="001A7733" w:rsidRPr="002275F9">
        <w:t xml:space="preserve"> will </w:t>
      </w:r>
      <w:r w:rsidR="00A26782" w:rsidRPr="002275F9">
        <w:t xml:space="preserve">fully implement decision IV/9a. </w:t>
      </w:r>
    </w:p>
    <w:p w:rsidR="00CC6389" w:rsidRPr="002275F9" w:rsidRDefault="00E336DB" w:rsidP="00E336DB">
      <w:pPr>
        <w:pStyle w:val="ListParagraph"/>
        <w:ind w:left="0" w:right="1138"/>
        <w:jc w:val="both"/>
      </w:pPr>
      <w:r>
        <w:t>30.</w:t>
      </w:r>
      <w:r>
        <w:tab/>
      </w:r>
      <w:r w:rsidR="00041D94" w:rsidRPr="002275F9">
        <w:t xml:space="preserve">While </w:t>
      </w:r>
      <w:r w:rsidR="00000179" w:rsidRPr="002275F9">
        <w:t xml:space="preserve">welcoming </w:t>
      </w:r>
      <w:r w:rsidR="00041D94" w:rsidRPr="002275F9">
        <w:t xml:space="preserve">the </w:t>
      </w:r>
      <w:r w:rsidR="00CC6389" w:rsidRPr="002275F9">
        <w:t>ongoing constructive engagement of the Party concerned in the compliance review process</w:t>
      </w:r>
      <w:r w:rsidR="00041D94" w:rsidRPr="002275F9">
        <w:t xml:space="preserve">, </w:t>
      </w:r>
      <w:r w:rsidR="00CC6389" w:rsidRPr="002275F9">
        <w:t>the Committee reiterates the concern it expressed in its report to the fourth session of the Meeting of the Parties at the continued slow progress by the Party concerned</w:t>
      </w:r>
      <w:r w:rsidR="00C86B31" w:rsidRPr="002275F9">
        <w:t xml:space="preserve"> to finalize and adopt the draft EIA law</w:t>
      </w:r>
      <w:r w:rsidR="00CC6389" w:rsidRPr="002275F9">
        <w:t xml:space="preserve">. </w:t>
      </w:r>
      <w:r w:rsidR="00C86B31" w:rsidRPr="002275F9">
        <w:t>Whilst considerable work may have been done on the text since the Committee’s report to the fourth session, the fact</w:t>
      </w:r>
      <w:r w:rsidR="00860BBF">
        <w:t xml:space="preserve"> is</w:t>
      </w:r>
      <w:r w:rsidR="00C86B31" w:rsidRPr="002275F9">
        <w:t xml:space="preserve"> that three years later the legislation remains </w:t>
      </w:r>
      <w:r w:rsidR="00CC6389" w:rsidRPr="002275F9">
        <w:t xml:space="preserve">only a draft. </w:t>
      </w:r>
    </w:p>
    <w:p w:rsidR="00CC6389" w:rsidRPr="002275F9" w:rsidRDefault="00CC6389" w:rsidP="002275F9">
      <w:pPr>
        <w:pStyle w:val="ListParagraph"/>
        <w:ind w:left="0" w:right="1138"/>
        <w:jc w:val="both"/>
      </w:pPr>
    </w:p>
    <w:p w:rsidR="00041D94" w:rsidRPr="002275F9" w:rsidRDefault="00E336DB" w:rsidP="00E336DB">
      <w:pPr>
        <w:pStyle w:val="ListParagraph"/>
        <w:ind w:left="0" w:right="1138"/>
        <w:jc w:val="both"/>
      </w:pPr>
      <w:r>
        <w:t>31.</w:t>
      </w:r>
      <w:r>
        <w:tab/>
      </w:r>
      <w:r w:rsidR="00CC6389" w:rsidRPr="002275F9">
        <w:t xml:space="preserve"> </w:t>
      </w:r>
      <w:r w:rsidR="00C75F2C" w:rsidRPr="002275F9">
        <w:t>S</w:t>
      </w:r>
      <w:r w:rsidR="00041D94" w:rsidRPr="002275F9">
        <w:t xml:space="preserve">ince </w:t>
      </w:r>
      <w:r w:rsidR="00CC6389" w:rsidRPr="002275F9">
        <w:t>the</w:t>
      </w:r>
      <w:r w:rsidR="00C75F2C" w:rsidRPr="002275F9">
        <w:t xml:space="preserve"> relevant </w:t>
      </w:r>
      <w:r w:rsidR="00041D94" w:rsidRPr="002275F9">
        <w:t xml:space="preserve">legislative measure </w:t>
      </w:r>
      <w:r w:rsidR="00C75F2C" w:rsidRPr="002275F9">
        <w:t xml:space="preserve">proposed by the Party concerned to meet the requirements of decision IV/9a </w:t>
      </w:r>
      <w:r w:rsidR="00041D94" w:rsidRPr="002275F9">
        <w:t>ha</w:t>
      </w:r>
      <w:r w:rsidR="00C75F2C" w:rsidRPr="002275F9">
        <w:t>ve</w:t>
      </w:r>
      <w:r w:rsidR="00041D94" w:rsidRPr="002275F9">
        <w:t xml:space="preserve"> not </w:t>
      </w:r>
      <w:r w:rsidR="00C75F2C" w:rsidRPr="002275F9">
        <w:t xml:space="preserve">to date </w:t>
      </w:r>
      <w:r w:rsidR="00041D94" w:rsidRPr="002275F9">
        <w:t>been adopted, the Committee finds that Armenia has not yet met the requirements of decision IV/9a.</w:t>
      </w:r>
    </w:p>
    <w:p w:rsidR="002A7C72" w:rsidRPr="002275F9" w:rsidRDefault="002A7C72" w:rsidP="00692386">
      <w:pPr>
        <w:pStyle w:val="HChG"/>
      </w:pPr>
      <w:r w:rsidRPr="002275F9">
        <w:tab/>
        <w:t>IV.</w:t>
      </w:r>
      <w:r w:rsidRPr="002275F9">
        <w:tab/>
        <w:t xml:space="preserve">Conclusions and recommendations </w:t>
      </w:r>
    </w:p>
    <w:p w:rsidR="00041D94" w:rsidRPr="002275F9" w:rsidRDefault="00E336DB" w:rsidP="00E336DB">
      <w:pPr>
        <w:pStyle w:val="ListParagraph"/>
        <w:ind w:left="0" w:right="1138"/>
        <w:jc w:val="both"/>
      </w:pPr>
      <w:r>
        <w:t>32.</w:t>
      </w:r>
      <w:r>
        <w:tab/>
      </w:r>
      <w:r w:rsidR="00272849" w:rsidRPr="002275F9">
        <w:t>While welcoming the constructive engagement of the Party concerned in the compliance review process, b</w:t>
      </w:r>
      <w:r w:rsidR="002A7C72" w:rsidRPr="002275F9">
        <w:t xml:space="preserve">ased on its considerations and evaluation the Committee concludes that </w:t>
      </w:r>
      <w:r w:rsidR="00186B97" w:rsidRPr="002275F9">
        <w:t xml:space="preserve">the Party has </w:t>
      </w:r>
      <w:r w:rsidR="002A7C72" w:rsidRPr="002275F9">
        <w:t>fail</w:t>
      </w:r>
      <w:r w:rsidR="00186B97" w:rsidRPr="002275F9">
        <w:t>ed</w:t>
      </w:r>
      <w:r w:rsidR="002A7C72" w:rsidRPr="002275F9">
        <w:t xml:space="preserve"> to </w:t>
      </w:r>
      <w:r w:rsidR="006947F7" w:rsidRPr="002275F9">
        <w:t xml:space="preserve">fully meet </w:t>
      </w:r>
      <w:r w:rsidR="002A7C72" w:rsidRPr="002275F9">
        <w:t>the requirements of decision IV/9a. This means the Party concerned remains in non-compliance with article 6 of the Convention on public participation and article 3, paragraph 1, requiring a clear</w:t>
      </w:r>
      <w:r w:rsidR="00041D94" w:rsidRPr="002275F9">
        <w:t xml:space="preserve">, </w:t>
      </w:r>
      <w:r w:rsidR="002A7C72" w:rsidRPr="002275F9">
        <w:t xml:space="preserve">transparent </w:t>
      </w:r>
      <w:r w:rsidR="00041D94" w:rsidRPr="002275F9">
        <w:t xml:space="preserve">and consistent </w:t>
      </w:r>
      <w:r w:rsidR="002A7C72" w:rsidRPr="002275F9">
        <w:t>framework to implement the Convention.</w:t>
      </w:r>
    </w:p>
    <w:p w:rsidR="00041D94" w:rsidRPr="002275F9" w:rsidRDefault="00041D94" w:rsidP="00041D94">
      <w:pPr>
        <w:pStyle w:val="ListParagraph"/>
        <w:ind w:left="0" w:right="1138"/>
        <w:jc w:val="both"/>
      </w:pPr>
    </w:p>
    <w:p w:rsidR="00FA0DB7" w:rsidRPr="002275F9" w:rsidRDefault="00E336DB" w:rsidP="00E336DB">
      <w:pPr>
        <w:pStyle w:val="ListParagraph"/>
        <w:ind w:left="0" w:right="1138"/>
        <w:jc w:val="both"/>
      </w:pPr>
      <w:r>
        <w:t>33.</w:t>
      </w:r>
      <w:r>
        <w:tab/>
      </w:r>
      <w:r w:rsidR="002A7C72" w:rsidRPr="002275F9">
        <w:t xml:space="preserve">The Committee recommends to the </w:t>
      </w:r>
      <w:r w:rsidR="00186B97" w:rsidRPr="002275F9">
        <w:t xml:space="preserve">Meeting of the Parties that it </w:t>
      </w:r>
      <w:r w:rsidR="002A7C72" w:rsidRPr="002275F9">
        <w:t>reiterate its decision IV/9a</w:t>
      </w:r>
      <w:r w:rsidR="008C327A" w:rsidRPr="002275F9">
        <w:t xml:space="preserve"> in the following respects, </w:t>
      </w:r>
      <w:r w:rsidR="00FA0DB7" w:rsidRPr="002275F9">
        <w:t>namely</w:t>
      </w:r>
      <w:r w:rsidR="008C327A" w:rsidRPr="002275F9">
        <w:t xml:space="preserve"> that it</w:t>
      </w:r>
      <w:r w:rsidR="006947F7" w:rsidRPr="002275F9">
        <w:t>:</w:t>
      </w:r>
      <w:r w:rsidR="00FA0DB7" w:rsidRPr="002275F9">
        <w:t xml:space="preserve"> </w:t>
      </w:r>
    </w:p>
    <w:p w:rsidR="00FA0DB7" w:rsidRPr="002275F9" w:rsidRDefault="00FA0DB7" w:rsidP="002275F9">
      <w:pPr>
        <w:pStyle w:val="ListParagraph"/>
      </w:pPr>
    </w:p>
    <w:p w:rsidR="00FA0DB7" w:rsidRPr="002275F9" w:rsidRDefault="008C327A" w:rsidP="00E336DB">
      <w:pPr>
        <w:pStyle w:val="ListParagraph"/>
        <w:numPr>
          <w:ilvl w:val="0"/>
          <w:numId w:val="7"/>
        </w:numPr>
        <w:ind w:right="1138"/>
        <w:jc w:val="both"/>
      </w:pPr>
      <w:r w:rsidRPr="002275F9">
        <w:t>“</w:t>
      </w:r>
      <w:r w:rsidR="006947F7" w:rsidRPr="002275F9">
        <w:t>Encourages the Party concerned to continue its constructive dialogue with the Committee and to accelerate the process for the new legislation on environmental impact assessment (EIA), including procedures on public participation in it, to be finalized and come into effect;</w:t>
      </w:r>
      <w:r w:rsidRPr="002275F9">
        <w:t>” and</w:t>
      </w:r>
    </w:p>
    <w:p w:rsidR="00272849" w:rsidRPr="002275F9" w:rsidRDefault="00041D94" w:rsidP="00E336DB">
      <w:pPr>
        <w:pStyle w:val="ListParagraph"/>
        <w:numPr>
          <w:ilvl w:val="0"/>
          <w:numId w:val="7"/>
        </w:numPr>
        <w:ind w:right="1138"/>
        <w:jc w:val="both"/>
      </w:pPr>
      <w:r w:rsidRPr="002275F9">
        <w:t>“</w:t>
      </w:r>
      <w:r w:rsidR="008C327A" w:rsidRPr="002275F9">
        <w:t>I</w:t>
      </w:r>
      <w:r w:rsidR="002A7C72" w:rsidRPr="002275F9">
        <w:t>nvite</w:t>
      </w:r>
      <w:r w:rsidR="008C327A" w:rsidRPr="002275F9">
        <w:t>s</w:t>
      </w:r>
      <w:r w:rsidR="002A7C72" w:rsidRPr="002275F9">
        <w:t xml:space="preserve"> the Party concerned to take the necessary legislative, regulatory and administrative measures and practical arrangements to ensure that:</w:t>
      </w:r>
    </w:p>
    <w:p w:rsidR="00FA0DB7" w:rsidRPr="002275F9" w:rsidRDefault="00FA0DB7" w:rsidP="002275F9">
      <w:pPr>
        <w:pStyle w:val="ListParagraph"/>
        <w:ind w:left="426" w:right="1138"/>
        <w:jc w:val="both"/>
      </w:pPr>
    </w:p>
    <w:p w:rsidR="002A7C72" w:rsidRPr="002275F9" w:rsidRDefault="002A7C72" w:rsidP="00E336DB">
      <w:pPr>
        <w:pStyle w:val="ListParagraph"/>
        <w:numPr>
          <w:ilvl w:val="2"/>
          <w:numId w:val="7"/>
        </w:numPr>
        <w:ind w:left="993" w:right="1138" w:firstLine="283"/>
        <w:jc w:val="both"/>
      </w:pPr>
      <w:r w:rsidRPr="002275F9">
        <w:t>Thresholds for activities subject to an environmental impact assessment (EIA) procedure, including public participation, are set in a clear manner;</w:t>
      </w:r>
    </w:p>
    <w:p w:rsidR="00FA0DB7" w:rsidRPr="002275F9" w:rsidRDefault="00FA0DB7" w:rsidP="00E336DB">
      <w:pPr>
        <w:pStyle w:val="ListParagraph"/>
        <w:ind w:left="993" w:right="1138" w:firstLine="283"/>
        <w:jc w:val="both"/>
      </w:pPr>
    </w:p>
    <w:p w:rsidR="002A7C72" w:rsidRPr="002275F9" w:rsidRDefault="002A7C72" w:rsidP="00E336DB">
      <w:pPr>
        <w:pStyle w:val="ListParagraph"/>
        <w:numPr>
          <w:ilvl w:val="2"/>
          <w:numId w:val="7"/>
        </w:numPr>
        <w:ind w:left="993" w:right="1138" w:firstLine="283"/>
        <w:jc w:val="both"/>
      </w:pPr>
      <w:r w:rsidRPr="002275F9">
        <w:t>The public is informed as early as possible in the decision-making procedure, when all options are open, and that reasonable time frames are set for the public to consult and comment on project-related documentation;</w:t>
      </w:r>
    </w:p>
    <w:p w:rsidR="00FA0DB7" w:rsidRPr="002275F9" w:rsidRDefault="00FA0DB7" w:rsidP="00E336DB">
      <w:pPr>
        <w:pStyle w:val="ListParagraph"/>
        <w:ind w:left="993" w:right="1138" w:firstLine="283"/>
        <w:jc w:val="both"/>
      </w:pPr>
    </w:p>
    <w:p w:rsidR="002A7C72" w:rsidRPr="002275F9" w:rsidRDefault="002A7C72" w:rsidP="00E336DB">
      <w:pPr>
        <w:pStyle w:val="ListParagraph"/>
        <w:numPr>
          <w:ilvl w:val="2"/>
          <w:numId w:val="7"/>
        </w:numPr>
        <w:ind w:left="993" w:right="1138" w:firstLine="283"/>
        <w:jc w:val="both"/>
      </w:pPr>
      <w:r w:rsidRPr="002275F9">
        <w:t>The responsibilities of different actors (public authorities, local authorities, developer) in the organization of public participation procedures are defined as clearly as possible;</w:t>
      </w:r>
    </w:p>
    <w:p w:rsidR="00FA0DB7" w:rsidRPr="002275F9" w:rsidRDefault="00FA0DB7" w:rsidP="00E336DB">
      <w:pPr>
        <w:pStyle w:val="ListParagraph"/>
        <w:ind w:left="993" w:right="1138" w:firstLine="283"/>
        <w:jc w:val="both"/>
      </w:pPr>
    </w:p>
    <w:p w:rsidR="00593501" w:rsidRDefault="002A7C72" w:rsidP="00593501">
      <w:pPr>
        <w:pStyle w:val="ListParagraph"/>
        <w:numPr>
          <w:ilvl w:val="2"/>
          <w:numId w:val="7"/>
        </w:numPr>
        <w:ind w:left="993" w:right="1138" w:firstLine="283"/>
        <w:jc w:val="both"/>
      </w:pPr>
      <w:r w:rsidRPr="002275F9">
        <w:t xml:space="preserve">A system of prompt notification of the </w:t>
      </w:r>
      <w:bookmarkStart w:id="0" w:name="_GoBack"/>
      <w:r w:rsidRPr="002275F9">
        <w:t>public concerned on final conclusions of environmental expertise is arranged, e.g., through the website of the Ministry of Nature Protection.</w:t>
      </w:r>
      <w:r w:rsidR="00041D94" w:rsidRPr="002275F9">
        <w:t>”</w:t>
      </w:r>
    </w:p>
    <w:p w:rsidR="001321A6" w:rsidRDefault="001321A6" w:rsidP="001321A6">
      <w:pPr>
        <w:ind w:right="1138"/>
        <w:jc w:val="both"/>
      </w:pPr>
    </w:p>
    <w:p w:rsidR="00593501" w:rsidRPr="002275F9" w:rsidRDefault="00593501" w:rsidP="001321A6">
      <w:pPr>
        <w:pStyle w:val="ListParagraph"/>
        <w:numPr>
          <w:ilvl w:val="0"/>
          <w:numId w:val="7"/>
        </w:numPr>
        <w:ind w:right="1138"/>
        <w:jc w:val="both"/>
      </w:pPr>
      <w:r>
        <w:t>P</w:t>
      </w:r>
      <w:r w:rsidRPr="002275F9">
        <w:t>rovide</w:t>
      </w:r>
      <w:r>
        <w:t>s</w:t>
      </w:r>
      <w:r w:rsidRPr="002275F9">
        <w:t xml:space="preserve"> the Committee with evidence that</w:t>
      </w:r>
      <w:r w:rsidRPr="00593501">
        <w:t xml:space="preserve"> </w:t>
      </w:r>
      <w:r w:rsidRPr="002275F9">
        <w:t>the draft EIA law and other legislative measures that have been proposed by the Party concerned to meet the requirements of decision IV/9a have indeed been adopted</w:t>
      </w:r>
      <w:r>
        <w:t>.</w:t>
      </w:r>
    </w:p>
    <w:p w:rsidR="00FA0DB7" w:rsidRPr="002275F9" w:rsidRDefault="00FA0DB7" w:rsidP="002275F9">
      <w:pPr>
        <w:pStyle w:val="ListParagraph"/>
        <w:ind w:left="426" w:right="1138" w:hanging="426"/>
        <w:jc w:val="both"/>
      </w:pPr>
    </w:p>
    <w:p w:rsidR="002A7C72" w:rsidRPr="002275F9" w:rsidRDefault="00E336DB" w:rsidP="00E336DB">
      <w:pPr>
        <w:ind w:right="1138"/>
        <w:jc w:val="both"/>
      </w:pPr>
      <w:r>
        <w:t>34.</w:t>
      </w:r>
      <w:r>
        <w:tab/>
      </w:r>
      <w:r w:rsidR="002A7C72" w:rsidRPr="002275F9">
        <w:t xml:space="preserve">The Committee recommends to the Meeting of the Parties </w:t>
      </w:r>
      <w:r w:rsidR="00186B97" w:rsidRPr="002275F9">
        <w:t xml:space="preserve">that it </w:t>
      </w:r>
      <w:r w:rsidR="002A7C72" w:rsidRPr="002275F9">
        <w:t xml:space="preserve">request the Party concerned to provide </w:t>
      </w:r>
      <w:r w:rsidR="008C327A" w:rsidRPr="002275F9">
        <w:t xml:space="preserve">detailed </w:t>
      </w:r>
      <w:r w:rsidR="002A7C72" w:rsidRPr="002275F9">
        <w:t xml:space="preserve">progress reports to the Committee </w:t>
      </w:r>
      <w:r w:rsidR="009B321B" w:rsidRPr="002275F9">
        <w:t xml:space="preserve">by </w:t>
      </w:r>
      <w:r w:rsidR="002A7C72" w:rsidRPr="002275F9">
        <w:t xml:space="preserve">31 </w:t>
      </w:r>
      <w:r w:rsidR="00CB0FF4">
        <w:t>December</w:t>
      </w:r>
      <w:r w:rsidR="00CB0FF4" w:rsidRPr="002275F9">
        <w:t xml:space="preserve"> </w:t>
      </w:r>
      <w:r w:rsidR="002A7C72" w:rsidRPr="002275F9">
        <w:t xml:space="preserve">2014, </w:t>
      </w:r>
      <w:r w:rsidR="00041D94" w:rsidRPr="002275F9">
        <w:t>31 October 2015 and 31 October 2016 on the measures taken and the results achieved in implementation of the above recommendations.</w:t>
      </w:r>
    </w:p>
    <w:bookmarkEnd w:id="0"/>
    <w:p w:rsidR="006947F7" w:rsidRDefault="006947F7"/>
    <w:p w:rsidR="006947F7" w:rsidRDefault="006947F7"/>
    <w:p w:rsidR="006947F7" w:rsidRDefault="006947F7" w:rsidP="002275F9">
      <w:pPr>
        <w:pStyle w:val="SingleTxtG"/>
        <w:ind w:left="426"/>
      </w:pPr>
    </w:p>
    <w:sectPr w:rsidR="006947F7" w:rsidSect="00AB0F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51" w:rsidRDefault="002B5351" w:rsidP="00692386">
      <w:pPr>
        <w:spacing w:line="240" w:lineRule="auto"/>
      </w:pPr>
      <w:r>
        <w:separator/>
      </w:r>
    </w:p>
  </w:endnote>
  <w:endnote w:type="continuationSeparator" w:id="0">
    <w:p w:rsidR="002B5351" w:rsidRDefault="002B5351" w:rsidP="00692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BC" w:rsidRDefault="00FD0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72" w:rsidRDefault="008B0ABD">
    <w:pPr>
      <w:pStyle w:val="Footer"/>
      <w:jc w:val="right"/>
    </w:pPr>
    <w:r>
      <w:fldChar w:fldCharType="begin"/>
    </w:r>
    <w:r>
      <w:instrText xml:space="preserve"> PAGE   \* MERGEFORMAT </w:instrText>
    </w:r>
    <w:r>
      <w:fldChar w:fldCharType="separate"/>
    </w:r>
    <w:r w:rsidR="00FD09BC">
      <w:rPr>
        <w:noProof/>
      </w:rPr>
      <w:t>1</w:t>
    </w:r>
    <w:r>
      <w:rPr>
        <w:noProof/>
      </w:rPr>
      <w:fldChar w:fldCharType="end"/>
    </w:r>
  </w:p>
  <w:p w:rsidR="002A7C72" w:rsidRDefault="002A7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BC" w:rsidRDefault="00FD0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51" w:rsidRDefault="002B5351" w:rsidP="00692386">
      <w:pPr>
        <w:spacing w:line="240" w:lineRule="auto"/>
      </w:pPr>
      <w:r>
        <w:separator/>
      </w:r>
    </w:p>
  </w:footnote>
  <w:footnote w:type="continuationSeparator" w:id="0">
    <w:p w:rsidR="002B5351" w:rsidRDefault="002B5351" w:rsidP="006923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BC" w:rsidRDefault="00FD0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72" w:rsidRPr="00E82F52" w:rsidRDefault="00FD09BC" w:rsidP="00FD09BC">
    <w:pPr>
      <w:pStyle w:val="Header"/>
      <w:ind w:right="1138"/>
      <w:jc w:val="right"/>
      <w:rPr>
        <w:lang w:val="en-US"/>
      </w:rPr>
    </w:pPr>
    <w:sdt>
      <w:sdtPr>
        <w:rPr>
          <w:lang w:val="en-US"/>
        </w:rPr>
        <w:id w:val="-813568015"/>
        <w:docPartObj>
          <w:docPartGallery w:val="Watermarks"/>
          <w:docPartUnique/>
        </w:docPartObj>
      </w:sdtPr>
      <w:sdtContent>
        <w:r w:rsidRPr="00FD09B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lang w:val="en-US"/>
      </w:rPr>
      <w:t>Draft for 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BC" w:rsidRDefault="00FD0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7D8"/>
    <w:multiLevelType w:val="hybridMultilevel"/>
    <w:tmpl w:val="D4F44E7A"/>
    <w:lvl w:ilvl="0" w:tplc="0EAC33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13D0A"/>
    <w:multiLevelType w:val="hybridMultilevel"/>
    <w:tmpl w:val="D4F44E7A"/>
    <w:lvl w:ilvl="0" w:tplc="0EAC33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A232A"/>
    <w:multiLevelType w:val="hybridMultilevel"/>
    <w:tmpl w:val="9FEE0328"/>
    <w:lvl w:ilvl="0" w:tplc="AF12FCD2">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F7816"/>
    <w:multiLevelType w:val="hybridMultilevel"/>
    <w:tmpl w:val="C882A1A2"/>
    <w:lvl w:ilvl="0" w:tplc="331657B2">
      <w:start w:val="1"/>
      <w:numFmt w:val="lowerRoman"/>
      <w:lvlText w:val="(%1)"/>
      <w:lvlJc w:val="left"/>
      <w:pPr>
        <w:ind w:left="2420" w:hanging="72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4">
    <w:nsid w:val="3B184446"/>
    <w:multiLevelType w:val="hybridMultilevel"/>
    <w:tmpl w:val="E5E89D40"/>
    <w:lvl w:ilvl="0" w:tplc="EB2A293A">
      <w:start w:val="1"/>
      <w:numFmt w:val="decimal"/>
      <w:lvlText w:val="%1."/>
      <w:lvlJc w:val="left"/>
      <w:pPr>
        <w:ind w:left="1494" w:hanging="360"/>
      </w:pPr>
      <w:rPr>
        <w:rFonts w:cs="Times New Roman" w:hint="default"/>
      </w:rPr>
    </w:lvl>
    <w:lvl w:ilvl="1" w:tplc="7612FA74">
      <w:start w:val="1"/>
      <w:numFmt w:val="lowerLetter"/>
      <w:lvlText w:val="(%2)"/>
      <w:lvlJc w:val="left"/>
      <w:pPr>
        <w:ind w:left="2214" w:hanging="360"/>
      </w:pPr>
      <w:rPr>
        <w:rFonts w:cs="Times New Roman" w:hint="default"/>
      </w:rPr>
    </w:lvl>
    <w:lvl w:ilvl="2" w:tplc="0809001B">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nsid w:val="3FC64DFC"/>
    <w:multiLevelType w:val="hybridMultilevel"/>
    <w:tmpl w:val="0CE4C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6B1052"/>
    <w:multiLevelType w:val="hybridMultilevel"/>
    <w:tmpl w:val="E5E89D40"/>
    <w:lvl w:ilvl="0" w:tplc="EB2A293A">
      <w:start w:val="1"/>
      <w:numFmt w:val="decimal"/>
      <w:lvlText w:val="%1."/>
      <w:lvlJc w:val="left"/>
      <w:pPr>
        <w:ind w:left="1494" w:hanging="360"/>
      </w:pPr>
      <w:rPr>
        <w:rFonts w:cs="Times New Roman" w:hint="default"/>
      </w:rPr>
    </w:lvl>
    <w:lvl w:ilvl="1" w:tplc="7612FA74">
      <w:start w:val="1"/>
      <w:numFmt w:val="lowerLetter"/>
      <w:lvlText w:val="(%2)"/>
      <w:lvlJc w:val="left"/>
      <w:pPr>
        <w:ind w:left="2214" w:hanging="360"/>
      </w:pPr>
      <w:rPr>
        <w:rFonts w:cs="Times New Roman" w:hint="default"/>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7">
    <w:nsid w:val="47013E21"/>
    <w:multiLevelType w:val="hybridMultilevel"/>
    <w:tmpl w:val="5AAE5B3E"/>
    <w:lvl w:ilvl="0" w:tplc="82D0E958">
      <w:start w:val="9"/>
      <w:numFmt w:val="lowerLetter"/>
      <w:lvlText w:val="(%1)"/>
      <w:lvlJc w:val="left"/>
      <w:pPr>
        <w:tabs>
          <w:tab w:val="num" w:pos="1494"/>
        </w:tabs>
        <w:ind w:left="1494" w:hanging="360"/>
      </w:pPr>
      <w:rPr>
        <w:rFonts w:cs="Times New Roman" w:hint="default"/>
        <w:b w:val="0"/>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8">
    <w:nsid w:val="5A762948"/>
    <w:multiLevelType w:val="hybridMultilevel"/>
    <w:tmpl w:val="ED60121A"/>
    <w:lvl w:ilvl="0" w:tplc="7612FA74">
      <w:start w:val="1"/>
      <w:numFmt w:val="lowerLetter"/>
      <w:lvlText w:val="(%1)"/>
      <w:lvlJc w:val="left"/>
      <w:pPr>
        <w:ind w:left="221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B5772B"/>
    <w:multiLevelType w:val="hybridMultilevel"/>
    <w:tmpl w:val="012C5EE2"/>
    <w:lvl w:ilvl="0" w:tplc="B10482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9"/>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86"/>
    <w:rsid w:val="00000179"/>
    <w:rsid w:val="00001CFA"/>
    <w:rsid w:val="00041D94"/>
    <w:rsid w:val="00051829"/>
    <w:rsid w:val="00053939"/>
    <w:rsid w:val="00057E68"/>
    <w:rsid w:val="00060792"/>
    <w:rsid w:val="00096075"/>
    <w:rsid w:val="000D6B7E"/>
    <w:rsid w:val="000E7F41"/>
    <w:rsid w:val="00105847"/>
    <w:rsid w:val="001321A6"/>
    <w:rsid w:val="00143532"/>
    <w:rsid w:val="00144C00"/>
    <w:rsid w:val="00154957"/>
    <w:rsid w:val="00186B97"/>
    <w:rsid w:val="00190A82"/>
    <w:rsid w:val="001956E2"/>
    <w:rsid w:val="001A7733"/>
    <w:rsid w:val="001B4587"/>
    <w:rsid w:val="00222ECF"/>
    <w:rsid w:val="002275F9"/>
    <w:rsid w:val="00235D44"/>
    <w:rsid w:val="00272849"/>
    <w:rsid w:val="002A7C72"/>
    <w:rsid w:val="002B5351"/>
    <w:rsid w:val="002D00FA"/>
    <w:rsid w:val="002D16D9"/>
    <w:rsid w:val="002D1B97"/>
    <w:rsid w:val="002D2607"/>
    <w:rsid w:val="002E0AB5"/>
    <w:rsid w:val="00305F30"/>
    <w:rsid w:val="003128C5"/>
    <w:rsid w:val="00314B9A"/>
    <w:rsid w:val="003A7654"/>
    <w:rsid w:val="003B1451"/>
    <w:rsid w:val="00406E6D"/>
    <w:rsid w:val="00420ED3"/>
    <w:rsid w:val="004406F1"/>
    <w:rsid w:val="004F22A0"/>
    <w:rsid w:val="005224F4"/>
    <w:rsid w:val="005258D8"/>
    <w:rsid w:val="00547669"/>
    <w:rsid w:val="00556DCF"/>
    <w:rsid w:val="00583ED9"/>
    <w:rsid w:val="00593501"/>
    <w:rsid w:val="005A171A"/>
    <w:rsid w:val="005C41A3"/>
    <w:rsid w:val="005D742E"/>
    <w:rsid w:val="005E53F2"/>
    <w:rsid w:val="00600A72"/>
    <w:rsid w:val="006052D0"/>
    <w:rsid w:val="00621202"/>
    <w:rsid w:val="00626877"/>
    <w:rsid w:val="00633F4A"/>
    <w:rsid w:val="00660C0A"/>
    <w:rsid w:val="00670130"/>
    <w:rsid w:val="00692386"/>
    <w:rsid w:val="00692950"/>
    <w:rsid w:val="006947F7"/>
    <w:rsid w:val="00697E11"/>
    <w:rsid w:val="006E53FB"/>
    <w:rsid w:val="00701125"/>
    <w:rsid w:val="0075216B"/>
    <w:rsid w:val="007825F0"/>
    <w:rsid w:val="007A7E39"/>
    <w:rsid w:val="007B070F"/>
    <w:rsid w:val="007C6AD1"/>
    <w:rsid w:val="007E39A9"/>
    <w:rsid w:val="007F2205"/>
    <w:rsid w:val="0080094D"/>
    <w:rsid w:val="00860BBF"/>
    <w:rsid w:val="008746BC"/>
    <w:rsid w:val="008766BE"/>
    <w:rsid w:val="008A2522"/>
    <w:rsid w:val="008B0ABD"/>
    <w:rsid w:val="008B20A0"/>
    <w:rsid w:val="008C327A"/>
    <w:rsid w:val="008C7142"/>
    <w:rsid w:val="008D423E"/>
    <w:rsid w:val="008E534E"/>
    <w:rsid w:val="009173FC"/>
    <w:rsid w:val="0093325D"/>
    <w:rsid w:val="00935F31"/>
    <w:rsid w:val="00961D7E"/>
    <w:rsid w:val="0097261F"/>
    <w:rsid w:val="00975961"/>
    <w:rsid w:val="00994803"/>
    <w:rsid w:val="0099676A"/>
    <w:rsid w:val="009A7F43"/>
    <w:rsid w:val="009B321B"/>
    <w:rsid w:val="009C3CA9"/>
    <w:rsid w:val="009D732D"/>
    <w:rsid w:val="00A26782"/>
    <w:rsid w:val="00A43FF5"/>
    <w:rsid w:val="00A73CD2"/>
    <w:rsid w:val="00A909F5"/>
    <w:rsid w:val="00AB0F61"/>
    <w:rsid w:val="00AB43CC"/>
    <w:rsid w:val="00AC478D"/>
    <w:rsid w:val="00AC4ECB"/>
    <w:rsid w:val="00AE1BA6"/>
    <w:rsid w:val="00B063F3"/>
    <w:rsid w:val="00B11242"/>
    <w:rsid w:val="00B150AD"/>
    <w:rsid w:val="00B24294"/>
    <w:rsid w:val="00B24835"/>
    <w:rsid w:val="00B52885"/>
    <w:rsid w:val="00B66015"/>
    <w:rsid w:val="00B729A6"/>
    <w:rsid w:val="00B86F3E"/>
    <w:rsid w:val="00BB377B"/>
    <w:rsid w:val="00C47250"/>
    <w:rsid w:val="00C54544"/>
    <w:rsid w:val="00C75F2C"/>
    <w:rsid w:val="00C860B2"/>
    <w:rsid w:val="00C86B31"/>
    <w:rsid w:val="00C950B5"/>
    <w:rsid w:val="00CA59AA"/>
    <w:rsid w:val="00CB0FF4"/>
    <w:rsid w:val="00CC6389"/>
    <w:rsid w:val="00CD2A54"/>
    <w:rsid w:val="00CD2D6F"/>
    <w:rsid w:val="00CE2E46"/>
    <w:rsid w:val="00CF4571"/>
    <w:rsid w:val="00CF5F19"/>
    <w:rsid w:val="00D126B9"/>
    <w:rsid w:val="00D135A7"/>
    <w:rsid w:val="00D32785"/>
    <w:rsid w:val="00D40ED4"/>
    <w:rsid w:val="00D61C95"/>
    <w:rsid w:val="00D8701C"/>
    <w:rsid w:val="00DA4E46"/>
    <w:rsid w:val="00DC410A"/>
    <w:rsid w:val="00DD2333"/>
    <w:rsid w:val="00DF6F05"/>
    <w:rsid w:val="00E135D7"/>
    <w:rsid w:val="00E17631"/>
    <w:rsid w:val="00E30B76"/>
    <w:rsid w:val="00E336DB"/>
    <w:rsid w:val="00E46DCF"/>
    <w:rsid w:val="00E82F52"/>
    <w:rsid w:val="00E95260"/>
    <w:rsid w:val="00EA1FBA"/>
    <w:rsid w:val="00EB7E30"/>
    <w:rsid w:val="00EC3ABF"/>
    <w:rsid w:val="00ED2C37"/>
    <w:rsid w:val="00EE4CA0"/>
    <w:rsid w:val="00EF7FD9"/>
    <w:rsid w:val="00F03D6B"/>
    <w:rsid w:val="00F13E78"/>
    <w:rsid w:val="00F179D8"/>
    <w:rsid w:val="00F52900"/>
    <w:rsid w:val="00FA0DB7"/>
    <w:rsid w:val="00FB2B5E"/>
    <w:rsid w:val="00FD0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86"/>
    <w:pPr>
      <w:suppressAutoHyphens/>
      <w:spacing w:line="240" w:lineRule="atLeast"/>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692386"/>
    <w:pPr>
      <w:spacing w:after="120"/>
      <w:ind w:left="1134" w:right="1134"/>
      <w:jc w:val="both"/>
    </w:pPr>
  </w:style>
  <w:style w:type="paragraph" w:customStyle="1" w:styleId="HChG">
    <w:name w:val="_ H _Ch_G"/>
    <w:basedOn w:val="Normal"/>
    <w:next w:val="Normal"/>
    <w:uiPriority w:val="99"/>
    <w:rsid w:val="0069238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uiPriority w:val="99"/>
    <w:locked/>
    <w:rsid w:val="00692386"/>
    <w:rPr>
      <w:rFonts w:ascii="Times New Roman" w:hAnsi="Times New Roman" w:cs="Times New Roman"/>
      <w:sz w:val="20"/>
      <w:szCs w:val="20"/>
    </w:rPr>
  </w:style>
  <w:style w:type="paragraph" w:styleId="Footer">
    <w:name w:val="footer"/>
    <w:basedOn w:val="Normal"/>
    <w:link w:val="FooterChar"/>
    <w:uiPriority w:val="99"/>
    <w:rsid w:val="00692386"/>
    <w:pPr>
      <w:tabs>
        <w:tab w:val="center" w:pos="4513"/>
        <w:tab w:val="right" w:pos="9026"/>
      </w:tabs>
      <w:spacing w:line="240" w:lineRule="auto"/>
    </w:pPr>
  </w:style>
  <w:style w:type="character" w:customStyle="1" w:styleId="FooterChar">
    <w:name w:val="Footer Char"/>
    <w:basedOn w:val="DefaultParagraphFont"/>
    <w:link w:val="Footer"/>
    <w:uiPriority w:val="99"/>
    <w:locked/>
    <w:rsid w:val="00692386"/>
    <w:rPr>
      <w:rFonts w:ascii="Times New Roman" w:hAnsi="Times New Roman" w:cs="Times New Roman"/>
      <w:sz w:val="20"/>
      <w:szCs w:val="20"/>
    </w:rPr>
  </w:style>
  <w:style w:type="paragraph" w:styleId="FootnoteText">
    <w:name w:val="footnote text"/>
    <w:basedOn w:val="Normal"/>
    <w:link w:val="FootnoteTextChar"/>
    <w:uiPriority w:val="99"/>
    <w:semiHidden/>
    <w:rsid w:val="00692386"/>
    <w:pPr>
      <w:spacing w:line="240" w:lineRule="auto"/>
    </w:pPr>
  </w:style>
  <w:style w:type="character" w:customStyle="1" w:styleId="FootnoteTextChar">
    <w:name w:val="Footnote Text Char"/>
    <w:basedOn w:val="DefaultParagraphFont"/>
    <w:link w:val="FootnoteText"/>
    <w:uiPriority w:val="99"/>
    <w:semiHidden/>
    <w:locked/>
    <w:rsid w:val="00692386"/>
    <w:rPr>
      <w:rFonts w:ascii="Times New Roman" w:hAnsi="Times New Roman" w:cs="Times New Roman"/>
      <w:sz w:val="20"/>
      <w:szCs w:val="20"/>
    </w:rPr>
  </w:style>
  <w:style w:type="character" w:styleId="FootnoteReference">
    <w:name w:val="footnote reference"/>
    <w:basedOn w:val="DefaultParagraphFont"/>
    <w:uiPriority w:val="99"/>
    <w:semiHidden/>
    <w:rsid w:val="00692386"/>
    <w:rPr>
      <w:rFonts w:cs="Times New Roman"/>
      <w:vertAlign w:val="superscript"/>
    </w:rPr>
  </w:style>
  <w:style w:type="table" w:styleId="TableGrid">
    <w:name w:val="Table Grid"/>
    <w:basedOn w:val="TableNormal"/>
    <w:uiPriority w:val="99"/>
    <w:rsid w:val="006923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2F52"/>
    <w:pPr>
      <w:tabs>
        <w:tab w:val="center" w:pos="4513"/>
        <w:tab w:val="right" w:pos="9026"/>
      </w:tabs>
      <w:spacing w:line="240" w:lineRule="auto"/>
    </w:pPr>
  </w:style>
  <w:style w:type="character" w:customStyle="1" w:styleId="HeaderChar">
    <w:name w:val="Header Char"/>
    <w:basedOn w:val="DefaultParagraphFont"/>
    <w:link w:val="Header"/>
    <w:uiPriority w:val="99"/>
    <w:locked/>
    <w:rsid w:val="00E82F52"/>
    <w:rPr>
      <w:rFonts w:ascii="Times New Roman" w:hAnsi="Times New Roman" w:cs="Times New Roman"/>
      <w:sz w:val="20"/>
      <w:szCs w:val="20"/>
    </w:rPr>
  </w:style>
  <w:style w:type="paragraph" w:styleId="BalloonText">
    <w:name w:val="Balloon Text"/>
    <w:basedOn w:val="Normal"/>
    <w:link w:val="BalloonTextChar"/>
    <w:uiPriority w:val="99"/>
    <w:semiHidden/>
    <w:rsid w:val="00F13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E78"/>
    <w:rPr>
      <w:rFonts w:ascii="Tahoma" w:hAnsi="Tahoma" w:cs="Tahoma"/>
      <w:sz w:val="16"/>
      <w:szCs w:val="16"/>
    </w:rPr>
  </w:style>
  <w:style w:type="paragraph" w:styleId="ListParagraph">
    <w:name w:val="List Paragraph"/>
    <w:basedOn w:val="Normal"/>
    <w:uiPriority w:val="99"/>
    <w:qFormat/>
    <w:rsid w:val="008766BE"/>
    <w:pPr>
      <w:ind w:left="720"/>
      <w:contextualSpacing/>
    </w:pPr>
  </w:style>
  <w:style w:type="character" w:styleId="CommentReference">
    <w:name w:val="annotation reference"/>
    <w:basedOn w:val="DefaultParagraphFont"/>
    <w:uiPriority w:val="99"/>
    <w:semiHidden/>
    <w:unhideWhenUsed/>
    <w:rsid w:val="00186B97"/>
    <w:rPr>
      <w:sz w:val="16"/>
      <w:szCs w:val="16"/>
    </w:rPr>
  </w:style>
  <w:style w:type="paragraph" w:styleId="CommentText">
    <w:name w:val="annotation text"/>
    <w:basedOn w:val="Normal"/>
    <w:link w:val="CommentTextChar"/>
    <w:uiPriority w:val="99"/>
    <w:semiHidden/>
    <w:unhideWhenUsed/>
    <w:rsid w:val="00186B97"/>
    <w:pPr>
      <w:spacing w:line="240" w:lineRule="auto"/>
    </w:pPr>
  </w:style>
  <w:style w:type="character" w:customStyle="1" w:styleId="CommentTextChar">
    <w:name w:val="Comment Text Char"/>
    <w:basedOn w:val="DefaultParagraphFont"/>
    <w:link w:val="CommentText"/>
    <w:uiPriority w:val="99"/>
    <w:semiHidden/>
    <w:rsid w:val="00186B97"/>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86B97"/>
    <w:rPr>
      <w:b/>
      <w:bCs/>
    </w:rPr>
  </w:style>
  <w:style w:type="character" w:customStyle="1" w:styleId="CommentSubjectChar">
    <w:name w:val="Comment Subject Char"/>
    <w:basedOn w:val="CommentTextChar"/>
    <w:link w:val="CommentSubject"/>
    <w:uiPriority w:val="99"/>
    <w:semiHidden/>
    <w:rsid w:val="00186B97"/>
    <w:rPr>
      <w:rFonts w:ascii="Times New Roman" w:eastAsia="Times New Roman" w:hAnsi="Times New Roman"/>
      <w:b/>
      <w:bCs/>
      <w:sz w:val="20"/>
      <w:szCs w:val="20"/>
      <w:lang w:val="en-GB" w:eastAsia="en-US"/>
    </w:rPr>
  </w:style>
  <w:style w:type="character" w:styleId="Hyperlink">
    <w:name w:val="Hyperlink"/>
    <w:basedOn w:val="DefaultParagraphFont"/>
    <w:uiPriority w:val="99"/>
    <w:unhideWhenUsed/>
    <w:rsid w:val="003A7654"/>
    <w:rPr>
      <w:color w:val="0000FF" w:themeColor="hyperlink"/>
      <w:u w:val="single"/>
    </w:rPr>
  </w:style>
  <w:style w:type="paragraph" w:customStyle="1" w:styleId="Default">
    <w:name w:val="Default"/>
    <w:rsid w:val="00F03D6B"/>
    <w:pPr>
      <w:autoSpaceDE w:val="0"/>
      <w:autoSpaceDN w:val="0"/>
      <w:adjustRightInd w:val="0"/>
    </w:pPr>
    <w:rPr>
      <w:rFonts w:ascii="Times New Roman" w:hAnsi="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86"/>
    <w:pPr>
      <w:suppressAutoHyphens/>
      <w:spacing w:line="240" w:lineRule="atLeast"/>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692386"/>
    <w:pPr>
      <w:spacing w:after="120"/>
      <w:ind w:left="1134" w:right="1134"/>
      <w:jc w:val="both"/>
    </w:pPr>
  </w:style>
  <w:style w:type="paragraph" w:customStyle="1" w:styleId="HChG">
    <w:name w:val="_ H _Ch_G"/>
    <w:basedOn w:val="Normal"/>
    <w:next w:val="Normal"/>
    <w:uiPriority w:val="99"/>
    <w:rsid w:val="0069238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uiPriority w:val="99"/>
    <w:locked/>
    <w:rsid w:val="00692386"/>
    <w:rPr>
      <w:rFonts w:ascii="Times New Roman" w:hAnsi="Times New Roman" w:cs="Times New Roman"/>
      <w:sz w:val="20"/>
      <w:szCs w:val="20"/>
    </w:rPr>
  </w:style>
  <w:style w:type="paragraph" w:styleId="Footer">
    <w:name w:val="footer"/>
    <w:basedOn w:val="Normal"/>
    <w:link w:val="FooterChar"/>
    <w:uiPriority w:val="99"/>
    <w:rsid w:val="00692386"/>
    <w:pPr>
      <w:tabs>
        <w:tab w:val="center" w:pos="4513"/>
        <w:tab w:val="right" w:pos="9026"/>
      </w:tabs>
      <w:spacing w:line="240" w:lineRule="auto"/>
    </w:pPr>
  </w:style>
  <w:style w:type="character" w:customStyle="1" w:styleId="FooterChar">
    <w:name w:val="Footer Char"/>
    <w:basedOn w:val="DefaultParagraphFont"/>
    <w:link w:val="Footer"/>
    <w:uiPriority w:val="99"/>
    <w:locked/>
    <w:rsid w:val="00692386"/>
    <w:rPr>
      <w:rFonts w:ascii="Times New Roman" w:hAnsi="Times New Roman" w:cs="Times New Roman"/>
      <w:sz w:val="20"/>
      <w:szCs w:val="20"/>
    </w:rPr>
  </w:style>
  <w:style w:type="paragraph" w:styleId="FootnoteText">
    <w:name w:val="footnote text"/>
    <w:basedOn w:val="Normal"/>
    <w:link w:val="FootnoteTextChar"/>
    <w:uiPriority w:val="99"/>
    <w:semiHidden/>
    <w:rsid w:val="00692386"/>
    <w:pPr>
      <w:spacing w:line="240" w:lineRule="auto"/>
    </w:pPr>
  </w:style>
  <w:style w:type="character" w:customStyle="1" w:styleId="FootnoteTextChar">
    <w:name w:val="Footnote Text Char"/>
    <w:basedOn w:val="DefaultParagraphFont"/>
    <w:link w:val="FootnoteText"/>
    <w:uiPriority w:val="99"/>
    <w:semiHidden/>
    <w:locked/>
    <w:rsid w:val="00692386"/>
    <w:rPr>
      <w:rFonts w:ascii="Times New Roman" w:hAnsi="Times New Roman" w:cs="Times New Roman"/>
      <w:sz w:val="20"/>
      <w:szCs w:val="20"/>
    </w:rPr>
  </w:style>
  <w:style w:type="character" w:styleId="FootnoteReference">
    <w:name w:val="footnote reference"/>
    <w:basedOn w:val="DefaultParagraphFont"/>
    <w:uiPriority w:val="99"/>
    <w:semiHidden/>
    <w:rsid w:val="00692386"/>
    <w:rPr>
      <w:rFonts w:cs="Times New Roman"/>
      <w:vertAlign w:val="superscript"/>
    </w:rPr>
  </w:style>
  <w:style w:type="table" w:styleId="TableGrid">
    <w:name w:val="Table Grid"/>
    <w:basedOn w:val="TableNormal"/>
    <w:uiPriority w:val="99"/>
    <w:rsid w:val="006923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2F52"/>
    <w:pPr>
      <w:tabs>
        <w:tab w:val="center" w:pos="4513"/>
        <w:tab w:val="right" w:pos="9026"/>
      </w:tabs>
      <w:spacing w:line="240" w:lineRule="auto"/>
    </w:pPr>
  </w:style>
  <w:style w:type="character" w:customStyle="1" w:styleId="HeaderChar">
    <w:name w:val="Header Char"/>
    <w:basedOn w:val="DefaultParagraphFont"/>
    <w:link w:val="Header"/>
    <w:uiPriority w:val="99"/>
    <w:locked/>
    <w:rsid w:val="00E82F52"/>
    <w:rPr>
      <w:rFonts w:ascii="Times New Roman" w:hAnsi="Times New Roman" w:cs="Times New Roman"/>
      <w:sz w:val="20"/>
      <w:szCs w:val="20"/>
    </w:rPr>
  </w:style>
  <w:style w:type="paragraph" w:styleId="BalloonText">
    <w:name w:val="Balloon Text"/>
    <w:basedOn w:val="Normal"/>
    <w:link w:val="BalloonTextChar"/>
    <w:uiPriority w:val="99"/>
    <w:semiHidden/>
    <w:rsid w:val="00F13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E78"/>
    <w:rPr>
      <w:rFonts w:ascii="Tahoma" w:hAnsi="Tahoma" w:cs="Tahoma"/>
      <w:sz w:val="16"/>
      <w:szCs w:val="16"/>
    </w:rPr>
  </w:style>
  <w:style w:type="paragraph" w:styleId="ListParagraph">
    <w:name w:val="List Paragraph"/>
    <w:basedOn w:val="Normal"/>
    <w:uiPriority w:val="99"/>
    <w:qFormat/>
    <w:rsid w:val="008766BE"/>
    <w:pPr>
      <w:ind w:left="720"/>
      <w:contextualSpacing/>
    </w:pPr>
  </w:style>
  <w:style w:type="character" w:styleId="CommentReference">
    <w:name w:val="annotation reference"/>
    <w:basedOn w:val="DefaultParagraphFont"/>
    <w:uiPriority w:val="99"/>
    <w:semiHidden/>
    <w:unhideWhenUsed/>
    <w:rsid w:val="00186B97"/>
    <w:rPr>
      <w:sz w:val="16"/>
      <w:szCs w:val="16"/>
    </w:rPr>
  </w:style>
  <w:style w:type="paragraph" w:styleId="CommentText">
    <w:name w:val="annotation text"/>
    <w:basedOn w:val="Normal"/>
    <w:link w:val="CommentTextChar"/>
    <w:uiPriority w:val="99"/>
    <w:semiHidden/>
    <w:unhideWhenUsed/>
    <w:rsid w:val="00186B97"/>
    <w:pPr>
      <w:spacing w:line="240" w:lineRule="auto"/>
    </w:pPr>
  </w:style>
  <w:style w:type="character" w:customStyle="1" w:styleId="CommentTextChar">
    <w:name w:val="Comment Text Char"/>
    <w:basedOn w:val="DefaultParagraphFont"/>
    <w:link w:val="CommentText"/>
    <w:uiPriority w:val="99"/>
    <w:semiHidden/>
    <w:rsid w:val="00186B97"/>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86B97"/>
    <w:rPr>
      <w:b/>
      <w:bCs/>
    </w:rPr>
  </w:style>
  <w:style w:type="character" w:customStyle="1" w:styleId="CommentSubjectChar">
    <w:name w:val="Comment Subject Char"/>
    <w:basedOn w:val="CommentTextChar"/>
    <w:link w:val="CommentSubject"/>
    <w:uiPriority w:val="99"/>
    <w:semiHidden/>
    <w:rsid w:val="00186B97"/>
    <w:rPr>
      <w:rFonts w:ascii="Times New Roman" w:eastAsia="Times New Roman" w:hAnsi="Times New Roman"/>
      <w:b/>
      <w:bCs/>
      <w:sz w:val="20"/>
      <w:szCs w:val="20"/>
      <w:lang w:val="en-GB" w:eastAsia="en-US"/>
    </w:rPr>
  </w:style>
  <w:style w:type="character" w:styleId="Hyperlink">
    <w:name w:val="Hyperlink"/>
    <w:basedOn w:val="DefaultParagraphFont"/>
    <w:uiPriority w:val="99"/>
    <w:unhideWhenUsed/>
    <w:rsid w:val="003A7654"/>
    <w:rPr>
      <w:color w:val="0000FF" w:themeColor="hyperlink"/>
      <w:u w:val="single"/>
    </w:rPr>
  </w:style>
  <w:style w:type="paragraph" w:customStyle="1" w:styleId="Default">
    <w:name w:val="Default"/>
    <w:rsid w:val="00F03D6B"/>
    <w:pPr>
      <w:autoSpaceDE w:val="0"/>
      <w:autoSpaceDN w:val="0"/>
      <w:adjustRightInd w:val="0"/>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84A5-EF44-4906-A653-874E6B0D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3672</Words>
  <Characters>20935</Characters>
  <Application>Microsoft Office Word</Application>
  <DocSecurity>0</DocSecurity>
  <Lines>174</Lines>
  <Paragraphs>49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Aphrodite Smagadi</dc:creator>
  <cp:lastModifiedBy>Fiona Marshall</cp:lastModifiedBy>
  <cp:revision>2</cp:revision>
  <cp:lastPrinted>2013-12-19T09:07:00Z</cp:lastPrinted>
  <dcterms:created xsi:type="dcterms:W3CDTF">2014-03-04T13:45:00Z</dcterms:created>
  <dcterms:modified xsi:type="dcterms:W3CDTF">2014-03-04T13:45:00Z</dcterms:modified>
</cp:coreProperties>
</file>