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038383" w14:textId="77777777" w:rsidR="00555B54" w:rsidRPr="00E74D4F" w:rsidRDefault="00665FE0">
      <w:pPr>
        <w:pStyle w:val="HChG"/>
        <w:rPr>
          <w:szCs w:val="28"/>
        </w:rPr>
      </w:pPr>
      <w:r w:rsidRPr="002B7883">
        <w:rPr>
          <w:szCs w:val="28"/>
        </w:rPr>
        <w:tab/>
      </w:r>
      <w:r w:rsidRPr="002B7883">
        <w:rPr>
          <w:szCs w:val="28"/>
        </w:rPr>
        <w:tab/>
      </w:r>
      <w:r w:rsidR="00555B54" w:rsidRPr="00E74D4F">
        <w:rPr>
          <w:szCs w:val="28"/>
        </w:rPr>
        <w:t>Draft f</w:t>
      </w:r>
      <w:r w:rsidR="00555B54" w:rsidRPr="00E74D4F">
        <w:rPr>
          <w:bCs/>
          <w:spacing w:val="-2"/>
          <w:szCs w:val="28"/>
        </w:rPr>
        <w:t>indings and recommendations with regard to communication</w:t>
      </w:r>
      <w:r w:rsidR="00555B54" w:rsidRPr="00E74D4F">
        <w:rPr>
          <w:bCs/>
          <w:szCs w:val="28"/>
        </w:rPr>
        <w:t xml:space="preserve"> ACCC/C/2012/76 concerning compliance by Bulgaria</w:t>
      </w:r>
    </w:p>
    <w:p w14:paraId="39D92084" w14:textId="77777777" w:rsidR="00555B54" w:rsidRPr="00E74D4F" w:rsidRDefault="00555B54">
      <w:pPr>
        <w:pStyle w:val="H1G"/>
        <w:rPr>
          <w:szCs w:val="24"/>
        </w:rPr>
      </w:pPr>
      <w:r w:rsidRPr="00E74D4F">
        <w:rPr>
          <w:sz w:val="28"/>
          <w:szCs w:val="28"/>
        </w:rPr>
        <w:tab/>
      </w:r>
      <w:r w:rsidRPr="00E74D4F">
        <w:rPr>
          <w:sz w:val="28"/>
          <w:szCs w:val="28"/>
        </w:rPr>
        <w:tab/>
      </w:r>
      <w:r w:rsidRPr="00E74D4F">
        <w:rPr>
          <w:szCs w:val="24"/>
        </w:rPr>
        <w:t>Adopted by the Compliance Committee on …</w:t>
      </w:r>
    </w:p>
    <w:p w14:paraId="59C13F65" w14:textId="77777777" w:rsidR="00555B54" w:rsidRPr="00E74D4F" w:rsidRDefault="00555B54" w:rsidP="008E5AFF">
      <w:pPr>
        <w:pStyle w:val="HChG"/>
        <w:numPr>
          <w:ilvl w:val="0"/>
          <w:numId w:val="4"/>
        </w:numPr>
        <w:rPr>
          <w:szCs w:val="28"/>
        </w:rPr>
      </w:pPr>
      <w:r w:rsidRPr="00E74D4F">
        <w:rPr>
          <w:szCs w:val="28"/>
        </w:rPr>
        <w:t>Introduction</w:t>
      </w:r>
    </w:p>
    <w:p w14:paraId="65A9DE8E" w14:textId="53EA63A5" w:rsidR="00555B54" w:rsidRPr="00E74D4F" w:rsidRDefault="008F2BCE" w:rsidP="008F2BCE">
      <w:pPr>
        <w:pStyle w:val="SingleTxtG"/>
        <w:ind w:left="1100"/>
      </w:pPr>
      <w:r w:rsidRPr="00E74D4F">
        <w:t xml:space="preserve">1. </w:t>
      </w:r>
      <w:r w:rsidR="00555B54" w:rsidRPr="00E74D4F">
        <w:t xml:space="preserve">On 25 July 2012, the Bulgarian non-governmental organization (NGO) </w:t>
      </w:r>
      <w:proofErr w:type="spellStart"/>
      <w:r w:rsidR="00555B54" w:rsidRPr="00E74D4F">
        <w:t>Balkani</w:t>
      </w:r>
      <w:proofErr w:type="spellEnd"/>
      <w:r w:rsidR="00555B54" w:rsidRPr="00E74D4F">
        <w:t xml:space="preserve"> Wildlife Society (the communicant) submitted a communication to the Compliance Committee under the Convention on Access to Information</w:t>
      </w:r>
      <w:r w:rsidR="0050171C" w:rsidRPr="00E74D4F">
        <w:t>,</w:t>
      </w:r>
      <w:r w:rsidR="00555B54" w:rsidRPr="00E74D4F">
        <w:t xml:space="preserve"> Public Participation in Decision-making and Access to Justice in Environmental Matters (Aarhus Convention) alleging a </w:t>
      </w:r>
      <w:r w:rsidR="006E177A" w:rsidRPr="00E74D4F">
        <w:t>systemic</w:t>
      </w:r>
      <w:r w:rsidR="00555B54" w:rsidRPr="00E74D4F">
        <w:t xml:space="preserve"> failure of Bulgaria to comply with article 9, paragraph 4, of the Convention.</w:t>
      </w:r>
    </w:p>
    <w:p w14:paraId="3B2C9550" w14:textId="6476FB16" w:rsidR="00E74D4F" w:rsidRPr="00E74D4F" w:rsidRDefault="008F2BCE" w:rsidP="008F2BCE">
      <w:pPr>
        <w:pStyle w:val="SingleTxtG"/>
        <w:ind w:left="1100"/>
      </w:pPr>
      <w:r w:rsidRPr="00E74D4F">
        <w:t xml:space="preserve">2. </w:t>
      </w:r>
      <w:r w:rsidR="00555B54" w:rsidRPr="00E74D4F">
        <w:t xml:space="preserve">Specifically, the communication alleges that the Party concerned fails to </w:t>
      </w:r>
      <w:r w:rsidR="008028C8" w:rsidRPr="00E74D4F">
        <w:t>comply with</w:t>
      </w:r>
      <w:r w:rsidR="003623AB" w:rsidRPr="00E74D4F">
        <w:t xml:space="preserve"> </w:t>
      </w:r>
      <w:r w:rsidR="00555B54" w:rsidRPr="00E74D4F">
        <w:t xml:space="preserve">article 9, paragraph 4, of the Convention, because </w:t>
      </w:r>
      <w:r w:rsidR="003623AB" w:rsidRPr="00E74D4F">
        <w:t xml:space="preserve">it fails </w:t>
      </w:r>
      <w:r w:rsidR="00B27423" w:rsidRPr="00E74D4F">
        <w:t xml:space="preserve">to </w:t>
      </w:r>
      <w:r w:rsidR="008028C8" w:rsidRPr="00E74D4F">
        <w:t>meet</w:t>
      </w:r>
      <w:r w:rsidR="00B27423" w:rsidRPr="00E74D4F">
        <w:t xml:space="preserve"> the Convention’s requirements regarding injunctive relief </w:t>
      </w:r>
      <w:r w:rsidR="003623AB" w:rsidRPr="00E74D4F">
        <w:t xml:space="preserve">with respect to </w:t>
      </w:r>
      <w:r w:rsidR="00B27423" w:rsidRPr="00E74D4F">
        <w:t xml:space="preserve">challenges to </w:t>
      </w:r>
      <w:r w:rsidR="003623AB" w:rsidRPr="00E74D4F">
        <w:t>environmental permits</w:t>
      </w:r>
      <w:r w:rsidR="003623AB" w:rsidRPr="00E74D4F">
        <w:rPr>
          <w:rStyle w:val="FootnoteReference"/>
        </w:rPr>
        <w:footnoteReference w:id="2"/>
      </w:r>
      <w:r w:rsidR="003623AB" w:rsidRPr="00E74D4F">
        <w:t xml:space="preserve"> issued </w:t>
      </w:r>
      <w:proofErr w:type="gramStart"/>
      <w:r w:rsidR="003623AB" w:rsidRPr="00E74D4F">
        <w:t xml:space="preserve">under  </w:t>
      </w:r>
      <w:r w:rsidR="00555B54" w:rsidRPr="00E74D4F">
        <w:t>European</w:t>
      </w:r>
      <w:proofErr w:type="gramEnd"/>
      <w:r w:rsidR="00555B54" w:rsidRPr="00E74D4F">
        <w:t xml:space="preserve"> Union (EU) Directives on environmental impact assessment (EIA),</w:t>
      </w:r>
      <w:r w:rsidR="00583E93" w:rsidRPr="00E74D4F">
        <w:rPr>
          <w:rStyle w:val="FootnoteReference"/>
        </w:rPr>
        <w:footnoteReference w:id="3"/>
      </w:r>
      <w:r w:rsidR="00555B54" w:rsidRPr="00E74D4F">
        <w:t xml:space="preserve"> on strategic environmental assessment (SEA)</w:t>
      </w:r>
      <w:r w:rsidR="00583E93" w:rsidRPr="00E74D4F">
        <w:rPr>
          <w:rStyle w:val="FootnoteReference"/>
        </w:rPr>
        <w:footnoteReference w:id="4"/>
      </w:r>
      <w:r w:rsidR="00555B54" w:rsidRPr="00E74D4F">
        <w:t xml:space="preserve"> and on conservation of natural habitats (Habitats).</w:t>
      </w:r>
      <w:r w:rsidR="00E74D4F" w:rsidRPr="00E74D4F">
        <w:rPr>
          <w:rStyle w:val="FootnoteReference"/>
        </w:rPr>
        <w:footnoteReference w:id="5"/>
      </w:r>
    </w:p>
    <w:p w14:paraId="67211613" w14:textId="5B679F56" w:rsidR="00555B54" w:rsidRPr="00E74D4F" w:rsidRDefault="008F2BCE" w:rsidP="008F2BCE">
      <w:pPr>
        <w:pStyle w:val="SingleTxtG"/>
        <w:ind w:left="1100"/>
      </w:pPr>
      <w:r w:rsidRPr="00E74D4F">
        <w:t xml:space="preserve">3. </w:t>
      </w:r>
      <w:r w:rsidR="00555B54" w:rsidRPr="00E74D4F">
        <w:t>At its thirty-eighth meeting (25-28 September 2012), the Committee determined on a preliminary basis that the communication was admissible.</w:t>
      </w:r>
    </w:p>
    <w:p w14:paraId="7B58C69E" w14:textId="31589EF4" w:rsidR="00555B54" w:rsidRPr="00E74D4F" w:rsidRDefault="008F2BCE" w:rsidP="008F2BCE">
      <w:pPr>
        <w:pStyle w:val="SingleTxtG"/>
        <w:ind w:left="1100"/>
      </w:pPr>
      <w:r w:rsidRPr="00E74D4F">
        <w:t xml:space="preserve">4. </w:t>
      </w:r>
      <w:r w:rsidR="00555B54" w:rsidRPr="00E74D4F">
        <w:t xml:space="preserve">Pursuant to paragraph 22 of the annex to decision </w:t>
      </w:r>
      <w:proofErr w:type="gramStart"/>
      <w:r w:rsidR="00555B54" w:rsidRPr="00E74D4F">
        <w:t>I/7</w:t>
      </w:r>
      <w:proofErr w:type="gramEnd"/>
      <w:r w:rsidR="00555B54" w:rsidRPr="00E74D4F">
        <w:t xml:space="preserve"> of the Meeting of the Parties to the Convention, the communication was forwarded to the Party concerned on 30 October 2012.</w:t>
      </w:r>
    </w:p>
    <w:p w14:paraId="17C894EF" w14:textId="2FD6C205" w:rsidR="00FC6FDE" w:rsidRPr="00E74D4F" w:rsidRDefault="008F2BCE" w:rsidP="008F2BCE">
      <w:pPr>
        <w:pStyle w:val="SingleTxtG"/>
        <w:ind w:left="1100"/>
      </w:pPr>
      <w:r w:rsidRPr="00E74D4F">
        <w:t xml:space="preserve">5. </w:t>
      </w:r>
      <w:r w:rsidR="00555B54" w:rsidRPr="00E74D4F">
        <w:t>The Party concerned responded to the allegations on 22 May 2013.</w:t>
      </w:r>
    </w:p>
    <w:p w14:paraId="05066048" w14:textId="5CDE0950" w:rsidR="00555B54" w:rsidRPr="00E74D4F" w:rsidRDefault="008F2BCE" w:rsidP="008F2BCE">
      <w:pPr>
        <w:pStyle w:val="SingleTxtG"/>
        <w:ind w:left="1100"/>
      </w:pPr>
      <w:r w:rsidRPr="00E74D4F">
        <w:t xml:space="preserve">6. </w:t>
      </w:r>
      <w:r w:rsidR="00555B54" w:rsidRPr="00E74D4F">
        <w:t>At its fortieth meeting (25-28 March 2013), the Committee agreed to discuss the content of the communication at its forty-first meeting (25-28 June 2013).</w:t>
      </w:r>
    </w:p>
    <w:p w14:paraId="60A85A42" w14:textId="4D18378D" w:rsidR="00555B54" w:rsidRPr="00E74D4F" w:rsidRDefault="008F2BCE" w:rsidP="008F2BCE">
      <w:pPr>
        <w:pStyle w:val="SingleTxtG"/>
        <w:ind w:left="1100"/>
      </w:pPr>
      <w:r w:rsidRPr="00E74D4F">
        <w:t xml:space="preserve">7. </w:t>
      </w:r>
      <w:r w:rsidR="00555B54" w:rsidRPr="00E74D4F">
        <w:t>The Committee discussed the communication at its forty-first meeting, with the participation of representatives of the communicant. The Committee confirmed the admissibility of the communication and expressed its concern that the Party concerned had chosen not to participate in the discussion of the communication. At the same meeting, the Committee agreed on a set of questions to be sent to the parties.</w:t>
      </w:r>
    </w:p>
    <w:p w14:paraId="359B8758" w14:textId="7233A1E6" w:rsidR="00555B54" w:rsidRPr="00E74D4F" w:rsidRDefault="008F2BCE" w:rsidP="008F2BCE">
      <w:pPr>
        <w:pStyle w:val="SingleTxtG"/>
        <w:ind w:left="1100"/>
      </w:pPr>
      <w:r w:rsidRPr="00E74D4F">
        <w:lastRenderedPageBreak/>
        <w:t xml:space="preserve">8. </w:t>
      </w:r>
      <w:r w:rsidR="00555B54" w:rsidRPr="00E74D4F">
        <w:t>The communicant and the Party concerned submitted their response</w:t>
      </w:r>
      <w:r w:rsidR="00460AE1" w:rsidRPr="00E74D4F">
        <w:t>s</w:t>
      </w:r>
      <w:r w:rsidR="00555B54" w:rsidRPr="00E74D4F">
        <w:t xml:space="preserve"> on 21 and 22 August 2013, respectively.</w:t>
      </w:r>
    </w:p>
    <w:p w14:paraId="2AA40DFE" w14:textId="163331F3" w:rsidR="00555B54" w:rsidRPr="00E74D4F" w:rsidRDefault="008F2BCE" w:rsidP="008F2BCE">
      <w:pPr>
        <w:pStyle w:val="SingleTxtG"/>
        <w:ind w:left="1100"/>
      </w:pPr>
      <w:r w:rsidRPr="00E74D4F">
        <w:t xml:space="preserve">9. </w:t>
      </w:r>
      <w:r w:rsidR="00555B54" w:rsidRPr="00E74D4F">
        <w:t xml:space="preserve">The Committee prepared draft findings at its </w:t>
      </w:r>
      <w:r w:rsidR="0078140A" w:rsidRPr="00E74D4F">
        <w:t>forty-first to forty-</w:t>
      </w:r>
      <w:r w:rsidR="0050171C" w:rsidRPr="00E74D4F">
        <w:t xml:space="preserve">ninth </w:t>
      </w:r>
      <w:r w:rsidR="00555B54" w:rsidRPr="00E74D4F">
        <w:t>meeting</w:t>
      </w:r>
      <w:r w:rsidR="006E177A" w:rsidRPr="00E74D4F">
        <w:t>s</w:t>
      </w:r>
      <w:r w:rsidR="0078140A" w:rsidRPr="00E74D4F">
        <w:t xml:space="preserve"> inclusive</w:t>
      </w:r>
      <w:r w:rsidR="00555B54" w:rsidRPr="00E74D4F">
        <w:t xml:space="preserve">, completing the draft through its electronic decision-making procedure. In accordance with paragraph 34 of the annex to decision </w:t>
      </w:r>
      <w:proofErr w:type="gramStart"/>
      <w:r w:rsidR="00555B54" w:rsidRPr="00E74D4F">
        <w:t>I/7</w:t>
      </w:r>
      <w:proofErr w:type="gramEnd"/>
      <w:r w:rsidR="00555B54" w:rsidRPr="00E74D4F">
        <w:t>, the draft findings were then forwarded for comments to the Party concerned and the communicant on […]. Both were invited to provide comments by […].</w:t>
      </w:r>
    </w:p>
    <w:p w14:paraId="72B986A3" w14:textId="6A737685" w:rsidR="00555B54" w:rsidRPr="00E74D4F" w:rsidRDefault="008F2BCE" w:rsidP="008F2BCE">
      <w:pPr>
        <w:pStyle w:val="SingleTxtG"/>
        <w:ind w:left="1100"/>
      </w:pPr>
      <w:r w:rsidRPr="00E74D4F">
        <w:t xml:space="preserve">10. </w:t>
      </w:r>
      <w:r w:rsidR="00555B54" w:rsidRPr="00E74D4F">
        <w:t>The Party concerned and the communicant provided comments on … and …, respectively.</w:t>
      </w:r>
    </w:p>
    <w:p w14:paraId="526F125A" w14:textId="6A96BE35" w:rsidR="00555B54" w:rsidRPr="00E74D4F" w:rsidRDefault="008F2BCE" w:rsidP="008F2BCE">
      <w:pPr>
        <w:pStyle w:val="SingleTxtG"/>
        <w:ind w:left="1100"/>
      </w:pPr>
      <w:r w:rsidRPr="00E74D4F">
        <w:t xml:space="preserve">11. </w:t>
      </w:r>
      <w:r w:rsidR="00555B54" w:rsidRPr="00E74D4F">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0A1FD958" w14:textId="77777777" w:rsidR="00555B54" w:rsidRPr="00E74D4F" w:rsidRDefault="00555B54">
      <w:pPr>
        <w:pStyle w:val="HChG"/>
        <w:numPr>
          <w:ilvl w:val="0"/>
          <w:numId w:val="4"/>
        </w:numPr>
        <w:rPr>
          <w:szCs w:val="28"/>
        </w:rPr>
      </w:pPr>
      <w:r w:rsidRPr="00E74D4F">
        <w:rPr>
          <w:szCs w:val="28"/>
        </w:rPr>
        <w:t>Summary of facts, evidence and issues</w:t>
      </w:r>
      <w:r w:rsidRPr="00E74D4F">
        <w:rPr>
          <w:rStyle w:val="FootnoteReference"/>
          <w:szCs w:val="28"/>
        </w:rPr>
        <w:footnoteReference w:id="6"/>
      </w:r>
    </w:p>
    <w:p w14:paraId="02E1C5DC" w14:textId="77777777" w:rsidR="00555B54" w:rsidRPr="00E74D4F" w:rsidRDefault="00F024D0" w:rsidP="00F024D0">
      <w:pPr>
        <w:pStyle w:val="H1G"/>
        <w:numPr>
          <w:ilvl w:val="0"/>
          <w:numId w:val="11"/>
        </w:numPr>
        <w:rPr>
          <w:rStyle w:val="st"/>
          <w:szCs w:val="24"/>
        </w:rPr>
      </w:pPr>
      <w:r w:rsidRPr="00E74D4F">
        <w:rPr>
          <w:kern w:val="0"/>
          <w:szCs w:val="24"/>
          <w:lang w:eastAsia="en-US"/>
        </w:rPr>
        <w:t xml:space="preserve">  </w:t>
      </w:r>
      <w:r w:rsidR="00555B54" w:rsidRPr="00E74D4F">
        <w:rPr>
          <w:kern w:val="0"/>
          <w:szCs w:val="24"/>
          <w:lang w:eastAsia="en-US"/>
        </w:rPr>
        <w:t>Legal</w:t>
      </w:r>
      <w:r w:rsidR="00555B54" w:rsidRPr="00E74D4F">
        <w:rPr>
          <w:szCs w:val="24"/>
        </w:rPr>
        <w:t xml:space="preserve"> framework</w:t>
      </w:r>
    </w:p>
    <w:p w14:paraId="704022D1" w14:textId="340BD4B1" w:rsidR="004A6CEF" w:rsidRPr="00E74D4F" w:rsidRDefault="008F2BCE" w:rsidP="008F2BCE">
      <w:pPr>
        <w:pStyle w:val="SingleTxtG"/>
        <w:ind w:left="1100"/>
        <w:rPr>
          <w:rStyle w:val="st"/>
        </w:rPr>
      </w:pPr>
      <w:r w:rsidRPr="00E74D4F">
        <w:rPr>
          <w:rStyle w:val="st"/>
        </w:rPr>
        <w:t xml:space="preserve">12. </w:t>
      </w:r>
      <w:r w:rsidR="00555B54" w:rsidRPr="00E74D4F">
        <w:rPr>
          <w:rStyle w:val="st"/>
        </w:rPr>
        <w:t>A</w:t>
      </w:r>
      <w:r w:rsidR="0078140A" w:rsidRPr="00E74D4F">
        <w:rPr>
          <w:rStyle w:val="st"/>
        </w:rPr>
        <w:t xml:space="preserve">ccording to the </w:t>
      </w:r>
      <w:r w:rsidR="0056380D" w:rsidRPr="00E74D4F">
        <w:rPr>
          <w:rStyle w:val="st"/>
        </w:rPr>
        <w:t>Bulgarian</w:t>
      </w:r>
      <w:r w:rsidR="0078140A" w:rsidRPr="00E74D4F">
        <w:rPr>
          <w:rStyle w:val="st"/>
        </w:rPr>
        <w:t xml:space="preserve"> Environmental Protection and Biodiversity Act, a</w:t>
      </w:r>
      <w:r w:rsidR="00555B54" w:rsidRPr="00E74D4F">
        <w:rPr>
          <w:rStyle w:val="st"/>
        </w:rPr>
        <w:t>ll projects and plans falling with</w:t>
      </w:r>
      <w:r w:rsidR="003623AB" w:rsidRPr="00E74D4F">
        <w:rPr>
          <w:rStyle w:val="st"/>
        </w:rPr>
        <w:t>in</w:t>
      </w:r>
      <w:r w:rsidR="00555B54" w:rsidRPr="00E74D4F">
        <w:rPr>
          <w:rStyle w:val="st"/>
        </w:rPr>
        <w:t xml:space="preserve"> the scope of </w:t>
      </w:r>
      <w:r w:rsidR="00673327" w:rsidRPr="00E74D4F">
        <w:rPr>
          <w:rStyle w:val="st"/>
        </w:rPr>
        <w:t>the</w:t>
      </w:r>
      <w:r w:rsidR="00555B54" w:rsidRPr="00E74D4F">
        <w:rPr>
          <w:rStyle w:val="st"/>
        </w:rPr>
        <w:t xml:space="preserve"> EIA Directive, SEA Directive and </w:t>
      </w:r>
      <w:r w:rsidR="0078140A" w:rsidRPr="00E74D4F">
        <w:rPr>
          <w:rStyle w:val="st"/>
        </w:rPr>
        <w:t xml:space="preserve">article 6(3) of the </w:t>
      </w:r>
      <w:r w:rsidR="00555B54" w:rsidRPr="00E74D4F">
        <w:rPr>
          <w:rStyle w:val="st"/>
        </w:rPr>
        <w:t xml:space="preserve">Habitats Directive </w:t>
      </w:r>
      <w:r w:rsidR="002A7844" w:rsidRPr="00E74D4F">
        <w:rPr>
          <w:rStyle w:val="st"/>
        </w:rPr>
        <w:t xml:space="preserve">require an </w:t>
      </w:r>
      <w:r w:rsidR="00555B54" w:rsidRPr="00E74D4F">
        <w:rPr>
          <w:rStyle w:val="st"/>
        </w:rPr>
        <w:t xml:space="preserve">authorisation from </w:t>
      </w:r>
      <w:r w:rsidR="002A7844" w:rsidRPr="00E74D4F">
        <w:rPr>
          <w:rStyle w:val="st"/>
        </w:rPr>
        <w:t xml:space="preserve">the Party’s </w:t>
      </w:r>
      <w:r w:rsidR="00555B54" w:rsidRPr="00E74D4F">
        <w:rPr>
          <w:rStyle w:val="st"/>
        </w:rPr>
        <w:t>environmental authorities (</w:t>
      </w:r>
      <w:r w:rsidR="002A7844" w:rsidRPr="00E74D4F">
        <w:rPr>
          <w:rStyle w:val="st"/>
        </w:rPr>
        <w:t xml:space="preserve">the </w:t>
      </w:r>
      <w:r w:rsidR="00555B54" w:rsidRPr="00E74D4F">
        <w:rPr>
          <w:rStyle w:val="st"/>
        </w:rPr>
        <w:t xml:space="preserve">Ministry of Environment and its regional branches). </w:t>
      </w:r>
      <w:r w:rsidR="002A7844" w:rsidRPr="00E74D4F">
        <w:rPr>
          <w:rStyle w:val="st"/>
        </w:rPr>
        <w:t xml:space="preserve">Such </w:t>
      </w:r>
      <w:r w:rsidR="00555B54" w:rsidRPr="00E74D4F">
        <w:rPr>
          <w:rStyle w:val="st"/>
        </w:rPr>
        <w:t xml:space="preserve">authorisations </w:t>
      </w:r>
      <w:r w:rsidR="002A7844" w:rsidRPr="00E74D4F">
        <w:rPr>
          <w:rStyle w:val="st"/>
        </w:rPr>
        <w:t xml:space="preserve">are known </w:t>
      </w:r>
      <w:r w:rsidR="00564DEC" w:rsidRPr="00E74D4F">
        <w:rPr>
          <w:rStyle w:val="st"/>
        </w:rPr>
        <w:t xml:space="preserve">respectively </w:t>
      </w:r>
      <w:r w:rsidR="002A7844" w:rsidRPr="00E74D4F">
        <w:rPr>
          <w:rStyle w:val="st"/>
        </w:rPr>
        <w:t>as</w:t>
      </w:r>
      <w:r w:rsidR="00555B54" w:rsidRPr="00E74D4F">
        <w:rPr>
          <w:rStyle w:val="st"/>
        </w:rPr>
        <w:t xml:space="preserve"> EIA</w:t>
      </w:r>
      <w:r w:rsidR="001C2EE2" w:rsidRPr="00E74D4F">
        <w:rPr>
          <w:rStyle w:val="st"/>
        </w:rPr>
        <w:t xml:space="preserve"> decisions, </w:t>
      </w:r>
      <w:r w:rsidR="00555B54" w:rsidRPr="00E74D4F">
        <w:rPr>
          <w:rStyle w:val="st"/>
        </w:rPr>
        <w:t>SEA decisions</w:t>
      </w:r>
      <w:r w:rsidR="001C2EE2" w:rsidRPr="00E74D4F">
        <w:rPr>
          <w:rStyle w:val="st"/>
        </w:rPr>
        <w:t xml:space="preserve"> and decisions</w:t>
      </w:r>
      <w:r w:rsidR="004A6CEF" w:rsidRPr="00E74D4F">
        <w:rPr>
          <w:rStyle w:val="st"/>
        </w:rPr>
        <w:t xml:space="preserve"> on Assessment of Compatibility with the Special Protected Zones of </w:t>
      </w:r>
      <w:proofErr w:type="spellStart"/>
      <w:r w:rsidR="004A6CEF" w:rsidRPr="00E74D4F">
        <w:rPr>
          <w:rStyle w:val="st"/>
        </w:rPr>
        <w:t>Natura</w:t>
      </w:r>
      <w:proofErr w:type="spellEnd"/>
      <w:r w:rsidR="004A6CEF" w:rsidRPr="00E74D4F">
        <w:rPr>
          <w:rStyle w:val="st"/>
        </w:rPr>
        <w:t xml:space="preserve"> 2000</w:t>
      </w:r>
      <w:r w:rsidR="00360416" w:rsidRPr="00E74D4F">
        <w:rPr>
          <w:rStyle w:val="st"/>
        </w:rPr>
        <w:t>.</w:t>
      </w:r>
      <w:r w:rsidR="00555B54" w:rsidRPr="00E74D4F">
        <w:rPr>
          <w:rStyle w:val="FootnoteReference"/>
        </w:rPr>
        <w:footnoteReference w:id="7"/>
      </w:r>
      <w:r w:rsidR="004A6CEF" w:rsidRPr="00E74D4F">
        <w:rPr>
          <w:rStyle w:val="st"/>
        </w:rPr>
        <w:t xml:space="preserve"> For simplicity, all three decisions will henceforth be referred to in these findings as “EIA/SEA decisions”.</w:t>
      </w:r>
      <w:r w:rsidR="001C2EE2" w:rsidRPr="00E74D4F">
        <w:rPr>
          <w:rStyle w:val="st"/>
        </w:rPr>
        <w:t xml:space="preserve"> </w:t>
      </w:r>
      <w:r w:rsidR="004A6CEF" w:rsidRPr="00E74D4F">
        <w:rPr>
          <w:rStyle w:val="st"/>
        </w:rPr>
        <w:t xml:space="preserve"> </w:t>
      </w:r>
    </w:p>
    <w:p w14:paraId="308492D0" w14:textId="44EB512F" w:rsidR="004525D5" w:rsidRPr="00E74D4F" w:rsidRDefault="008F2BCE" w:rsidP="008F2BCE">
      <w:pPr>
        <w:pStyle w:val="SingleTxtG"/>
        <w:ind w:left="1100"/>
        <w:rPr>
          <w:rStyle w:val="st"/>
        </w:rPr>
      </w:pPr>
      <w:r w:rsidRPr="00E74D4F">
        <w:rPr>
          <w:rStyle w:val="st"/>
        </w:rPr>
        <w:t xml:space="preserve">13. </w:t>
      </w:r>
      <w:r w:rsidR="00555B54" w:rsidRPr="00E74D4F">
        <w:rPr>
          <w:rStyle w:val="st"/>
        </w:rPr>
        <w:t xml:space="preserve">EIA/SEA decisions constitute individual administrative acts </w:t>
      </w:r>
      <w:r w:rsidR="002A7844" w:rsidRPr="00E74D4F">
        <w:rPr>
          <w:rStyle w:val="st"/>
        </w:rPr>
        <w:t xml:space="preserve">and </w:t>
      </w:r>
      <w:r w:rsidR="004525D5" w:rsidRPr="00E74D4F">
        <w:rPr>
          <w:rStyle w:val="st"/>
        </w:rPr>
        <w:t>may be</w:t>
      </w:r>
      <w:r w:rsidR="002A7844" w:rsidRPr="00E74D4F">
        <w:rPr>
          <w:rStyle w:val="st"/>
        </w:rPr>
        <w:t xml:space="preserve"> </w:t>
      </w:r>
      <w:r w:rsidR="00555B54" w:rsidRPr="00E74D4F">
        <w:rPr>
          <w:rStyle w:val="st"/>
        </w:rPr>
        <w:t>subject to administrative and judicial review</w:t>
      </w:r>
      <w:r w:rsidR="002A7844" w:rsidRPr="00E74D4F">
        <w:rPr>
          <w:rStyle w:val="st"/>
        </w:rPr>
        <w:t>.</w:t>
      </w:r>
      <w:r w:rsidR="00555B54" w:rsidRPr="00E74D4F">
        <w:rPr>
          <w:rStyle w:val="FootnoteReference"/>
        </w:rPr>
        <w:footnoteReference w:id="8"/>
      </w:r>
      <w:r w:rsidR="00555B54" w:rsidRPr="00E74D4F">
        <w:rPr>
          <w:rStyle w:val="st"/>
        </w:rPr>
        <w:t xml:space="preserve"> According to </w:t>
      </w:r>
      <w:r w:rsidR="00CA45EF" w:rsidRPr="00E74D4F">
        <w:rPr>
          <w:rStyle w:val="st"/>
        </w:rPr>
        <w:t xml:space="preserve">the </w:t>
      </w:r>
      <w:r w:rsidR="00555B54" w:rsidRPr="00E74D4F">
        <w:rPr>
          <w:rStyle w:val="st"/>
        </w:rPr>
        <w:t>Administrative Procedure Code (APC)</w:t>
      </w:r>
      <w:r w:rsidR="002A7844" w:rsidRPr="00E74D4F">
        <w:rPr>
          <w:rStyle w:val="st"/>
        </w:rPr>
        <w:t>,</w:t>
      </w:r>
      <w:r w:rsidR="00555B54" w:rsidRPr="00E74D4F">
        <w:rPr>
          <w:rStyle w:val="st"/>
        </w:rPr>
        <w:t xml:space="preserve"> </w:t>
      </w:r>
      <w:r w:rsidR="004525D5" w:rsidRPr="00E74D4F">
        <w:rPr>
          <w:rStyle w:val="st"/>
        </w:rPr>
        <w:t>administrative acts sh</w:t>
      </w:r>
      <w:r w:rsidR="0056380D" w:rsidRPr="00E74D4F">
        <w:rPr>
          <w:rStyle w:val="st"/>
        </w:rPr>
        <w:t xml:space="preserve">all </w:t>
      </w:r>
      <w:r w:rsidR="004525D5" w:rsidRPr="00E74D4F">
        <w:rPr>
          <w:rStyle w:val="st"/>
        </w:rPr>
        <w:t>not be executed prior to the expiration of the time limit for contesting them or where an appeal or a protest has been lodged, until resolution of that dispute by the relevant authority (APC, art. 90(1)).</w:t>
      </w:r>
      <w:r w:rsidR="004525D5" w:rsidRPr="00E74D4F">
        <w:rPr>
          <w:rStyle w:val="FootnoteReference"/>
        </w:rPr>
        <w:footnoteReference w:id="9"/>
      </w:r>
      <w:r w:rsidR="004525D5" w:rsidRPr="00E74D4F">
        <w:rPr>
          <w:rStyle w:val="st"/>
        </w:rPr>
        <w:t xml:space="preserve"> </w:t>
      </w:r>
    </w:p>
    <w:p w14:paraId="6901111F" w14:textId="450FE7FB" w:rsidR="00346AEC" w:rsidRPr="00E74D4F" w:rsidRDefault="008F2BCE" w:rsidP="008F2BCE">
      <w:pPr>
        <w:pStyle w:val="SingleTxtG"/>
        <w:ind w:left="1100"/>
        <w:rPr>
          <w:rStyle w:val="st"/>
        </w:rPr>
      </w:pPr>
      <w:r w:rsidRPr="00E74D4F">
        <w:rPr>
          <w:rStyle w:val="st"/>
        </w:rPr>
        <w:t xml:space="preserve">14. </w:t>
      </w:r>
      <w:r w:rsidR="004525D5" w:rsidRPr="00E74D4F">
        <w:rPr>
          <w:rStyle w:val="st"/>
        </w:rPr>
        <w:t xml:space="preserve">Under the APC, </w:t>
      </w:r>
      <w:r w:rsidR="00360416" w:rsidRPr="00E74D4F">
        <w:rPr>
          <w:rStyle w:val="st"/>
        </w:rPr>
        <w:t>a</w:t>
      </w:r>
      <w:r w:rsidR="00555B54" w:rsidRPr="00E74D4F">
        <w:rPr>
          <w:rStyle w:val="st"/>
        </w:rPr>
        <w:t xml:space="preserve">ny appeal or protest lodged in </w:t>
      </w:r>
      <w:r w:rsidR="00CA45EF" w:rsidRPr="00E74D4F">
        <w:rPr>
          <w:rStyle w:val="st"/>
        </w:rPr>
        <w:t xml:space="preserve">an </w:t>
      </w:r>
      <w:r w:rsidR="00555B54" w:rsidRPr="00E74D4F">
        <w:rPr>
          <w:rStyle w:val="st"/>
        </w:rPr>
        <w:t>administrative</w:t>
      </w:r>
      <w:r w:rsidR="002A7844" w:rsidRPr="00E74D4F">
        <w:rPr>
          <w:rStyle w:val="FootnoteReference"/>
        </w:rPr>
        <w:footnoteReference w:id="10"/>
      </w:r>
      <w:r w:rsidR="00555B54" w:rsidRPr="00E74D4F">
        <w:rPr>
          <w:rStyle w:val="st"/>
        </w:rPr>
        <w:t xml:space="preserve"> or a judicial</w:t>
      </w:r>
      <w:r w:rsidR="002A7844" w:rsidRPr="00E74D4F">
        <w:rPr>
          <w:rStyle w:val="FootnoteReference"/>
        </w:rPr>
        <w:footnoteReference w:id="11"/>
      </w:r>
      <w:r w:rsidR="00555B54" w:rsidRPr="00E74D4F">
        <w:rPr>
          <w:rStyle w:val="st"/>
        </w:rPr>
        <w:t xml:space="preserve"> procedure has immediate and automatic </w:t>
      </w:r>
      <w:proofErr w:type="spellStart"/>
      <w:r w:rsidR="00555B54" w:rsidRPr="00E74D4F">
        <w:rPr>
          <w:rStyle w:val="st"/>
        </w:rPr>
        <w:t>suspensive</w:t>
      </w:r>
      <w:proofErr w:type="spellEnd"/>
      <w:r w:rsidR="00555B54" w:rsidRPr="00E74D4F">
        <w:rPr>
          <w:rStyle w:val="st"/>
        </w:rPr>
        <w:t xml:space="preserve"> effect.</w:t>
      </w:r>
      <w:r w:rsidR="004525D5" w:rsidRPr="00E74D4F">
        <w:rPr>
          <w:rStyle w:val="st"/>
        </w:rPr>
        <w:t xml:space="preserve"> </w:t>
      </w:r>
      <w:r w:rsidR="00555B54" w:rsidRPr="00E74D4F">
        <w:rPr>
          <w:rStyle w:val="st"/>
        </w:rPr>
        <w:t xml:space="preserve">Authorities and courts may however discharge the </w:t>
      </w:r>
      <w:proofErr w:type="spellStart"/>
      <w:r w:rsidR="00555B54" w:rsidRPr="00E74D4F">
        <w:rPr>
          <w:rStyle w:val="st"/>
        </w:rPr>
        <w:t>suspensive</w:t>
      </w:r>
      <w:proofErr w:type="spellEnd"/>
      <w:r w:rsidR="00555B54" w:rsidRPr="00E74D4F">
        <w:rPr>
          <w:rStyle w:val="st"/>
        </w:rPr>
        <w:t xml:space="preserve"> effect of </w:t>
      </w:r>
      <w:r w:rsidR="00B803A8" w:rsidRPr="00E74D4F">
        <w:rPr>
          <w:rStyle w:val="st"/>
        </w:rPr>
        <w:t xml:space="preserve">an </w:t>
      </w:r>
      <w:r w:rsidR="00555B54" w:rsidRPr="00E74D4F">
        <w:rPr>
          <w:rStyle w:val="st"/>
        </w:rPr>
        <w:t>appeal by issuing an act (“</w:t>
      </w:r>
      <w:proofErr w:type="spellStart"/>
      <w:r w:rsidR="00555B54" w:rsidRPr="00E74D4F">
        <w:t>разпореждане</w:t>
      </w:r>
      <w:proofErr w:type="spellEnd"/>
      <w:r w:rsidR="00555B54" w:rsidRPr="00E74D4F">
        <w:t xml:space="preserve"> </w:t>
      </w:r>
      <w:proofErr w:type="spellStart"/>
      <w:r w:rsidR="00555B54" w:rsidRPr="00E74D4F">
        <w:t>за</w:t>
      </w:r>
      <w:proofErr w:type="spellEnd"/>
      <w:r w:rsidR="00555B54" w:rsidRPr="00E74D4F">
        <w:t xml:space="preserve"> </w:t>
      </w:r>
      <w:proofErr w:type="spellStart"/>
      <w:r w:rsidR="00555B54" w:rsidRPr="00E74D4F">
        <w:t>предварителното</w:t>
      </w:r>
      <w:proofErr w:type="spellEnd"/>
      <w:r w:rsidR="00555B54" w:rsidRPr="00E74D4F">
        <w:t xml:space="preserve"> </w:t>
      </w:r>
      <w:proofErr w:type="spellStart"/>
      <w:r w:rsidR="00555B54" w:rsidRPr="00E74D4F">
        <w:t>му</w:t>
      </w:r>
      <w:proofErr w:type="spellEnd"/>
      <w:r w:rsidR="00555B54" w:rsidRPr="00E74D4F">
        <w:t xml:space="preserve"> </w:t>
      </w:r>
      <w:proofErr w:type="spellStart"/>
      <w:r w:rsidR="00555B54" w:rsidRPr="00E74D4F">
        <w:t>изпълнение</w:t>
      </w:r>
      <w:proofErr w:type="spellEnd"/>
      <w:r w:rsidR="00B803A8" w:rsidRPr="00E74D4F">
        <w:rPr>
          <w:rStyle w:val="st"/>
        </w:rPr>
        <w:t>”</w:t>
      </w:r>
      <w:r w:rsidR="00555B54" w:rsidRPr="00E74D4F">
        <w:rPr>
          <w:rStyle w:val="st"/>
        </w:rPr>
        <w:t>)</w:t>
      </w:r>
      <w:r w:rsidR="00B803A8" w:rsidRPr="00E74D4F">
        <w:rPr>
          <w:rStyle w:val="st"/>
        </w:rPr>
        <w:t xml:space="preserve"> granting </w:t>
      </w:r>
      <w:r w:rsidR="00555B54" w:rsidRPr="00E74D4F">
        <w:rPr>
          <w:rStyle w:val="st"/>
        </w:rPr>
        <w:t>immediate enforceability to an administra</w:t>
      </w:r>
      <w:r w:rsidR="00FB0B94" w:rsidRPr="00E74D4F">
        <w:rPr>
          <w:rStyle w:val="st"/>
        </w:rPr>
        <w:t>tive act. This act</w:t>
      </w:r>
      <w:r w:rsidR="00B803A8" w:rsidRPr="00E74D4F">
        <w:rPr>
          <w:rStyle w:val="st"/>
        </w:rPr>
        <w:t xml:space="preserve"> is known as a</w:t>
      </w:r>
      <w:r w:rsidR="004535C9" w:rsidRPr="00E74D4F">
        <w:rPr>
          <w:rStyle w:val="st"/>
        </w:rPr>
        <w:t>n</w:t>
      </w:r>
      <w:r w:rsidR="00B803A8" w:rsidRPr="00E74D4F">
        <w:rPr>
          <w:rStyle w:val="st"/>
        </w:rPr>
        <w:t xml:space="preserve"> </w:t>
      </w:r>
      <w:r w:rsidR="004535C9" w:rsidRPr="00E74D4F">
        <w:rPr>
          <w:rStyle w:val="st"/>
        </w:rPr>
        <w:t>order for preliminary</w:t>
      </w:r>
      <w:r w:rsidR="00555B54" w:rsidRPr="00E74D4F">
        <w:rPr>
          <w:rStyle w:val="st"/>
        </w:rPr>
        <w:t xml:space="preserve"> enforcement</w:t>
      </w:r>
      <w:r w:rsidR="00D95944" w:rsidRPr="00E74D4F">
        <w:rPr>
          <w:rStyle w:val="st"/>
        </w:rPr>
        <w:t>.</w:t>
      </w:r>
      <w:r w:rsidR="0097647A" w:rsidRPr="00E74D4F">
        <w:rPr>
          <w:rStyle w:val="FootnoteReference"/>
        </w:rPr>
        <w:footnoteReference w:id="12"/>
      </w:r>
    </w:p>
    <w:p w14:paraId="68FAD11D" w14:textId="2ADA1ACE" w:rsidR="002F3F86" w:rsidRPr="00E74D4F" w:rsidRDefault="008F2BCE" w:rsidP="008F2BCE">
      <w:pPr>
        <w:pStyle w:val="SingleTxtG"/>
        <w:ind w:left="1100"/>
        <w:rPr>
          <w:rStyle w:val="st"/>
        </w:rPr>
      </w:pPr>
      <w:r w:rsidRPr="00E74D4F">
        <w:rPr>
          <w:rStyle w:val="st"/>
        </w:rPr>
        <w:lastRenderedPageBreak/>
        <w:t xml:space="preserve">15. </w:t>
      </w:r>
      <w:r w:rsidR="002F3F86" w:rsidRPr="00E74D4F">
        <w:rPr>
          <w:rStyle w:val="st"/>
        </w:rPr>
        <w:t xml:space="preserve">An order for preliminary enforcement may be issued with respect to various types of administrative acts, including </w:t>
      </w:r>
      <w:r w:rsidR="006E177A" w:rsidRPr="00E74D4F">
        <w:rPr>
          <w:rStyle w:val="st"/>
        </w:rPr>
        <w:t xml:space="preserve">inter alia </w:t>
      </w:r>
      <w:r w:rsidR="002F3F86" w:rsidRPr="00E74D4F">
        <w:rPr>
          <w:rStyle w:val="st"/>
        </w:rPr>
        <w:t xml:space="preserve">EIA/SEA decisions as well as decisions </w:t>
      </w:r>
      <w:r w:rsidR="00684BC2" w:rsidRPr="00E74D4F">
        <w:rPr>
          <w:rStyle w:val="st"/>
        </w:rPr>
        <w:t xml:space="preserve">ordering cessation of an illegal </w:t>
      </w:r>
      <w:r w:rsidR="002F3F86" w:rsidRPr="00E74D4F">
        <w:rPr>
          <w:rStyle w:val="st"/>
        </w:rPr>
        <w:t>activity.</w:t>
      </w:r>
      <w:r w:rsidR="00555B54" w:rsidRPr="00E74D4F">
        <w:rPr>
          <w:rStyle w:val="st"/>
        </w:rPr>
        <w:t xml:space="preserve"> </w:t>
      </w:r>
    </w:p>
    <w:p w14:paraId="7935333A" w14:textId="0E436493" w:rsidR="00555B54" w:rsidRPr="00E74D4F" w:rsidRDefault="008F2BCE" w:rsidP="008F2BCE">
      <w:pPr>
        <w:pStyle w:val="SingleTxtG"/>
        <w:ind w:left="1100"/>
        <w:rPr>
          <w:rStyle w:val="st"/>
        </w:rPr>
      </w:pPr>
      <w:r w:rsidRPr="00E74D4F">
        <w:rPr>
          <w:rStyle w:val="st"/>
        </w:rPr>
        <w:t xml:space="preserve">16. </w:t>
      </w:r>
      <w:r w:rsidR="00555B54" w:rsidRPr="00E74D4F">
        <w:rPr>
          <w:rStyle w:val="st"/>
        </w:rPr>
        <w:t xml:space="preserve">According to </w:t>
      </w:r>
      <w:r w:rsidR="00B803A8" w:rsidRPr="00E74D4F">
        <w:rPr>
          <w:rStyle w:val="st"/>
        </w:rPr>
        <w:t xml:space="preserve">APC </w:t>
      </w:r>
      <w:r w:rsidR="00555B54" w:rsidRPr="00E74D4F">
        <w:rPr>
          <w:rStyle w:val="st"/>
        </w:rPr>
        <w:t>art</w:t>
      </w:r>
      <w:r w:rsidR="00B803A8" w:rsidRPr="00E74D4F">
        <w:rPr>
          <w:rStyle w:val="st"/>
        </w:rPr>
        <w:t xml:space="preserve">icle </w:t>
      </w:r>
      <w:r w:rsidR="00555B54" w:rsidRPr="00E74D4F">
        <w:rPr>
          <w:rStyle w:val="st"/>
        </w:rPr>
        <w:t>60</w:t>
      </w:r>
      <w:r w:rsidR="00B803A8" w:rsidRPr="00E74D4F">
        <w:rPr>
          <w:rStyle w:val="st"/>
        </w:rPr>
        <w:t>(1),</w:t>
      </w:r>
      <w:r w:rsidR="00555B54" w:rsidRPr="00E74D4F">
        <w:rPr>
          <w:rStyle w:val="st"/>
        </w:rPr>
        <w:t xml:space="preserve"> </w:t>
      </w:r>
      <w:r w:rsidR="00B803A8" w:rsidRPr="00E74D4F">
        <w:rPr>
          <w:rStyle w:val="st"/>
        </w:rPr>
        <w:t>a</w:t>
      </w:r>
      <w:r w:rsidR="004535C9" w:rsidRPr="00E74D4F">
        <w:rPr>
          <w:rStyle w:val="st"/>
        </w:rPr>
        <w:t>n</w:t>
      </w:r>
      <w:r w:rsidR="00B803A8" w:rsidRPr="00E74D4F">
        <w:rPr>
          <w:rStyle w:val="st"/>
        </w:rPr>
        <w:t xml:space="preserve"> </w:t>
      </w:r>
      <w:r w:rsidR="004535C9" w:rsidRPr="00E74D4F">
        <w:rPr>
          <w:rStyle w:val="st"/>
        </w:rPr>
        <w:t>order for preliminary</w:t>
      </w:r>
      <w:r w:rsidR="00460AE1" w:rsidRPr="00E74D4F">
        <w:rPr>
          <w:rStyle w:val="st"/>
        </w:rPr>
        <w:t xml:space="preserve"> enforcement </w:t>
      </w:r>
      <w:r w:rsidR="00C21407" w:rsidRPr="00E74D4F">
        <w:rPr>
          <w:rStyle w:val="st"/>
        </w:rPr>
        <w:t xml:space="preserve">shall </w:t>
      </w:r>
      <w:r w:rsidR="00B803A8" w:rsidRPr="00E74D4F">
        <w:rPr>
          <w:rStyle w:val="st"/>
        </w:rPr>
        <w:t xml:space="preserve">be issued </w:t>
      </w:r>
      <w:r w:rsidR="00555B54" w:rsidRPr="00E74D4F">
        <w:rPr>
          <w:rStyle w:val="st"/>
        </w:rPr>
        <w:t>as long as one of the following conditions is met</w:t>
      </w:r>
      <w:r w:rsidR="001766EB" w:rsidRPr="00E74D4F">
        <w:rPr>
          <w:rStyle w:val="st"/>
        </w:rPr>
        <w:t xml:space="preserve">, namely that the </w:t>
      </w:r>
      <w:r w:rsidR="000051D2" w:rsidRPr="00E74D4F">
        <w:rPr>
          <w:rStyle w:val="st"/>
        </w:rPr>
        <w:t xml:space="preserve">preliminary enforcement </w:t>
      </w:r>
      <w:r w:rsidR="001766EB" w:rsidRPr="00E74D4F">
        <w:rPr>
          <w:rStyle w:val="st"/>
        </w:rPr>
        <w:t>is required</w:t>
      </w:r>
      <w:r w:rsidR="00555B54" w:rsidRPr="00E74D4F">
        <w:rPr>
          <w:rStyle w:val="st"/>
        </w:rPr>
        <w:t>:</w:t>
      </w:r>
    </w:p>
    <w:p w14:paraId="08FB3547" w14:textId="4A760D74" w:rsidR="00555B54" w:rsidRPr="00E74D4F" w:rsidRDefault="00555B54">
      <w:pPr>
        <w:pStyle w:val="SingleTxtG"/>
        <w:numPr>
          <w:ilvl w:val="1"/>
          <w:numId w:val="6"/>
        </w:numPr>
        <w:rPr>
          <w:rStyle w:val="st"/>
        </w:rPr>
      </w:pPr>
      <w:r w:rsidRPr="00E74D4F">
        <w:rPr>
          <w:rStyle w:val="st"/>
        </w:rPr>
        <w:t>To ensure life or health of individuals</w:t>
      </w:r>
      <w:r w:rsidR="00D95944" w:rsidRPr="00E74D4F">
        <w:rPr>
          <w:rStyle w:val="st"/>
        </w:rPr>
        <w:t>;</w:t>
      </w:r>
    </w:p>
    <w:p w14:paraId="2837AC5A" w14:textId="367D4C93" w:rsidR="00555B54" w:rsidRPr="00E74D4F" w:rsidRDefault="00555B54">
      <w:pPr>
        <w:pStyle w:val="SingleTxtG"/>
        <w:numPr>
          <w:ilvl w:val="1"/>
          <w:numId w:val="6"/>
        </w:numPr>
        <w:rPr>
          <w:rStyle w:val="st"/>
        </w:rPr>
      </w:pPr>
      <w:r w:rsidRPr="00E74D4F">
        <w:rPr>
          <w:rStyle w:val="st"/>
        </w:rPr>
        <w:t>To protect particular</w:t>
      </w:r>
      <w:r w:rsidR="00C21407" w:rsidRPr="00E74D4F">
        <w:rPr>
          <w:rStyle w:val="st"/>
        </w:rPr>
        <w:t>ly important</w:t>
      </w:r>
      <w:r w:rsidRPr="00E74D4F">
        <w:rPr>
          <w:rStyle w:val="st"/>
        </w:rPr>
        <w:t xml:space="preserve"> State or public interests</w:t>
      </w:r>
      <w:r w:rsidR="00B803A8" w:rsidRPr="00E74D4F">
        <w:rPr>
          <w:rStyle w:val="st"/>
        </w:rPr>
        <w:t>;</w:t>
      </w:r>
    </w:p>
    <w:p w14:paraId="7ADBBE13" w14:textId="2DEF01DE" w:rsidR="00555B54" w:rsidRPr="00E74D4F" w:rsidRDefault="00555B54">
      <w:pPr>
        <w:pStyle w:val="SingleTxtG"/>
        <w:numPr>
          <w:ilvl w:val="1"/>
          <w:numId w:val="6"/>
        </w:numPr>
        <w:rPr>
          <w:rStyle w:val="st"/>
        </w:rPr>
      </w:pPr>
      <w:r w:rsidRPr="00E74D4F">
        <w:rPr>
          <w:rStyle w:val="st"/>
        </w:rPr>
        <w:t>To prevent a risk of the frustration or material impediment of the enforcement of the act</w:t>
      </w:r>
      <w:r w:rsidR="00D95944" w:rsidRPr="00E74D4F">
        <w:rPr>
          <w:rStyle w:val="st"/>
        </w:rPr>
        <w:t>;</w:t>
      </w:r>
      <w:r w:rsidRPr="00E74D4F">
        <w:rPr>
          <w:rStyle w:val="st"/>
        </w:rPr>
        <w:t xml:space="preserve"> </w:t>
      </w:r>
    </w:p>
    <w:p w14:paraId="5B17E6BF" w14:textId="45277C9D" w:rsidR="00555B54" w:rsidRPr="00E74D4F" w:rsidRDefault="00555B54">
      <w:pPr>
        <w:pStyle w:val="SingleTxtG"/>
        <w:numPr>
          <w:ilvl w:val="1"/>
          <w:numId w:val="6"/>
        </w:numPr>
        <w:rPr>
          <w:rStyle w:val="st"/>
        </w:rPr>
      </w:pPr>
      <w:r w:rsidRPr="00E74D4F">
        <w:rPr>
          <w:rStyle w:val="st"/>
        </w:rPr>
        <w:t>Where delay in enforcement may lead to a significant or irreparable detriment</w:t>
      </w:r>
      <w:r w:rsidR="00D95944" w:rsidRPr="00E74D4F">
        <w:rPr>
          <w:rStyle w:val="st"/>
        </w:rPr>
        <w:t>;</w:t>
      </w:r>
      <w:r w:rsidRPr="00E74D4F">
        <w:rPr>
          <w:rStyle w:val="st"/>
        </w:rPr>
        <w:t xml:space="preserve"> or</w:t>
      </w:r>
    </w:p>
    <w:p w14:paraId="3EFC135D" w14:textId="16E45A25" w:rsidR="00555B54" w:rsidRPr="00E74D4F" w:rsidRDefault="00555B54">
      <w:pPr>
        <w:pStyle w:val="SingleTxtG"/>
        <w:numPr>
          <w:ilvl w:val="1"/>
          <w:numId w:val="6"/>
        </w:numPr>
      </w:pPr>
      <w:r w:rsidRPr="00E74D4F">
        <w:rPr>
          <w:rStyle w:val="st"/>
        </w:rPr>
        <w:t xml:space="preserve">At the request of some of the parties in protection of a particularly important interest thereof (in </w:t>
      </w:r>
      <w:r w:rsidR="00D95944" w:rsidRPr="00E74D4F">
        <w:rPr>
          <w:rStyle w:val="st"/>
        </w:rPr>
        <w:t xml:space="preserve">the </w:t>
      </w:r>
      <w:r w:rsidRPr="00E74D4F">
        <w:rPr>
          <w:rStyle w:val="st"/>
        </w:rPr>
        <w:t>latter case, the administrative authority shall require a relevant guarantee).</w:t>
      </w:r>
      <w:r w:rsidRPr="00E74D4F">
        <w:rPr>
          <w:rStyle w:val="FootnoteReference"/>
        </w:rPr>
        <w:footnoteReference w:id="13"/>
      </w:r>
    </w:p>
    <w:p w14:paraId="677FB8CA" w14:textId="5162FF61" w:rsidR="00555B54" w:rsidRPr="00E74D4F" w:rsidRDefault="008F2BCE" w:rsidP="00E74D4F">
      <w:pPr>
        <w:pStyle w:val="SingleTxtG"/>
        <w:ind w:left="1100"/>
        <w:rPr>
          <w:rStyle w:val="st"/>
        </w:rPr>
      </w:pPr>
      <w:r w:rsidRPr="00E74D4F">
        <w:rPr>
          <w:rStyle w:val="st"/>
        </w:rPr>
        <w:t xml:space="preserve">17. </w:t>
      </w:r>
      <w:r w:rsidR="00044D0D" w:rsidRPr="00E74D4F">
        <w:rPr>
          <w:rStyle w:val="st"/>
        </w:rPr>
        <w:t>A</w:t>
      </w:r>
      <w:r w:rsidR="004535C9" w:rsidRPr="00E74D4F">
        <w:rPr>
          <w:rStyle w:val="st"/>
        </w:rPr>
        <w:t>n</w:t>
      </w:r>
      <w:r w:rsidR="00044D0D" w:rsidRPr="00E74D4F">
        <w:rPr>
          <w:rStyle w:val="st"/>
        </w:rPr>
        <w:t xml:space="preserve"> </w:t>
      </w:r>
      <w:r w:rsidR="004535C9" w:rsidRPr="00E74D4F">
        <w:rPr>
          <w:rStyle w:val="st"/>
        </w:rPr>
        <w:t>order for preliminary</w:t>
      </w:r>
      <w:r w:rsidR="004535C9" w:rsidRPr="00E74D4F" w:rsidDel="004535C9">
        <w:rPr>
          <w:rStyle w:val="st"/>
        </w:rPr>
        <w:t xml:space="preserve"> </w:t>
      </w:r>
      <w:r w:rsidR="00044D0D" w:rsidRPr="00E74D4F">
        <w:rPr>
          <w:rStyle w:val="st"/>
        </w:rPr>
        <w:t xml:space="preserve">enforcement </w:t>
      </w:r>
      <w:r w:rsidR="0038322D" w:rsidRPr="00E74D4F">
        <w:rPr>
          <w:rStyle w:val="st"/>
        </w:rPr>
        <w:t xml:space="preserve">of any administrative act </w:t>
      </w:r>
      <w:r w:rsidR="00555B54" w:rsidRPr="00E74D4F">
        <w:rPr>
          <w:rStyle w:val="st"/>
        </w:rPr>
        <w:t xml:space="preserve">may be challenged within three days after its publication </w:t>
      </w:r>
      <w:r w:rsidR="00E87555" w:rsidRPr="00E74D4F">
        <w:rPr>
          <w:rStyle w:val="st"/>
        </w:rPr>
        <w:t>regardless of whether the administrative act</w:t>
      </w:r>
      <w:r w:rsidR="0038322D" w:rsidRPr="00E74D4F">
        <w:rPr>
          <w:rStyle w:val="st"/>
        </w:rPr>
        <w:t xml:space="preserve"> itself</w:t>
      </w:r>
      <w:r w:rsidR="00E87555" w:rsidRPr="00E74D4F">
        <w:rPr>
          <w:rStyle w:val="st"/>
        </w:rPr>
        <w:t xml:space="preserve"> has been contested </w:t>
      </w:r>
      <w:r w:rsidR="00555B54" w:rsidRPr="00E74D4F">
        <w:rPr>
          <w:rStyle w:val="st"/>
        </w:rPr>
        <w:t>(APC art. 60(4)).</w:t>
      </w:r>
      <w:r w:rsidR="00C21407" w:rsidRPr="00E74D4F">
        <w:rPr>
          <w:rStyle w:val="FootnoteReference"/>
        </w:rPr>
        <w:footnoteReference w:id="14"/>
      </w:r>
      <w:r w:rsidR="00555B54" w:rsidRPr="00E74D4F">
        <w:rPr>
          <w:rStyle w:val="st"/>
        </w:rPr>
        <w:t xml:space="preserve"> The court examines the legality of the </w:t>
      </w:r>
      <w:r w:rsidR="004535C9" w:rsidRPr="00E74D4F">
        <w:rPr>
          <w:rStyle w:val="st"/>
        </w:rPr>
        <w:t xml:space="preserve">order </w:t>
      </w:r>
      <w:r w:rsidR="00555B54" w:rsidRPr="00E74D4F">
        <w:rPr>
          <w:rStyle w:val="st"/>
        </w:rPr>
        <w:t>according to article 60(1)</w:t>
      </w:r>
      <w:r w:rsidR="008A5182" w:rsidRPr="00E74D4F">
        <w:rPr>
          <w:rStyle w:val="FootnoteReference"/>
        </w:rPr>
        <w:footnoteReference w:id="15"/>
      </w:r>
      <w:r w:rsidR="00555B54" w:rsidRPr="00E74D4F">
        <w:rPr>
          <w:rStyle w:val="st"/>
        </w:rPr>
        <w:t xml:space="preserve"> and if it finds that the conditions set </w:t>
      </w:r>
      <w:r w:rsidR="00044D0D" w:rsidRPr="00E74D4F">
        <w:rPr>
          <w:rStyle w:val="st"/>
        </w:rPr>
        <w:t xml:space="preserve">out in that provision </w:t>
      </w:r>
      <w:r w:rsidR="00555B54" w:rsidRPr="00E74D4F">
        <w:rPr>
          <w:rStyle w:val="st"/>
        </w:rPr>
        <w:t xml:space="preserve">are not met, it </w:t>
      </w:r>
      <w:r w:rsidR="00AB5240" w:rsidRPr="00E74D4F">
        <w:rPr>
          <w:rStyle w:val="st"/>
        </w:rPr>
        <w:t xml:space="preserve">may </w:t>
      </w:r>
      <w:r w:rsidR="00555B54" w:rsidRPr="00E74D4F">
        <w:rPr>
          <w:rStyle w:val="st"/>
        </w:rPr>
        <w:t xml:space="preserve">repeal the </w:t>
      </w:r>
      <w:r w:rsidR="004535C9" w:rsidRPr="00E74D4F">
        <w:rPr>
          <w:rStyle w:val="st"/>
        </w:rPr>
        <w:t>order</w:t>
      </w:r>
      <w:r w:rsidR="007375F2" w:rsidRPr="00E74D4F">
        <w:rPr>
          <w:rStyle w:val="st"/>
        </w:rPr>
        <w:t>,</w:t>
      </w:r>
      <w:r w:rsidR="0038322D" w:rsidRPr="00E74D4F">
        <w:rPr>
          <w:rStyle w:val="st"/>
        </w:rPr>
        <w:t xml:space="preserve"> resulting in </w:t>
      </w:r>
      <w:r w:rsidR="000158A9" w:rsidRPr="00E74D4F">
        <w:rPr>
          <w:rStyle w:val="st"/>
        </w:rPr>
        <w:t xml:space="preserve">the suspension of the </w:t>
      </w:r>
      <w:r w:rsidR="006E177A" w:rsidRPr="00E74D4F">
        <w:rPr>
          <w:rStyle w:val="st"/>
        </w:rPr>
        <w:t xml:space="preserve">underlying </w:t>
      </w:r>
      <w:r w:rsidR="000158A9" w:rsidRPr="00E74D4F">
        <w:rPr>
          <w:rStyle w:val="st"/>
        </w:rPr>
        <w:t>administrative act</w:t>
      </w:r>
      <w:r w:rsidR="00555B54" w:rsidRPr="00E74D4F">
        <w:rPr>
          <w:rStyle w:val="st"/>
        </w:rPr>
        <w:t>.</w:t>
      </w:r>
      <w:r w:rsidR="000158A9" w:rsidRPr="00E74D4F">
        <w:rPr>
          <w:rStyle w:val="FootnoteReference"/>
        </w:rPr>
        <w:footnoteReference w:id="16"/>
      </w:r>
      <w:r w:rsidR="00555B54" w:rsidRPr="00E74D4F">
        <w:rPr>
          <w:rStyle w:val="st"/>
        </w:rPr>
        <w:t xml:space="preserve"> Once the three-day period ends, the right of appeal against the </w:t>
      </w:r>
      <w:r w:rsidR="004535C9" w:rsidRPr="00E74D4F">
        <w:rPr>
          <w:rStyle w:val="st"/>
        </w:rPr>
        <w:t xml:space="preserve">order </w:t>
      </w:r>
      <w:r w:rsidR="006E177A" w:rsidRPr="00E74D4F">
        <w:rPr>
          <w:rStyle w:val="st"/>
        </w:rPr>
        <w:t xml:space="preserve">for preliminary enforcement </w:t>
      </w:r>
      <w:r w:rsidR="00555B54" w:rsidRPr="00E74D4F">
        <w:rPr>
          <w:rStyle w:val="st"/>
        </w:rPr>
        <w:t xml:space="preserve">lapses (APC </w:t>
      </w:r>
      <w:r w:rsidR="00D95944" w:rsidRPr="00E74D4F">
        <w:rPr>
          <w:rStyle w:val="st"/>
        </w:rPr>
        <w:t>a</w:t>
      </w:r>
      <w:r w:rsidR="00555B54" w:rsidRPr="00E74D4F">
        <w:rPr>
          <w:rStyle w:val="st"/>
        </w:rPr>
        <w:t>rt. 60(4)), but not the right of appeal against the administrative act.</w:t>
      </w:r>
    </w:p>
    <w:p w14:paraId="29E10DB4" w14:textId="3B5F28AF" w:rsidR="00346AEC" w:rsidRPr="00E74D4F" w:rsidRDefault="008F2BCE" w:rsidP="00E74D4F">
      <w:pPr>
        <w:pStyle w:val="SingleTxtG"/>
        <w:ind w:left="1100"/>
      </w:pPr>
      <w:r w:rsidRPr="00E74D4F">
        <w:t xml:space="preserve">18. </w:t>
      </w:r>
      <w:r w:rsidR="00044D0D" w:rsidRPr="00E74D4F">
        <w:t>In contrast</w:t>
      </w:r>
      <w:r w:rsidR="00460AE1" w:rsidRPr="00E74D4F">
        <w:t xml:space="preserve"> to </w:t>
      </w:r>
      <w:r w:rsidR="000E4E90" w:rsidRPr="00E74D4F">
        <w:t xml:space="preserve">an appeal of an </w:t>
      </w:r>
      <w:r w:rsidR="00460AE1" w:rsidRPr="00E74D4F">
        <w:t xml:space="preserve">EIA </w:t>
      </w:r>
      <w:r w:rsidR="000E4E90" w:rsidRPr="00E74D4F">
        <w:t>or</w:t>
      </w:r>
      <w:r w:rsidR="00460AE1" w:rsidRPr="00E74D4F">
        <w:t xml:space="preserve"> SEA decision</w:t>
      </w:r>
      <w:r w:rsidR="00BD38C8" w:rsidRPr="00E74D4F">
        <w:t xml:space="preserve"> which ha</w:t>
      </w:r>
      <w:r w:rsidR="000E4E90" w:rsidRPr="00E74D4F">
        <w:t>s</w:t>
      </w:r>
      <w:r w:rsidR="00BD38C8" w:rsidRPr="00E74D4F">
        <w:t xml:space="preserve"> </w:t>
      </w:r>
      <w:proofErr w:type="spellStart"/>
      <w:r w:rsidR="00BD38C8" w:rsidRPr="00E74D4F">
        <w:t>suspens</w:t>
      </w:r>
      <w:r w:rsidR="00684BC2" w:rsidRPr="00E74D4F">
        <w:t>ive</w:t>
      </w:r>
      <w:proofErr w:type="spellEnd"/>
      <w:r w:rsidR="00BD38C8" w:rsidRPr="00E74D4F">
        <w:t xml:space="preserve"> effect</w:t>
      </w:r>
      <w:r w:rsidR="00555B54" w:rsidRPr="00E74D4F">
        <w:t xml:space="preserve">, an appeal against </w:t>
      </w:r>
      <w:r w:rsidR="00044D0D" w:rsidRPr="00E74D4F">
        <w:t>a</w:t>
      </w:r>
      <w:r w:rsidR="004535C9" w:rsidRPr="00E74D4F">
        <w:t>n</w:t>
      </w:r>
      <w:r w:rsidR="00044D0D" w:rsidRPr="00E74D4F">
        <w:t xml:space="preserve"> </w:t>
      </w:r>
      <w:r w:rsidR="004535C9" w:rsidRPr="00E74D4F">
        <w:rPr>
          <w:rStyle w:val="st"/>
        </w:rPr>
        <w:t>order for preliminary</w:t>
      </w:r>
      <w:r w:rsidR="004535C9" w:rsidRPr="00E74D4F" w:rsidDel="004535C9">
        <w:t xml:space="preserve"> </w:t>
      </w:r>
      <w:r w:rsidR="00044D0D" w:rsidRPr="00E74D4F">
        <w:t xml:space="preserve">enforcement </w:t>
      </w:r>
      <w:r w:rsidR="00555B54" w:rsidRPr="00E74D4F">
        <w:t xml:space="preserve">does not have </w:t>
      </w:r>
      <w:proofErr w:type="spellStart"/>
      <w:r w:rsidR="00555B54" w:rsidRPr="00E74D4F">
        <w:t>suspensive</w:t>
      </w:r>
      <w:proofErr w:type="spellEnd"/>
      <w:r w:rsidR="00555B54" w:rsidRPr="00E74D4F">
        <w:t xml:space="preserve"> effect, </w:t>
      </w:r>
      <w:r w:rsidR="000E4E90" w:rsidRPr="00E74D4F">
        <w:t>unless the court decides otherwise</w:t>
      </w:r>
      <w:r w:rsidR="00555B54" w:rsidRPr="00E74D4F">
        <w:t>.</w:t>
      </w:r>
      <w:r w:rsidR="000E4E90" w:rsidRPr="00E74D4F">
        <w:rPr>
          <w:rStyle w:val="FootnoteReference"/>
        </w:rPr>
        <w:footnoteReference w:id="17"/>
      </w:r>
      <w:r w:rsidR="00555B54" w:rsidRPr="00E74D4F">
        <w:t xml:space="preserve"> </w:t>
      </w:r>
      <w:r w:rsidR="00F92184" w:rsidRPr="00E74D4F">
        <w:t xml:space="preserve">The applicant may request suspension of the execution of the </w:t>
      </w:r>
      <w:r w:rsidR="006E177A" w:rsidRPr="00E74D4F">
        <w:t>activity</w:t>
      </w:r>
      <w:r w:rsidR="00F92184" w:rsidRPr="00E74D4F">
        <w:t xml:space="preserve"> as part of its appeal against the order for preliminary enforcement.</w:t>
      </w:r>
      <w:r w:rsidR="00F85525" w:rsidRPr="00E74D4F">
        <w:t xml:space="preserve"> </w:t>
      </w:r>
    </w:p>
    <w:p w14:paraId="10736702" w14:textId="5DEC0015" w:rsidR="006F4B39" w:rsidRPr="00E74D4F" w:rsidRDefault="008F2BCE" w:rsidP="00E74D4F">
      <w:pPr>
        <w:pStyle w:val="SingleTxtG"/>
        <w:ind w:left="1100"/>
      </w:pPr>
      <w:r w:rsidRPr="00E74D4F">
        <w:t xml:space="preserve">19. </w:t>
      </w:r>
      <w:r w:rsidR="00346AEC" w:rsidRPr="00E74D4F">
        <w:t xml:space="preserve">An </w:t>
      </w:r>
      <w:r w:rsidR="00F85525" w:rsidRPr="00E74D4F">
        <w:t xml:space="preserve">appeal </w:t>
      </w:r>
      <w:r w:rsidR="00346AEC" w:rsidRPr="00E74D4F">
        <w:t xml:space="preserve">of an order for preliminary enforcement will </w:t>
      </w:r>
      <w:r w:rsidR="00F85525" w:rsidRPr="00E74D4F">
        <w:t xml:space="preserve">be considered immediately in camera, and transcripts of the appeal </w:t>
      </w:r>
      <w:r w:rsidR="00346AEC" w:rsidRPr="00E74D4F">
        <w:t xml:space="preserve">are </w:t>
      </w:r>
      <w:r w:rsidR="00F85525" w:rsidRPr="00E74D4F">
        <w:t>not served on the parties</w:t>
      </w:r>
      <w:r w:rsidR="0083768D" w:rsidRPr="00E74D4F">
        <w:t xml:space="preserve"> (</w:t>
      </w:r>
      <w:r w:rsidR="006E177A" w:rsidRPr="00E74D4F">
        <w:t>APC</w:t>
      </w:r>
      <w:r w:rsidR="00F92184" w:rsidRPr="00E74D4F">
        <w:t xml:space="preserve"> </w:t>
      </w:r>
      <w:r w:rsidR="006E177A" w:rsidRPr="00E74D4F">
        <w:t>a</w:t>
      </w:r>
      <w:r w:rsidR="0083768D" w:rsidRPr="00E74D4F">
        <w:t>rt</w:t>
      </w:r>
      <w:r w:rsidR="006E177A" w:rsidRPr="00E74D4F">
        <w:t>.</w:t>
      </w:r>
      <w:r w:rsidR="0083768D" w:rsidRPr="00E74D4F">
        <w:t xml:space="preserve"> 60(5)</w:t>
      </w:r>
      <w:r w:rsidR="00F85525" w:rsidRPr="00E74D4F">
        <w:t>.</w:t>
      </w:r>
      <w:bookmarkStart w:id="0" w:name="_Ref423247009"/>
    </w:p>
    <w:p w14:paraId="5DD848F8" w14:textId="41CC0949" w:rsidR="000C4949" w:rsidRPr="00E74D4F" w:rsidRDefault="00174AF2" w:rsidP="00E74D4F">
      <w:pPr>
        <w:pStyle w:val="SingleTxtG"/>
        <w:ind w:left="1100"/>
      </w:pPr>
      <w:r w:rsidRPr="00E74D4F">
        <w:t>20. An</w:t>
      </w:r>
      <w:r w:rsidR="000C4949" w:rsidRPr="00E74D4F">
        <w:t xml:space="preserve"> applicant can also request a higher administrative body to stop </w:t>
      </w:r>
      <w:r w:rsidRPr="00E74D4F">
        <w:t>the execution of a</w:t>
      </w:r>
      <w:r w:rsidR="003D337B" w:rsidRPr="00E74D4F">
        <w:t xml:space="preserve">n order for </w:t>
      </w:r>
      <w:r w:rsidRPr="00E74D4F">
        <w:t>preliminary enforcement, if not necessitated by the public interest or if it would cause irreparable damage to the person concerned (APC art. 90(3).</w:t>
      </w:r>
    </w:p>
    <w:p w14:paraId="32E6CC2A" w14:textId="4B8CFF53" w:rsidR="006F4B39" w:rsidRPr="00E74D4F" w:rsidRDefault="0050171C" w:rsidP="00E74D4F">
      <w:pPr>
        <w:pStyle w:val="SingleTxtG"/>
        <w:ind w:left="1100"/>
        <w:rPr>
          <w:shd w:val="clear" w:color="auto" w:fill="FEFEFE"/>
          <w:lang w:val="en-US"/>
        </w:rPr>
      </w:pPr>
      <w:r w:rsidRPr="00E74D4F">
        <w:t>2</w:t>
      </w:r>
      <w:r w:rsidR="00174AF2" w:rsidRPr="00E74D4F">
        <w:t>1</w:t>
      </w:r>
      <w:r w:rsidR="008F2BCE" w:rsidRPr="00E74D4F">
        <w:t xml:space="preserve">. </w:t>
      </w:r>
      <w:r w:rsidR="00A60B40" w:rsidRPr="00E74D4F">
        <w:t>APC article 6 requires administrative authorities to exercise their powers, reasonably, in good faith</w:t>
      </w:r>
      <w:r w:rsidR="00D95944" w:rsidRPr="00E74D4F">
        <w:t xml:space="preserve"> and</w:t>
      </w:r>
      <w:r w:rsidR="00A60B40" w:rsidRPr="00E74D4F">
        <w:t xml:space="preserve"> fairly.</w:t>
      </w:r>
      <w:r w:rsidR="008B2314" w:rsidRPr="00E74D4F">
        <w:rPr>
          <w:rStyle w:val="FootnoteReference"/>
        </w:rPr>
        <w:footnoteReference w:id="18"/>
      </w:r>
      <w:r w:rsidR="00A60B40" w:rsidRPr="00E74D4F">
        <w:t xml:space="preserve"> </w:t>
      </w:r>
      <w:r w:rsidR="009A15E2" w:rsidRPr="00E74D4F">
        <w:t>An administrative act and the enforcement thereof may not affect any rights and legitimate interests to a greater extent than the minimum necessary for which the act is issued.</w:t>
      </w:r>
      <w:r w:rsidR="009A15E2" w:rsidRPr="00E74D4F">
        <w:rPr>
          <w:rStyle w:val="FootnoteReference"/>
        </w:rPr>
        <w:footnoteReference w:id="19"/>
      </w:r>
      <w:r w:rsidR="009A15E2" w:rsidRPr="00E74D4F">
        <w:t xml:space="preserve"> </w:t>
      </w:r>
      <w:r w:rsidR="00A60B40" w:rsidRPr="00E74D4F">
        <w:t>Where an administrative act affects any rights for individuals or for organizations, the measures which are more favourable to the said individuals or organizations shall applied if the purpose of the law can likewise be achieved in this manner.</w:t>
      </w:r>
      <w:r w:rsidR="008B2314" w:rsidRPr="00E74D4F">
        <w:rPr>
          <w:rStyle w:val="FootnoteReference"/>
        </w:rPr>
        <w:footnoteReference w:id="20"/>
      </w:r>
      <w:bookmarkEnd w:id="0"/>
      <w:r w:rsidR="00C61547" w:rsidRPr="00E74D4F">
        <w:t xml:space="preserve"> </w:t>
      </w:r>
      <w:r w:rsidR="00C61547" w:rsidRPr="00E74D4F">
        <w:rPr>
          <w:shd w:val="clear" w:color="auto" w:fill="FEFEFE"/>
        </w:rPr>
        <w:t xml:space="preserve">The administrative bodies shall restrain themselves from acts and actions, which may cause damages, obviously </w:t>
      </w:r>
      <w:proofErr w:type="spellStart"/>
      <w:r w:rsidR="00C61547" w:rsidRPr="00E74D4F">
        <w:rPr>
          <w:shd w:val="clear" w:color="auto" w:fill="FEFEFE"/>
        </w:rPr>
        <w:t>incommensurated</w:t>
      </w:r>
      <w:proofErr w:type="spellEnd"/>
      <w:r w:rsidR="00C61547" w:rsidRPr="00E74D4F">
        <w:rPr>
          <w:shd w:val="clear" w:color="auto" w:fill="FEFEFE"/>
        </w:rPr>
        <w:t xml:space="preserve"> to the pursued aim.</w:t>
      </w:r>
      <w:r w:rsidR="00C61547" w:rsidRPr="00E74D4F">
        <w:rPr>
          <w:rStyle w:val="FootnoteReference"/>
          <w:shd w:val="clear" w:color="auto" w:fill="FEFEFE"/>
        </w:rPr>
        <w:footnoteReference w:id="21"/>
      </w:r>
      <w:r w:rsidR="00F52F3C" w:rsidRPr="00E74D4F">
        <w:rPr>
          <w:shd w:val="clear" w:color="auto" w:fill="FEFEFE"/>
        </w:rPr>
        <w:t xml:space="preserve"> </w:t>
      </w:r>
      <w:r w:rsidR="00A84304" w:rsidRPr="00E74D4F">
        <w:t xml:space="preserve">Article 6 is </w:t>
      </w:r>
      <w:r w:rsidR="00C871E3" w:rsidRPr="00E74D4F">
        <w:t>commonly</w:t>
      </w:r>
      <w:r w:rsidR="00A84304" w:rsidRPr="00E74D4F">
        <w:t xml:space="preserve"> referred to as the “proportionality principle”.</w:t>
      </w:r>
      <w:r w:rsidR="00A84304" w:rsidRPr="00E74D4F">
        <w:rPr>
          <w:rStyle w:val="FootnoteReference"/>
          <w:b/>
          <w:bCs/>
          <w:kern w:val="0"/>
          <w:lang w:val="en-US" w:eastAsia="en-GB"/>
        </w:rPr>
        <w:footnoteReference w:id="22"/>
      </w:r>
    </w:p>
    <w:p w14:paraId="5EB600C6" w14:textId="7B2BE9C4" w:rsidR="008F2BCE" w:rsidRPr="00E74D4F" w:rsidRDefault="00723E35" w:rsidP="00E74D4F">
      <w:pPr>
        <w:pStyle w:val="SingleTxtG"/>
        <w:ind w:left="1100"/>
        <w:rPr>
          <w:shd w:val="clear" w:color="auto" w:fill="FEFEFE"/>
        </w:rPr>
      </w:pPr>
      <w:r w:rsidRPr="00E74D4F">
        <w:t>2</w:t>
      </w:r>
      <w:r w:rsidR="00174AF2" w:rsidRPr="00E74D4F">
        <w:t>2</w:t>
      </w:r>
      <w:r w:rsidRPr="00E74D4F">
        <w:t xml:space="preserve">. </w:t>
      </w:r>
      <w:r w:rsidR="00D153D4" w:rsidRPr="00E74D4F">
        <w:t>APC article 7 (2) req</w:t>
      </w:r>
      <w:r w:rsidR="00A84304" w:rsidRPr="00E74D4F">
        <w:t>u</w:t>
      </w:r>
      <w:r w:rsidR="00D153D4" w:rsidRPr="00E74D4F">
        <w:t>ires that a</w:t>
      </w:r>
      <w:r w:rsidR="00D153D4" w:rsidRPr="00E74D4F">
        <w:rPr>
          <w:shd w:val="clear" w:color="auto" w:fill="FEFEFE"/>
        </w:rPr>
        <w:t>ll the facts and arguments, significant for the case, shall be subject to assessment.</w:t>
      </w:r>
    </w:p>
    <w:p w14:paraId="538D40D0" w14:textId="3375F924" w:rsidR="00A55B75" w:rsidRPr="00E74D4F" w:rsidRDefault="008F2BCE" w:rsidP="00E74D4F">
      <w:pPr>
        <w:pStyle w:val="SingleTxtG"/>
        <w:ind w:left="1100"/>
      </w:pPr>
      <w:r w:rsidRPr="00E74D4F">
        <w:t>2</w:t>
      </w:r>
      <w:r w:rsidR="00174AF2" w:rsidRPr="00E74D4F">
        <w:t>3</w:t>
      </w:r>
      <w:r w:rsidRPr="00E74D4F">
        <w:t xml:space="preserve">. </w:t>
      </w:r>
      <w:r w:rsidR="00A55B75" w:rsidRPr="00E74D4F">
        <w:t>APC article 172a</w:t>
      </w:r>
      <w:r w:rsidR="00F52F3C" w:rsidRPr="00E74D4F">
        <w:t xml:space="preserve"> (2)</w:t>
      </w:r>
      <w:r w:rsidR="00A55B75" w:rsidRPr="00E74D4F">
        <w:t xml:space="preserve"> requires that </w:t>
      </w:r>
      <w:r w:rsidR="00C61547" w:rsidRPr="00E74D4F">
        <w:rPr>
          <w:shd w:val="clear" w:color="auto" w:fill="FEFEFE"/>
        </w:rPr>
        <w:t>i</w:t>
      </w:r>
      <w:r w:rsidR="00A55B75" w:rsidRPr="00E74D4F">
        <w:rPr>
          <w:shd w:val="clear" w:color="auto" w:fill="FEFEFE"/>
        </w:rPr>
        <w:t>n its judgement, the court shall present its reasons, stating the positions upheld by the parties, the facts in the main proceedings and the legal conclusions of the court.</w:t>
      </w:r>
    </w:p>
    <w:p w14:paraId="1906D4D4" w14:textId="4FE396FF" w:rsidR="00555B54" w:rsidRPr="00E74D4F" w:rsidRDefault="004C3A11" w:rsidP="00E74D4F">
      <w:pPr>
        <w:pStyle w:val="SingleTxtG"/>
        <w:ind w:left="1100"/>
        <w:rPr>
          <w:rStyle w:val="st"/>
        </w:rPr>
      </w:pPr>
      <w:r w:rsidRPr="00E74D4F">
        <w:rPr>
          <w:rStyle w:val="st"/>
        </w:rPr>
        <w:t>2</w:t>
      </w:r>
      <w:r w:rsidR="00174AF2" w:rsidRPr="00E74D4F">
        <w:rPr>
          <w:rStyle w:val="st"/>
        </w:rPr>
        <w:t>4</w:t>
      </w:r>
      <w:r w:rsidRPr="00E74D4F">
        <w:rPr>
          <w:rStyle w:val="st"/>
        </w:rPr>
        <w:t xml:space="preserve">. </w:t>
      </w:r>
      <w:r w:rsidR="00217075" w:rsidRPr="00E74D4F">
        <w:rPr>
          <w:rStyle w:val="st"/>
        </w:rPr>
        <w:t>Pursuant to articles 180 and 181 of t</w:t>
      </w:r>
      <w:r w:rsidR="00555B54" w:rsidRPr="00E74D4F">
        <w:rPr>
          <w:rStyle w:val="st"/>
        </w:rPr>
        <w:t>he Law on Obligations and Contracts</w:t>
      </w:r>
      <w:r w:rsidR="00217075" w:rsidRPr="00E74D4F">
        <w:rPr>
          <w:rStyle w:val="st"/>
        </w:rPr>
        <w:t>,</w:t>
      </w:r>
      <w:r w:rsidR="00555B54" w:rsidRPr="00E74D4F">
        <w:rPr>
          <w:rStyle w:val="st"/>
        </w:rPr>
        <w:t xml:space="preserve"> </w:t>
      </w:r>
      <w:r w:rsidR="006E177A" w:rsidRPr="00E74D4F">
        <w:rPr>
          <w:rStyle w:val="st"/>
        </w:rPr>
        <w:t>a</w:t>
      </w:r>
      <w:r w:rsidR="00555B54" w:rsidRPr="00E74D4F">
        <w:rPr>
          <w:rStyle w:val="st"/>
        </w:rPr>
        <w:t xml:space="preserve"> guarantee that may need to be issued further to a</w:t>
      </w:r>
      <w:r w:rsidR="004535C9" w:rsidRPr="00E74D4F">
        <w:rPr>
          <w:rStyle w:val="st"/>
        </w:rPr>
        <w:t>n</w:t>
      </w:r>
      <w:r w:rsidR="00555B54" w:rsidRPr="00E74D4F">
        <w:rPr>
          <w:rStyle w:val="st"/>
        </w:rPr>
        <w:t xml:space="preserve"> </w:t>
      </w:r>
      <w:r w:rsidR="004535C9" w:rsidRPr="00E74D4F">
        <w:rPr>
          <w:rStyle w:val="st"/>
        </w:rPr>
        <w:t>order for preliminary</w:t>
      </w:r>
      <w:r w:rsidR="004535C9" w:rsidRPr="00E74D4F" w:rsidDel="004535C9">
        <w:rPr>
          <w:rStyle w:val="st"/>
        </w:rPr>
        <w:t xml:space="preserve"> </w:t>
      </w:r>
      <w:r w:rsidR="004535C9" w:rsidRPr="00E74D4F">
        <w:rPr>
          <w:rStyle w:val="st"/>
        </w:rPr>
        <w:t xml:space="preserve">enforcement </w:t>
      </w:r>
      <w:r w:rsidR="00EE2CC7" w:rsidRPr="00E74D4F">
        <w:rPr>
          <w:rStyle w:val="st"/>
        </w:rPr>
        <w:t xml:space="preserve">under </w:t>
      </w:r>
      <w:r w:rsidR="006E177A" w:rsidRPr="00E74D4F">
        <w:rPr>
          <w:rStyle w:val="st"/>
        </w:rPr>
        <w:t>APC</w:t>
      </w:r>
      <w:r w:rsidR="00217075" w:rsidRPr="00E74D4F">
        <w:rPr>
          <w:rStyle w:val="st"/>
        </w:rPr>
        <w:t xml:space="preserve"> </w:t>
      </w:r>
      <w:r w:rsidR="00555B54" w:rsidRPr="00E74D4F">
        <w:rPr>
          <w:rStyle w:val="st"/>
        </w:rPr>
        <w:t>art.60</w:t>
      </w:r>
      <w:r w:rsidR="00217075" w:rsidRPr="00E74D4F">
        <w:rPr>
          <w:rStyle w:val="st"/>
        </w:rPr>
        <w:t>(</w:t>
      </w:r>
      <w:r w:rsidR="003F3BBA" w:rsidRPr="00E74D4F">
        <w:rPr>
          <w:rStyle w:val="st"/>
        </w:rPr>
        <w:t>1</w:t>
      </w:r>
      <w:r w:rsidR="00217075" w:rsidRPr="00E74D4F">
        <w:rPr>
          <w:rStyle w:val="st"/>
        </w:rPr>
        <w:t xml:space="preserve">) may </w:t>
      </w:r>
      <w:r w:rsidR="00555B54" w:rsidRPr="00E74D4F">
        <w:rPr>
          <w:rStyle w:val="st"/>
        </w:rPr>
        <w:t>take the form of cash, bonds or mortgage.</w:t>
      </w:r>
      <w:r w:rsidR="00E260B3" w:rsidRPr="00E74D4F">
        <w:rPr>
          <w:rStyle w:val="FootnoteReference"/>
        </w:rPr>
        <w:footnoteReference w:id="23"/>
      </w:r>
    </w:p>
    <w:p w14:paraId="361F948B" w14:textId="5EB40381" w:rsidR="00360416" w:rsidRPr="00E74D4F" w:rsidRDefault="004C3A11" w:rsidP="00E74D4F">
      <w:pPr>
        <w:pStyle w:val="SingleTxtG"/>
        <w:ind w:left="1100"/>
      </w:pPr>
      <w:r w:rsidRPr="00E74D4F">
        <w:t>2</w:t>
      </w:r>
      <w:r w:rsidR="00174AF2" w:rsidRPr="00E74D4F">
        <w:t>5</w:t>
      </w:r>
      <w:r w:rsidRPr="00E74D4F">
        <w:t xml:space="preserve">. </w:t>
      </w:r>
      <w:r w:rsidR="00346AEC" w:rsidRPr="00E74D4F">
        <w:t>As an alternative to</w:t>
      </w:r>
      <w:r w:rsidR="00360416" w:rsidRPr="00E74D4F">
        <w:t xml:space="preserve"> </w:t>
      </w:r>
      <w:r w:rsidR="00346AEC" w:rsidRPr="00E74D4F">
        <w:t xml:space="preserve">appealing the </w:t>
      </w:r>
      <w:r w:rsidR="00360416" w:rsidRPr="00E74D4F">
        <w:t xml:space="preserve">order for preliminary enforcement, at any stage of an appeal of an EIA/SEA decision, the applicant may request the Court to issue an injunction </w:t>
      </w:r>
      <w:r w:rsidR="00346AEC" w:rsidRPr="00E74D4F">
        <w:t xml:space="preserve">to stop </w:t>
      </w:r>
      <w:r w:rsidR="006E177A" w:rsidRPr="00E74D4F">
        <w:t>the execution of the EIA/SEA</w:t>
      </w:r>
      <w:r w:rsidR="00346AEC" w:rsidRPr="00E74D4F">
        <w:t xml:space="preserve"> decision if </w:t>
      </w:r>
      <w:r w:rsidR="00360416" w:rsidRPr="00E74D4F">
        <w:t xml:space="preserve">there is a risk of irreparable damage </w:t>
      </w:r>
      <w:r w:rsidR="00346AEC" w:rsidRPr="00E74D4F">
        <w:t>to</w:t>
      </w:r>
      <w:r w:rsidR="00360416" w:rsidRPr="00E74D4F">
        <w:t xml:space="preserve"> the applicant (APC art. 166(</w:t>
      </w:r>
      <w:r w:rsidR="00B27423" w:rsidRPr="00E74D4F">
        <w:t>2</w:t>
      </w:r>
      <w:r w:rsidR="00360416" w:rsidRPr="00E74D4F">
        <w:t xml:space="preserve">)). However, this </w:t>
      </w:r>
      <w:r w:rsidR="00346AEC" w:rsidRPr="00E74D4F">
        <w:t xml:space="preserve">option </w:t>
      </w:r>
      <w:r w:rsidR="00360416" w:rsidRPr="00E74D4F">
        <w:t xml:space="preserve">may </w:t>
      </w:r>
      <w:r w:rsidR="00346AEC" w:rsidRPr="00E74D4F">
        <w:t xml:space="preserve">only </w:t>
      </w:r>
      <w:r w:rsidR="00360416" w:rsidRPr="00E74D4F">
        <w:t xml:space="preserve">be used if the order on preliminary enforcement </w:t>
      </w:r>
      <w:r w:rsidR="00E77F74" w:rsidRPr="00E74D4F">
        <w:t>has</w:t>
      </w:r>
      <w:r w:rsidR="00346AEC" w:rsidRPr="00E74D4F">
        <w:t xml:space="preserve"> not itself</w:t>
      </w:r>
      <w:r w:rsidR="00360416" w:rsidRPr="00E74D4F">
        <w:t xml:space="preserve"> </w:t>
      </w:r>
      <w:r w:rsidR="00E77F74" w:rsidRPr="00E74D4F">
        <w:t xml:space="preserve">been </w:t>
      </w:r>
      <w:r w:rsidR="00360416" w:rsidRPr="00E74D4F">
        <w:t>challenged.</w:t>
      </w:r>
      <w:r w:rsidR="00E63F80" w:rsidRPr="00E74D4F">
        <w:t xml:space="preserve"> </w:t>
      </w:r>
    </w:p>
    <w:p w14:paraId="749275EE" w14:textId="225D6C55" w:rsidR="00555B54" w:rsidRPr="00E74D4F" w:rsidRDefault="00555B54" w:rsidP="002E1A69">
      <w:pPr>
        <w:pStyle w:val="SingleTxtG"/>
        <w:ind w:left="1100"/>
      </w:pPr>
    </w:p>
    <w:p w14:paraId="31C318B5" w14:textId="77777777" w:rsidR="00622E8E" w:rsidRPr="00E74D4F" w:rsidRDefault="00622E8E" w:rsidP="00622E8E">
      <w:pPr>
        <w:pStyle w:val="H1G"/>
        <w:numPr>
          <w:ilvl w:val="0"/>
          <w:numId w:val="11"/>
        </w:numPr>
        <w:rPr>
          <w:szCs w:val="24"/>
        </w:rPr>
      </w:pPr>
      <w:r w:rsidRPr="00E74D4F">
        <w:rPr>
          <w:szCs w:val="24"/>
        </w:rPr>
        <w:t>Domestic remedies</w:t>
      </w:r>
    </w:p>
    <w:p w14:paraId="2497AB4D" w14:textId="1B8D3917" w:rsidR="00622E8E" w:rsidRPr="00E74D4F" w:rsidRDefault="004C3A11" w:rsidP="004C3A11">
      <w:pPr>
        <w:pStyle w:val="SingleTxtG"/>
        <w:ind w:left="1100"/>
      </w:pPr>
      <w:r w:rsidRPr="00E74D4F">
        <w:t>2</w:t>
      </w:r>
      <w:r w:rsidR="00174AF2" w:rsidRPr="00E74D4F">
        <w:t>6</w:t>
      </w:r>
      <w:r w:rsidRPr="00E74D4F">
        <w:t xml:space="preserve">. </w:t>
      </w:r>
      <w:r w:rsidR="00622E8E" w:rsidRPr="00E74D4F">
        <w:t xml:space="preserve">The communicant </w:t>
      </w:r>
      <w:r w:rsidR="004F13E8" w:rsidRPr="00E74D4F">
        <w:t xml:space="preserve">submits </w:t>
      </w:r>
      <w:r w:rsidR="00622E8E" w:rsidRPr="00E74D4F">
        <w:t xml:space="preserve">that all domestic remedies have been exhausted for the proceedings described in </w:t>
      </w:r>
      <w:r w:rsidR="004F13E8" w:rsidRPr="00E74D4F">
        <w:t xml:space="preserve">paragraphs </w:t>
      </w:r>
      <w:r w:rsidR="00174AF2" w:rsidRPr="00E74D4F">
        <w:t>31</w:t>
      </w:r>
      <w:r w:rsidR="00192945" w:rsidRPr="00E74D4F">
        <w:t>-</w:t>
      </w:r>
      <w:r w:rsidR="00174AF2" w:rsidRPr="00E74D4F">
        <w:t xml:space="preserve">43 </w:t>
      </w:r>
      <w:r w:rsidR="00640F69" w:rsidRPr="00E74D4F">
        <w:t>below</w:t>
      </w:r>
      <w:r w:rsidR="004F13E8" w:rsidRPr="00E74D4F">
        <w:t xml:space="preserve"> </w:t>
      </w:r>
      <w:r w:rsidR="00622E8E" w:rsidRPr="00E74D4F">
        <w:t xml:space="preserve">and that no general remedy exists at the domestic level to challenge the </w:t>
      </w:r>
      <w:r w:rsidR="00A54B63" w:rsidRPr="00E74D4F">
        <w:t xml:space="preserve">Party </w:t>
      </w:r>
      <w:proofErr w:type="spellStart"/>
      <w:r w:rsidR="00A54B63" w:rsidRPr="00E74D4F">
        <w:t>concerned’s</w:t>
      </w:r>
      <w:proofErr w:type="spellEnd"/>
      <w:r w:rsidR="00A54B63" w:rsidRPr="00E74D4F">
        <w:t xml:space="preserve"> failure to comply with the Convention</w:t>
      </w:r>
      <w:r w:rsidR="00622E8E" w:rsidRPr="00E74D4F">
        <w:t xml:space="preserve">, as this is </w:t>
      </w:r>
      <w:r w:rsidR="00A54B63" w:rsidRPr="00E74D4F">
        <w:t xml:space="preserve">of an </w:t>
      </w:r>
      <w:r w:rsidR="00622E8E" w:rsidRPr="00E74D4F">
        <w:t xml:space="preserve">ongoing systemic </w:t>
      </w:r>
      <w:r w:rsidR="00A54B63" w:rsidRPr="00E74D4F">
        <w:t>nature</w:t>
      </w:r>
      <w:r w:rsidR="00622E8E" w:rsidRPr="00E74D4F">
        <w:t>.</w:t>
      </w:r>
    </w:p>
    <w:p w14:paraId="699370C0" w14:textId="77777777" w:rsidR="00555B54" w:rsidRPr="00E74D4F" w:rsidRDefault="00555B54" w:rsidP="00622E8E">
      <w:pPr>
        <w:pStyle w:val="H1G"/>
        <w:numPr>
          <w:ilvl w:val="0"/>
          <w:numId w:val="11"/>
        </w:numPr>
        <w:rPr>
          <w:szCs w:val="24"/>
        </w:rPr>
      </w:pPr>
      <w:r w:rsidRPr="00E74D4F">
        <w:rPr>
          <w:szCs w:val="24"/>
        </w:rPr>
        <w:t>Substantive issues</w:t>
      </w:r>
    </w:p>
    <w:p w14:paraId="58597667" w14:textId="13D3F762" w:rsidR="00555B54" w:rsidRPr="00E74D4F" w:rsidRDefault="004C3A11" w:rsidP="004C3A11">
      <w:pPr>
        <w:pStyle w:val="SingleTxtG"/>
        <w:ind w:left="1100"/>
      </w:pPr>
      <w:r w:rsidRPr="00E74D4F">
        <w:t>2</w:t>
      </w:r>
      <w:r w:rsidR="00174AF2" w:rsidRPr="00E74D4F">
        <w:t>7</w:t>
      </w:r>
      <w:r w:rsidRPr="00E74D4F">
        <w:t xml:space="preserve">. </w:t>
      </w:r>
      <w:r w:rsidR="00CD64DA" w:rsidRPr="00E74D4F">
        <w:t xml:space="preserve">The communicant </w:t>
      </w:r>
      <w:r w:rsidR="00110563" w:rsidRPr="00E74D4F">
        <w:t>alleges</w:t>
      </w:r>
      <w:r w:rsidR="00CD64DA" w:rsidRPr="00E74D4F">
        <w:t xml:space="preserve"> that the Party concerned in general does not provide for effective and equitable injunctive relief </w:t>
      </w:r>
      <w:r w:rsidR="006E177A" w:rsidRPr="00E74D4F">
        <w:t xml:space="preserve">with respect to orders for preliminary enforcement </w:t>
      </w:r>
      <w:r w:rsidR="00CD64DA" w:rsidRPr="00E74D4F">
        <w:t xml:space="preserve">and therefore fails to comply with article 9, paragraph 4, of the Convention. </w:t>
      </w:r>
      <w:r w:rsidR="00555B54" w:rsidRPr="00E74D4F">
        <w:t xml:space="preserve">The communicant </w:t>
      </w:r>
      <w:r w:rsidR="00110563" w:rsidRPr="00E74D4F">
        <w:t>submits that</w:t>
      </w:r>
      <w:r w:rsidR="00555B54" w:rsidRPr="00E74D4F">
        <w:t xml:space="preserve"> the courts tend to refuse to consider environmental concerns when a</w:t>
      </w:r>
      <w:r w:rsidR="00666C97" w:rsidRPr="00E74D4F">
        <w:t>n</w:t>
      </w:r>
      <w:r w:rsidR="00555B54" w:rsidRPr="00E74D4F">
        <w:t xml:space="preserve"> </w:t>
      </w:r>
      <w:r w:rsidR="00666C97" w:rsidRPr="00E74D4F">
        <w:rPr>
          <w:rStyle w:val="st"/>
        </w:rPr>
        <w:t>order for preliminary</w:t>
      </w:r>
      <w:r w:rsidR="00666C97" w:rsidRPr="00E74D4F" w:rsidDel="00666C97">
        <w:t xml:space="preserve"> </w:t>
      </w:r>
      <w:r w:rsidR="00555B54" w:rsidRPr="00E74D4F">
        <w:t xml:space="preserve">enforcement is </w:t>
      </w:r>
      <w:r w:rsidR="008378AF" w:rsidRPr="00E74D4F">
        <w:t>challenged</w:t>
      </w:r>
      <w:r w:rsidR="00555B54" w:rsidRPr="00E74D4F">
        <w:t xml:space="preserve"> and look at the conditions under article 60 APC rather narrowly without properly balancing the interests involved</w:t>
      </w:r>
      <w:r w:rsidR="008378AF" w:rsidRPr="00E74D4F">
        <w:rPr>
          <w:lang w:val="en-US"/>
        </w:rPr>
        <w:t>,</w:t>
      </w:r>
      <w:r w:rsidR="006D7B77" w:rsidRPr="00E74D4F">
        <w:rPr>
          <w:lang w:val="en-US"/>
        </w:rPr>
        <w:t xml:space="preserve"> </w:t>
      </w:r>
      <w:r w:rsidR="00555B54" w:rsidRPr="00E74D4F">
        <w:t>result</w:t>
      </w:r>
      <w:r w:rsidR="006D7B77" w:rsidRPr="00E74D4F">
        <w:t>ing</w:t>
      </w:r>
      <w:r w:rsidR="00555B54" w:rsidRPr="00E74D4F">
        <w:t xml:space="preserve"> in review procedures being </w:t>
      </w:r>
      <w:r w:rsidR="008378AF" w:rsidRPr="00E74D4F">
        <w:t>in</w:t>
      </w:r>
      <w:r w:rsidR="00555B54" w:rsidRPr="00E74D4F">
        <w:t>effective. I</w:t>
      </w:r>
      <w:r w:rsidR="008378AF" w:rsidRPr="00E74D4F">
        <w:t>t also</w:t>
      </w:r>
      <w:r w:rsidR="00555B54" w:rsidRPr="00E74D4F">
        <w:t xml:space="preserve"> claims that financial guarantees imposed in such cases do not provide sufficient protection for the environment. It further claims that the courts are</w:t>
      </w:r>
      <w:r w:rsidR="008378AF" w:rsidRPr="00E74D4F">
        <w:t xml:space="preserve"> </w:t>
      </w:r>
      <w:r w:rsidR="00555B54" w:rsidRPr="00E74D4F">
        <w:t xml:space="preserve">biased in resolving </w:t>
      </w:r>
      <w:r w:rsidR="002C7DE7" w:rsidRPr="00E74D4F">
        <w:t xml:space="preserve">such </w:t>
      </w:r>
      <w:r w:rsidR="00555B54" w:rsidRPr="00E74D4F">
        <w:t xml:space="preserve">disputes and tend to follow </w:t>
      </w:r>
      <w:r w:rsidR="00CD64DA" w:rsidRPr="00E74D4F">
        <w:t xml:space="preserve">the </w:t>
      </w:r>
      <w:r w:rsidR="00555B54" w:rsidRPr="00E74D4F">
        <w:t>views of the authorities.</w:t>
      </w:r>
      <w:r w:rsidR="008378AF" w:rsidRPr="00E74D4F">
        <w:rPr>
          <w:rStyle w:val="FootnoteReference"/>
        </w:rPr>
        <w:footnoteReference w:id="24"/>
      </w:r>
      <w:r w:rsidR="00BD47B0" w:rsidRPr="00E74D4F">
        <w:t xml:space="preserve"> I</w:t>
      </w:r>
      <w:r w:rsidR="00555B54" w:rsidRPr="00E74D4F">
        <w:t xml:space="preserve">t </w:t>
      </w:r>
      <w:r w:rsidR="006E177A" w:rsidRPr="00E74D4F">
        <w:t>states</w:t>
      </w:r>
      <w:r w:rsidR="00555B54" w:rsidRPr="00E74D4F">
        <w:t xml:space="preserve"> that though there </w:t>
      </w:r>
      <w:r w:rsidR="00555B54" w:rsidRPr="00E74D4F">
        <w:rPr>
          <w:rStyle w:val="st"/>
        </w:rPr>
        <w:t>is</w:t>
      </w:r>
      <w:r w:rsidR="00555B54" w:rsidRPr="00E74D4F">
        <w:t xml:space="preserve"> room for authorities and courts </w:t>
      </w:r>
      <w:r w:rsidR="00BD47B0" w:rsidRPr="00E74D4F">
        <w:t xml:space="preserve">to interpret </w:t>
      </w:r>
      <w:r w:rsidR="00555B54" w:rsidRPr="00E74D4F">
        <w:t xml:space="preserve">the existing legislation in a way that the protection of the environment is recognized as a particularly important State or public interest, a </w:t>
      </w:r>
      <w:r w:rsidR="000E613D" w:rsidRPr="00E74D4F">
        <w:t xml:space="preserve">legislative </w:t>
      </w:r>
      <w:r w:rsidR="00555B54" w:rsidRPr="00E74D4F">
        <w:t>amendment would be needed to provide clear guidance in this respect.</w:t>
      </w:r>
      <w:r w:rsidR="00286C4D" w:rsidRPr="00E74D4F">
        <w:t xml:space="preserve"> The communicant’s allegations are set out in more detail </w:t>
      </w:r>
      <w:r w:rsidR="006E177A" w:rsidRPr="00E74D4F">
        <w:t>in later paragraphs</w:t>
      </w:r>
      <w:r w:rsidR="00286C4D" w:rsidRPr="00E74D4F">
        <w:t>.</w:t>
      </w:r>
    </w:p>
    <w:p w14:paraId="7B202289" w14:textId="500F66EA" w:rsidR="00B42CE7" w:rsidRPr="00E74D4F" w:rsidRDefault="004C3A11" w:rsidP="004C3A11">
      <w:pPr>
        <w:pStyle w:val="SingleTxtG"/>
        <w:ind w:left="1100"/>
        <w:rPr>
          <w:b/>
        </w:rPr>
      </w:pPr>
      <w:r w:rsidRPr="00E74D4F">
        <w:t>2</w:t>
      </w:r>
      <w:r w:rsidR="00174AF2" w:rsidRPr="00E74D4F">
        <w:t>8</w:t>
      </w:r>
      <w:r w:rsidRPr="00E74D4F">
        <w:t xml:space="preserve">. </w:t>
      </w:r>
      <w:r w:rsidR="00555B54" w:rsidRPr="00E74D4F">
        <w:t xml:space="preserve">The Party concerned refutes the communicant’s allegations. It claims that it is </w:t>
      </w:r>
      <w:r w:rsidR="000E613D" w:rsidRPr="00E74D4F">
        <w:t xml:space="preserve">in general </w:t>
      </w:r>
      <w:r w:rsidR="00555B54" w:rsidRPr="00E74D4F">
        <w:t xml:space="preserve">in full compliance with article 9, paragraph 4, of the Convention because its legislation provides for adequate and effective remedies </w:t>
      </w:r>
      <w:r w:rsidR="005058BE" w:rsidRPr="00E74D4F">
        <w:t>with respect to</w:t>
      </w:r>
      <w:r w:rsidR="00555B54" w:rsidRPr="00E74D4F">
        <w:t xml:space="preserve"> challenging </w:t>
      </w:r>
      <w:r w:rsidR="00666C97" w:rsidRPr="00E74D4F">
        <w:rPr>
          <w:rStyle w:val="st"/>
        </w:rPr>
        <w:t>orders for preliminary</w:t>
      </w:r>
      <w:r w:rsidR="00666C97" w:rsidRPr="00E74D4F" w:rsidDel="00666C97">
        <w:t xml:space="preserve"> </w:t>
      </w:r>
      <w:r w:rsidR="00555B54" w:rsidRPr="00E74D4F">
        <w:t>enforcement</w:t>
      </w:r>
      <w:r w:rsidR="000D7F4A" w:rsidRPr="00E74D4F">
        <w:t>. It points out that</w:t>
      </w:r>
      <w:r w:rsidR="00555B54" w:rsidRPr="00E74D4F">
        <w:t xml:space="preserve"> </w:t>
      </w:r>
      <w:r w:rsidR="00B42CE7" w:rsidRPr="00E74D4F">
        <w:t xml:space="preserve">members of the public have the possibility to seek review of EIA/SEA decisions (APC art. 90(1) and art. 166(1)); to seek review of the </w:t>
      </w:r>
      <w:r w:rsidR="00B42CE7" w:rsidRPr="00E74D4F">
        <w:rPr>
          <w:rStyle w:val="st"/>
        </w:rPr>
        <w:t>order for preliminary</w:t>
      </w:r>
      <w:r w:rsidR="00B42CE7" w:rsidRPr="00E74D4F">
        <w:t xml:space="preserve"> enforcement separately from the EIA/SEA decision (APC art. 60(4)); and also to request suspension of the preliminary enforcement at any time prior to the entry into force of the decision in case of potential irreparable damage (APC art. 166(2)).</w:t>
      </w:r>
      <w:r w:rsidR="00B42CE7" w:rsidRPr="00E74D4F">
        <w:rPr>
          <w:rStyle w:val="FootnoteReference"/>
        </w:rPr>
        <w:footnoteReference w:id="25"/>
      </w:r>
      <w:r w:rsidR="000D7F4A" w:rsidRPr="00E74D4F">
        <w:t xml:space="preserve"> It contends that both the authorities and the courts properly apply the applicable legal provisions. </w:t>
      </w:r>
    </w:p>
    <w:p w14:paraId="1AD9C8CC" w14:textId="77777777" w:rsidR="002F3F86" w:rsidRPr="00E74D4F" w:rsidRDefault="002F3F86" w:rsidP="002E1A69">
      <w:pPr>
        <w:pStyle w:val="SingleTxtG"/>
        <w:ind w:left="1100"/>
        <w:rPr>
          <w:b/>
        </w:rPr>
      </w:pPr>
    </w:p>
    <w:p w14:paraId="2FF90AA9" w14:textId="77777777" w:rsidR="00911DFF" w:rsidRPr="00E74D4F" w:rsidRDefault="006E177A" w:rsidP="002E1A69">
      <w:pPr>
        <w:pStyle w:val="SingleTxtG"/>
        <w:ind w:left="1100"/>
        <w:rPr>
          <w:rStyle w:val="st"/>
        </w:rPr>
      </w:pPr>
      <w:r w:rsidRPr="00E74D4F">
        <w:rPr>
          <w:b/>
        </w:rPr>
        <w:t>Recent p</w:t>
      </w:r>
      <w:r w:rsidR="006D7B77" w:rsidRPr="00E74D4F">
        <w:rPr>
          <w:b/>
        </w:rPr>
        <w:t>ractice regarding orders for preliminary enforcement</w:t>
      </w:r>
    </w:p>
    <w:p w14:paraId="001AB2FD" w14:textId="79EBF2D9" w:rsidR="00286C4D" w:rsidRPr="00E74D4F" w:rsidRDefault="00E14EF5" w:rsidP="004C3A11">
      <w:pPr>
        <w:pStyle w:val="SingleTxtG"/>
        <w:ind w:left="1100"/>
        <w:rPr>
          <w:rStyle w:val="st"/>
        </w:rPr>
      </w:pPr>
      <w:r w:rsidRPr="00E74D4F">
        <w:rPr>
          <w:rStyle w:val="st"/>
        </w:rPr>
        <w:t>2</w:t>
      </w:r>
      <w:r w:rsidR="00174AF2" w:rsidRPr="00E74D4F">
        <w:rPr>
          <w:rStyle w:val="st"/>
        </w:rPr>
        <w:t>9</w:t>
      </w:r>
      <w:r w:rsidRPr="00E74D4F">
        <w:rPr>
          <w:rStyle w:val="st"/>
        </w:rPr>
        <w:t>.</w:t>
      </w:r>
      <w:r w:rsidR="004C3A11" w:rsidRPr="00E74D4F">
        <w:rPr>
          <w:rStyle w:val="st"/>
        </w:rPr>
        <w:t xml:space="preserve"> </w:t>
      </w:r>
      <w:r w:rsidR="00286C4D" w:rsidRPr="00E74D4F">
        <w:rPr>
          <w:rStyle w:val="st"/>
        </w:rPr>
        <w:t xml:space="preserve">The communicant alleges that in the period 2010-2012, </w:t>
      </w:r>
      <w:r w:rsidR="00E075E8" w:rsidRPr="00E74D4F">
        <w:rPr>
          <w:rStyle w:val="st"/>
        </w:rPr>
        <w:t xml:space="preserve">NGOs appealed a number of EIA/SEA decisions issued by </w:t>
      </w:r>
      <w:r w:rsidR="00286C4D" w:rsidRPr="00E74D4F">
        <w:rPr>
          <w:rStyle w:val="st"/>
        </w:rPr>
        <w:t xml:space="preserve">the Ministry of Environment and Water and the Regional Inspectorates for Environment and Waters under the Ministry and </w:t>
      </w:r>
      <w:r w:rsidR="00715BEC" w:rsidRPr="00E74D4F">
        <w:rPr>
          <w:rStyle w:val="st"/>
        </w:rPr>
        <w:t>in those cases where they had been granted, the</w:t>
      </w:r>
      <w:r w:rsidR="00E075E8" w:rsidRPr="00E74D4F">
        <w:rPr>
          <w:rStyle w:val="st"/>
        </w:rPr>
        <w:t xml:space="preserve"> accompanying</w:t>
      </w:r>
      <w:r w:rsidR="00286C4D" w:rsidRPr="00E74D4F">
        <w:rPr>
          <w:rStyle w:val="st"/>
        </w:rPr>
        <w:t xml:space="preserve"> orders for preliminary enforcement.</w:t>
      </w:r>
      <w:r w:rsidR="00286C4D" w:rsidRPr="00E74D4F">
        <w:rPr>
          <w:rStyle w:val="st"/>
          <w:vertAlign w:val="superscript"/>
        </w:rPr>
        <w:footnoteReference w:id="26"/>
      </w:r>
      <w:r w:rsidR="00286C4D" w:rsidRPr="00E74D4F">
        <w:rPr>
          <w:rStyle w:val="st"/>
          <w:vertAlign w:val="superscript"/>
        </w:rPr>
        <w:t xml:space="preserve"> </w:t>
      </w:r>
      <w:r w:rsidR="00715BEC" w:rsidRPr="00E74D4F">
        <w:rPr>
          <w:rStyle w:val="st"/>
        </w:rPr>
        <w:t>The communicant contends that</w:t>
      </w:r>
      <w:r w:rsidR="00286C4D" w:rsidRPr="00E74D4F">
        <w:rPr>
          <w:rStyle w:val="st"/>
        </w:rPr>
        <w:t xml:space="preserve"> in the majority of cases the courts systematically held that suspension of the order for preliminary enforcement was not necessary pending </w:t>
      </w:r>
      <w:r w:rsidR="00602DD7" w:rsidRPr="00E74D4F">
        <w:rPr>
          <w:rStyle w:val="st"/>
        </w:rPr>
        <w:t xml:space="preserve">the </w:t>
      </w:r>
      <w:r w:rsidR="001241B0" w:rsidRPr="00E74D4F">
        <w:rPr>
          <w:rStyle w:val="st"/>
        </w:rPr>
        <w:t>review of the challenged EIA/SEA decision</w:t>
      </w:r>
      <w:r w:rsidR="00286C4D" w:rsidRPr="00E74D4F">
        <w:rPr>
          <w:rStyle w:val="st"/>
        </w:rPr>
        <w:t xml:space="preserve">. </w:t>
      </w:r>
    </w:p>
    <w:p w14:paraId="1B51533A" w14:textId="6BD078D9" w:rsidR="00286C4D" w:rsidRPr="00E74D4F" w:rsidRDefault="00174AF2" w:rsidP="004C3A11">
      <w:pPr>
        <w:pStyle w:val="SingleTxtG"/>
        <w:ind w:left="1100"/>
        <w:rPr>
          <w:rStyle w:val="st"/>
          <w:u w:val="single"/>
        </w:rPr>
      </w:pPr>
      <w:r w:rsidRPr="00E74D4F">
        <w:rPr>
          <w:rStyle w:val="st"/>
        </w:rPr>
        <w:t>30</w:t>
      </w:r>
      <w:r w:rsidR="004C3A11" w:rsidRPr="00E74D4F">
        <w:rPr>
          <w:rStyle w:val="st"/>
        </w:rPr>
        <w:t xml:space="preserve">. </w:t>
      </w:r>
      <w:r w:rsidR="00715BEC" w:rsidRPr="00E74D4F">
        <w:rPr>
          <w:rStyle w:val="st"/>
        </w:rPr>
        <w:t>T</w:t>
      </w:r>
      <w:r w:rsidR="00286C4D" w:rsidRPr="00E74D4F">
        <w:rPr>
          <w:rStyle w:val="st"/>
        </w:rPr>
        <w:t xml:space="preserve">he communicant </w:t>
      </w:r>
      <w:r w:rsidR="00715BEC" w:rsidRPr="00E74D4F">
        <w:rPr>
          <w:rStyle w:val="st"/>
        </w:rPr>
        <w:t xml:space="preserve">provided summaries of </w:t>
      </w:r>
      <w:r w:rsidR="004E7D1D" w:rsidRPr="00E74D4F">
        <w:rPr>
          <w:rStyle w:val="st"/>
        </w:rPr>
        <w:t xml:space="preserve">a number of cases to </w:t>
      </w:r>
      <w:r w:rsidR="00715BEC" w:rsidRPr="00E74D4F">
        <w:rPr>
          <w:rStyle w:val="st"/>
        </w:rPr>
        <w:t>illustrate the courts’ recent practice</w:t>
      </w:r>
      <w:r w:rsidR="004E7D1D" w:rsidRPr="00E74D4F">
        <w:rPr>
          <w:rStyle w:val="st"/>
        </w:rPr>
        <w:t>. Five of these cases</w:t>
      </w:r>
      <w:r w:rsidR="00286C4D" w:rsidRPr="00E74D4F">
        <w:rPr>
          <w:rStyle w:val="st"/>
        </w:rPr>
        <w:t xml:space="preserve"> </w:t>
      </w:r>
      <w:r w:rsidR="004E7D1D" w:rsidRPr="00E74D4F">
        <w:rPr>
          <w:rStyle w:val="st"/>
        </w:rPr>
        <w:t>are</w:t>
      </w:r>
      <w:r w:rsidR="00286C4D" w:rsidRPr="00E74D4F">
        <w:rPr>
          <w:rStyle w:val="st"/>
        </w:rPr>
        <w:t xml:space="preserve"> summarized below</w:t>
      </w:r>
      <w:r w:rsidR="0094352D" w:rsidRPr="00E74D4F">
        <w:rPr>
          <w:rStyle w:val="st"/>
        </w:rPr>
        <w:t>, as these particular five cases were also cited by the Party concerned:</w:t>
      </w:r>
    </w:p>
    <w:p w14:paraId="19F29E35" w14:textId="72D30333" w:rsidR="00286C4D" w:rsidRPr="00E74D4F" w:rsidRDefault="00B04105" w:rsidP="002E1A69">
      <w:pPr>
        <w:pStyle w:val="SingleTxtG"/>
        <w:ind w:left="2061"/>
      </w:pPr>
      <w:r w:rsidRPr="00E74D4F">
        <w:rPr>
          <w:rStyle w:val="st"/>
          <w:u w:val="single"/>
        </w:rPr>
        <w:t>(a)</w:t>
      </w:r>
      <w:r w:rsidR="0067770F" w:rsidRPr="00E74D4F">
        <w:rPr>
          <w:rStyle w:val="st"/>
          <w:u w:val="single"/>
        </w:rPr>
        <w:tab/>
      </w:r>
      <w:r w:rsidR="00286C4D" w:rsidRPr="00E74D4F">
        <w:rPr>
          <w:rStyle w:val="st"/>
          <w:u w:val="single"/>
        </w:rPr>
        <w:t xml:space="preserve"> Ski lifts in </w:t>
      </w:r>
      <w:proofErr w:type="spellStart"/>
      <w:r w:rsidR="00286C4D" w:rsidRPr="00E74D4F">
        <w:rPr>
          <w:rStyle w:val="st"/>
          <w:u w:val="single"/>
        </w:rPr>
        <w:t>Pirin</w:t>
      </w:r>
      <w:proofErr w:type="spellEnd"/>
      <w:r w:rsidR="00286C4D" w:rsidRPr="00E74D4F">
        <w:rPr>
          <w:rStyle w:val="st"/>
          <w:u w:val="single"/>
        </w:rPr>
        <w:t xml:space="preserve"> national park (decision no- 31 ПР/2010 and decision no 33-ПР/2010 of </w:t>
      </w:r>
      <w:proofErr w:type="spellStart"/>
      <w:r w:rsidR="00286C4D" w:rsidRPr="00E74D4F">
        <w:rPr>
          <w:rStyle w:val="st"/>
          <w:u w:val="single"/>
        </w:rPr>
        <w:t>MoEW</w:t>
      </w:r>
      <w:proofErr w:type="spellEnd"/>
      <w:r w:rsidR="00286C4D" w:rsidRPr="00E74D4F">
        <w:rPr>
          <w:rStyle w:val="st"/>
          <w:u w:val="single"/>
        </w:rPr>
        <w:t>)</w:t>
      </w:r>
    </w:p>
    <w:p w14:paraId="0BAC19B8" w14:textId="37B90D26" w:rsidR="00286C4D" w:rsidRPr="00E74D4F" w:rsidRDefault="00174AF2" w:rsidP="004C3A11">
      <w:pPr>
        <w:pStyle w:val="SingleTxtG"/>
        <w:ind w:left="1100"/>
        <w:rPr>
          <w:rStyle w:val="st"/>
        </w:rPr>
      </w:pPr>
      <w:r w:rsidRPr="00E74D4F">
        <w:rPr>
          <w:rStyle w:val="st"/>
        </w:rPr>
        <w:t>31</w:t>
      </w:r>
      <w:r w:rsidR="004C3A11" w:rsidRPr="00E74D4F">
        <w:rPr>
          <w:rStyle w:val="st"/>
        </w:rPr>
        <w:t xml:space="preserve">. </w:t>
      </w:r>
      <w:r w:rsidR="00286C4D" w:rsidRPr="00E74D4F">
        <w:rPr>
          <w:rStyle w:val="st"/>
        </w:rPr>
        <w:t>In 2010, NGOs brought legal action against two EIA decisions and their related orders for preliminary</w:t>
      </w:r>
      <w:r w:rsidR="00286C4D" w:rsidRPr="00E74D4F" w:rsidDel="002A20BE">
        <w:rPr>
          <w:rStyle w:val="st"/>
        </w:rPr>
        <w:t xml:space="preserve"> </w:t>
      </w:r>
      <w:r w:rsidR="00286C4D" w:rsidRPr="00E74D4F">
        <w:rPr>
          <w:rStyle w:val="st"/>
        </w:rPr>
        <w:t xml:space="preserve">enforcement concerning the replacement and upgrading of ski lifts in </w:t>
      </w:r>
      <w:proofErr w:type="spellStart"/>
      <w:r w:rsidR="00286C4D" w:rsidRPr="00E74D4F">
        <w:rPr>
          <w:rStyle w:val="st"/>
        </w:rPr>
        <w:t>Pirin</w:t>
      </w:r>
      <w:proofErr w:type="spellEnd"/>
      <w:r w:rsidR="00286C4D" w:rsidRPr="00E74D4F">
        <w:rPr>
          <w:rStyle w:val="st"/>
        </w:rPr>
        <w:t xml:space="preserve"> national</w:t>
      </w:r>
      <w:r w:rsidR="00E075E8" w:rsidRPr="00E74D4F">
        <w:rPr>
          <w:rStyle w:val="st"/>
        </w:rPr>
        <w:t xml:space="preserve"> park</w:t>
      </w:r>
      <w:r w:rsidR="00286C4D" w:rsidRPr="00E74D4F">
        <w:rPr>
          <w:rStyle w:val="st"/>
        </w:rPr>
        <w:t>, a project which would</w:t>
      </w:r>
      <w:r w:rsidR="00E075E8" w:rsidRPr="00E74D4F">
        <w:rPr>
          <w:rStyle w:val="st"/>
        </w:rPr>
        <w:t>, inter alia,</w:t>
      </w:r>
      <w:r w:rsidR="00286C4D" w:rsidRPr="00E74D4F">
        <w:rPr>
          <w:rStyle w:val="st"/>
        </w:rPr>
        <w:t xml:space="preserve"> result in the logging of trees in the national park. The NGOs argued that the EIA decisions’ evaluation of the environmental impacts was flawed and that the orders for preliminary</w:t>
      </w:r>
      <w:r w:rsidR="00286C4D" w:rsidRPr="00E74D4F" w:rsidDel="002A20BE">
        <w:rPr>
          <w:rStyle w:val="st"/>
        </w:rPr>
        <w:t xml:space="preserve"> </w:t>
      </w:r>
      <w:r w:rsidR="00286C4D" w:rsidRPr="00E74D4F">
        <w:rPr>
          <w:rStyle w:val="st"/>
        </w:rPr>
        <w:t>enforcement were not supported by facts, relevant guarantees, nor took into account the precautionary principle.</w:t>
      </w:r>
      <w:r w:rsidR="00286C4D" w:rsidRPr="00E74D4F">
        <w:rPr>
          <w:rStyle w:val="FootnoteReference"/>
        </w:rPr>
        <w:footnoteReference w:id="27"/>
      </w:r>
    </w:p>
    <w:p w14:paraId="64635FBD" w14:textId="45C61DC7" w:rsidR="00286C4D" w:rsidRPr="00E74D4F" w:rsidRDefault="00174AF2" w:rsidP="004C3A11">
      <w:pPr>
        <w:pStyle w:val="SingleTxtG"/>
        <w:ind w:left="1100"/>
        <w:rPr>
          <w:rStyle w:val="st"/>
        </w:rPr>
      </w:pPr>
      <w:r w:rsidRPr="00E74D4F">
        <w:rPr>
          <w:rStyle w:val="st"/>
        </w:rPr>
        <w:t>32</w:t>
      </w:r>
      <w:r w:rsidR="004C3A11" w:rsidRPr="00E74D4F">
        <w:rPr>
          <w:rStyle w:val="st"/>
        </w:rPr>
        <w:t xml:space="preserve">. </w:t>
      </w:r>
      <w:r w:rsidR="00286C4D" w:rsidRPr="00E74D4F">
        <w:rPr>
          <w:rStyle w:val="st"/>
        </w:rPr>
        <w:t xml:space="preserve">The project was the subject of five court cases before the Supreme Administrative Court. </w:t>
      </w:r>
      <w:r w:rsidR="00C63CA7" w:rsidRPr="00E74D4F">
        <w:rPr>
          <w:rStyle w:val="st"/>
        </w:rPr>
        <w:t>In the proceedings to appeal the order for preliminary enforcement, t</w:t>
      </w:r>
      <w:r w:rsidR="00286C4D" w:rsidRPr="00E74D4F">
        <w:rPr>
          <w:rStyle w:val="st"/>
        </w:rPr>
        <w:t>he Court rejected the NGOs’ submissions and evidence that a number of trees had already been logged and that the ongoing construction had led to irreversible environmental damage.</w:t>
      </w:r>
      <w:r w:rsidR="00C63CA7" w:rsidRPr="00E74D4F">
        <w:rPr>
          <w:rStyle w:val="FootnoteReference"/>
        </w:rPr>
        <w:footnoteReference w:id="28"/>
      </w:r>
      <w:r w:rsidR="00286C4D" w:rsidRPr="00E74D4F">
        <w:rPr>
          <w:rStyle w:val="st"/>
        </w:rPr>
        <w:t xml:space="preserve"> In its reasoning, the Court referred to the conclusion </w:t>
      </w:r>
      <w:r w:rsidR="001E2E5D" w:rsidRPr="00E74D4F">
        <w:rPr>
          <w:rStyle w:val="st"/>
        </w:rPr>
        <w:t>in</w:t>
      </w:r>
      <w:r w:rsidR="00286C4D" w:rsidRPr="00E74D4F">
        <w:rPr>
          <w:rStyle w:val="st"/>
        </w:rPr>
        <w:t xml:space="preserve"> the EIA decisions that no significant environmental impacts were expected, even though the EIA decisions themselves were at that time under challenge for substantive flaws.</w:t>
      </w:r>
      <w:r w:rsidR="00286C4D" w:rsidRPr="00E74D4F">
        <w:rPr>
          <w:rStyle w:val="FootnoteReference"/>
        </w:rPr>
        <w:footnoteReference w:id="29"/>
      </w:r>
    </w:p>
    <w:p w14:paraId="535CC2D4" w14:textId="45062CFE" w:rsidR="00286C4D" w:rsidRPr="00E74D4F" w:rsidRDefault="00E14EF5" w:rsidP="004C3A11">
      <w:pPr>
        <w:pStyle w:val="SingleTxtG"/>
        <w:ind w:left="1100"/>
      </w:pPr>
      <w:r w:rsidRPr="00E74D4F">
        <w:rPr>
          <w:rStyle w:val="st"/>
        </w:rPr>
        <w:t>3</w:t>
      </w:r>
      <w:r w:rsidR="00174AF2" w:rsidRPr="00E74D4F">
        <w:rPr>
          <w:rStyle w:val="st"/>
        </w:rPr>
        <w:t>3</w:t>
      </w:r>
      <w:r w:rsidR="004C3A11" w:rsidRPr="00E74D4F">
        <w:rPr>
          <w:rStyle w:val="st"/>
        </w:rPr>
        <w:t xml:space="preserve">. </w:t>
      </w:r>
      <w:r w:rsidR="00286C4D" w:rsidRPr="00E74D4F">
        <w:rPr>
          <w:rStyle w:val="st"/>
        </w:rPr>
        <w:t>The second instance court ultimately found the EIA decisions to be illegal but meanwhile, due to the orders for preliminary</w:t>
      </w:r>
      <w:r w:rsidR="00286C4D" w:rsidRPr="00E74D4F" w:rsidDel="002A20BE">
        <w:rPr>
          <w:rStyle w:val="st"/>
        </w:rPr>
        <w:t xml:space="preserve"> </w:t>
      </w:r>
      <w:r w:rsidR="00286C4D" w:rsidRPr="00E74D4F">
        <w:rPr>
          <w:rStyle w:val="st"/>
        </w:rPr>
        <w:t xml:space="preserve">enforcement, the trees </w:t>
      </w:r>
      <w:r w:rsidR="0094352D" w:rsidRPr="00E74D4F">
        <w:rPr>
          <w:rStyle w:val="st"/>
        </w:rPr>
        <w:t>had been</w:t>
      </w:r>
      <w:r w:rsidR="00286C4D" w:rsidRPr="00E74D4F">
        <w:rPr>
          <w:rStyle w:val="st"/>
        </w:rPr>
        <w:t xml:space="preserve"> logged.</w:t>
      </w:r>
    </w:p>
    <w:p w14:paraId="28AB31CF" w14:textId="77777777" w:rsidR="00286C4D" w:rsidRPr="00E74D4F" w:rsidRDefault="00332A38" w:rsidP="00765C6D">
      <w:pPr>
        <w:pStyle w:val="SingleTxtG"/>
        <w:ind w:left="1701"/>
        <w:rPr>
          <w:rStyle w:val="st"/>
        </w:rPr>
      </w:pPr>
      <w:r w:rsidRPr="00E74D4F">
        <w:rPr>
          <w:rStyle w:val="st"/>
          <w:u w:val="single"/>
        </w:rPr>
        <w:t>(</w:t>
      </w:r>
      <w:r w:rsidR="00B04105" w:rsidRPr="00E74D4F">
        <w:rPr>
          <w:rStyle w:val="st"/>
          <w:u w:val="single"/>
        </w:rPr>
        <w:t>b</w:t>
      </w:r>
      <w:r w:rsidR="0067770F" w:rsidRPr="00E74D4F">
        <w:rPr>
          <w:rStyle w:val="st"/>
          <w:u w:val="single"/>
        </w:rPr>
        <w:t>)</w:t>
      </w:r>
      <w:r w:rsidR="0067770F" w:rsidRPr="00E74D4F">
        <w:rPr>
          <w:rStyle w:val="st"/>
          <w:u w:val="single"/>
        </w:rPr>
        <w:tab/>
      </w:r>
      <w:r w:rsidR="00286C4D" w:rsidRPr="00E74D4F">
        <w:rPr>
          <w:rStyle w:val="st"/>
          <w:u w:val="single"/>
        </w:rPr>
        <w:t xml:space="preserve">Goldmine Ada </w:t>
      </w:r>
      <w:proofErr w:type="spellStart"/>
      <w:r w:rsidR="00286C4D" w:rsidRPr="00E74D4F">
        <w:rPr>
          <w:rStyle w:val="st"/>
          <w:u w:val="single"/>
        </w:rPr>
        <w:t>tepe</w:t>
      </w:r>
      <w:proofErr w:type="spellEnd"/>
      <w:r w:rsidR="00286C4D" w:rsidRPr="00E74D4F">
        <w:rPr>
          <w:rStyle w:val="st"/>
          <w:u w:val="single"/>
        </w:rPr>
        <w:t xml:space="preserve"> on </w:t>
      </w:r>
      <w:proofErr w:type="spellStart"/>
      <w:r w:rsidR="00286C4D" w:rsidRPr="00E74D4F">
        <w:rPr>
          <w:rStyle w:val="st"/>
          <w:u w:val="single"/>
        </w:rPr>
        <w:t>Rodopi-Iztochni</w:t>
      </w:r>
      <w:proofErr w:type="spellEnd"/>
      <w:r w:rsidR="00286C4D" w:rsidRPr="00E74D4F">
        <w:rPr>
          <w:rStyle w:val="st"/>
          <w:u w:val="single"/>
        </w:rPr>
        <w:t xml:space="preserve"> mountain</w:t>
      </w:r>
      <w:r w:rsidR="003D4300" w:rsidRPr="00E74D4F">
        <w:rPr>
          <w:rStyle w:val="st"/>
          <w:u w:val="single"/>
        </w:rPr>
        <w:t xml:space="preserve"> (EIA decision No.18-8</w:t>
      </w:r>
      <w:proofErr w:type="gramStart"/>
      <w:r w:rsidR="003D4300" w:rsidRPr="00E74D4F">
        <w:rPr>
          <w:rStyle w:val="st"/>
          <w:u w:val="single"/>
        </w:rPr>
        <w:t>,1</w:t>
      </w:r>
      <w:proofErr w:type="gramEnd"/>
      <w:r w:rsidR="003D4300" w:rsidRPr="00E74D4F">
        <w:rPr>
          <w:rStyle w:val="st"/>
          <w:u w:val="single"/>
        </w:rPr>
        <w:t xml:space="preserve">/2011 of </w:t>
      </w:r>
      <w:proofErr w:type="spellStart"/>
      <w:r w:rsidR="003D4300" w:rsidRPr="00E74D4F">
        <w:rPr>
          <w:rStyle w:val="st"/>
          <w:u w:val="single"/>
        </w:rPr>
        <w:t>MoEW</w:t>
      </w:r>
      <w:proofErr w:type="spellEnd"/>
      <w:r w:rsidR="00765C6D" w:rsidRPr="00E74D4F">
        <w:rPr>
          <w:rStyle w:val="st"/>
          <w:u w:val="single"/>
        </w:rPr>
        <w:t>)</w:t>
      </w:r>
    </w:p>
    <w:p w14:paraId="59817D6A" w14:textId="7E694703" w:rsidR="00286C4D" w:rsidRPr="00E74D4F" w:rsidRDefault="00E14EF5" w:rsidP="004C3A11">
      <w:pPr>
        <w:pStyle w:val="SingleTxtG"/>
        <w:ind w:left="1100"/>
        <w:rPr>
          <w:rStyle w:val="st"/>
        </w:rPr>
      </w:pPr>
      <w:r w:rsidRPr="00E74D4F">
        <w:rPr>
          <w:rStyle w:val="st"/>
        </w:rPr>
        <w:t>3</w:t>
      </w:r>
      <w:r w:rsidR="00174AF2" w:rsidRPr="00E74D4F">
        <w:rPr>
          <w:rStyle w:val="st"/>
        </w:rPr>
        <w:t>4</w:t>
      </w:r>
      <w:r w:rsidR="004C3A11" w:rsidRPr="00E74D4F">
        <w:rPr>
          <w:rStyle w:val="st"/>
        </w:rPr>
        <w:t xml:space="preserve">. </w:t>
      </w:r>
      <w:r w:rsidR="00286C4D" w:rsidRPr="00E74D4F">
        <w:rPr>
          <w:rStyle w:val="st"/>
        </w:rPr>
        <w:t>In 2011, NGOs brought legal action against the EIA decision and the related orders for preliminary</w:t>
      </w:r>
      <w:r w:rsidR="00286C4D" w:rsidRPr="00E74D4F" w:rsidDel="002A20BE">
        <w:rPr>
          <w:rStyle w:val="st"/>
        </w:rPr>
        <w:t xml:space="preserve"> </w:t>
      </w:r>
      <w:r w:rsidR="00286C4D" w:rsidRPr="00E74D4F">
        <w:rPr>
          <w:rStyle w:val="st"/>
        </w:rPr>
        <w:t xml:space="preserve">enforcement concerning the exploitation of a goldmine on </w:t>
      </w:r>
      <w:proofErr w:type="spellStart"/>
      <w:r w:rsidR="00286C4D" w:rsidRPr="00E74D4F">
        <w:rPr>
          <w:rStyle w:val="st"/>
        </w:rPr>
        <w:t>Rodopi-Iztochni</w:t>
      </w:r>
      <w:proofErr w:type="spellEnd"/>
      <w:r w:rsidR="00286C4D" w:rsidRPr="00E74D4F">
        <w:rPr>
          <w:rStyle w:val="st"/>
        </w:rPr>
        <w:t xml:space="preserve"> </w:t>
      </w:r>
      <w:proofErr w:type="gramStart"/>
      <w:r w:rsidR="00286C4D" w:rsidRPr="00E74D4F">
        <w:rPr>
          <w:rStyle w:val="st"/>
        </w:rPr>
        <w:t>mountain</w:t>
      </w:r>
      <w:proofErr w:type="gramEnd"/>
      <w:r w:rsidR="00286C4D" w:rsidRPr="00E74D4F">
        <w:rPr>
          <w:rStyle w:val="st"/>
        </w:rPr>
        <w:t>. The NGOs argued that the EIA decision’s evaluation of the environmental impacts was flawed and that the order for preliminary</w:t>
      </w:r>
      <w:r w:rsidR="00286C4D" w:rsidRPr="00E74D4F" w:rsidDel="002A20BE">
        <w:rPr>
          <w:rStyle w:val="st"/>
        </w:rPr>
        <w:t xml:space="preserve"> </w:t>
      </w:r>
      <w:r w:rsidR="001E2E5D" w:rsidRPr="00E74D4F">
        <w:rPr>
          <w:rStyle w:val="st"/>
        </w:rPr>
        <w:t>enforcement was neither</w:t>
      </w:r>
      <w:r w:rsidR="00286C4D" w:rsidRPr="00E74D4F">
        <w:rPr>
          <w:rStyle w:val="st"/>
        </w:rPr>
        <w:t xml:space="preserve"> based on </w:t>
      </w:r>
      <w:r w:rsidR="001E2E5D" w:rsidRPr="00E74D4F">
        <w:rPr>
          <w:rStyle w:val="st"/>
        </w:rPr>
        <w:t xml:space="preserve">a </w:t>
      </w:r>
      <w:r w:rsidR="00286C4D" w:rsidRPr="00E74D4F">
        <w:rPr>
          <w:rStyle w:val="st"/>
        </w:rPr>
        <w:t xml:space="preserve">proper evaluation of </w:t>
      </w:r>
      <w:r w:rsidR="001E2E5D" w:rsidRPr="00E74D4F">
        <w:rPr>
          <w:rStyle w:val="st"/>
        </w:rPr>
        <w:t xml:space="preserve">the </w:t>
      </w:r>
      <w:r w:rsidR="00286C4D" w:rsidRPr="00E74D4F">
        <w:rPr>
          <w:rStyle w:val="st"/>
        </w:rPr>
        <w:t>interests at stake nor took into account the precautionary principle.</w:t>
      </w:r>
      <w:r w:rsidR="00602DD7" w:rsidRPr="00E74D4F">
        <w:rPr>
          <w:rStyle w:val="st"/>
        </w:rPr>
        <w:t xml:space="preserve"> Rather, t</w:t>
      </w:r>
      <w:r w:rsidR="00286C4D" w:rsidRPr="00E74D4F">
        <w:rPr>
          <w:rStyle w:val="st"/>
        </w:rPr>
        <w:t>he Ministry had issued its order for preliminary</w:t>
      </w:r>
      <w:r w:rsidR="00286C4D" w:rsidRPr="00E74D4F" w:rsidDel="002A20BE">
        <w:rPr>
          <w:rStyle w:val="st"/>
        </w:rPr>
        <w:t xml:space="preserve"> </w:t>
      </w:r>
      <w:r w:rsidR="00286C4D" w:rsidRPr="00E74D4F">
        <w:rPr>
          <w:rStyle w:val="st"/>
        </w:rPr>
        <w:t>enforcement on the basis of the protection of the developer’s interests, the State interest (regional development) and to prevent significant delays for the investment. It had not taken into account environmental impacts.</w:t>
      </w:r>
      <w:r w:rsidR="00286C4D" w:rsidRPr="00E74D4F">
        <w:rPr>
          <w:rStyle w:val="FootnoteReference"/>
        </w:rPr>
        <w:footnoteReference w:id="30"/>
      </w:r>
    </w:p>
    <w:p w14:paraId="57B52366" w14:textId="53AEE2C0" w:rsidR="00286C4D" w:rsidRPr="00E74D4F" w:rsidRDefault="00602DD7" w:rsidP="004C3A11">
      <w:pPr>
        <w:pStyle w:val="SingleTxtG"/>
        <w:ind w:left="1100"/>
        <w:rPr>
          <w:rStyle w:val="st"/>
          <w:u w:val="single"/>
        </w:rPr>
      </w:pPr>
      <w:r w:rsidRPr="00E74D4F">
        <w:rPr>
          <w:rStyle w:val="st"/>
        </w:rPr>
        <w:t>3</w:t>
      </w:r>
      <w:r w:rsidR="00174AF2" w:rsidRPr="00E74D4F">
        <w:rPr>
          <w:rStyle w:val="st"/>
        </w:rPr>
        <w:t>5</w:t>
      </w:r>
      <w:r w:rsidR="004C3A11" w:rsidRPr="00E74D4F">
        <w:rPr>
          <w:rStyle w:val="st"/>
        </w:rPr>
        <w:t xml:space="preserve">. </w:t>
      </w:r>
      <w:r w:rsidR="00286C4D" w:rsidRPr="00E74D4F">
        <w:rPr>
          <w:rStyle w:val="st"/>
        </w:rPr>
        <w:t xml:space="preserve">The case was reviewed at two instances. </w:t>
      </w:r>
      <w:r w:rsidR="001E2E5D" w:rsidRPr="00E74D4F">
        <w:rPr>
          <w:rStyle w:val="st"/>
        </w:rPr>
        <w:t>At first instance, t</w:t>
      </w:r>
      <w:r w:rsidR="00286C4D" w:rsidRPr="00E74D4F">
        <w:rPr>
          <w:rStyle w:val="st"/>
        </w:rPr>
        <w:t xml:space="preserve">he court </w:t>
      </w:r>
      <w:r w:rsidR="001E2E5D" w:rsidRPr="00E74D4F">
        <w:rPr>
          <w:rStyle w:val="st"/>
        </w:rPr>
        <w:t xml:space="preserve">held </w:t>
      </w:r>
      <w:r w:rsidR="00286C4D" w:rsidRPr="00E74D4F">
        <w:rPr>
          <w:rStyle w:val="st"/>
        </w:rPr>
        <w:t>that the order for preliminary</w:t>
      </w:r>
      <w:r w:rsidR="00286C4D" w:rsidRPr="00E74D4F" w:rsidDel="002A20BE">
        <w:rPr>
          <w:rStyle w:val="st"/>
        </w:rPr>
        <w:t xml:space="preserve"> </w:t>
      </w:r>
      <w:r w:rsidR="00286C4D" w:rsidRPr="00E74D4F">
        <w:rPr>
          <w:rStyle w:val="st"/>
        </w:rPr>
        <w:t xml:space="preserve">enforcement was valid and in compliance with article 60 APC and environmental concerns </w:t>
      </w:r>
      <w:r w:rsidR="0094352D" w:rsidRPr="00E74D4F">
        <w:rPr>
          <w:rStyle w:val="st"/>
        </w:rPr>
        <w:t>should not be examined during the</w:t>
      </w:r>
      <w:r w:rsidR="00286C4D" w:rsidRPr="00E74D4F">
        <w:rPr>
          <w:rStyle w:val="st"/>
        </w:rPr>
        <w:t xml:space="preserve"> review of </w:t>
      </w:r>
      <w:r w:rsidR="001E2E5D" w:rsidRPr="00E74D4F">
        <w:rPr>
          <w:rStyle w:val="st"/>
        </w:rPr>
        <w:t>the</w:t>
      </w:r>
      <w:r w:rsidR="00286C4D" w:rsidRPr="00E74D4F">
        <w:rPr>
          <w:rStyle w:val="st"/>
        </w:rPr>
        <w:t xml:space="preserve"> order</w:t>
      </w:r>
      <w:r w:rsidR="001E2E5D" w:rsidRPr="00E74D4F">
        <w:rPr>
          <w:rStyle w:val="st"/>
        </w:rPr>
        <w:t xml:space="preserve"> for preliminary enforcement</w:t>
      </w:r>
      <w:r w:rsidR="00286C4D" w:rsidRPr="00E74D4F">
        <w:rPr>
          <w:rStyle w:val="st"/>
        </w:rPr>
        <w:t xml:space="preserve"> but rather </w:t>
      </w:r>
      <w:r w:rsidR="0094352D" w:rsidRPr="00E74D4F">
        <w:rPr>
          <w:rStyle w:val="st"/>
        </w:rPr>
        <w:t>during</w:t>
      </w:r>
      <w:r w:rsidR="00286C4D" w:rsidRPr="00E74D4F">
        <w:rPr>
          <w:rStyle w:val="st"/>
        </w:rPr>
        <w:t xml:space="preserve"> the review of the EIA decision. </w:t>
      </w:r>
      <w:r w:rsidR="001E2E5D" w:rsidRPr="00E74D4F">
        <w:rPr>
          <w:rStyle w:val="st"/>
        </w:rPr>
        <w:t xml:space="preserve">The court’s ruling was upheld by the Court of Cassation. </w:t>
      </w:r>
      <w:r w:rsidR="00286C4D" w:rsidRPr="00E74D4F">
        <w:rPr>
          <w:rStyle w:val="st"/>
        </w:rPr>
        <w:t>At cassation, the applicants requested the court submit a request for a preliminary ruling before the Court of Justice of the European Union, but their request was dismissed.</w:t>
      </w:r>
      <w:r w:rsidR="00286C4D" w:rsidRPr="00E74D4F">
        <w:rPr>
          <w:rStyle w:val="FootnoteReference"/>
        </w:rPr>
        <w:footnoteReference w:id="31"/>
      </w:r>
    </w:p>
    <w:p w14:paraId="5B1BDC5D" w14:textId="77777777" w:rsidR="00715BEC" w:rsidRPr="00E74D4F" w:rsidRDefault="00332A38" w:rsidP="006D10CC">
      <w:pPr>
        <w:ind w:left="708" w:firstLine="708"/>
        <w:rPr>
          <w:kern w:val="0"/>
          <w:u w:val="single"/>
          <w:lang w:eastAsia="en-GB"/>
        </w:rPr>
      </w:pPr>
      <w:r w:rsidRPr="00E74D4F">
        <w:rPr>
          <w:rStyle w:val="st"/>
          <w:u w:val="single"/>
        </w:rPr>
        <w:t>(</w:t>
      </w:r>
      <w:r w:rsidR="00897F6A" w:rsidRPr="00E74D4F">
        <w:rPr>
          <w:rStyle w:val="st"/>
          <w:u w:val="single"/>
        </w:rPr>
        <w:t>c</w:t>
      </w:r>
      <w:r w:rsidRPr="00E74D4F">
        <w:rPr>
          <w:rStyle w:val="st"/>
          <w:u w:val="single"/>
        </w:rPr>
        <w:t>)</w:t>
      </w:r>
      <w:r w:rsidRPr="00E74D4F">
        <w:rPr>
          <w:rStyle w:val="st"/>
          <w:u w:val="single"/>
        </w:rPr>
        <w:tab/>
        <w:t xml:space="preserve"> </w:t>
      </w:r>
      <w:r w:rsidR="006D10CC" w:rsidRPr="00E74D4F">
        <w:rPr>
          <w:rStyle w:val="st"/>
          <w:u w:val="single"/>
        </w:rPr>
        <w:t>Storage depot for nuclear waste</w:t>
      </w:r>
      <w:r w:rsidR="00715BEC" w:rsidRPr="00E74D4F">
        <w:rPr>
          <w:rStyle w:val="st"/>
          <w:u w:val="single"/>
        </w:rPr>
        <w:t xml:space="preserve"> </w:t>
      </w:r>
      <w:r w:rsidR="006D10CC" w:rsidRPr="00E74D4F">
        <w:rPr>
          <w:rStyle w:val="st"/>
          <w:u w:val="single"/>
        </w:rPr>
        <w:t>(</w:t>
      </w:r>
      <w:r w:rsidR="00715BEC" w:rsidRPr="00E74D4F">
        <w:rPr>
          <w:rStyle w:val="st"/>
          <w:u w:val="single"/>
        </w:rPr>
        <w:t xml:space="preserve">EIA decision No.21-9/2011 of </w:t>
      </w:r>
      <w:proofErr w:type="spellStart"/>
      <w:r w:rsidR="00715BEC" w:rsidRPr="00E74D4F">
        <w:rPr>
          <w:rStyle w:val="st"/>
          <w:u w:val="single"/>
        </w:rPr>
        <w:t>MoEW</w:t>
      </w:r>
      <w:proofErr w:type="spellEnd"/>
      <w:r w:rsidR="006D10CC" w:rsidRPr="00E74D4F">
        <w:rPr>
          <w:rStyle w:val="st"/>
          <w:u w:val="single"/>
        </w:rPr>
        <w:t>)</w:t>
      </w:r>
    </w:p>
    <w:p w14:paraId="56E1D398" w14:textId="77777777" w:rsidR="00286C4D" w:rsidRPr="00E74D4F" w:rsidRDefault="00286C4D" w:rsidP="006D10CC">
      <w:pPr>
        <w:pStyle w:val="SingleTxtG"/>
        <w:spacing w:after="0"/>
        <w:ind w:left="2127" w:hanging="709"/>
        <w:rPr>
          <w:rStyle w:val="st"/>
        </w:rPr>
      </w:pPr>
    </w:p>
    <w:p w14:paraId="307F5911" w14:textId="773DBE9B" w:rsidR="00286C4D" w:rsidRPr="00E74D4F" w:rsidRDefault="004C3A11" w:rsidP="004C3A11">
      <w:pPr>
        <w:pStyle w:val="SingleTxtG"/>
        <w:ind w:left="1100"/>
        <w:rPr>
          <w:rStyle w:val="st"/>
        </w:rPr>
      </w:pPr>
      <w:r w:rsidRPr="00E74D4F">
        <w:rPr>
          <w:rStyle w:val="st"/>
        </w:rPr>
        <w:t>3</w:t>
      </w:r>
      <w:r w:rsidR="00174AF2" w:rsidRPr="00E74D4F">
        <w:rPr>
          <w:rStyle w:val="st"/>
        </w:rPr>
        <w:t>6</w:t>
      </w:r>
      <w:r w:rsidRPr="00E74D4F">
        <w:rPr>
          <w:rStyle w:val="st"/>
        </w:rPr>
        <w:t xml:space="preserve">. </w:t>
      </w:r>
      <w:r w:rsidR="00286C4D" w:rsidRPr="00E74D4F">
        <w:rPr>
          <w:rStyle w:val="st"/>
        </w:rPr>
        <w:t>In 2011, NGOs brought legal action against the EIA decision and the related order for preliminary</w:t>
      </w:r>
      <w:r w:rsidR="00286C4D" w:rsidRPr="00E74D4F" w:rsidDel="002A20BE">
        <w:rPr>
          <w:rStyle w:val="st"/>
        </w:rPr>
        <w:t xml:space="preserve"> </w:t>
      </w:r>
      <w:r w:rsidR="00286C4D" w:rsidRPr="00E74D4F">
        <w:rPr>
          <w:rStyle w:val="st"/>
        </w:rPr>
        <w:t>enforcement concerning a planned construction of a nuclear waste depot. The NGOs alleged that the EIA decision was based on an incomplete EIA report with regard to environmental and health risks. The Minister had issued the order for preliminary enforcement on the grounds that the proper and timely implementation of national legislation and policy on nuclear waste was of public interest</w:t>
      </w:r>
      <w:r w:rsidR="0067770F" w:rsidRPr="00E74D4F">
        <w:rPr>
          <w:rStyle w:val="st"/>
        </w:rPr>
        <w:t xml:space="preserve"> in order to protect human health</w:t>
      </w:r>
      <w:r w:rsidR="00286C4D" w:rsidRPr="00E74D4F">
        <w:rPr>
          <w:rStyle w:val="st"/>
        </w:rPr>
        <w:t>.</w:t>
      </w:r>
    </w:p>
    <w:p w14:paraId="2088BBC4" w14:textId="16C63EDE" w:rsidR="00286C4D" w:rsidRPr="00E74D4F" w:rsidRDefault="00602DD7" w:rsidP="004C3A11">
      <w:pPr>
        <w:pStyle w:val="SingleTxtG"/>
        <w:ind w:left="1100"/>
        <w:rPr>
          <w:rStyle w:val="st"/>
          <w:u w:val="single"/>
        </w:rPr>
      </w:pPr>
      <w:r w:rsidRPr="00E74D4F">
        <w:rPr>
          <w:rStyle w:val="st"/>
        </w:rPr>
        <w:t>3</w:t>
      </w:r>
      <w:r w:rsidR="00174AF2" w:rsidRPr="00E74D4F">
        <w:rPr>
          <w:rStyle w:val="st"/>
        </w:rPr>
        <w:t>7</w:t>
      </w:r>
      <w:r w:rsidR="004C3A11" w:rsidRPr="00E74D4F">
        <w:rPr>
          <w:rStyle w:val="st"/>
        </w:rPr>
        <w:t xml:space="preserve">. </w:t>
      </w:r>
      <w:r w:rsidR="00286C4D" w:rsidRPr="00E74D4F">
        <w:rPr>
          <w:rStyle w:val="st"/>
        </w:rPr>
        <w:t xml:space="preserve">The case was reviewed at two instances. </w:t>
      </w:r>
      <w:r w:rsidR="0094352D" w:rsidRPr="00E74D4F">
        <w:rPr>
          <w:rStyle w:val="st"/>
        </w:rPr>
        <w:t xml:space="preserve">At both instances, the courts </w:t>
      </w:r>
      <w:r w:rsidR="00286C4D" w:rsidRPr="00E74D4F">
        <w:rPr>
          <w:rStyle w:val="st"/>
        </w:rPr>
        <w:t>confirmed that the order for preliminary</w:t>
      </w:r>
      <w:r w:rsidR="00286C4D" w:rsidRPr="00E74D4F" w:rsidDel="002A20BE">
        <w:rPr>
          <w:rStyle w:val="st"/>
        </w:rPr>
        <w:t xml:space="preserve"> </w:t>
      </w:r>
      <w:r w:rsidR="00286C4D" w:rsidRPr="00E74D4F">
        <w:rPr>
          <w:rStyle w:val="st"/>
        </w:rPr>
        <w:t xml:space="preserve">enforcement was in conformity with APC art. </w:t>
      </w:r>
      <w:proofErr w:type="gramStart"/>
      <w:r w:rsidR="00286C4D" w:rsidRPr="00E74D4F">
        <w:rPr>
          <w:rStyle w:val="st"/>
        </w:rPr>
        <w:t xml:space="preserve">60 and the protection of </w:t>
      </w:r>
      <w:r w:rsidRPr="00E74D4F">
        <w:rPr>
          <w:rStyle w:val="st"/>
        </w:rPr>
        <w:t xml:space="preserve">the </w:t>
      </w:r>
      <w:r w:rsidR="00286C4D" w:rsidRPr="00E74D4F">
        <w:rPr>
          <w:rStyle w:val="st"/>
        </w:rPr>
        <w:t>public interest.</w:t>
      </w:r>
      <w:proofErr w:type="gramEnd"/>
      <w:r w:rsidR="00286C4D" w:rsidRPr="00E74D4F">
        <w:rPr>
          <w:rStyle w:val="st"/>
        </w:rPr>
        <w:t xml:space="preserve"> </w:t>
      </w:r>
      <w:r w:rsidR="0094352D" w:rsidRPr="00E74D4F">
        <w:rPr>
          <w:rStyle w:val="st"/>
        </w:rPr>
        <w:t>They</w:t>
      </w:r>
      <w:r w:rsidR="00286C4D" w:rsidRPr="00E74D4F">
        <w:rPr>
          <w:rStyle w:val="st"/>
        </w:rPr>
        <w:t xml:space="preserve"> held that environmental concerns should not be examined </w:t>
      </w:r>
      <w:r w:rsidR="0067770F" w:rsidRPr="00E74D4F">
        <w:rPr>
          <w:rStyle w:val="st"/>
        </w:rPr>
        <w:t xml:space="preserve">when reviewing </w:t>
      </w:r>
      <w:r w:rsidR="00286C4D" w:rsidRPr="00E74D4F">
        <w:rPr>
          <w:rStyle w:val="st"/>
        </w:rPr>
        <w:t xml:space="preserve">the order for preliminary enforcement but </w:t>
      </w:r>
      <w:r w:rsidR="0067770F" w:rsidRPr="00E74D4F">
        <w:rPr>
          <w:rStyle w:val="st"/>
        </w:rPr>
        <w:t xml:space="preserve">rather during </w:t>
      </w:r>
      <w:r w:rsidR="00286C4D" w:rsidRPr="00E74D4F">
        <w:rPr>
          <w:rStyle w:val="st"/>
        </w:rPr>
        <w:t>the review of the EIA decision, and in any event, the environmental aspects were not significant given the conclusions of the EIA decision.</w:t>
      </w:r>
      <w:r w:rsidR="00286C4D" w:rsidRPr="00E74D4F">
        <w:rPr>
          <w:rStyle w:val="FootnoteReference"/>
        </w:rPr>
        <w:footnoteReference w:id="32"/>
      </w:r>
    </w:p>
    <w:p w14:paraId="389818D5" w14:textId="18867D0F" w:rsidR="00286C4D" w:rsidRPr="00E74D4F" w:rsidRDefault="00332A38" w:rsidP="002E1A69">
      <w:pPr>
        <w:pStyle w:val="SingleTxtG"/>
        <w:ind w:left="2127" w:hanging="709"/>
        <w:rPr>
          <w:rStyle w:val="st"/>
          <w:u w:val="single"/>
        </w:rPr>
      </w:pPr>
      <w:r w:rsidRPr="00E74D4F">
        <w:rPr>
          <w:rStyle w:val="st"/>
          <w:u w:val="single"/>
        </w:rPr>
        <w:t>(</w:t>
      </w:r>
      <w:r w:rsidR="00897F6A" w:rsidRPr="00E74D4F">
        <w:rPr>
          <w:rStyle w:val="st"/>
          <w:u w:val="single"/>
        </w:rPr>
        <w:t>d</w:t>
      </w:r>
      <w:r w:rsidRPr="00E74D4F">
        <w:rPr>
          <w:rStyle w:val="st"/>
          <w:u w:val="single"/>
        </w:rPr>
        <w:t>)</w:t>
      </w:r>
      <w:r w:rsidRPr="00E74D4F">
        <w:rPr>
          <w:rStyle w:val="st"/>
          <w:u w:val="single"/>
        </w:rPr>
        <w:tab/>
      </w:r>
      <w:r w:rsidR="00286C4D" w:rsidRPr="00E74D4F">
        <w:rPr>
          <w:rStyle w:val="st"/>
          <w:u w:val="single"/>
        </w:rPr>
        <w:t xml:space="preserve">Highway through </w:t>
      </w:r>
      <w:r w:rsidR="006D10CC" w:rsidRPr="00E74D4F">
        <w:rPr>
          <w:rStyle w:val="st"/>
          <w:u w:val="single"/>
        </w:rPr>
        <w:t>“</w:t>
      </w:r>
      <w:proofErr w:type="spellStart"/>
      <w:r w:rsidR="006D10CC" w:rsidRPr="00E74D4F">
        <w:rPr>
          <w:rStyle w:val="st"/>
          <w:u w:val="single"/>
        </w:rPr>
        <w:t>Bulgarka</w:t>
      </w:r>
      <w:proofErr w:type="spellEnd"/>
      <w:r w:rsidR="006D10CC" w:rsidRPr="00E74D4F">
        <w:rPr>
          <w:rStyle w:val="st"/>
          <w:u w:val="single"/>
        </w:rPr>
        <w:t>”</w:t>
      </w:r>
      <w:r w:rsidR="00286C4D" w:rsidRPr="00E74D4F">
        <w:rPr>
          <w:rStyle w:val="st"/>
          <w:u w:val="single"/>
        </w:rPr>
        <w:t xml:space="preserve"> nature park</w:t>
      </w:r>
      <w:r w:rsidR="006D10CC" w:rsidRPr="00E74D4F">
        <w:rPr>
          <w:rStyle w:val="st"/>
          <w:u w:val="single"/>
        </w:rPr>
        <w:t xml:space="preserve"> (</w:t>
      </w:r>
      <w:r w:rsidR="006D10CC" w:rsidRPr="00E74D4F">
        <w:rPr>
          <w:u w:val="single"/>
        </w:rPr>
        <w:t xml:space="preserve">EIA decision No.4-2/2012 of </w:t>
      </w:r>
      <w:proofErr w:type="spellStart"/>
      <w:r w:rsidR="006D10CC" w:rsidRPr="00E74D4F">
        <w:rPr>
          <w:u w:val="single"/>
        </w:rPr>
        <w:t>MoEW</w:t>
      </w:r>
      <w:proofErr w:type="spellEnd"/>
      <w:r w:rsidR="006D10CC" w:rsidRPr="00E74D4F">
        <w:rPr>
          <w:u w:val="single"/>
        </w:rPr>
        <w:t>)</w:t>
      </w:r>
    </w:p>
    <w:p w14:paraId="3DFD79EC" w14:textId="4E66762E" w:rsidR="00286C4D" w:rsidRPr="00E74D4F" w:rsidRDefault="00E14EF5" w:rsidP="004C3A11">
      <w:pPr>
        <w:pStyle w:val="SingleTxtG"/>
        <w:ind w:left="1100"/>
        <w:rPr>
          <w:rStyle w:val="st"/>
        </w:rPr>
      </w:pPr>
      <w:r w:rsidRPr="00E74D4F">
        <w:rPr>
          <w:rStyle w:val="st"/>
        </w:rPr>
        <w:t>3</w:t>
      </w:r>
      <w:r w:rsidR="00174AF2" w:rsidRPr="00E74D4F">
        <w:rPr>
          <w:rStyle w:val="st"/>
        </w:rPr>
        <w:t>8</w:t>
      </w:r>
      <w:r w:rsidR="004C3A11" w:rsidRPr="00E74D4F">
        <w:rPr>
          <w:rStyle w:val="st"/>
        </w:rPr>
        <w:t xml:space="preserve">. </w:t>
      </w:r>
      <w:r w:rsidR="00286C4D" w:rsidRPr="00E74D4F">
        <w:rPr>
          <w:rStyle w:val="st"/>
        </w:rPr>
        <w:t>In 2012, NGOs brought legal action against the EIA decision and the related order for preliminary</w:t>
      </w:r>
      <w:r w:rsidR="00286C4D" w:rsidRPr="00E74D4F" w:rsidDel="002A20BE">
        <w:rPr>
          <w:rStyle w:val="st"/>
        </w:rPr>
        <w:t xml:space="preserve"> </w:t>
      </w:r>
      <w:r w:rsidR="00286C4D" w:rsidRPr="00E74D4F">
        <w:rPr>
          <w:rStyle w:val="st"/>
        </w:rPr>
        <w:t xml:space="preserve">enforcement concerning the construction of a highway through a national park, financed among others by the </w:t>
      </w:r>
      <w:r w:rsidR="0094352D" w:rsidRPr="00E74D4F">
        <w:rPr>
          <w:rStyle w:val="st"/>
        </w:rPr>
        <w:t>European Union</w:t>
      </w:r>
      <w:r w:rsidR="00286C4D" w:rsidRPr="00E74D4F">
        <w:rPr>
          <w:rStyle w:val="st"/>
        </w:rPr>
        <w:t>, on the grounds that the EIA decision was based on an incomplete EIA report as to the assessment of the environmental impacts. In addition, the NGOs claimed that the order for preliminary</w:t>
      </w:r>
      <w:r w:rsidR="00286C4D" w:rsidRPr="00E74D4F" w:rsidDel="00666C97">
        <w:rPr>
          <w:rStyle w:val="st"/>
        </w:rPr>
        <w:t xml:space="preserve"> </w:t>
      </w:r>
      <w:r w:rsidR="00286C4D" w:rsidRPr="00E74D4F">
        <w:rPr>
          <w:rStyle w:val="st"/>
        </w:rPr>
        <w:t>enforcement failed to properly balance the interests at stake and to take into account the precautionary principle.</w:t>
      </w:r>
    </w:p>
    <w:p w14:paraId="403B24B5" w14:textId="4BD0B101" w:rsidR="00286C4D" w:rsidRPr="00E74D4F" w:rsidRDefault="00602DD7" w:rsidP="004C3A11">
      <w:pPr>
        <w:pStyle w:val="SingleTxtG"/>
        <w:ind w:left="1100"/>
        <w:rPr>
          <w:rStyle w:val="st"/>
          <w:u w:val="single"/>
        </w:rPr>
      </w:pPr>
      <w:r w:rsidRPr="00E74D4F">
        <w:rPr>
          <w:rStyle w:val="st"/>
        </w:rPr>
        <w:t>3</w:t>
      </w:r>
      <w:r w:rsidR="00174AF2" w:rsidRPr="00E74D4F">
        <w:rPr>
          <w:rStyle w:val="st"/>
        </w:rPr>
        <w:t>9</w:t>
      </w:r>
      <w:r w:rsidR="004C3A11" w:rsidRPr="00E74D4F">
        <w:rPr>
          <w:rStyle w:val="st"/>
        </w:rPr>
        <w:t xml:space="preserve">. </w:t>
      </w:r>
      <w:r w:rsidR="00286C4D" w:rsidRPr="00E74D4F">
        <w:rPr>
          <w:rStyle w:val="st"/>
        </w:rPr>
        <w:t xml:space="preserve">The Court confirmed that the order had been issued in compliance with APC article 60 because the construction of the highway was of high public interest and that, given the EIA </w:t>
      </w:r>
      <w:proofErr w:type="gramStart"/>
      <w:r w:rsidR="00286C4D" w:rsidRPr="00E74D4F">
        <w:rPr>
          <w:rStyle w:val="st"/>
        </w:rPr>
        <w:t>conclusions,</w:t>
      </w:r>
      <w:proofErr w:type="gramEnd"/>
      <w:r w:rsidR="00286C4D" w:rsidRPr="00E74D4F">
        <w:rPr>
          <w:rStyle w:val="st"/>
        </w:rPr>
        <w:t xml:space="preserve"> the applicants’ environmental concerns were not justified.</w:t>
      </w:r>
    </w:p>
    <w:p w14:paraId="37FC02A7" w14:textId="77777777" w:rsidR="006D10CC" w:rsidRPr="00E74D4F" w:rsidRDefault="00332A38" w:rsidP="006D10CC">
      <w:pPr>
        <w:spacing w:after="120"/>
        <w:ind w:left="1418" w:right="1134"/>
        <w:rPr>
          <w:rStyle w:val="st"/>
          <w:u w:val="single"/>
        </w:rPr>
      </w:pPr>
      <w:r w:rsidRPr="00E74D4F">
        <w:rPr>
          <w:rStyle w:val="st"/>
          <w:u w:val="single"/>
        </w:rPr>
        <w:t>(</w:t>
      </w:r>
      <w:r w:rsidR="00897F6A" w:rsidRPr="00E74D4F">
        <w:rPr>
          <w:rStyle w:val="st"/>
          <w:u w:val="single"/>
        </w:rPr>
        <w:t>e</w:t>
      </w:r>
      <w:r w:rsidRPr="00E74D4F">
        <w:rPr>
          <w:rStyle w:val="st"/>
          <w:u w:val="single"/>
        </w:rPr>
        <w:t xml:space="preserve">) </w:t>
      </w:r>
      <w:r w:rsidRPr="00E74D4F">
        <w:rPr>
          <w:rStyle w:val="st"/>
          <w:u w:val="single"/>
        </w:rPr>
        <w:tab/>
      </w:r>
      <w:r w:rsidR="00286C4D" w:rsidRPr="00E74D4F">
        <w:rPr>
          <w:rStyle w:val="st"/>
          <w:u w:val="single"/>
        </w:rPr>
        <w:t>Wind turbine parks</w:t>
      </w:r>
      <w:r w:rsidR="006D10CC" w:rsidRPr="00E74D4F">
        <w:rPr>
          <w:rStyle w:val="st"/>
          <w:u w:val="single"/>
        </w:rPr>
        <w:t xml:space="preserve"> (EIA decisions VA-4/2011, VA-7/2012, VA-8/2012, </w:t>
      </w:r>
      <w:proofErr w:type="gramStart"/>
      <w:r w:rsidR="006D10CC" w:rsidRPr="00E74D4F">
        <w:rPr>
          <w:rStyle w:val="st"/>
          <w:u w:val="single"/>
        </w:rPr>
        <w:t>VA</w:t>
      </w:r>
      <w:proofErr w:type="gramEnd"/>
      <w:r w:rsidR="006D10CC" w:rsidRPr="00E74D4F">
        <w:rPr>
          <w:rStyle w:val="st"/>
          <w:u w:val="single"/>
        </w:rPr>
        <w:t>-13/201 of the Varna RIEW)</w:t>
      </w:r>
    </w:p>
    <w:p w14:paraId="59FEA4C5" w14:textId="20235B97" w:rsidR="00286C4D" w:rsidRPr="00E74D4F" w:rsidRDefault="00174AF2" w:rsidP="004C3A11">
      <w:pPr>
        <w:pStyle w:val="SingleTxtG"/>
        <w:ind w:left="1100"/>
        <w:rPr>
          <w:rStyle w:val="st"/>
        </w:rPr>
      </w:pPr>
      <w:r w:rsidRPr="00E74D4F">
        <w:rPr>
          <w:rStyle w:val="st"/>
        </w:rPr>
        <w:t>40</w:t>
      </w:r>
      <w:r w:rsidR="004C3A11" w:rsidRPr="00E74D4F">
        <w:rPr>
          <w:rStyle w:val="st"/>
        </w:rPr>
        <w:t xml:space="preserve">. </w:t>
      </w:r>
      <w:r w:rsidR="00286C4D" w:rsidRPr="00E74D4F">
        <w:rPr>
          <w:rStyle w:val="st"/>
        </w:rPr>
        <w:t>In 2012, NGOs brought legal action against the EIA decision</w:t>
      </w:r>
      <w:r w:rsidR="0067770F" w:rsidRPr="00E74D4F">
        <w:rPr>
          <w:rStyle w:val="st"/>
        </w:rPr>
        <w:t>s</w:t>
      </w:r>
      <w:r w:rsidR="00286C4D" w:rsidRPr="00E74D4F">
        <w:rPr>
          <w:rStyle w:val="st"/>
        </w:rPr>
        <w:t xml:space="preserve"> and orders for preliminary</w:t>
      </w:r>
      <w:r w:rsidR="00286C4D" w:rsidRPr="00E74D4F" w:rsidDel="00666C97">
        <w:rPr>
          <w:rStyle w:val="st"/>
        </w:rPr>
        <w:t xml:space="preserve"> </w:t>
      </w:r>
      <w:r w:rsidR="00286C4D" w:rsidRPr="00E74D4F">
        <w:rPr>
          <w:rStyle w:val="st"/>
        </w:rPr>
        <w:t xml:space="preserve">enforcement concerning the construction of wind turbine parks in Via </w:t>
      </w:r>
      <w:proofErr w:type="spellStart"/>
      <w:r w:rsidR="00286C4D" w:rsidRPr="00E74D4F">
        <w:rPr>
          <w:rStyle w:val="st"/>
        </w:rPr>
        <w:t>Pontica</w:t>
      </w:r>
      <w:proofErr w:type="spellEnd"/>
      <w:r w:rsidR="00286C4D" w:rsidRPr="00E74D4F">
        <w:rPr>
          <w:rStyle w:val="st"/>
        </w:rPr>
        <w:t>, the second largest bird migration route in Europe.</w:t>
      </w:r>
      <w:r w:rsidR="00286C4D" w:rsidRPr="00E74D4F">
        <w:rPr>
          <w:rStyle w:val="FootnoteReference"/>
        </w:rPr>
        <w:footnoteReference w:id="33"/>
      </w:r>
      <w:r w:rsidR="00286C4D" w:rsidRPr="00E74D4F">
        <w:rPr>
          <w:rStyle w:val="st"/>
        </w:rPr>
        <w:t xml:space="preserve"> The NGOs claimed that the EIA decisions were based on an incomplete EIA report regarding the assessment of the environmental impact</w:t>
      </w:r>
      <w:r w:rsidR="0067770F" w:rsidRPr="00E74D4F">
        <w:rPr>
          <w:rStyle w:val="st"/>
        </w:rPr>
        <w:t>s</w:t>
      </w:r>
      <w:r w:rsidR="00286C4D" w:rsidRPr="00E74D4F">
        <w:rPr>
          <w:rStyle w:val="st"/>
        </w:rPr>
        <w:t xml:space="preserve"> and the order</w:t>
      </w:r>
      <w:r w:rsidR="0067770F" w:rsidRPr="00E74D4F">
        <w:rPr>
          <w:rStyle w:val="st"/>
        </w:rPr>
        <w:t>s</w:t>
      </w:r>
      <w:r w:rsidR="00286C4D" w:rsidRPr="00E74D4F">
        <w:rPr>
          <w:rStyle w:val="st"/>
        </w:rPr>
        <w:t xml:space="preserve"> had failed to properly balance the interests at stake and to take into account the precautionary principle.</w:t>
      </w:r>
    </w:p>
    <w:p w14:paraId="19040D2F" w14:textId="077D7CBC" w:rsidR="00286C4D" w:rsidRPr="00E74D4F" w:rsidRDefault="00174AF2" w:rsidP="004C3A11">
      <w:pPr>
        <w:pStyle w:val="SingleTxtG"/>
        <w:ind w:left="1100"/>
        <w:rPr>
          <w:rStyle w:val="st"/>
          <w:b/>
          <w:i/>
        </w:rPr>
      </w:pPr>
      <w:r w:rsidRPr="00E74D4F">
        <w:rPr>
          <w:rStyle w:val="st"/>
        </w:rPr>
        <w:t>41</w:t>
      </w:r>
      <w:r w:rsidR="004C3A11" w:rsidRPr="00E74D4F">
        <w:rPr>
          <w:rStyle w:val="st"/>
        </w:rPr>
        <w:t xml:space="preserve">. </w:t>
      </w:r>
      <w:r w:rsidR="00286C4D" w:rsidRPr="00E74D4F">
        <w:rPr>
          <w:rStyle w:val="st"/>
        </w:rPr>
        <w:t>At the first instance, the Court followed a slightly different approach to the courts in the cases mentioned above, because it found that the order should actually be based on the protection of the particular interest of the developer</w:t>
      </w:r>
      <w:r w:rsidR="00286C4D" w:rsidRPr="00E74D4F" w:rsidDel="00AD0BC6">
        <w:rPr>
          <w:rStyle w:val="st"/>
        </w:rPr>
        <w:t xml:space="preserve"> </w:t>
      </w:r>
      <w:r w:rsidR="00286C4D" w:rsidRPr="00E74D4F">
        <w:rPr>
          <w:rStyle w:val="st"/>
        </w:rPr>
        <w:t>rather than the grounds which had been invoked by the authority</w:t>
      </w:r>
      <w:r w:rsidR="00286C4D" w:rsidRPr="00E74D4F">
        <w:rPr>
          <w:rStyle w:val="st"/>
          <w:lang w:val="en-US"/>
        </w:rPr>
        <w:t xml:space="preserve"> to justify it</w:t>
      </w:r>
      <w:r w:rsidR="00286C4D" w:rsidRPr="00E74D4F">
        <w:rPr>
          <w:rStyle w:val="st"/>
        </w:rPr>
        <w:t>.</w:t>
      </w:r>
      <w:r w:rsidR="00286C4D" w:rsidRPr="00E74D4F">
        <w:rPr>
          <w:rStyle w:val="FootnoteReference"/>
        </w:rPr>
        <w:footnoteReference w:id="34"/>
      </w:r>
      <w:r w:rsidR="00286C4D" w:rsidRPr="00E74D4F">
        <w:rPr>
          <w:rStyle w:val="st"/>
        </w:rPr>
        <w:t xml:space="preserve">The Court still did not consider any environmental concerns </w:t>
      </w:r>
      <w:proofErr w:type="gramStart"/>
      <w:r w:rsidR="00286C4D" w:rsidRPr="00E74D4F">
        <w:rPr>
          <w:rStyle w:val="st"/>
        </w:rPr>
        <w:t>raised</w:t>
      </w:r>
      <w:proofErr w:type="gramEnd"/>
      <w:r w:rsidR="00286C4D" w:rsidRPr="00E74D4F">
        <w:rPr>
          <w:rStyle w:val="st"/>
        </w:rPr>
        <w:t xml:space="preserve">. At the second instance, the case was closed because the EIA decision had been repealed by the Ministry in the meantime, according to the communicant, </w:t>
      </w:r>
      <w:r w:rsidR="00286C4D" w:rsidRPr="00E74D4F">
        <w:rPr>
          <w:lang w:val="en-US"/>
        </w:rPr>
        <w:t>because of severe violations of environmental law</w:t>
      </w:r>
      <w:r w:rsidR="00286C4D" w:rsidRPr="00E74D4F">
        <w:rPr>
          <w:rStyle w:val="st"/>
        </w:rPr>
        <w:t>.</w:t>
      </w:r>
      <w:r w:rsidR="00286C4D" w:rsidRPr="00E74D4F">
        <w:rPr>
          <w:rStyle w:val="FootnoteReference"/>
        </w:rPr>
        <w:footnoteReference w:id="35"/>
      </w:r>
    </w:p>
    <w:p w14:paraId="4B7A81F7" w14:textId="7426F9B5" w:rsidR="00286C4D" w:rsidRPr="00E74D4F" w:rsidRDefault="00174AF2" w:rsidP="004C3A11">
      <w:pPr>
        <w:pStyle w:val="SingleTxtG"/>
        <w:ind w:left="1100"/>
        <w:rPr>
          <w:rStyle w:val="st"/>
        </w:rPr>
      </w:pPr>
      <w:r w:rsidRPr="00E74D4F">
        <w:rPr>
          <w:rStyle w:val="st"/>
        </w:rPr>
        <w:t>42</w:t>
      </w:r>
      <w:r w:rsidR="004C3A11" w:rsidRPr="00E74D4F">
        <w:rPr>
          <w:rStyle w:val="st"/>
        </w:rPr>
        <w:t xml:space="preserve">. </w:t>
      </w:r>
      <w:r w:rsidR="00CA5C01" w:rsidRPr="00E74D4F">
        <w:rPr>
          <w:rStyle w:val="st"/>
        </w:rPr>
        <w:t>The communicant submits that, i</w:t>
      </w:r>
      <w:r w:rsidR="00911DFF" w:rsidRPr="00E74D4F">
        <w:rPr>
          <w:rStyle w:val="st"/>
        </w:rPr>
        <w:t xml:space="preserve">n contrast to the approach taken by the courts when reviewing orders for preliminary enforcement of EIA/SEA decisions, when considering whether to uphold preliminary enforcement of decisions suspending activities, the courts correctly take into account the protection of the environment. The communicant refers to </w:t>
      </w:r>
      <w:r w:rsidR="00286C4D" w:rsidRPr="00E74D4F">
        <w:rPr>
          <w:rStyle w:val="st"/>
        </w:rPr>
        <w:t xml:space="preserve">cases where </w:t>
      </w:r>
      <w:r w:rsidR="00911DFF" w:rsidRPr="00E74D4F">
        <w:rPr>
          <w:rStyle w:val="st"/>
        </w:rPr>
        <w:t xml:space="preserve">the </w:t>
      </w:r>
      <w:r w:rsidR="00286C4D" w:rsidRPr="00E74D4F">
        <w:rPr>
          <w:rStyle w:val="st"/>
        </w:rPr>
        <w:t xml:space="preserve">public authorities </w:t>
      </w:r>
      <w:r w:rsidR="00911DFF" w:rsidRPr="00E74D4F">
        <w:rPr>
          <w:rStyle w:val="st"/>
        </w:rPr>
        <w:t xml:space="preserve">had </w:t>
      </w:r>
      <w:r w:rsidR="00286C4D" w:rsidRPr="00E74D4F">
        <w:rPr>
          <w:rStyle w:val="st"/>
        </w:rPr>
        <w:t>issued decisions obligating the cessation of certain illegal environmentally harmful activities, such as construction in a protected area</w:t>
      </w:r>
      <w:r w:rsidR="0067770F" w:rsidRPr="00E74D4F">
        <w:rPr>
          <w:rStyle w:val="st"/>
        </w:rPr>
        <w:t xml:space="preserve"> </w:t>
      </w:r>
      <w:r w:rsidR="00286C4D" w:rsidRPr="00E74D4F">
        <w:rPr>
          <w:rStyle w:val="st"/>
        </w:rPr>
        <w:t>and orders for preliminary</w:t>
      </w:r>
      <w:r w:rsidR="00286C4D" w:rsidRPr="00E74D4F" w:rsidDel="00666C97">
        <w:rPr>
          <w:rStyle w:val="st"/>
        </w:rPr>
        <w:t xml:space="preserve"> </w:t>
      </w:r>
      <w:r w:rsidR="00286C4D" w:rsidRPr="00E74D4F">
        <w:rPr>
          <w:rStyle w:val="st"/>
        </w:rPr>
        <w:t>enforcement of these suspension orders under APC article 60.</w:t>
      </w:r>
      <w:r w:rsidR="00286C4D" w:rsidRPr="00E74D4F">
        <w:rPr>
          <w:rStyle w:val="st"/>
          <w:vertAlign w:val="superscript"/>
        </w:rPr>
        <w:footnoteReference w:id="36"/>
      </w:r>
      <w:r w:rsidR="00286C4D" w:rsidRPr="00E74D4F">
        <w:rPr>
          <w:rStyle w:val="st"/>
          <w:vertAlign w:val="superscript"/>
        </w:rPr>
        <w:t xml:space="preserve"> </w:t>
      </w:r>
      <w:r w:rsidR="00286C4D" w:rsidRPr="00E74D4F">
        <w:rPr>
          <w:rStyle w:val="st"/>
        </w:rPr>
        <w:t xml:space="preserve">When </w:t>
      </w:r>
      <w:r w:rsidR="00911DFF" w:rsidRPr="00E74D4F">
        <w:rPr>
          <w:rStyle w:val="st"/>
        </w:rPr>
        <w:t xml:space="preserve">the </w:t>
      </w:r>
      <w:r w:rsidR="00286C4D" w:rsidRPr="00E74D4F">
        <w:rPr>
          <w:rStyle w:val="st"/>
        </w:rPr>
        <w:t>developers challenged the order for preliminary enforcement, the courts found that the private interests of the developers were subordinate to the public interest</w:t>
      </w:r>
      <w:r w:rsidR="0094352D" w:rsidRPr="00E74D4F">
        <w:rPr>
          <w:rStyle w:val="st"/>
        </w:rPr>
        <w:t xml:space="preserve"> in the protection of the environment</w:t>
      </w:r>
      <w:r w:rsidR="00286C4D" w:rsidRPr="00E74D4F">
        <w:rPr>
          <w:rStyle w:val="st"/>
        </w:rPr>
        <w:t>.</w:t>
      </w:r>
      <w:r w:rsidR="00286C4D" w:rsidRPr="00E74D4F">
        <w:rPr>
          <w:rStyle w:val="st"/>
          <w:vertAlign w:val="superscript"/>
        </w:rPr>
        <w:footnoteReference w:id="37"/>
      </w:r>
    </w:p>
    <w:p w14:paraId="35D8BBEB" w14:textId="1646848D" w:rsidR="00555B54" w:rsidRPr="00E74D4F" w:rsidRDefault="00E14EF5" w:rsidP="004C3A11">
      <w:pPr>
        <w:pStyle w:val="SingleTxtG"/>
        <w:ind w:left="1100"/>
        <w:rPr>
          <w:rStyle w:val="st"/>
        </w:rPr>
      </w:pPr>
      <w:r w:rsidRPr="00E74D4F">
        <w:rPr>
          <w:rStyle w:val="st"/>
        </w:rPr>
        <w:t>4</w:t>
      </w:r>
      <w:r w:rsidR="00174AF2" w:rsidRPr="00E74D4F">
        <w:rPr>
          <w:rStyle w:val="st"/>
        </w:rPr>
        <w:t>3</w:t>
      </w:r>
      <w:r w:rsidR="004C3A11" w:rsidRPr="00E74D4F">
        <w:rPr>
          <w:rStyle w:val="st"/>
        </w:rPr>
        <w:t xml:space="preserve">. </w:t>
      </w:r>
      <w:r w:rsidR="00555B54" w:rsidRPr="00E74D4F">
        <w:rPr>
          <w:rStyle w:val="st"/>
        </w:rPr>
        <w:t xml:space="preserve">The Party concerned </w:t>
      </w:r>
      <w:r w:rsidR="00110563" w:rsidRPr="00E74D4F">
        <w:rPr>
          <w:rStyle w:val="st"/>
        </w:rPr>
        <w:t xml:space="preserve">submits </w:t>
      </w:r>
      <w:r w:rsidR="00555B54" w:rsidRPr="00E74D4F">
        <w:rPr>
          <w:rStyle w:val="st"/>
        </w:rPr>
        <w:t xml:space="preserve">that issuing </w:t>
      </w:r>
      <w:r w:rsidR="000E613D" w:rsidRPr="00E74D4F">
        <w:rPr>
          <w:rStyle w:val="st"/>
        </w:rPr>
        <w:t>a</w:t>
      </w:r>
      <w:r w:rsidR="00666C97" w:rsidRPr="00E74D4F">
        <w:rPr>
          <w:rStyle w:val="st"/>
        </w:rPr>
        <w:t>n</w:t>
      </w:r>
      <w:r w:rsidR="00555B54" w:rsidRPr="00E74D4F">
        <w:rPr>
          <w:rStyle w:val="st"/>
        </w:rPr>
        <w:t xml:space="preserve"> </w:t>
      </w:r>
      <w:r w:rsidR="00666C97" w:rsidRPr="00E74D4F">
        <w:rPr>
          <w:rStyle w:val="st"/>
        </w:rPr>
        <w:t>order for preliminary</w:t>
      </w:r>
      <w:r w:rsidR="00666C97" w:rsidRPr="00E74D4F" w:rsidDel="00666C97">
        <w:rPr>
          <w:rStyle w:val="st"/>
        </w:rPr>
        <w:t xml:space="preserve"> </w:t>
      </w:r>
      <w:r w:rsidR="00555B54" w:rsidRPr="00E74D4F">
        <w:rPr>
          <w:rStyle w:val="st"/>
        </w:rPr>
        <w:t>enforcement is “not established uniform practice and is allowed rather exceptionally”</w:t>
      </w:r>
      <w:r w:rsidR="00110563" w:rsidRPr="00E74D4F">
        <w:rPr>
          <w:rStyle w:val="st"/>
        </w:rPr>
        <w:t>.</w:t>
      </w:r>
      <w:r w:rsidR="004604CA" w:rsidRPr="00E74D4F">
        <w:rPr>
          <w:rStyle w:val="FootnoteReference"/>
        </w:rPr>
        <w:footnoteReference w:id="38"/>
      </w:r>
      <w:r w:rsidR="00555B54" w:rsidRPr="00E74D4F">
        <w:rPr>
          <w:rStyle w:val="st"/>
        </w:rPr>
        <w:t xml:space="preserve"> </w:t>
      </w:r>
      <w:r w:rsidR="000E613D" w:rsidRPr="00E74D4F">
        <w:rPr>
          <w:rStyle w:val="st"/>
        </w:rPr>
        <w:t>A</w:t>
      </w:r>
      <w:r w:rsidR="00555B54" w:rsidRPr="00E74D4F">
        <w:rPr>
          <w:rStyle w:val="st"/>
        </w:rPr>
        <w:t xml:space="preserve">ccording to the Party concerned, in the period 2009-2013 a total of 93 EIA decisions were issued and only 11 of them included </w:t>
      </w:r>
      <w:r w:rsidR="00666C97" w:rsidRPr="00E74D4F">
        <w:rPr>
          <w:rStyle w:val="st"/>
        </w:rPr>
        <w:t>an order for preliminary</w:t>
      </w:r>
      <w:r w:rsidR="00666C97" w:rsidRPr="00E74D4F" w:rsidDel="00666C97">
        <w:rPr>
          <w:rStyle w:val="st"/>
        </w:rPr>
        <w:t xml:space="preserve"> </w:t>
      </w:r>
      <w:r w:rsidR="00555B54" w:rsidRPr="00E74D4F">
        <w:rPr>
          <w:rStyle w:val="st"/>
        </w:rPr>
        <w:t>enforcement. Similarly, in the period of 2011-2013 a total of 53 SEA decisions were issued and only 3 of them included a</w:t>
      </w:r>
      <w:r w:rsidR="00666C97" w:rsidRPr="00E74D4F">
        <w:rPr>
          <w:rStyle w:val="st"/>
        </w:rPr>
        <w:t>n</w:t>
      </w:r>
      <w:r w:rsidR="00555B54" w:rsidRPr="00E74D4F">
        <w:rPr>
          <w:rStyle w:val="st"/>
        </w:rPr>
        <w:t xml:space="preserve"> </w:t>
      </w:r>
      <w:r w:rsidR="00666C97" w:rsidRPr="00E74D4F">
        <w:rPr>
          <w:rStyle w:val="st"/>
        </w:rPr>
        <w:t>order for preliminary</w:t>
      </w:r>
      <w:r w:rsidR="00666C97" w:rsidRPr="00E74D4F" w:rsidDel="00666C97">
        <w:rPr>
          <w:rStyle w:val="st"/>
        </w:rPr>
        <w:t xml:space="preserve"> </w:t>
      </w:r>
      <w:r w:rsidR="00555B54" w:rsidRPr="00E74D4F">
        <w:rPr>
          <w:rStyle w:val="st"/>
        </w:rPr>
        <w:t>enforcement.</w:t>
      </w:r>
      <w:r w:rsidR="004604CA" w:rsidRPr="00E74D4F">
        <w:rPr>
          <w:rStyle w:val="FootnoteReference"/>
        </w:rPr>
        <w:footnoteReference w:id="39"/>
      </w:r>
      <w:r w:rsidR="00555B54" w:rsidRPr="00E74D4F">
        <w:rPr>
          <w:rStyle w:val="st"/>
        </w:rPr>
        <w:t xml:space="preserve"> </w:t>
      </w:r>
    </w:p>
    <w:p w14:paraId="53E5304A" w14:textId="77777777" w:rsidR="004C3A11" w:rsidRPr="00E74D4F" w:rsidRDefault="004C3A11" w:rsidP="004C3A11">
      <w:pPr>
        <w:pStyle w:val="SingleTxtG"/>
        <w:ind w:left="1100"/>
      </w:pPr>
    </w:p>
    <w:p w14:paraId="56AE0262" w14:textId="77777777" w:rsidR="00555B54" w:rsidRPr="00E74D4F" w:rsidRDefault="00E06979" w:rsidP="002D7DD0">
      <w:pPr>
        <w:pStyle w:val="SingleTxtG"/>
        <w:rPr>
          <w:b/>
        </w:rPr>
      </w:pPr>
      <w:r w:rsidRPr="00E74D4F">
        <w:rPr>
          <w:b/>
        </w:rPr>
        <w:t>Role of the</w:t>
      </w:r>
      <w:r w:rsidR="002D7DD0" w:rsidRPr="00E74D4F">
        <w:rPr>
          <w:b/>
        </w:rPr>
        <w:t xml:space="preserve"> public authorities</w:t>
      </w:r>
    </w:p>
    <w:p w14:paraId="6C9E4589" w14:textId="2A57C900" w:rsidR="00555B54" w:rsidRPr="00E74D4F" w:rsidRDefault="00E14EF5" w:rsidP="004C3A11">
      <w:pPr>
        <w:pStyle w:val="SingleTxtG"/>
        <w:ind w:left="1100"/>
      </w:pPr>
      <w:r w:rsidRPr="00E74D4F">
        <w:t>4</w:t>
      </w:r>
      <w:r w:rsidR="00174AF2" w:rsidRPr="00E74D4F">
        <w:t>4</w:t>
      </w:r>
      <w:r w:rsidR="004C3A11" w:rsidRPr="00E74D4F">
        <w:t xml:space="preserve">. </w:t>
      </w:r>
      <w:r w:rsidR="00555B54" w:rsidRPr="00E74D4F">
        <w:t xml:space="preserve">The communicant alleges that environmental authorities usually grant </w:t>
      </w:r>
      <w:r w:rsidR="00555B54" w:rsidRPr="00E74D4F">
        <w:rPr>
          <w:rStyle w:val="st"/>
        </w:rPr>
        <w:t>a</w:t>
      </w:r>
      <w:r w:rsidR="00666C97" w:rsidRPr="00E74D4F">
        <w:rPr>
          <w:rStyle w:val="st"/>
        </w:rPr>
        <w:t>n</w:t>
      </w:r>
      <w:r w:rsidR="00555B54" w:rsidRPr="00E74D4F">
        <w:rPr>
          <w:rStyle w:val="st"/>
        </w:rPr>
        <w:t xml:space="preserve"> </w:t>
      </w:r>
      <w:r w:rsidR="00666C97" w:rsidRPr="00E74D4F">
        <w:rPr>
          <w:rStyle w:val="st"/>
        </w:rPr>
        <w:t>order for preliminary</w:t>
      </w:r>
      <w:r w:rsidR="00666C97" w:rsidRPr="00E74D4F" w:rsidDel="00666C97">
        <w:rPr>
          <w:rStyle w:val="st"/>
        </w:rPr>
        <w:t xml:space="preserve"> </w:t>
      </w:r>
      <w:r w:rsidR="00555B54" w:rsidRPr="00E74D4F">
        <w:t xml:space="preserve">enforcement either without any </w:t>
      </w:r>
      <w:r w:rsidR="00D57A3C" w:rsidRPr="00E74D4F">
        <w:t xml:space="preserve">reasoning </w:t>
      </w:r>
      <w:r w:rsidR="00555B54" w:rsidRPr="00E74D4F">
        <w:t>at all or with a blanket reference to</w:t>
      </w:r>
      <w:r w:rsidR="00F008B7" w:rsidRPr="00E74D4F">
        <w:t xml:space="preserve"> </w:t>
      </w:r>
      <w:r w:rsidR="0036619B" w:rsidRPr="00E74D4F">
        <w:t xml:space="preserve">APC article 60 or </w:t>
      </w:r>
      <w:r w:rsidR="00F008B7" w:rsidRPr="00E74D4F">
        <w:t>“the protection of a particularly important interest of the developer</w:t>
      </w:r>
      <w:r w:rsidR="003C12C4" w:rsidRPr="00E74D4F">
        <w:t>”</w:t>
      </w:r>
      <w:r w:rsidR="0036619B" w:rsidRPr="00E74D4F">
        <w:t xml:space="preserve"> </w:t>
      </w:r>
      <w:r w:rsidR="00555B54" w:rsidRPr="00E74D4F">
        <w:t xml:space="preserve">and without making </w:t>
      </w:r>
      <w:r w:rsidR="00C071FE" w:rsidRPr="00E74D4F">
        <w:t xml:space="preserve">a </w:t>
      </w:r>
      <w:r w:rsidR="00555B54" w:rsidRPr="00E74D4F">
        <w:t>proper bala</w:t>
      </w:r>
      <w:r w:rsidR="00C071FE" w:rsidRPr="00E74D4F">
        <w:t>ncing</w:t>
      </w:r>
      <w:r w:rsidR="00555B54" w:rsidRPr="00E74D4F">
        <w:t xml:space="preserve"> of </w:t>
      </w:r>
      <w:r w:rsidR="00C071FE" w:rsidRPr="00E74D4F">
        <w:t xml:space="preserve">the </w:t>
      </w:r>
      <w:r w:rsidR="00555B54" w:rsidRPr="00E74D4F">
        <w:t>interests in the light of the precautionary principle.</w:t>
      </w:r>
      <w:r w:rsidR="00F008B7" w:rsidRPr="00E74D4F">
        <w:rPr>
          <w:rStyle w:val="FootnoteReference"/>
        </w:rPr>
        <w:footnoteReference w:id="40"/>
      </w:r>
      <w:r w:rsidR="00497699" w:rsidRPr="00E74D4F">
        <w:t xml:space="preserve"> The communicant contends that </w:t>
      </w:r>
      <w:r w:rsidR="00555B54" w:rsidRPr="00E74D4F">
        <w:rPr>
          <w:bCs/>
        </w:rPr>
        <w:t xml:space="preserve">the authorities routinely grant </w:t>
      </w:r>
      <w:r w:rsidR="003C12C4" w:rsidRPr="00E74D4F">
        <w:rPr>
          <w:bCs/>
        </w:rPr>
        <w:t xml:space="preserve">an </w:t>
      </w:r>
      <w:r w:rsidR="00666C97" w:rsidRPr="00E74D4F">
        <w:rPr>
          <w:rStyle w:val="st"/>
        </w:rPr>
        <w:t>order for preliminary</w:t>
      </w:r>
      <w:r w:rsidR="00666C97" w:rsidRPr="00E74D4F" w:rsidDel="00666C97">
        <w:rPr>
          <w:bCs/>
        </w:rPr>
        <w:t xml:space="preserve"> </w:t>
      </w:r>
      <w:r w:rsidR="00555B54" w:rsidRPr="00E74D4F">
        <w:t xml:space="preserve">enforcement </w:t>
      </w:r>
      <w:r w:rsidR="00555B54" w:rsidRPr="00E74D4F">
        <w:rPr>
          <w:bCs/>
        </w:rPr>
        <w:t xml:space="preserve">making only a formal reference to the conditions in </w:t>
      </w:r>
      <w:r w:rsidR="00AD5E3E" w:rsidRPr="00E74D4F">
        <w:rPr>
          <w:bCs/>
        </w:rPr>
        <w:t xml:space="preserve">APC </w:t>
      </w:r>
      <w:r w:rsidR="006B2570" w:rsidRPr="00E74D4F">
        <w:rPr>
          <w:bCs/>
        </w:rPr>
        <w:t>a</w:t>
      </w:r>
      <w:r w:rsidR="00555B54" w:rsidRPr="00E74D4F">
        <w:t>rt</w:t>
      </w:r>
      <w:r w:rsidR="008D1C05" w:rsidRPr="00E74D4F">
        <w:t>icle</w:t>
      </w:r>
      <w:r w:rsidR="00555B54" w:rsidRPr="00E74D4F">
        <w:t xml:space="preserve"> 60 </w:t>
      </w:r>
      <w:r w:rsidR="00555B54" w:rsidRPr="00E74D4F">
        <w:rPr>
          <w:bCs/>
        </w:rPr>
        <w:t>without providing any</w:t>
      </w:r>
      <w:r w:rsidR="00555B54" w:rsidRPr="00E74D4F">
        <w:t xml:space="preserve"> </w:t>
      </w:r>
      <w:r w:rsidR="00555B54" w:rsidRPr="00E74D4F">
        <w:rPr>
          <w:bCs/>
        </w:rPr>
        <w:t>reasons to show that the actual situation satisfies these conditions.</w:t>
      </w:r>
      <w:r w:rsidR="00F008B7" w:rsidRPr="00E74D4F">
        <w:rPr>
          <w:rStyle w:val="FootnoteReference"/>
          <w:bCs/>
        </w:rPr>
        <w:footnoteReference w:id="41"/>
      </w:r>
      <w:r w:rsidR="00555B54" w:rsidRPr="00E74D4F">
        <w:rPr>
          <w:bCs/>
        </w:rPr>
        <w:t xml:space="preserve"> </w:t>
      </w:r>
      <w:r w:rsidR="00C071FE" w:rsidRPr="00E74D4F">
        <w:rPr>
          <w:bCs/>
        </w:rPr>
        <w:t>It states that t</w:t>
      </w:r>
      <w:r w:rsidR="00555B54" w:rsidRPr="00E74D4F">
        <w:rPr>
          <w:bCs/>
        </w:rPr>
        <w:t xml:space="preserve">here is </w:t>
      </w:r>
      <w:r w:rsidR="00555B54" w:rsidRPr="00E74D4F">
        <w:t xml:space="preserve">no obligation </w:t>
      </w:r>
      <w:r w:rsidR="006B2570" w:rsidRPr="00E74D4F">
        <w:t xml:space="preserve">on </w:t>
      </w:r>
      <w:r w:rsidR="00555B54" w:rsidRPr="00E74D4F">
        <w:t xml:space="preserve">the competent authority to perform </w:t>
      </w:r>
      <w:r w:rsidR="006B2570" w:rsidRPr="00E74D4F">
        <w:t xml:space="preserve">an </w:t>
      </w:r>
      <w:r w:rsidR="00555B54" w:rsidRPr="00E74D4F">
        <w:t xml:space="preserve">objective test in this respect. </w:t>
      </w:r>
    </w:p>
    <w:p w14:paraId="0EDE941B" w14:textId="04C6CC30" w:rsidR="00497699" w:rsidRPr="00E74D4F" w:rsidRDefault="00E14EF5" w:rsidP="004C3A11">
      <w:pPr>
        <w:pStyle w:val="SingleTxtG"/>
        <w:ind w:left="1100"/>
      </w:pPr>
      <w:r w:rsidRPr="00E74D4F">
        <w:t>4</w:t>
      </w:r>
      <w:r w:rsidR="00174AF2" w:rsidRPr="00E74D4F">
        <w:t>5</w:t>
      </w:r>
      <w:r w:rsidR="004C3A11" w:rsidRPr="00E74D4F">
        <w:t xml:space="preserve">. </w:t>
      </w:r>
      <w:r w:rsidR="00497699" w:rsidRPr="00E74D4F">
        <w:t>The Party concerned submits that</w:t>
      </w:r>
      <w:r w:rsidR="00C071FE" w:rsidRPr="00E74D4F">
        <w:t>,</w:t>
      </w:r>
      <w:r w:rsidR="00497699" w:rsidRPr="00E74D4F">
        <w:t xml:space="preserve"> when considering whether to issue orders for preliminary enforcement of EIA/SEA decisions</w:t>
      </w:r>
      <w:r w:rsidR="00C071FE" w:rsidRPr="00E74D4F">
        <w:t>,</w:t>
      </w:r>
      <w:r w:rsidR="00497699" w:rsidRPr="00E74D4F">
        <w:t xml:space="preserve"> the competent authorities take into account the results of the indep</w:t>
      </w:r>
      <w:r w:rsidR="00C071FE" w:rsidRPr="00E74D4F">
        <w:t>endent procedures</w:t>
      </w:r>
      <w:r w:rsidR="006D7B77" w:rsidRPr="00E74D4F">
        <w:t xml:space="preserve"> leading to tho</w:t>
      </w:r>
      <w:r w:rsidR="00497699" w:rsidRPr="00E74D4F">
        <w:t xml:space="preserve">se decisions, including </w:t>
      </w:r>
      <w:r w:rsidR="00C071FE" w:rsidRPr="00E74D4F">
        <w:t xml:space="preserve">the </w:t>
      </w:r>
      <w:r w:rsidR="00497699" w:rsidRPr="00E74D4F">
        <w:t>public participation</w:t>
      </w:r>
      <w:r w:rsidR="00C071FE" w:rsidRPr="00E74D4F">
        <w:t xml:space="preserve"> procedure</w:t>
      </w:r>
      <w:r w:rsidR="00497699" w:rsidRPr="00E74D4F">
        <w:t>.</w:t>
      </w:r>
      <w:r w:rsidR="00497699" w:rsidRPr="00E74D4F">
        <w:rPr>
          <w:rStyle w:val="FootnoteReference"/>
        </w:rPr>
        <w:footnoteReference w:id="42"/>
      </w:r>
      <w:r w:rsidR="00497699" w:rsidRPr="00E74D4F">
        <w:t xml:space="preserve"> It submits that quite often in such cases the public did not raise any objections to the proposed activity, in particular environmental concerns, during the public participation procedure</w:t>
      </w:r>
      <w:r w:rsidR="00497699" w:rsidRPr="00E74D4F">
        <w:rPr>
          <w:rStyle w:val="FootnoteReference"/>
        </w:rPr>
        <w:footnoteReference w:id="43"/>
      </w:r>
      <w:r w:rsidR="00497699" w:rsidRPr="00E74D4F">
        <w:t xml:space="preserve"> and </w:t>
      </w:r>
      <w:r w:rsidR="00C071FE" w:rsidRPr="00E74D4F">
        <w:t>in many cases</w:t>
      </w:r>
      <w:r w:rsidR="00497699" w:rsidRPr="00E74D4F">
        <w:t xml:space="preserve"> the reasons for challenging the EIA/SEA decision were related to its alleged illegality and not to environmental concerns.</w:t>
      </w:r>
    </w:p>
    <w:p w14:paraId="59C87BE3" w14:textId="77777777" w:rsidR="00174AF2" w:rsidRPr="00E74D4F" w:rsidRDefault="00174AF2" w:rsidP="004C3A11">
      <w:pPr>
        <w:pStyle w:val="SingleTxtG"/>
        <w:ind w:left="1100"/>
      </w:pPr>
    </w:p>
    <w:p w14:paraId="0BE482B0" w14:textId="471DEA5D" w:rsidR="002D7DD0" w:rsidRPr="00E74D4F" w:rsidRDefault="00E06979" w:rsidP="000C2290">
      <w:pPr>
        <w:pStyle w:val="SingleTxtG"/>
        <w:ind w:left="1100"/>
        <w:rPr>
          <w:b/>
          <w:bCs/>
          <w:iCs/>
        </w:rPr>
      </w:pPr>
      <w:r w:rsidRPr="00E74D4F">
        <w:rPr>
          <w:b/>
          <w:bCs/>
          <w:iCs/>
        </w:rPr>
        <w:t>Role of the</w:t>
      </w:r>
      <w:r w:rsidR="002D7DD0" w:rsidRPr="00E74D4F">
        <w:rPr>
          <w:b/>
          <w:bCs/>
          <w:iCs/>
        </w:rPr>
        <w:t xml:space="preserve"> courts</w:t>
      </w:r>
      <w:r w:rsidR="00174AF2" w:rsidRPr="00E74D4F">
        <w:rPr>
          <w:b/>
          <w:bCs/>
          <w:iCs/>
        </w:rPr>
        <w:t xml:space="preserve"> and other review bodies</w:t>
      </w:r>
    </w:p>
    <w:p w14:paraId="58765A3A" w14:textId="5993EFFA" w:rsidR="00C071FE" w:rsidRPr="00E74D4F" w:rsidRDefault="008F2BCE" w:rsidP="008F2BCE">
      <w:pPr>
        <w:pStyle w:val="SingleTxtG"/>
        <w:ind w:left="1100"/>
      </w:pPr>
      <w:r w:rsidRPr="00E74D4F">
        <w:t>4</w:t>
      </w:r>
      <w:r w:rsidR="00174AF2" w:rsidRPr="00E74D4F">
        <w:t>6</w:t>
      </w:r>
      <w:r w:rsidRPr="00E74D4F">
        <w:t xml:space="preserve">. </w:t>
      </w:r>
      <w:r w:rsidR="00C071FE" w:rsidRPr="00E74D4F">
        <w:t>The communicant alleges that neither the law nor judicial practice require authorities to examine whether upholding the order for preliminary</w:t>
      </w:r>
      <w:r w:rsidR="00C071FE" w:rsidRPr="00E74D4F" w:rsidDel="00666C97">
        <w:t xml:space="preserve"> </w:t>
      </w:r>
      <w:r w:rsidR="00C071FE" w:rsidRPr="00E74D4F">
        <w:t>enforcement (and thus allowing the activity to be implemented pending the appeal of the EIA/SEA decision) might have an irreversible impact on the environment.</w:t>
      </w:r>
      <w:r w:rsidR="00C071FE" w:rsidRPr="00E74D4F">
        <w:rPr>
          <w:vertAlign w:val="superscript"/>
        </w:rPr>
        <w:footnoteReference w:id="44"/>
      </w:r>
      <w:r w:rsidR="00C071FE" w:rsidRPr="00E74D4F">
        <w:t xml:space="preserve"> According to the communicant, there is a striking difference in this respect between the practice regarding orders for preliminary enforcement of EIA/SEA decisions and orders which ban rather than permit an activity. In the latter, APC article 60 is interpreted correctly to cover environmental issues as overriding reasons of public interest.</w:t>
      </w:r>
      <w:r w:rsidR="00C071FE" w:rsidRPr="00E74D4F">
        <w:rPr>
          <w:vertAlign w:val="superscript"/>
        </w:rPr>
        <w:footnoteReference w:id="45"/>
      </w:r>
    </w:p>
    <w:p w14:paraId="4F703710" w14:textId="27D6312E" w:rsidR="00F85525" w:rsidRPr="00E74D4F" w:rsidRDefault="00E14EF5" w:rsidP="008F2BCE">
      <w:pPr>
        <w:pStyle w:val="SingleTxtG"/>
        <w:ind w:left="1100"/>
      </w:pPr>
      <w:r w:rsidRPr="00E74D4F">
        <w:t>4</w:t>
      </w:r>
      <w:r w:rsidR="00174AF2" w:rsidRPr="00E74D4F">
        <w:t>7</w:t>
      </w:r>
      <w:r w:rsidR="008F2BCE" w:rsidRPr="00E74D4F">
        <w:t xml:space="preserve">. </w:t>
      </w:r>
      <w:r w:rsidR="00F85525" w:rsidRPr="00E74D4F">
        <w:t xml:space="preserve">The communicant </w:t>
      </w:r>
      <w:r w:rsidR="00CD13CF" w:rsidRPr="00E74D4F">
        <w:t xml:space="preserve">contends that the </w:t>
      </w:r>
      <w:r w:rsidR="00CD13CF" w:rsidRPr="00E74D4F">
        <w:rPr>
          <w:bCs/>
        </w:rPr>
        <w:t xml:space="preserve">courts interpret APC article 60 as allowing them to review an </w:t>
      </w:r>
      <w:r w:rsidR="00CD13CF" w:rsidRPr="00E74D4F">
        <w:rPr>
          <w:rStyle w:val="st"/>
        </w:rPr>
        <w:t>order for preliminary</w:t>
      </w:r>
      <w:r w:rsidR="00CD13CF" w:rsidRPr="00E74D4F" w:rsidDel="00666C97">
        <w:rPr>
          <w:bCs/>
        </w:rPr>
        <w:t xml:space="preserve"> </w:t>
      </w:r>
      <w:r w:rsidR="00C071FE" w:rsidRPr="00E74D4F">
        <w:rPr>
          <w:bCs/>
        </w:rPr>
        <w:t xml:space="preserve">enforcement </w:t>
      </w:r>
      <w:r w:rsidR="00CD13CF" w:rsidRPr="00E74D4F">
        <w:rPr>
          <w:bCs/>
        </w:rPr>
        <w:t xml:space="preserve">only for a formal correspondence of the reasons given with the grounds listed in </w:t>
      </w:r>
      <w:r w:rsidR="00183FE8" w:rsidRPr="00E74D4F">
        <w:rPr>
          <w:bCs/>
        </w:rPr>
        <w:t xml:space="preserve">APC </w:t>
      </w:r>
      <w:r w:rsidR="00CD13CF" w:rsidRPr="00E74D4F">
        <w:rPr>
          <w:bCs/>
        </w:rPr>
        <w:t xml:space="preserve">article 60 (1) and no examination of the actual facts is </w:t>
      </w:r>
      <w:r w:rsidR="00C071FE" w:rsidRPr="00E74D4F">
        <w:rPr>
          <w:bCs/>
        </w:rPr>
        <w:t>made</w:t>
      </w:r>
      <w:r w:rsidR="00CD13CF" w:rsidRPr="00E74D4F">
        <w:rPr>
          <w:rStyle w:val="FootnoteReference"/>
          <w:bCs/>
        </w:rPr>
        <w:footnoteReference w:id="46"/>
      </w:r>
      <w:r w:rsidR="00483CAE" w:rsidRPr="00E74D4F">
        <w:t xml:space="preserve"> </w:t>
      </w:r>
      <w:r w:rsidR="00CD13CF" w:rsidRPr="00E74D4F">
        <w:t>and that t</w:t>
      </w:r>
      <w:r w:rsidR="00483CAE" w:rsidRPr="00E74D4F">
        <w:t xml:space="preserve">he courts </w:t>
      </w:r>
      <w:r w:rsidR="00761AD8" w:rsidRPr="00E74D4F">
        <w:t>accordingly</w:t>
      </w:r>
      <w:r w:rsidR="00CD13CF" w:rsidRPr="00E74D4F">
        <w:t xml:space="preserve"> </w:t>
      </w:r>
      <w:r w:rsidR="00F85525" w:rsidRPr="00E74D4F">
        <w:t xml:space="preserve">usually find that the criteria </w:t>
      </w:r>
      <w:r w:rsidR="00CD13CF" w:rsidRPr="00E74D4F">
        <w:t xml:space="preserve">of </w:t>
      </w:r>
      <w:r w:rsidR="006B2570" w:rsidRPr="00E74D4F">
        <w:t>a</w:t>
      </w:r>
      <w:r w:rsidR="00F85525" w:rsidRPr="00E74D4F">
        <w:t>rt</w:t>
      </w:r>
      <w:r w:rsidR="00666C97" w:rsidRPr="00E74D4F">
        <w:t>icle</w:t>
      </w:r>
      <w:r w:rsidR="00F85525" w:rsidRPr="00E74D4F">
        <w:t xml:space="preserve"> 60 are met</w:t>
      </w:r>
      <w:r w:rsidR="00CD13CF" w:rsidRPr="00E74D4F">
        <w:t xml:space="preserve"> and uphold the order</w:t>
      </w:r>
      <w:r w:rsidR="00F85525" w:rsidRPr="00E74D4F">
        <w:t>.</w:t>
      </w:r>
      <w:r w:rsidR="008A6AC5" w:rsidRPr="00E74D4F">
        <w:rPr>
          <w:rStyle w:val="FootnoteReference"/>
        </w:rPr>
        <w:footnoteReference w:id="47"/>
      </w:r>
      <w:r w:rsidR="00F85525" w:rsidRPr="00E74D4F">
        <w:t xml:space="preserve"> </w:t>
      </w:r>
    </w:p>
    <w:p w14:paraId="1EFD5268" w14:textId="06474259" w:rsidR="00555B54" w:rsidRPr="00E74D4F" w:rsidRDefault="00E14EF5" w:rsidP="008F2BCE">
      <w:pPr>
        <w:pStyle w:val="SingleTxtG"/>
        <w:ind w:left="1100"/>
      </w:pPr>
      <w:r w:rsidRPr="00E74D4F">
        <w:t>4</w:t>
      </w:r>
      <w:r w:rsidR="00174AF2" w:rsidRPr="00E74D4F">
        <w:t>8</w:t>
      </w:r>
      <w:r w:rsidR="008F2BCE" w:rsidRPr="00E74D4F">
        <w:t xml:space="preserve">. </w:t>
      </w:r>
      <w:r w:rsidR="00555B54" w:rsidRPr="00E74D4F">
        <w:t>Finally, the communicant alleges that even if the environmental considerations are taken into account, the courts usually rely on the findings of the EIA/SEA</w:t>
      </w:r>
      <w:r w:rsidR="00FB0B94" w:rsidRPr="00E74D4F">
        <w:t xml:space="preserve"> decisions </w:t>
      </w:r>
      <w:r w:rsidR="00147506" w:rsidRPr="00E74D4F">
        <w:t xml:space="preserve">despite those decisions themselves being challenged </w:t>
      </w:r>
      <w:r w:rsidR="00555B54" w:rsidRPr="00E74D4F">
        <w:t>as inaccurate or insufficient.</w:t>
      </w:r>
      <w:r w:rsidR="007C0E55" w:rsidRPr="00E74D4F">
        <w:rPr>
          <w:vertAlign w:val="superscript"/>
        </w:rPr>
        <w:footnoteReference w:id="48"/>
      </w:r>
      <w:r w:rsidR="00761AD8" w:rsidRPr="00E74D4F">
        <w:rPr>
          <w:vertAlign w:val="superscript"/>
        </w:rPr>
        <w:t xml:space="preserve"> </w:t>
      </w:r>
      <w:r w:rsidR="00761AD8" w:rsidRPr="00E74D4F">
        <w:t>The communicant alleges that, when considering a dispute regarding preliminary</w:t>
      </w:r>
      <w:r w:rsidR="00761AD8" w:rsidRPr="00E74D4F" w:rsidDel="00666C97">
        <w:t xml:space="preserve"> </w:t>
      </w:r>
      <w:r w:rsidR="00761AD8" w:rsidRPr="00E74D4F">
        <w:t xml:space="preserve">enforcement, the courts as a rule follow the position and reasoning of the authorities. This applies both in cases where operators challenge decisions obligating them to stop illegal activities and in cases where NGOs challenge the preliminary execution of EIA/SEA decisions. </w:t>
      </w:r>
    </w:p>
    <w:p w14:paraId="774F2157" w14:textId="76C91257" w:rsidR="003C12C4" w:rsidRPr="00E74D4F" w:rsidRDefault="00E14EF5" w:rsidP="008F2BCE">
      <w:pPr>
        <w:pStyle w:val="SingleTxtG"/>
        <w:ind w:left="1100"/>
        <w:rPr>
          <w:b/>
        </w:rPr>
      </w:pPr>
      <w:r w:rsidRPr="00E74D4F">
        <w:t>4</w:t>
      </w:r>
      <w:r w:rsidR="00174AF2" w:rsidRPr="00E74D4F">
        <w:t>9</w:t>
      </w:r>
      <w:r w:rsidR="008F2BCE" w:rsidRPr="00E74D4F">
        <w:t xml:space="preserve">. </w:t>
      </w:r>
      <w:r w:rsidR="00555B54" w:rsidRPr="00E74D4F">
        <w:t xml:space="preserve">The Party concerned refutes the communicant’s argument that </w:t>
      </w:r>
      <w:r w:rsidR="006B2570" w:rsidRPr="00E74D4F">
        <w:t xml:space="preserve">the </w:t>
      </w:r>
      <w:r w:rsidR="00555B54" w:rsidRPr="00E74D4F">
        <w:t xml:space="preserve">courts’ </w:t>
      </w:r>
      <w:r w:rsidR="00E63F80" w:rsidRPr="00E74D4F">
        <w:t xml:space="preserve">appraisal </w:t>
      </w:r>
      <w:r w:rsidR="00555B54" w:rsidRPr="00E74D4F">
        <w:t xml:space="preserve">is limited to the formal grounds of </w:t>
      </w:r>
      <w:r w:rsidR="00183FE8" w:rsidRPr="00E74D4F">
        <w:t xml:space="preserve">APC </w:t>
      </w:r>
      <w:r w:rsidR="00555B54" w:rsidRPr="00E74D4F">
        <w:t xml:space="preserve">article 60(1) without a thorough </w:t>
      </w:r>
      <w:r w:rsidR="00E63F80" w:rsidRPr="00E74D4F">
        <w:t xml:space="preserve">appraisal </w:t>
      </w:r>
      <w:r w:rsidR="00555B54" w:rsidRPr="00E74D4F">
        <w:t>of the facts.</w:t>
      </w:r>
      <w:r w:rsidR="007C0E55" w:rsidRPr="00E74D4F">
        <w:rPr>
          <w:rStyle w:val="FootnoteReference"/>
        </w:rPr>
        <w:footnoteReference w:id="49"/>
      </w:r>
      <w:r w:rsidR="00555B54" w:rsidRPr="00E74D4F">
        <w:t xml:space="preserve"> </w:t>
      </w:r>
      <w:r w:rsidR="00C071FE" w:rsidRPr="00E74D4F">
        <w:t>It contends that,</w:t>
      </w:r>
      <w:r w:rsidR="00147506" w:rsidRPr="00E74D4F">
        <w:t xml:space="preserve"> </w:t>
      </w:r>
      <w:r w:rsidR="00C071FE" w:rsidRPr="00E74D4F">
        <w:t>w</w:t>
      </w:r>
      <w:r w:rsidR="00147506" w:rsidRPr="00E74D4F">
        <w:t>hen considering applications for interim measures, t</w:t>
      </w:r>
      <w:r w:rsidR="00555B54" w:rsidRPr="00E74D4F">
        <w:t xml:space="preserve">he courts properly carry out their task to balance the interests involved </w:t>
      </w:r>
      <w:r w:rsidR="00147506" w:rsidRPr="00E74D4F">
        <w:t xml:space="preserve">in </w:t>
      </w:r>
      <w:r w:rsidR="00555B54" w:rsidRPr="00E74D4F">
        <w:t xml:space="preserve">the given </w:t>
      </w:r>
      <w:r w:rsidR="00147506" w:rsidRPr="00E74D4F">
        <w:t>case</w:t>
      </w:r>
      <w:r w:rsidR="00C071FE" w:rsidRPr="00E74D4F">
        <w:t xml:space="preserve"> and carefully applying the proportionality principle</w:t>
      </w:r>
      <w:r w:rsidR="00555B54" w:rsidRPr="00E74D4F">
        <w:t>; they assess whether the public interest, including protection of the environment, is a</w:t>
      </w:r>
      <w:r w:rsidR="00107549" w:rsidRPr="00E74D4F">
        <w:t>t</w:t>
      </w:r>
      <w:r w:rsidR="00555B54" w:rsidRPr="00E74D4F">
        <w:t xml:space="preserve"> stake in an objective and impartial manner</w:t>
      </w:r>
      <w:r w:rsidR="00147506" w:rsidRPr="00E74D4F">
        <w:t xml:space="preserve"> </w:t>
      </w:r>
      <w:r w:rsidR="00555B54" w:rsidRPr="00E74D4F">
        <w:t xml:space="preserve">and in compliance with the right of the public concerned to participate in the decision-making process. </w:t>
      </w:r>
      <w:r w:rsidR="00147506" w:rsidRPr="00E74D4F">
        <w:t>T</w:t>
      </w:r>
      <w:r w:rsidR="00555B54" w:rsidRPr="00E74D4F">
        <w:t>he Party concerned provide</w:t>
      </w:r>
      <w:r w:rsidR="00147506" w:rsidRPr="00E74D4F">
        <w:t>d</w:t>
      </w:r>
      <w:r w:rsidR="00555B54" w:rsidRPr="00E74D4F">
        <w:t xml:space="preserve"> </w:t>
      </w:r>
      <w:r w:rsidR="00761AD8" w:rsidRPr="00E74D4F">
        <w:t xml:space="preserve">several </w:t>
      </w:r>
      <w:r w:rsidR="00555B54" w:rsidRPr="00E74D4F">
        <w:t xml:space="preserve">examples of balancing the interests from </w:t>
      </w:r>
      <w:r w:rsidR="00761AD8" w:rsidRPr="00E74D4F">
        <w:t>case-law</w:t>
      </w:r>
      <w:r w:rsidR="00147506" w:rsidRPr="00E74D4F">
        <w:t xml:space="preserve"> to substantiate its claim</w:t>
      </w:r>
      <w:r w:rsidR="00555B54" w:rsidRPr="00E74D4F">
        <w:t>.</w:t>
      </w:r>
      <w:r w:rsidR="00C071FE" w:rsidRPr="00E74D4F">
        <w:rPr>
          <w:rStyle w:val="FootnoteReference"/>
        </w:rPr>
        <w:footnoteReference w:id="50"/>
      </w:r>
      <w:r w:rsidR="00C071FE" w:rsidRPr="00E74D4F">
        <w:t xml:space="preserve"> </w:t>
      </w:r>
    </w:p>
    <w:p w14:paraId="31BF0456" w14:textId="1AD194C9" w:rsidR="00555B54" w:rsidRPr="00E74D4F" w:rsidRDefault="00174AF2" w:rsidP="008F2BCE">
      <w:pPr>
        <w:pStyle w:val="SingleTxtG"/>
        <w:ind w:left="1100"/>
      </w:pPr>
      <w:r w:rsidRPr="00E74D4F">
        <w:t>50</w:t>
      </w:r>
      <w:r w:rsidR="008F2BCE" w:rsidRPr="00E74D4F">
        <w:t xml:space="preserve">. </w:t>
      </w:r>
      <w:r w:rsidR="003C12C4" w:rsidRPr="00E74D4F">
        <w:t>With respect to the courts’ reliance on the findings of the EIA/SEA decision, a</w:t>
      </w:r>
      <w:r w:rsidR="00555B54" w:rsidRPr="00E74D4F">
        <w:t xml:space="preserve">ccording to the Party concerned, </w:t>
      </w:r>
      <w:r w:rsidR="00107549" w:rsidRPr="00E74D4F">
        <w:t xml:space="preserve">in general </w:t>
      </w:r>
      <w:r w:rsidR="00555B54" w:rsidRPr="00E74D4F">
        <w:t>the need for preliminary enforcement should be examined solely on the basis of the findings of th</w:t>
      </w:r>
      <w:r w:rsidR="003C12C4" w:rsidRPr="00E74D4F">
        <w:t>ose</w:t>
      </w:r>
      <w:r w:rsidR="00555B54" w:rsidRPr="00E74D4F">
        <w:t xml:space="preserve"> decisions </w:t>
      </w:r>
      <w:r w:rsidR="003C12C4" w:rsidRPr="00E74D4F">
        <w:t xml:space="preserve">because </w:t>
      </w:r>
      <w:r w:rsidR="00107549" w:rsidRPr="00E74D4F">
        <w:t>it</w:t>
      </w:r>
      <w:r w:rsidR="008D1C05" w:rsidRPr="00E74D4F">
        <w:t xml:space="preserve"> </w:t>
      </w:r>
      <w:r w:rsidR="00555B54" w:rsidRPr="00E74D4F">
        <w:t>“</w:t>
      </w:r>
      <w:r w:rsidR="00555B54" w:rsidRPr="00E74D4F">
        <w:rPr>
          <w:bCs/>
        </w:rPr>
        <w:t>is not possible, in any other way and using different criteria, to perform an independent and objective appraisal/examination of whether to admit pre</w:t>
      </w:r>
      <w:r w:rsidR="00107549" w:rsidRPr="00E74D4F">
        <w:rPr>
          <w:bCs/>
        </w:rPr>
        <w:t>-</w:t>
      </w:r>
      <w:r w:rsidR="00555B54" w:rsidRPr="00E74D4F">
        <w:rPr>
          <w:bCs/>
        </w:rPr>
        <w:t>enforcement, taking into account potential irreversible effects on the environment</w:t>
      </w:r>
      <w:r w:rsidR="00555B54" w:rsidRPr="00E74D4F">
        <w:t>,</w:t>
      </w:r>
      <w:r w:rsidR="00555B54" w:rsidRPr="00E74D4F">
        <w:rPr>
          <w:bCs/>
        </w:rPr>
        <w:t xml:space="preserve"> because this would mean the competent authority to take a subjective and unlawful decision”</w:t>
      </w:r>
      <w:r w:rsidR="00107549" w:rsidRPr="00E74D4F">
        <w:rPr>
          <w:bCs/>
        </w:rPr>
        <w:t>.</w:t>
      </w:r>
      <w:r w:rsidR="00555B54" w:rsidRPr="00E74D4F">
        <w:rPr>
          <w:rStyle w:val="FootnoteReference"/>
        </w:rPr>
        <w:footnoteReference w:id="51"/>
      </w:r>
      <w:r w:rsidR="00555B54" w:rsidRPr="00E74D4F">
        <w:rPr>
          <w:bCs/>
        </w:rPr>
        <w:t xml:space="preserve"> Furthermore, the Party concerned </w:t>
      </w:r>
      <w:r w:rsidR="00951447" w:rsidRPr="00E74D4F">
        <w:rPr>
          <w:bCs/>
        </w:rPr>
        <w:t xml:space="preserve">contends </w:t>
      </w:r>
      <w:r w:rsidR="00C809BC" w:rsidRPr="00E74D4F">
        <w:rPr>
          <w:bCs/>
        </w:rPr>
        <w:t xml:space="preserve">that it would be </w:t>
      </w:r>
      <w:r w:rsidR="00555B54" w:rsidRPr="00E74D4F">
        <w:rPr>
          <w:bCs/>
        </w:rPr>
        <w:t xml:space="preserve">unreasonable if environmental authorities would, when taking EIA/SEA decisions and granting </w:t>
      </w:r>
      <w:r w:rsidR="00666C97" w:rsidRPr="00E74D4F">
        <w:rPr>
          <w:rStyle w:val="st"/>
        </w:rPr>
        <w:t>orders for preliminary</w:t>
      </w:r>
      <w:r w:rsidR="00666C97" w:rsidRPr="00E74D4F" w:rsidDel="00666C97">
        <w:rPr>
          <w:bCs/>
        </w:rPr>
        <w:t xml:space="preserve"> </w:t>
      </w:r>
      <w:r w:rsidR="00555B54" w:rsidRPr="00E74D4F">
        <w:t xml:space="preserve">enforcement </w:t>
      </w:r>
      <w:r w:rsidR="00951447" w:rsidRPr="00E74D4F">
        <w:t>not comply with “</w:t>
      </w:r>
      <w:r w:rsidR="00555B54" w:rsidRPr="00E74D4F">
        <w:rPr>
          <w:bCs/>
        </w:rPr>
        <w:t>an act of superior authority (e.g. the Council of Ministers), which, based on the policy in a particular sector/area has determined that the project/investment proposal is of national</w:t>
      </w:r>
      <w:r w:rsidR="00555B54" w:rsidRPr="00E74D4F">
        <w:rPr>
          <w:b/>
        </w:rPr>
        <w:t xml:space="preserve"> </w:t>
      </w:r>
      <w:r w:rsidR="00555B54" w:rsidRPr="00E74D4F">
        <w:rPr>
          <w:bCs/>
        </w:rPr>
        <w:t>importance”</w:t>
      </w:r>
      <w:r w:rsidR="00555B54" w:rsidRPr="00E74D4F">
        <w:rPr>
          <w:rStyle w:val="FootnoteReference"/>
        </w:rPr>
        <w:footnoteReference w:id="52"/>
      </w:r>
      <w:r w:rsidR="00555B54" w:rsidRPr="00E74D4F">
        <w:rPr>
          <w:bCs/>
        </w:rPr>
        <w:t>.</w:t>
      </w:r>
    </w:p>
    <w:p w14:paraId="0816294B" w14:textId="75459C30" w:rsidR="00555B54" w:rsidRPr="00E74D4F" w:rsidRDefault="00174AF2" w:rsidP="008F2BCE">
      <w:pPr>
        <w:pStyle w:val="SingleTxtG"/>
        <w:ind w:left="1100"/>
      </w:pPr>
      <w:r w:rsidRPr="00E74D4F">
        <w:t>51</w:t>
      </w:r>
      <w:r w:rsidR="008F2BCE" w:rsidRPr="00E74D4F">
        <w:t xml:space="preserve">. </w:t>
      </w:r>
      <w:r w:rsidR="00555B54" w:rsidRPr="00E74D4F">
        <w:t xml:space="preserve">The Party concerned disagrees with the communicant’s </w:t>
      </w:r>
      <w:r w:rsidR="008D1C05" w:rsidRPr="00E74D4F">
        <w:t xml:space="preserve">allegation </w:t>
      </w:r>
      <w:r w:rsidR="00555B54" w:rsidRPr="00E74D4F">
        <w:t>that</w:t>
      </w:r>
      <w:r w:rsidR="00951447" w:rsidRPr="00E74D4F">
        <w:t>,</w:t>
      </w:r>
      <w:r w:rsidR="00555B54" w:rsidRPr="00E74D4F">
        <w:t xml:space="preserve"> </w:t>
      </w:r>
      <w:r w:rsidR="00951447" w:rsidRPr="00E74D4F">
        <w:t xml:space="preserve">in granting </w:t>
      </w:r>
      <w:r w:rsidR="00666C97" w:rsidRPr="00E74D4F">
        <w:rPr>
          <w:rStyle w:val="st"/>
        </w:rPr>
        <w:t>orders for preliminary</w:t>
      </w:r>
      <w:r w:rsidR="00666C97" w:rsidRPr="00E74D4F">
        <w:t xml:space="preserve"> enforcement</w:t>
      </w:r>
      <w:r w:rsidR="00951447" w:rsidRPr="00E74D4F">
        <w:t>,</w:t>
      </w:r>
      <w:r w:rsidR="00666C97" w:rsidRPr="00E74D4F">
        <w:t xml:space="preserve"> </w:t>
      </w:r>
      <w:r w:rsidR="00951447" w:rsidRPr="00E74D4F">
        <w:t xml:space="preserve">the authorities are </w:t>
      </w:r>
      <w:r w:rsidR="00555B54" w:rsidRPr="00E74D4F">
        <w:t xml:space="preserve">motivated by the developers’ interests and that the courts endorse </w:t>
      </w:r>
      <w:r w:rsidR="00951447" w:rsidRPr="00E74D4F">
        <w:t xml:space="preserve">the authorities’ </w:t>
      </w:r>
      <w:r w:rsidR="00555B54" w:rsidRPr="00E74D4F">
        <w:t xml:space="preserve">reasoning without taking into account the potential irreversible damage to the environment. </w:t>
      </w:r>
      <w:r w:rsidR="00071E3A" w:rsidRPr="00E74D4F">
        <w:t>As evidence to the contrary, i</w:t>
      </w:r>
      <w:r w:rsidR="00555B54" w:rsidRPr="00E74D4F">
        <w:t xml:space="preserve">t </w:t>
      </w:r>
      <w:r w:rsidR="00761AD8" w:rsidRPr="00E74D4F">
        <w:t>points</w:t>
      </w:r>
      <w:r w:rsidR="00071E3A" w:rsidRPr="00E74D4F">
        <w:t>,</w:t>
      </w:r>
      <w:r w:rsidR="00555B54" w:rsidRPr="00E74D4F">
        <w:t xml:space="preserve"> among others</w:t>
      </w:r>
      <w:r w:rsidR="00071E3A" w:rsidRPr="00E74D4F">
        <w:t>,</w:t>
      </w:r>
      <w:r w:rsidR="00555B54" w:rsidRPr="00E74D4F">
        <w:t xml:space="preserve"> </w:t>
      </w:r>
      <w:r w:rsidR="00761AD8" w:rsidRPr="00E74D4F">
        <w:t xml:space="preserve">to </w:t>
      </w:r>
      <w:r w:rsidR="00555B54" w:rsidRPr="00E74D4F">
        <w:t xml:space="preserve">a recent decision of the Supreme Administrative Court that found that the competent authority, the Regional Inspectorate of Environment and Water of Varna, </w:t>
      </w:r>
      <w:r w:rsidR="00761AD8" w:rsidRPr="00E74D4F">
        <w:t xml:space="preserve">had wrongly </w:t>
      </w:r>
      <w:r w:rsidR="00555B54" w:rsidRPr="00E74D4F">
        <w:t xml:space="preserve">issued </w:t>
      </w:r>
      <w:r w:rsidR="00666C97" w:rsidRPr="00E74D4F">
        <w:t>an order for preliminary enforcement</w:t>
      </w:r>
      <w:r w:rsidR="00555B54" w:rsidRPr="00E74D4F">
        <w:t xml:space="preserve"> protecting in particular the considerable interests of the developer without providing for a necessary guarantee.</w:t>
      </w:r>
      <w:r w:rsidR="00D865B2" w:rsidRPr="00E74D4F">
        <w:rPr>
          <w:rStyle w:val="FootnoteReference"/>
        </w:rPr>
        <w:footnoteReference w:id="53"/>
      </w:r>
      <w:r w:rsidR="00555B54" w:rsidRPr="00E74D4F">
        <w:t xml:space="preserve"> It claims that in general, environmental concerns are taken into account both by the authorities and by courts </w:t>
      </w:r>
      <w:r w:rsidR="00761AD8" w:rsidRPr="00E74D4F">
        <w:t xml:space="preserve">in accordance with </w:t>
      </w:r>
      <w:r w:rsidR="00555B54" w:rsidRPr="00E74D4F">
        <w:t xml:space="preserve">the requirements of applicable </w:t>
      </w:r>
      <w:r w:rsidR="00761AD8" w:rsidRPr="00E74D4F">
        <w:t xml:space="preserve">environmental </w:t>
      </w:r>
      <w:r w:rsidR="00555B54" w:rsidRPr="00E74D4F">
        <w:t>laws.</w:t>
      </w:r>
      <w:r w:rsidR="00D865B2" w:rsidRPr="00E74D4F">
        <w:t xml:space="preserve"> </w:t>
      </w:r>
    </w:p>
    <w:p w14:paraId="553AD1C0" w14:textId="0A85CDFC" w:rsidR="00555B54" w:rsidRPr="00E74D4F" w:rsidRDefault="00174AF2" w:rsidP="008F2BCE">
      <w:pPr>
        <w:pStyle w:val="SingleTxtG"/>
        <w:ind w:left="1100"/>
        <w:rPr>
          <w:b/>
        </w:rPr>
      </w:pPr>
      <w:r w:rsidRPr="00E74D4F">
        <w:t>52</w:t>
      </w:r>
      <w:r w:rsidR="008F2BCE" w:rsidRPr="00E74D4F">
        <w:t xml:space="preserve">. </w:t>
      </w:r>
      <w:r w:rsidR="00555B54" w:rsidRPr="00E74D4F">
        <w:t xml:space="preserve">Furthermore, the Party concerned underlines that even if the EIA/SEA decision is issued without taking into account all possible negative environmental effects and/or </w:t>
      </w:r>
      <w:r w:rsidR="00761AD8" w:rsidRPr="00E74D4F">
        <w:t xml:space="preserve">the </w:t>
      </w:r>
      <w:r w:rsidR="00555B54" w:rsidRPr="00E74D4F">
        <w:t xml:space="preserve">conditions </w:t>
      </w:r>
      <w:r w:rsidR="00761AD8" w:rsidRPr="00E74D4F">
        <w:t xml:space="preserve">contained in that decision </w:t>
      </w:r>
      <w:r w:rsidR="00555B54" w:rsidRPr="00E74D4F">
        <w:t xml:space="preserve">are insufficient to ensure full protection of the environment, the </w:t>
      </w:r>
      <w:r w:rsidR="00666C97" w:rsidRPr="00E74D4F">
        <w:rPr>
          <w:rStyle w:val="st"/>
        </w:rPr>
        <w:t>order for preliminary</w:t>
      </w:r>
      <w:r w:rsidR="00555B54" w:rsidRPr="00E74D4F">
        <w:t xml:space="preserve"> enforcement cannot lead to irreversible damage of the environment, </w:t>
      </w:r>
      <w:r w:rsidR="00071E3A" w:rsidRPr="00E74D4F">
        <w:t>since</w:t>
      </w:r>
      <w:r w:rsidR="00555B54" w:rsidRPr="00E74D4F">
        <w:t xml:space="preserve"> </w:t>
      </w:r>
      <w:r w:rsidR="00761AD8" w:rsidRPr="00E74D4F">
        <w:t xml:space="preserve">the Party’s multi-stage development consent procedure </w:t>
      </w:r>
      <w:r w:rsidR="00555B54" w:rsidRPr="00E74D4F">
        <w:t>requires a construction permit to be granted</w:t>
      </w:r>
      <w:r w:rsidR="00761AD8" w:rsidRPr="00E74D4F">
        <w:t xml:space="preserve"> before the activity can proceed</w:t>
      </w:r>
      <w:r w:rsidR="00555B54" w:rsidRPr="00E74D4F">
        <w:t>.</w:t>
      </w:r>
    </w:p>
    <w:p w14:paraId="4C8D92BC" w14:textId="7409B30C" w:rsidR="00555B54" w:rsidRPr="00E74D4F" w:rsidRDefault="005058BE">
      <w:pPr>
        <w:pStyle w:val="SingleTxtG"/>
        <w:ind w:left="1100"/>
        <w:rPr>
          <w:b/>
          <w:i/>
          <w:iCs/>
        </w:rPr>
      </w:pPr>
      <w:r w:rsidRPr="00E74D4F">
        <w:rPr>
          <w:b/>
          <w:i/>
          <w:iCs/>
        </w:rPr>
        <w:t>Inadequate f</w:t>
      </w:r>
      <w:r w:rsidR="00555B54" w:rsidRPr="00E74D4F">
        <w:rPr>
          <w:b/>
          <w:i/>
          <w:iCs/>
        </w:rPr>
        <w:t xml:space="preserve">inancial </w:t>
      </w:r>
      <w:r w:rsidRPr="00E74D4F">
        <w:rPr>
          <w:b/>
          <w:i/>
          <w:iCs/>
        </w:rPr>
        <w:t>guarantee</w:t>
      </w:r>
    </w:p>
    <w:p w14:paraId="6E4303EC" w14:textId="4A3BE96E" w:rsidR="00555B54" w:rsidRPr="00E74D4F" w:rsidRDefault="00E14EF5" w:rsidP="008F2BCE">
      <w:pPr>
        <w:pStyle w:val="SingleTxtG"/>
        <w:ind w:left="1100"/>
      </w:pPr>
      <w:r w:rsidRPr="00E74D4F">
        <w:t>5</w:t>
      </w:r>
      <w:r w:rsidR="00174AF2" w:rsidRPr="00E74D4F">
        <w:t>3</w:t>
      </w:r>
      <w:r w:rsidR="008F2BCE" w:rsidRPr="00E74D4F">
        <w:t xml:space="preserve">. </w:t>
      </w:r>
      <w:r w:rsidR="00555B54" w:rsidRPr="00E74D4F">
        <w:t xml:space="preserve">The communicant alleges that the requirement </w:t>
      </w:r>
      <w:r w:rsidR="00181414" w:rsidRPr="00E74D4F">
        <w:t xml:space="preserve">for a </w:t>
      </w:r>
      <w:r w:rsidR="00555B54" w:rsidRPr="00E74D4F">
        <w:t xml:space="preserve">financial </w:t>
      </w:r>
      <w:r w:rsidR="00555B54" w:rsidRPr="00E74D4F">
        <w:rPr>
          <w:lang w:val="en-US"/>
        </w:rPr>
        <w:t xml:space="preserve">guarantee in </w:t>
      </w:r>
      <w:r w:rsidR="00263D79" w:rsidRPr="00E74D4F">
        <w:rPr>
          <w:lang w:val="en-US"/>
        </w:rPr>
        <w:t xml:space="preserve">a </w:t>
      </w:r>
      <w:r w:rsidR="00555B54" w:rsidRPr="00E74D4F">
        <w:rPr>
          <w:lang w:val="en-US"/>
        </w:rPr>
        <w:t xml:space="preserve">case </w:t>
      </w:r>
      <w:r w:rsidR="00263D79" w:rsidRPr="00E74D4F">
        <w:t xml:space="preserve">where a </w:t>
      </w:r>
      <w:r w:rsidR="00555B54" w:rsidRPr="00E74D4F">
        <w:t xml:space="preserve">private interest </w:t>
      </w:r>
      <w:r w:rsidR="00263D79" w:rsidRPr="00E74D4F">
        <w:t xml:space="preserve">is claimed to </w:t>
      </w:r>
      <w:r w:rsidR="00555B54" w:rsidRPr="00E74D4F">
        <w:t xml:space="preserve">justify preliminary execution of the activity is determined usually at </w:t>
      </w:r>
      <w:r w:rsidR="0022658E" w:rsidRPr="00E74D4F">
        <w:t xml:space="preserve">a </w:t>
      </w:r>
      <w:r w:rsidR="00555B54" w:rsidRPr="00E74D4F">
        <w:t xml:space="preserve">very low level not commensurate </w:t>
      </w:r>
      <w:r w:rsidR="0022658E" w:rsidRPr="00E74D4F">
        <w:t xml:space="preserve">with </w:t>
      </w:r>
      <w:r w:rsidR="00555B54" w:rsidRPr="00E74D4F">
        <w:t xml:space="preserve">the value of the project (for example </w:t>
      </w:r>
      <w:r w:rsidR="0022658E" w:rsidRPr="00E74D4F">
        <w:t>€</w:t>
      </w:r>
      <w:r w:rsidR="00555B54" w:rsidRPr="00E74D4F">
        <w:t xml:space="preserve">6000 in </w:t>
      </w:r>
      <w:r w:rsidR="0022658E" w:rsidRPr="00E74D4F">
        <w:t xml:space="preserve">the </w:t>
      </w:r>
      <w:r w:rsidR="00555B54" w:rsidRPr="00E74D4F">
        <w:t xml:space="preserve">case of a project worth </w:t>
      </w:r>
      <w:r w:rsidR="0022658E" w:rsidRPr="00E74D4F">
        <w:t>€</w:t>
      </w:r>
      <w:r w:rsidR="00555B54" w:rsidRPr="00E74D4F">
        <w:t>200 mil</w:t>
      </w:r>
      <w:r w:rsidR="00181414" w:rsidRPr="00E74D4F">
        <w:t>l</w:t>
      </w:r>
      <w:r w:rsidR="00555B54" w:rsidRPr="00E74D4F">
        <w:t xml:space="preserve">ion) and without any consideration as to the potential </w:t>
      </w:r>
      <w:r w:rsidR="00181414" w:rsidRPr="00E74D4F">
        <w:t xml:space="preserve">environmental </w:t>
      </w:r>
      <w:r w:rsidR="00555B54" w:rsidRPr="00E74D4F">
        <w:t>damage or costs of re</w:t>
      </w:r>
      <w:r w:rsidR="00666C97" w:rsidRPr="00E74D4F">
        <w:t>-</w:t>
      </w:r>
      <w:r w:rsidR="00555B54" w:rsidRPr="00E74D4F">
        <w:t xml:space="preserve">cultivation. </w:t>
      </w:r>
    </w:p>
    <w:p w14:paraId="1BFA5578" w14:textId="7776F33B" w:rsidR="00555B54" w:rsidRPr="00E74D4F" w:rsidRDefault="00E14EF5" w:rsidP="008F2BCE">
      <w:pPr>
        <w:pStyle w:val="SingleTxtG"/>
        <w:ind w:left="1100"/>
        <w:rPr>
          <w:b/>
        </w:rPr>
      </w:pPr>
      <w:r w:rsidRPr="00E74D4F">
        <w:t>5</w:t>
      </w:r>
      <w:r w:rsidR="00174AF2" w:rsidRPr="00E74D4F">
        <w:t>4</w:t>
      </w:r>
      <w:r w:rsidR="008F2BCE" w:rsidRPr="00E74D4F">
        <w:t xml:space="preserve">. </w:t>
      </w:r>
      <w:r w:rsidR="00555B54" w:rsidRPr="00E74D4F">
        <w:t xml:space="preserve">The Party concerned </w:t>
      </w:r>
      <w:r w:rsidR="004E7D1D" w:rsidRPr="00E74D4F">
        <w:t xml:space="preserve">refutes the communicant’s allegation and </w:t>
      </w:r>
      <w:r w:rsidR="00555B54" w:rsidRPr="00E74D4F">
        <w:t>provide</w:t>
      </w:r>
      <w:r w:rsidR="0022658E" w:rsidRPr="00E74D4F">
        <w:t xml:space="preserve">s </w:t>
      </w:r>
      <w:r w:rsidR="00555B54" w:rsidRPr="00E74D4F">
        <w:t xml:space="preserve">examples of cases where the financial guarantee </w:t>
      </w:r>
      <w:r w:rsidR="00666C97" w:rsidRPr="00E74D4F">
        <w:t xml:space="preserve">was </w:t>
      </w:r>
      <w:r w:rsidR="00555B54" w:rsidRPr="00E74D4F">
        <w:t xml:space="preserve">fixed at </w:t>
      </w:r>
      <w:r w:rsidR="00666C97" w:rsidRPr="00E74D4F">
        <w:t xml:space="preserve">a </w:t>
      </w:r>
      <w:r w:rsidR="00555B54" w:rsidRPr="00E74D4F">
        <w:t>significantly higher level (for example 15</w:t>
      </w:r>
      <w:r w:rsidR="0022658E" w:rsidRPr="00E74D4F">
        <w:t>0,</w:t>
      </w:r>
      <w:r w:rsidR="00555B54" w:rsidRPr="00E74D4F">
        <w:t>000 BGN</w:t>
      </w:r>
      <w:r w:rsidR="00181414" w:rsidRPr="00E74D4F">
        <w:t xml:space="preserve"> (approximately €77,000</w:t>
      </w:r>
      <w:r w:rsidR="00555B54" w:rsidRPr="00E74D4F">
        <w:t>).</w:t>
      </w:r>
      <w:r w:rsidR="004C570F" w:rsidRPr="00E74D4F">
        <w:rPr>
          <w:rStyle w:val="FootnoteReference"/>
        </w:rPr>
        <w:footnoteReference w:id="54"/>
      </w:r>
      <w:r w:rsidR="00555B54" w:rsidRPr="00E74D4F">
        <w:t xml:space="preserve"> </w:t>
      </w:r>
    </w:p>
    <w:p w14:paraId="6DADA340" w14:textId="77777777" w:rsidR="00555B54" w:rsidRPr="00E74D4F" w:rsidRDefault="00555B54">
      <w:pPr>
        <w:pStyle w:val="HChG"/>
        <w:rPr>
          <w:szCs w:val="28"/>
        </w:rPr>
      </w:pPr>
      <w:r w:rsidRPr="00E74D4F">
        <w:rPr>
          <w:szCs w:val="28"/>
        </w:rPr>
        <w:tab/>
        <w:t>III.</w:t>
      </w:r>
      <w:r w:rsidRPr="00E74D4F">
        <w:rPr>
          <w:szCs w:val="28"/>
        </w:rPr>
        <w:tab/>
        <w:t>Consideration and evaluation by the Committee</w:t>
      </w:r>
    </w:p>
    <w:p w14:paraId="395CB31B" w14:textId="295E0935" w:rsidR="000C2290" w:rsidRPr="00E74D4F" w:rsidRDefault="00E14EF5" w:rsidP="008F2BCE">
      <w:pPr>
        <w:pStyle w:val="SingleTxtG"/>
        <w:ind w:left="1100"/>
      </w:pPr>
      <w:r w:rsidRPr="00E74D4F">
        <w:t>5</w:t>
      </w:r>
      <w:r w:rsidR="00174AF2" w:rsidRPr="00E74D4F">
        <w:t>5</w:t>
      </w:r>
      <w:r w:rsidR="008F2BCE" w:rsidRPr="00E74D4F">
        <w:t xml:space="preserve">. </w:t>
      </w:r>
      <w:r w:rsidR="000C2290" w:rsidRPr="00E74D4F">
        <w:t>Bulgaria deposited its instrument of ratification on 17 December 2003. The Convention entered into force for Bulgaria on 16 March 2004.</w:t>
      </w:r>
    </w:p>
    <w:p w14:paraId="344FD92B" w14:textId="179409F4" w:rsidR="000C2290" w:rsidRPr="00E74D4F" w:rsidRDefault="00E14EF5" w:rsidP="008F2BCE">
      <w:pPr>
        <w:pStyle w:val="SingleTxtG"/>
        <w:ind w:left="1100"/>
      </w:pPr>
      <w:r w:rsidRPr="00E74D4F">
        <w:t>5</w:t>
      </w:r>
      <w:r w:rsidR="00174AF2" w:rsidRPr="00E74D4F">
        <w:t>6</w:t>
      </w:r>
      <w:r w:rsidR="008F2BCE" w:rsidRPr="00E74D4F">
        <w:t xml:space="preserve">. </w:t>
      </w:r>
      <w:r w:rsidR="000C2290" w:rsidRPr="00E74D4F">
        <w:t xml:space="preserve">The communication concerns the approach taken by the Party concerned to applying the requirement in article 9, paragraph 4 of the Convention to ensure adequate and effective remedies, including injunctive relief as appropriate, to review procedures regarding </w:t>
      </w:r>
      <w:r w:rsidR="005B534B" w:rsidRPr="00E74D4F">
        <w:t>orders for the preliminary enforcement of so-called</w:t>
      </w:r>
      <w:r w:rsidR="000C2290" w:rsidRPr="00E74D4F">
        <w:t xml:space="preserve"> EIA</w:t>
      </w:r>
      <w:r w:rsidR="00E70081" w:rsidRPr="00E74D4F">
        <w:t>/</w:t>
      </w:r>
      <w:r w:rsidR="000C2290" w:rsidRPr="00E74D4F">
        <w:t xml:space="preserve">SEA decisions. </w:t>
      </w:r>
    </w:p>
    <w:p w14:paraId="764B0F99" w14:textId="1CED260A" w:rsidR="000C2290" w:rsidRPr="00E74D4F" w:rsidRDefault="00E14EF5" w:rsidP="008F2BCE">
      <w:pPr>
        <w:pStyle w:val="SingleTxtG"/>
        <w:ind w:left="1100"/>
      </w:pPr>
      <w:bookmarkStart w:id="1" w:name="_Ref423246651"/>
      <w:r w:rsidRPr="00E74D4F">
        <w:t>5</w:t>
      </w:r>
      <w:r w:rsidR="00174AF2" w:rsidRPr="00E74D4F">
        <w:t>7</w:t>
      </w:r>
      <w:r w:rsidR="008F2BCE" w:rsidRPr="00E74D4F">
        <w:t xml:space="preserve">. </w:t>
      </w:r>
      <w:r w:rsidR="000C2290" w:rsidRPr="00E74D4F">
        <w:t>As a preliminary point, the Committee notes that it has not been disputed by the parties to this communication that review procedures regarding EIA</w:t>
      </w:r>
      <w:r w:rsidR="00E70081" w:rsidRPr="00E74D4F">
        <w:t>/</w:t>
      </w:r>
      <w:r w:rsidR="000C2290" w:rsidRPr="00E74D4F">
        <w:t xml:space="preserve">SEA decisions are subject to the requirements of article 9, paragraph 4 of the Convention. Bearing </w:t>
      </w:r>
      <w:r w:rsidR="00ED6309" w:rsidRPr="00E74D4F">
        <w:t xml:space="preserve">this </w:t>
      </w:r>
      <w:r w:rsidR="000C2290" w:rsidRPr="00E74D4F">
        <w:t>in mind, the Committee does not consider it necessary to examine this point further.</w:t>
      </w:r>
      <w:bookmarkEnd w:id="1"/>
    </w:p>
    <w:p w14:paraId="47EF1633" w14:textId="26A9F674" w:rsidR="000C2290" w:rsidRPr="00E74D4F" w:rsidRDefault="00E14EF5" w:rsidP="008F2BCE">
      <w:pPr>
        <w:pStyle w:val="SingleTxtG"/>
        <w:ind w:left="1100"/>
      </w:pPr>
      <w:r w:rsidRPr="00E74D4F">
        <w:t>5</w:t>
      </w:r>
      <w:r w:rsidR="00174AF2" w:rsidRPr="00E74D4F">
        <w:t>8</w:t>
      </w:r>
      <w:r w:rsidR="008F2BCE" w:rsidRPr="00E74D4F">
        <w:t xml:space="preserve">. </w:t>
      </w:r>
      <w:r w:rsidR="000C2290" w:rsidRPr="00E74D4F">
        <w:t>In order to determine whether the Party concerned meets the standard required by article 9, paragraph 4 of the Convention, the Committee first examine</w:t>
      </w:r>
      <w:r w:rsidR="00F21E90" w:rsidRPr="00E74D4F">
        <w:t>s</w:t>
      </w:r>
      <w:r w:rsidR="000C2290" w:rsidRPr="00E74D4F">
        <w:t xml:space="preserve"> the </w:t>
      </w:r>
      <w:r w:rsidR="00CC4851" w:rsidRPr="00E74D4F">
        <w:t>legal framework regarding orders for preliminary enforcement</w:t>
      </w:r>
      <w:r w:rsidR="00765564" w:rsidRPr="00E74D4F">
        <w:t xml:space="preserve"> of EIA/SEA decisions</w:t>
      </w:r>
      <w:r w:rsidR="000C2290" w:rsidRPr="00E74D4F">
        <w:t xml:space="preserve">, in particular in the light of the </w:t>
      </w:r>
      <w:r w:rsidR="00AE65BA" w:rsidRPr="00E74D4F">
        <w:t>elaborations</w:t>
      </w:r>
      <w:r w:rsidR="00CC4851" w:rsidRPr="00E74D4F">
        <w:t xml:space="preserve"> given</w:t>
      </w:r>
      <w:r w:rsidR="000C2290" w:rsidRPr="00E74D4F">
        <w:t xml:space="preserve"> by the Party concerned in the context of this communication. The Committee then evaluate</w:t>
      </w:r>
      <w:r w:rsidR="00F21E90" w:rsidRPr="00E74D4F">
        <w:t>s</w:t>
      </w:r>
      <w:r w:rsidR="000C2290" w:rsidRPr="00E74D4F">
        <w:t xml:space="preserve"> </w:t>
      </w:r>
      <w:r w:rsidR="00CC4851" w:rsidRPr="00E74D4F">
        <w:t>how the legal framework is being applied in practice. In this regard, while both the communicant and the Party concerned helpfully provided a number of examples from case law, the Committee focus</w:t>
      </w:r>
      <w:r w:rsidR="00F21E90" w:rsidRPr="00E74D4F">
        <w:t>es</w:t>
      </w:r>
      <w:r w:rsidR="00CC4851" w:rsidRPr="00E74D4F">
        <w:t xml:space="preserve"> on the </w:t>
      </w:r>
      <w:r w:rsidR="00897F6A" w:rsidRPr="00E74D4F">
        <w:t>five</w:t>
      </w:r>
      <w:r w:rsidR="004A106D" w:rsidRPr="00E74D4F">
        <w:t xml:space="preserve"> </w:t>
      </w:r>
      <w:r w:rsidR="000C2290" w:rsidRPr="00E74D4F">
        <w:t xml:space="preserve">cases </w:t>
      </w:r>
      <w:r w:rsidR="00CC4851" w:rsidRPr="00E74D4F">
        <w:t xml:space="preserve">summarized </w:t>
      </w:r>
      <w:r w:rsidR="000C2290" w:rsidRPr="00E74D4F">
        <w:t>in the original communication (see para</w:t>
      </w:r>
      <w:r w:rsidR="00794DB0" w:rsidRPr="00E74D4F">
        <w:t>graph</w:t>
      </w:r>
      <w:r w:rsidR="000C2290" w:rsidRPr="00E74D4F">
        <w:t>s</w:t>
      </w:r>
      <w:r w:rsidR="004A106D" w:rsidRPr="00E74D4F">
        <w:t xml:space="preserve"> </w:t>
      </w:r>
      <w:r w:rsidR="00174AF2" w:rsidRPr="00E74D4F">
        <w:t>31</w:t>
      </w:r>
      <w:r w:rsidR="005F0DF2" w:rsidRPr="00E74D4F">
        <w:t>-4</w:t>
      </w:r>
      <w:r w:rsidR="00174AF2" w:rsidRPr="00E74D4F">
        <w:t>3</w:t>
      </w:r>
      <w:r w:rsidR="004A106D" w:rsidRPr="00E74D4F">
        <w:t xml:space="preserve"> </w:t>
      </w:r>
      <w:r w:rsidR="000C2290" w:rsidRPr="00E74D4F">
        <w:t xml:space="preserve">above) </w:t>
      </w:r>
      <w:r w:rsidR="00794DB0" w:rsidRPr="00E74D4F">
        <w:t xml:space="preserve">since </w:t>
      </w:r>
      <w:r w:rsidR="000C2290" w:rsidRPr="00E74D4F">
        <w:t xml:space="preserve">it is only with respect to these </w:t>
      </w:r>
      <w:r w:rsidR="00897F6A" w:rsidRPr="00E74D4F">
        <w:t>five</w:t>
      </w:r>
      <w:r w:rsidR="004A106D" w:rsidRPr="00E74D4F">
        <w:t xml:space="preserve"> </w:t>
      </w:r>
      <w:r w:rsidR="000C2290" w:rsidRPr="00E74D4F">
        <w:t xml:space="preserve">cases that the Committee has received sufficient evidence, in English, from both the communicant and the Party concerned. </w:t>
      </w:r>
    </w:p>
    <w:p w14:paraId="3A337027" w14:textId="77777777" w:rsidR="004A106D" w:rsidRPr="00E74D4F" w:rsidRDefault="00AE65BA" w:rsidP="002E1A69">
      <w:pPr>
        <w:pStyle w:val="SingleTxtG"/>
        <w:ind w:left="1100"/>
        <w:rPr>
          <w:rStyle w:val="st"/>
          <w:b/>
          <w:i/>
          <w:iCs/>
        </w:rPr>
      </w:pPr>
      <w:r w:rsidRPr="00E74D4F">
        <w:rPr>
          <w:rStyle w:val="st"/>
          <w:b/>
          <w:i/>
          <w:iCs/>
        </w:rPr>
        <w:t>Applicable legal framework</w:t>
      </w:r>
    </w:p>
    <w:p w14:paraId="626268E6" w14:textId="6EC9917F" w:rsidR="000C2290" w:rsidRPr="00E74D4F" w:rsidRDefault="00E14EF5" w:rsidP="008F2BCE">
      <w:pPr>
        <w:pStyle w:val="SingleTxtG"/>
        <w:ind w:left="1100"/>
      </w:pPr>
      <w:r w:rsidRPr="00E74D4F">
        <w:t>5</w:t>
      </w:r>
      <w:r w:rsidR="00174AF2" w:rsidRPr="00E74D4F">
        <w:t>9</w:t>
      </w:r>
      <w:r w:rsidR="008F2BCE" w:rsidRPr="00E74D4F">
        <w:t xml:space="preserve">. </w:t>
      </w:r>
      <w:r w:rsidR="000C2290" w:rsidRPr="00E74D4F">
        <w:t xml:space="preserve">The Committee commends articles 90(1) and 166(1) of the Administrative Procedure Code under which administrative acts shall not be enforced prior to the expiry of the time limits </w:t>
      </w:r>
      <w:r w:rsidR="006F6128" w:rsidRPr="00E74D4F">
        <w:t>to contest them</w:t>
      </w:r>
      <w:r w:rsidR="000C2290" w:rsidRPr="00E74D4F">
        <w:t xml:space="preserve"> or, where an appeal or a protest has been lodged, until resolution of th</w:t>
      </w:r>
      <w:r w:rsidR="006F6128" w:rsidRPr="00E74D4F">
        <w:t>at</w:t>
      </w:r>
      <w:r w:rsidR="000C2290" w:rsidRPr="00E74D4F">
        <w:t xml:space="preserve"> dispute by the relevant authority.</w:t>
      </w:r>
      <w:r w:rsidR="000C2290" w:rsidRPr="00E74D4F">
        <w:rPr>
          <w:vertAlign w:val="superscript"/>
        </w:rPr>
        <w:footnoteReference w:id="55"/>
      </w:r>
      <w:r w:rsidR="000C2290" w:rsidRPr="00E74D4F">
        <w:t xml:space="preserve"> These </w:t>
      </w:r>
      <w:r w:rsidR="00912A16" w:rsidRPr="00E74D4F">
        <w:t>provisions, which in themselves</w:t>
      </w:r>
      <w:r w:rsidR="000C2290" w:rsidRPr="00E74D4F">
        <w:t xml:space="preserve"> operate as a form of automatic temporary injunction and which, according to the communicant, do not require the appellant in the substantive proceeding to first give a bond as security nor open the applicant to risk of damages against it if its substantive appeal is subsequently unsuccessful, may provide a useful legislative model and inspiration for other Parties.</w:t>
      </w:r>
    </w:p>
    <w:p w14:paraId="78712BB0" w14:textId="6160769D" w:rsidR="00AD5E3E" w:rsidRPr="00E74D4F" w:rsidRDefault="00174AF2" w:rsidP="008F2BCE">
      <w:pPr>
        <w:pStyle w:val="FootnoteText"/>
        <w:ind w:left="1100" w:right="1134" w:firstLine="0"/>
        <w:jc w:val="both"/>
      </w:pPr>
      <w:r w:rsidRPr="00E74D4F">
        <w:t>60</w:t>
      </w:r>
      <w:r w:rsidR="008F2BCE" w:rsidRPr="00E74D4F">
        <w:t xml:space="preserve">. </w:t>
      </w:r>
      <w:r w:rsidR="00B27F95" w:rsidRPr="00E74D4F">
        <w:t>The Committee has examined</w:t>
      </w:r>
      <w:r w:rsidR="00AD5E3E" w:rsidRPr="00E74D4F">
        <w:t xml:space="preserve"> the Party </w:t>
      </w:r>
      <w:proofErr w:type="spellStart"/>
      <w:r w:rsidR="00AD5E3E" w:rsidRPr="00E74D4F">
        <w:t>concerned’s</w:t>
      </w:r>
      <w:proofErr w:type="spellEnd"/>
      <w:r w:rsidR="00AD5E3E" w:rsidRPr="00E74D4F">
        <w:t xml:space="preserve"> submission that APC article 166(2) provides an alternative </w:t>
      </w:r>
      <w:r w:rsidR="00225AD4" w:rsidRPr="00E74D4F">
        <w:t xml:space="preserve">to </w:t>
      </w:r>
      <w:r w:rsidR="00AD5E3E" w:rsidRPr="00E74D4F">
        <w:t>appealing the order for preliminary enforcement as it permits the applicant, at any stage of an appeal of an EIA/SEA decision, to request the Court to issue an injunction to stop the execution of the EIA/SEA decision if there is a risk of irreparable damage to</w:t>
      </w:r>
      <w:r w:rsidR="00225AD4" w:rsidRPr="00E74D4F">
        <w:t xml:space="preserve"> the applicant. The Committee understands that a risk of irreparable damage to the environment would not </w:t>
      </w:r>
      <w:r w:rsidR="008471F3" w:rsidRPr="00E74D4F">
        <w:t xml:space="preserve">be sufficient to satisfy </w:t>
      </w:r>
      <w:r w:rsidR="00225AD4" w:rsidRPr="00E74D4F">
        <w:t xml:space="preserve">the requirement for the applicant to demonstrate that </w:t>
      </w:r>
      <w:r w:rsidR="00794DB0" w:rsidRPr="00E74D4F">
        <w:t xml:space="preserve">the applicant </w:t>
      </w:r>
      <w:r w:rsidR="00225AD4" w:rsidRPr="00E74D4F">
        <w:t>is itself at risk of irreparable damage. The Committee therefore finds that the Party concerned cannot rely on APC article 166(2) as an alternative means to meet its requirements to provide for adequate and effective remedies under article 9, paragraph 4 of the Convention.</w:t>
      </w:r>
    </w:p>
    <w:p w14:paraId="0CBE7F02" w14:textId="77777777" w:rsidR="00D01A8F" w:rsidRPr="00E74D4F" w:rsidRDefault="00D01A8F" w:rsidP="00947AE1">
      <w:pPr>
        <w:pStyle w:val="FootnoteText"/>
        <w:ind w:left="0" w:right="1134" w:firstLine="0"/>
        <w:jc w:val="both"/>
      </w:pPr>
    </w:p>
    <w:p w14:paraId="745F2C7F" w14:textId="69FA9DFD" w:rsidR="0013684C" w:rsidRPr="00E74D4F" w:rsidRDefault="00174AF2" w:rsidP="008F2BCE">
      <w:pPr>
        <w:pStyle w:val="SingleTxtG"/>
        <w:ind w:left="1100"/>
        <w:rPr>
          <w:b/>
        </w:rPr>
      </w:pPr>
      <w:r w:rsidRPr="00E74D4F">
        <w:t>61</w:t>
      </w:r>
      <w:r w:rsidR="008F2BCE" w:rsidRPr="00E74D4F">
        <w:t xml:space="preserve">. </w:t>
      </w:r>
      <w:r w:rsidR="0015247A" w:rsidRPr="00E74D4F">
        <w:t>Regarding orders for preliminary enforcement, t</w:t>
      </w:r>
      <w:r w:rsidR="0013684C" w:rsidRPr="00E74D4F">
        <w:t>he</w:t>
      </w:r>
      <w:r w:rsidR="00765564" w:rsidRPr="00E74D4F">
        <w:t xml:space="preserve"> Committee considers that the</w:t>
      </w:r>
      <w:r w:rsidR="0013684C" w:rsidRPr="00E74D4F">
        <w:t xml:space="preserve"> mere existence of the order</w:t>
      </w:r>
      <w:r w:rsidR="0013684C" w:rsidRPr="00E74D4F">
        <w:rPr>
          <w:rStyle w:val="st"/>
        </w:rPr>
        <w:t xml:space="preserve"> </w:t>
      </w:r>
      <w:r w:rsidR="0015247A" w:rsidRPr="00E74D4F">
        <w:rPr>
          <w:rStyle w:val="st"/>
        </w:rPr>
        <w:t xml:space="preserve">for </w:t>
      </w:r>
      <w:r w:rsidR="0013684C" w:rsidRPr="00E74D4F">
        <w:rPr>
          <w:rStyle w:val="st"/>
        </w:rPr>
        <w:t>preliminary enforcement</w:t>
      </w:r>
      <w:r w:rsidR="0013684C" w:rsidRPr="00E74D4F">
        <w:t xml:space="preserve"> as a measure to limit the automatic </w:t>
      </w:r>
      <w:proofErr w:type="spellStart"/>
      <w:r w:rsidR="0013684C" w:rsidRPr="00E74D4F">
        <w:t>suspens</w:t>
      </w:r>
      <w:r w:rsidR="00D25AF1" w:rsidRPr="00E74D4F">
        <w:t>ive</w:t>
      </w:r>
      <w:proofErr w:type="spellEnd"/>
      <w:r w:rsidR="0013684C" w:rsidRPr="00E74D4F">
        <w:t xml:space="preserve"> effect of an appeal cannot per se be considered as reducing the effectiveness of the remedies under article 9 of the Convention. Rather, it is necessary to examine the legal basis </w:t>
      </w:r>
      <w:r w:rsidR="0077097D" w:rsidRPr="00E74D4F">
        <w:t xml:space="preserve">and practice </w:t>
      </w:r>
      <w:r w:rsidR="0013684C" w:rsidRPr="00E74D4F">
        <w:t>under which an order for preliminary enforcement will be granted.</w:t>
      </w:r>
    </w:p>
    <w:p w14:paraId="54BA0788" w14:textId="13CD858F" w:rsidR="008471F3" w:rsidRPr="00E74D4F" w:rsidRDefault="00174AF2" w:rsidP="008F2BCE">
      <w:pPr>
        <w:pStyle w:val="SingleTxtG"/>
        <w:ind w:left="1100"/>
      </w:pPr>
      <w:r w:rsidRPr="00E74D4F">
        <w:t>62</w:t>
      </w:r>
      <w:r w:rsidR="008F2BCE" w:rsidRPr="00E74D4F">
        <w:t xml:space="preserve">. </w:t>
      </w:r>
      <w:r w:rsidR="00B523D7" w:rsidRPr="00E74D4F">
        <w:t xml:space="preserve">The Committee notes that it is not disputed between the parties that review procedures regarding EIA and SEA decisions are subject to the requirements of article 9, paragraph 4 of the Convention (see para. </w:t>
      </w:r>
      <w:r w:rsidR="005F0DF2" w:rsidRPr="00E74D4F">
        <w:fldChar w:fldCharType="begin"/>
      </w:r>
      <w:r w:rsidR="005F0DF2" w:rsidRPr="00E74D4F">
        <w:instrText xml:space="preserve"> REF _Ref423246651 \r \h  \* MERGEFORMAT </w:instrText>
      </w:r>
      <w:r w:rsidR="005F0DF2" w:rsidRPr="00E74D4F">
        <w:fldChar w:fldCharType="separate"/>
      </w:r>
      <w:r w:rsidR="005F0DF2" w:rsidRPr="00E74D4F">
        <w:t>5</w:t>
      </w:r>
      <w:r w:rsidR="00035ECF" w:rsidRPr="00E74D4F">
        <w:t>7</w:t>
      </w:r>
      <w:r w:rsidR="005F0DF2" w:rsidRPr="00E74D4F">
        <w:fldChar w:fldCharType="end"/>
      </w:r>
      <w:r w:rsidR="005F0DF2" w:rsidRPr="00E74D4F">
        <w:t xml:space="preserve"> </w:t>
      </w:r>
      <w:r w:rsidR="00B523D7" w:rsidRPr="00E74D4F">
        <w:t xml:space="preserve">above). </w:t>
      </w:r>
      <w:r w:rsidR="00BC0572" w:rsidRPr="00E74D4F">
        <w:t>As</w:t>
      </w:r>
      <w:r w:rsidR="00EC6521" w:rsidRPr="00E74D4F">
        <w:t xml:space="preserve"> an order for preliminary enforcement </w:t>
      </w:r>
      <w:r w:rsidR="005A2681" w:rsidRPr="00E74D4F">
        <w:t xml:space="preserve">of an EIA/SEA decision </w:t>
      </w:r>
      <w:r w:rsidR="00EC6521" w:rsidRPr="00E74D4F">
        <w:t>is a measure for injunctive relief</w:t>
      </w:r>
      <w:r w:rsidR="00BC0572" w:rsidRPr="00E74D4F">
        <w:t xml:space="preserve"> regarding a decision subject to article 9</w:t>
      </w:r>
      <w:r w:rsidR="005A2681" w:rsidRPr="00E74D4F">
        <w:t>, paragraph 4</w:t>
      </w:r>
      <w:r w:rsidR="00EC6521" w:rsidRPr="00E74D4F">
        <w:t xml:space="preserve">, </w:t>
      </w:r>
      <w:r w:rsidR="00C374B0" w:rsidRPr="00E74D4F">
        <w:t>it</w:t>
      </w:r>
      <w:r w:rsidR="00BC0572" w:rsidRPr="00E74D4F">
        <w:t xml:space="preserve"> is</w:t>
      </w:r>
      <w:r w:rsidR="00EC6521" w:rsidRPr="00E74D4F">
        <w:t xml:space="preserve"> </w:t>
      </w:r>
      <w:r w:rsidR="00F81B20" w:rsidRPr="00E74D4F">
        <w:t xml:space="preserve">likewise </w:t>
      </w:r>
      <w:r w:rsidR="00EC6521" w:rsidRPr="00E74D4F">
        <w:t>subject to the requirements set out in article 9, paragraph 4, of the Convention to be</w:t>
      </w:r>
      <w:r w:rsidR="00706E9A" w:rsidRPr="00E74D4F">
        <w:t>, inter alia, fair and</w:t>
      </w:r>
      <w:r w:rsidR="00EC6521" w:rsidRPr="00E74D4F">
        <w:t xml:space="preserve"> equitable</w:t>
      </w:r>
      <w:r w:rsidR="002C706F" w:rsidRPr="00E74D4F">
        <w:t>.</w:t>
      </w:r>
      <w:r w:rsidR="00D01A8F" w:rsidRPr="00E74D4F">
        <w:t xml:space="preserve"> </w:t>
      </w:r>
      <w:r w:rsidR="008471F3" w:rsidRPr="00E74D4F">
        <w:t>In this regard, the Committee commends APC article 6(1) which requires administrative authorities to exercise their powers reasonably, in good faith, and fairly.</w:t>
      </w:r>
    </w:p>
    <w:p w14:paraId="6BCD550F" w14:textId="2094E34D" w:rsidR="00950981" w:rsidRPr="00E74D4F" w:rsidRDefault="00E14EF5" w:rsidP="008F2BCE">
      <w:pPr>
        <w:pStyle w:val="SingleTxtG"/>
        <w:ind w:left="1100"/>
      </w:pPr>
      <w:r w:rsidRPr="00E74D4F">
        <w:t>6</w:t>
      </w:r>
      <w:r w:rsidR="00174AF2" w:rsidRPr="00E74D4F">
        <w:t>3</w:t>
      </w:r>
      <w:r w:rsidR="008F2BCE" w:rsidRPr="00E74D4F">
        <w:t xml:space="preserve">. </w:t>
      </w:r>
      <w:r w:rsidR="008471F3" w:rsidRPr="00E74D4F">
        <w:t>T</w:t>
      </w:r>
      <w:r w:rsidR="00950981" w:rsidRPr="00E74D4F">
        <w:t xml:space="preserve">he Committee considers that </w:t>
      </w:r>
      <w:r w:rsidR="008471F3" w:rsidRPr="00E74D4F">
        <w:t xml:space="preserve">the </w:t>
      </w:r>
      <w:r w:rsidR="00950981" w:rsidRPr="00E74D4F">
        <w:t>requirement in article 1 of the Convention for Parties to guarantee the rights of information, participation and justice “in order to contribute to the right of every person to live in an environment adequate to his or her health and well-being”</w:t>
      </w:r>
      <w:r w:rsidR="008471F3" w:rsidRPr="00E74D4F">
        <w:t xml:space="preserve">, </w:t>
      </w:r>
      <w:r w:rsidR="00950981" w:rsidRPr="00E74D4F">
        <w:t>makes it clear that the protection of the environment is to be treated as an important public interest.</w:t>
      </w:r>
      <w:r w:rsidR="00D01A8F" w:rsidRPr="00E74D4F">
        <w:t xml:space="preserve"> </w:t>
      </w:r>
    </w:p>
    <w:p w14:paraId="58FB3887" w14:textId="2A350767" w:rsidR="00C374B0" w:rsidRPr="00E74D4F" w:rsidRDefault="00E14EF5" w:rsidP="008F2BCE">
      <w:pPr>
        <w:pStyle w:val="SingleTxtG"/>
        <w:ind w:left="1100"/>
      </w:pPr>
      <w:r w:rsidRPr="00E74D4F">
        <w:t>6</w:t>
      </w:r>
      <w:r w:rsidR="00174AF2" w:rsidRPr="00E74D4F">
        <w:t>4</w:t>
      </w:r>
      <w:r w:rsidR="008F2BCE" w:rsidRPr="00E74D4F">
        <w:t xml:space="preserve">. </w:t>
      </w:r>
      <w:r w:rsidR="003C3AA3" w:rsidRPr="00E74D4F">
        <w:t xml:space="preserve">With respect to article 60(1) of the Administrative Procedure Code, </w:t>
      </w:r>
      <w:r w:rsidR="00665D17" w:rsidRPr="00E74D4F">
        <w:t>the Committee notes that it is common ground between the Party concerned and the communicant that, when deciding whether to grant/uphold orders for preliminary enforcement</w:t>
      </w:r>
      <w:r w:rsidR="004A3809" w:rsidRPr="00E74D4F">
        <w:t xml:space="preserve"> under that provision</w:t>
      </w:r>
      <w:r w:rsidR="00665D17" w:rsidRPr="00E74D4F">
        <w:t>, public authorities and the courts</w:t>
      </w:r>
      <w:r w:rsidR="00037D2F" w:rsidRPr="00E74D4F">
        <w:t xml:space="preserve">, </w:t>
      </w:r>
      <w:r w:rsidR="008166A1" w:rsidRPr="00E74D4F">
        <w:t>in accordance with the proportionality principle set out in APC article 6</w:t>
      </w:r>
      <w:r w:rsidR="00037D2F" w:rsidRPr="00E74D4F">
        <w:t xml:space="preserve">, </w:t>
      </w:r>
      <w:r w:rsidR="00665D17" w:rsidRPr="00E74D4F">
        <w:t xml:space="preserve"> should carry out a balancing exercise</w:t>
      </w:r>
      <w:r w:rsidR="008471F3" w:rsidRPr="00E74D4F">
        <w:t xml:space="preserve"> to ensure that the decision is fair and taking into account all interests, including the public interest in the protection of the environment</w:t>
      </w:r>
      <w:r w:rsidR="00665D17" w:rsidRPr="00E74D4F">
        <w:t>.</w:t>
      </w:r>
      <w:r w:rsidR="008471F3" w:rsidRPr="00E74D4F">
        <w:rPr>
          <w:rStyle w:val="FootnoteReference"/>
        </w:rPr>
        <w:footnoteReference w:id="56"/>
      </w:r>
      <w:r w:rsidR="00665D17" w:rsidRPr="00E74D4F">
        <w:t xml:space="preserve"> Where the Party concerned and communicant differ, </w:t>
      </w:r>
      <w:r w:rsidR="00A778DC" w:rsidRPr="00E74D4F">
        <w:t xml:space="preserve">however, </w:t>
      </w:r>
      <w:r w:rsidR="00665D17" w:rsidRPr="00E74D4F">
        <w:t>is whether this happens in practice.</w:t>
      </w:r>
      <w:r w:rsidR="004A3809" w:rsidRPr="00E74D4F">
        <w:t xml:space="preserve"> </w:t>
      </w:r>
    </w:p>
    <w:p w14:paraId="7C4E1126" w14:textId="474E6FAD" w:rsidR="00AE65BA" w:rsidRPr="00E74D4F" w:rsidRDefault="00CF2432" w:rsidP="00947AE1">
      <w:pPr>
        <w:pStyle w:val="SingleTxtG"/>
        <w:ind w:left="392" w:firstLine="708"/>
        <w:rPr>
          <w:b/>
        </w:rPr>
      </w:pPr>
      <w:r w:rsidRPr="00E74D4F">
        <w:rPr>
          <w:b/>
        </w:rPr>
        <w:t>O</w:t>
      </w:r>
      <w:r w:rsidR="00AE65BA" w:rsidRPr="00E74D4F">
        <w:rPr>
          <w:b/>
        </w:rPr>
        <w:t>rders for preliminary enforcement in practice</w:t>
      </w:r>
    </w:p>
    <w:p w14:paraId="59F4CE4C" w14:textId="67FA1FF3" w:rsidR="000C2290" w:rsidRPr="00E74D4F" w:rsidRDefault="00E14EF5" w:rsidP="008F2BCE">
      <w:pPr>
        <w:pStyle w:val="SingleTxtG"/>
        <w:ind w:left="1100"/>
      </w:pPr>
      <w:r w:rsidRPr="00E74D4F">
        <w:t>6</w:t>
      </w:r>
      <w:r w:rsidR="00174AF2" w:rsidRPr="00E74D4F">
        <w:t>5</w:t>
      </w:r>
      <w:r w:rsidR="008F2BCE" w:rsidRPr="00E74D4F">
        <w:t xml:space="preserve">. </w:t>
      </w:r>
      <w:r w:rsidR="000C2290" w:rsidRPr="00E74D4F">
        <w:t xml:space="preserve">When considering the approach </w:t>
      </w:r>
      <w:r w:rsidR="008028C8" w:rsidRPr="00E74D4F">
        <w:t xml:space="preserve">of the Party concerned </w:t>
      </w:r>
      <w:r w:rsidR="000C2290" w:rsidRPr="00E74D4F">
        <w:t xml:space="preserve">to </w:t>
      </w:r>
      <w:r w:rsidR="00E45051" w:rsidRPr="00E74D4F">
        <w:t xml:space="preserve">applying </w:t>
      </w:r>
      <w:r w:rsidR="00F1001C" w:rsidRPr="00E74D4F">
        <w:t>orders for preliminary enforcement</w:t>
      </w:r>
      <w:r w:rsidR="00164888" w:rsidRPr="00E74D4F">
        <w:t xml:space="preserve"> </w:t>
      </w:r>
      <w:r w:rsidR="00E45051" w:rsidRPr="00E74D4F">
        <w:t xml:space="preserve">regarding </w:t>
      </w:r>
      <w:r w:rsidR="000C2290" w:rsidRPr="00E74D4F">
        <w:t xml:space="preserve">EIA/SEA decisions </w:t>
      </w:r>
      <w:r w:rsidR="00325B05" w:rsidRPr="00E74D4F">
        <w:t xml:space="preserve">in practice </w:t>
      </w:r>
      <w:r w:rsidR="000C2290" w:rsidRPr="00E74D4F">
        <w:t xml:space="preserve">the Committee </w:t>
      </w:r>
      <w:r w:rsidR="00296DFB" w:rsidRPr="00E74D4F">
        <w:t xml:space="preserve">examines below </w:t>
      </w:r>
      <w:r w:rsidR="000C2290" w:rsidRPr="00E74D4F">
        <w:t xml:space="preserve">the different roles played by the public authorities competent to issue EIA/SEA decisions and </w:t>
      </w:r>
      <w:r w:rsidR="00F1001C" w:rsidRPr="00E74D4F">
        <w:t>orders for preliminary enforcement</w:t>
      </w:r>
      <w:r w:rsidR="000C2290" w:rsidRPr="00E74D4F">
        <w:t xml:space="preserve"> and the courts </w:t>
      </w:r>
      <w:r w:rsidR="00A718A9" w:rsidRPr="00E74D4F">
        <w:t xml:space="preserve">and other </w:t>
      </w:r>
      <w:r w:rsidR="007946E6" w:rsidRPr="00E74D4F">
        <w:t xml:space="preserve">review bodies </w:t>
      </w:r>
      <w:r w:rsidR="000C2290" w:rsidRPr="00E74D4F">
        <w:t xml:space="preserve">competent to adjudicate </w:t>
      </w:r>
      <w:r w:rsidR="006654CD" w:rsidRPr="00E74D4F">
        <w:t>on challenges to such decisions and orders</w:t>
      </w:r>
      <w:r w:rsidR="000C2290" w:rsidRPr="00E74D4F">
        <w:t xml:space="preserve">.  </w:t>
      </w:r>
    </w:p>
    <w:p w14:paraId="1F9B1E3E" w14:textId="1D680407" w:rsidR="000C2290" w:rsidRPr="00E74D4F" w:rsidRDefault="00E01A43" w:rsidP="00E01A43">
      <w:pPr>
        <w:pStyle w:val="SingleTxtG"/>
        <w:numPr>
          <w:ilvl w:val="0"/>
          <w:numId w:val="19"/>
        </w:numPr>
        <w:spacing w:before="120"/>
      </w:pPr>
      <w:r w:rsidRPr="00E74D4F">
        <w:rPr>
          <w:b/>
          <w:i/>
          <w:iCs/>
        </w:rPr>
        <w:t xml:space="preserve">Role of the </w:t>
      </w:r>
      <w:r w:rsidR="000C2290" w:rsidRPr="00E74D4F">
        <w:rPr>
          <w:b/>
          <w:i/>
          <w:iCs/>
        </w:rPr>
        <w:t>public authorities</w:t>
      </w:r>
    </w:p>
    <w:p w14:paraId="1CE3E1D4" w14:textId="617ACD86" w:rsidR="000C2290" w:rsidRPr="00E74D4F" w:rsidRDefault="008F2BCE" w:rsidP="008F2BCE">
      <w:pPr>
        <w:pStyle w:val="SingleTxtG"/>
        <w:ind w:left="1100"/>
      </w:pPr>
      <w:r w:rsidRPr="00E74D4F">
        <w:t>6</w:t>
      </w:r>
      <w:r w:rsidR="00174AF2" w:rsidRPr="00E74D4F">
        <w:t>6</w:t>
      </w:r>
      <w:r w:rsidRPr="00E74D4F">
        <w:t xml:space="preserve">. </w:t>
      </w:r>
      <w:r w:rsidR="00296DFB" w:rsidRPr="00E74D4F">
        <w:t>With respect to the</w:t>
      </w:r>
      <w:r w:rsidR="000C2290" w:rsidRPr="00E74D4F">
        <w:t xml:space="preserve"> role of public authorities, the Committee </w:t>
      </w:r>
      <w:r w:rsidR="00296DFB" w:rsidRPr="00E74D4F">
        <w:t xml:space="preserve">finds </w:t>
      </w:r>
      <w:r w:rsidR="000C2290" w:rsidRPr="00E74D4F">
        <w:t xml:space="preserve">the view of the Party concerned that competent authorities when issuing EIA/SEA decisions should not “question” a </w:t>
      </w:r>
      <w:r w:rsidR="000C2290" w:rsidRPr="00E74D4F">
        <w:rPr>
          <w:bCs/>
        </w:rPr>
        <w:t>project/investment proposal which was designated by a superior authority as being of national</w:t>
      </w:r>
      <w:r w:rsidR="000C2290" w:rsidRPr="00E74D4F">
        <w:rPr>
          <w:b/>
        </w:rPr>
        <w:t xml:space="preserve"> </w:t>
      </w:r>
      <w:r w:rsidR="000C2290" w:rsidRPr="00E74D4F">
        <w:rPr>
          <w:bCs/>
        </w:rPr>
        <w:t>importance</w:t>
      </w:r>
      <w:r w:rsidR="00296DFB" w:rsidRPr="00E74D4F">
        <w:rPr>
          <w:rStyle w:val="FootnoteReference"/>
          <w:bCs/>
        </w:rPr>
        <w:footnoteReference w:id="57"/>
      </w:r>
      <w:r w:rsidR="00AB529A" w:rsidRPr="00E74D4F">
        <w:rPr>
          <w:bCs/>
        </w:rPr>
        <w:t xml:space="preserve"> </w:t>
      </w:r>
      <w:r w:rsidR="00DC3FDE" w:rsidRPr="00E74D4F">
        <w:rPr>
          <w:bCs/>
        </w:rPr>
        <w:t xml:space="preserve">(see para. </w:t>
      </w:r>
      <w:r w:rsidR="00035ECF" w:rsidRPr="00E74D4F">
        <w:rPr>
          <w:bCs/>
        </w:rPr>
        <w:t>50</w:t>
      </w:r>
      <w:r w:rsidR="00DC3FDE" w:rsidRPr="00E74D4F">
        <w:rPr>
          <w:bCs/>
        </w:rPr>
        <w:t>above)</w:t>
      </w:r>
      <w:r w:rsidR="000C2290" w:rsidRPr="00E74D4F">
        <w:rPr>
          <w:bCs/>
        </w:rPr>
        <w:t xml:space="preserve"> to be </w:t>
      </w:r>
      <w:r w:rsidR="00A33F4A" w:rsidRPr="00E74D4F">
        <w:rPr>
          <w:bCs/>
        </w:rPr>
        <w:t>out of step</w:t>
      </w:r>
      <w:r w:rsidR="000C2290" w:rsidRPr="00E74D4F">
        <w:rPr>
          <w:bCs/>
        </w:rPr>
        <w:t xml:space="preserve"> with the </w:t>
      </w:r>
      <w:proofErr w:type="gramStart"/>
      <w:r w:rsidR="000C2290" w:rsidRPr="00E74D4F">
        <w:rPr>
          <w:bCs/>
        </w:rPr>
        <w:t xml:space="preserve">Convention </w:t>
      </w:r>
      <w:r w:rsidR="00DC3FDE" w:rsidRPr="00E74D4F">
        <w:rPr>
          <w:bCs/>
        </w:rPr>
        <w:t>.</w:t>
      </w:r>
      <w:proofErr w:type="gramEnd"/>
      <w:r w:rsidR="00DC3FDE" w:rsidRPr="00E74D4F">
        <w:rPr>
          <w:bCs/>
        </w:rPr>
        <w:t xml:space="preserve"> </w:t>
      </w:r>
      <w:r w:rsidR="000C2290" w:rsidRPr="00E74D4F">
        <w:rPr>
          <w:bCs/>
        </w:rPr>
        <w:t xml:space="preserve">If the role of </w:t>
      </w:r>
      <w:r w:rsidR="00296DFB" w:rsidRPr="00E74D4F">
        <w:rPr>
          <w:bCs/>
        </w:rPr>
        <w:t>authorities when issuing EIA/SEA decisions</w:t>
      </w:r>
      <w:r w:rsidR="000C2290" w:rsidRPr="00E74D4F">
        <w:rPr>
          <w:bCs/>
        </w:rPr>
        <w:t xml:space="preserve"> </w:t>
      </w:r>
      <w:r w:rsidR="00296DFB" w:rsidRPr="00E74D4F">
        <w:rPr>
          <w:bCs/>
        </w:rPr>
        <w:t xml:space="preserve">was </w:t>
      </w:r>
      <w:r w:rsidR="000C2290" w:rsidRPr="00E74D4F">
        <w:rPr>
          <w:bCs/>
        </w:rPr>
        <w:t xml:space="preserve">to </w:t>
      </w:r>
      <w:r w:rsidR="00296DFB" w:rsidRPr="00E74D4F">
        <w:rPr>
          <w:bCs/>
        </w:rPr>
        <w:t xml:space="preserve">merely </w:t>
      </w:r>
      <w:r w:rsidR="000C2290" w:rsidRPr="00E74D4F">
        <w:rPr>
          <w:bCs/>
        </w:rPr>
        <w:t xml:space="preserve">rubber-stamp the policy decisions taken </w:t>
      </w:r>
      <w:r w:rsidR="007A7B03" w:rsidRPr="00E74D4F">
        <w:rPr>
          <w:bCs/>
        </w:rPr>
        <w:t xml:space="preserve">at </w:t>
      </w:r>
      <w:r w:rsidR="00296DFB" w:rsidRPr="00E74D4F">
        <w:rPr>
          <w:bCs/>
        </w:rPr>
        <w:t xml:space="preserve">a higher </w:t>
      </w:r>
      <w:r w:rsidR="000C2290" w:rsidRPr="00E74D4F">
        <w:rPr>
          <w:bCs/>
        </w:rPr>
        <w:t xml:space="preserve">level, it would effectively deprive the environmental decision-making of any significance and make public participation in such procedures meaningless. </w:t>
      </w:r>
      <w:r w:rsidR="00A4446B" w:rsidRPr="00E74D4F">
        <w:rPr>
          <w:bCs/>
        </w:rPr>
        <w:t>Likewise</w:t>
      </w:r>
      <w:r w:rsidR="000C2290" w:rsidRPr="00E74D4F">
        <w:rPr>
          <w:bCs/>
        </w:rPr>
        <w:t xml:space="preserve">, making </w:t>
      </w:r>
      <w:r w:rsidR="00A4446B" w:rsidRPr="00E74D4F">
        <w:rPr>
          <w:bCs/>
        </w:rPr>
        <w:t>a designation of national importance</w:t>
      </w:r>
      <w:r w:rsidR="000C2290" w:rsidRPr="00E74D4F">
        <w:rPr>
          <w:bCs/>
        </w:rPr>
        <w:t xml:space="preserve"> </w:t>
      </w:r>
      <w:r w:rsidR="00A4446B" w:rsidRPr="00E74D4F">
        <w:rPr>
          <w:bCs/>
        </w:rPr>
        <w:t xml:space="preserve">by a </w:t>
      </w:r>
      <w:r w:rsidR="000C2290" w:rsidRPr="00E74D4F">
        <w:rPr>
          <w:bCs/>
        </w:rPr>
        <w:t xml:space="preserve">superior authority a decisive factor in deciding </w:t>
      </w:r>
      <w:r w:rsidR="00A4446B" w:rsidRPr="00E74D4F">
        <w:rPr>
          <w:bCs/>
        </w:rPr>
        <w:t xml:space="preserve">to grant an </w:t>
      </w:r>
      <w:r w:rsidR="00F1001C" w:rsidRPr="00E74D4F">
        <w:rPr>
          <w:bCs/>
        </w:rPr>
        <w:t>order for preliminary enforcement</w:t>
      </w:r>
      <w:r w:rsidR="00A33F4A" w:rsidRPr="00E74D4F">
        <w:rPr>
          <w:bCs/>
        </w:rPr>
        <w:t xml:space="preserve"> </w:t>
      </w:r>
      <w:r w:rsidR="00A4446B" w:rsidRPr="00E74D4F">
        <w:rPr>
          <w:bCs/>
        </w:rPr>
        <w:t xml:space="preserve">would </w:t>
      </w:r>
      <w:r w:rsidR="000C2290" w:rsidRPr="00E74D4F">
        <w:rPr>
          <w:bCs/>
        </w:rPr>
        <w:t xml:space="preserve">neglect the need for balancing of interests which should be the key factor in </w:t>
      </w:r>
      <w:r w:rsidR="00A4446B" w:rsidRPr="00E74D4F">
        <w:rPr>
          <w:bCs/>
        </w:rPr>
        <w:t>any determination on whether to grant interim relief</w:t>
      </w:r>
      <w:r w:rsidR="00BD1E30" w:rsidRPr="00E74D4F">
        <w:rPr>
          <w:bCs/>
        </w:rPr>
        <w:t>.</w:t>
      </w:r>
      <w:r w:rsidR="00913E7B" w:rsidRPr="00E74D4F">
        <w:rPr>
          <w:bCs/>
        </w:rPr>
        <w:t xml:space="preserve"> </w:t>
      </w:r>
    </w:p>
    <w:p w14:paraId="0FF0EE33" w14:textId="297C4661" w:rsidR="00BD3C49" w:rsidRPr="00E74D4F" w:rsidRDefault="008F2BCE" w:rsidP="00BD3C49">
      <w:pPr>
        <w:pStyle w:val="SingleTxtG"/>
        <w:ind w:left="1100"/>
      </w:pPr>
      <w:r w:rsidRPr="00E74D4F">
        <w:t>6</w:t>
      </w:r>
      <w:r w:rsidR="00174AF2" w:rsidRPr="00E74D4F">
        <w:t>7</w:t>
      </w:r>
      <w:r w:rsidRPr="00E74D4F">
        <w:t xml:space="preserve">. </w:t>
      </w:r>
      <w:r w:rsidR="007C6374" w:rsidRPr="00E74D4F">
        <w:t xml:space="preserve">The Committee notes the Party </w:t>
      </w:r>
      <w:proofErr w:type="spellStart"/>
      <w:r w:rsidR="007C6374" w:rsidRPr="00E74D4F">
        <w:t>concerned’s</w:t>
      </w:r>
      <w:proofErr w:type="spellEnd"/>
      <w:r w:rsidR="007C6374" w:rsidRPr="00E74D4F">
        <w:t xml:space="preserve"> submission that often no concerns regarding the environmental effects of the proposed activity were raised by the public during the public participation procedure leading up to the EIA/SEA decision. The Committee understands that this might explain why, when deciding whether to grant the order for preliminary enforcement in those case</w:t>
      </w:r>
      <w:r w:rsidR="00912A16" w:rsidRPr="00E74D4F">
        <w:t>s</w:t>
      </w:r>
      <w:r w:rsidR="00C374B0" w:rsidRPr="00E74D4F">
        <w:t>, the public authorities</w:t>
      </w:r>
      <w:r w:rsidR="007C6374" w:rsidRPr="00E74D4F">
        <w:t xml:space="preserve"> determined that other interests were more pressing. </w:t>
      </w:r>
      <w:r w:rsidR="00FA2D24" w:rsidRPr="00E74D4F">
        <w:t xml:space="preserve">If there is no evidence </w:t>
      </w:r>
      <w:r w:rsidR="00AB529A" w:rsidRPr="00E74D4F">
        <w:t xml:space="preserve">before them </w:t>
      </w:r>
      <w:r w:rsidR="00FA2D24" w:rsidRPr="00E74D4F">
        <w:t>to the contrary, public authorities c</w:t>
      </w:r>
      <w:r w:rsidR="00730590" w:rsidRPr="00E74D4F">
        <w:t>ould</w:t>
      </w:r>
      <w:r w:rsidR="00FA2D24" w:rsidRPr="00E74D4F">
        <w:t xml:space="preserve"> not be expected to act otherwise.</w:t>
      </w:r>
      <w:r w:rsidR="00730590" w:rsidRPr="00E74D4F">
        <w:t xml:space="preserve"> </w:t>
      </w:r>
      <w:r w:rsidR="00BD3C49" w:rsidRPr="00E74D4F">
        <w:t xml:space="preserve">Bearing </w:t>
      </w:r>
      <w:r w:rsidR="001A1DAA" w:rsidRPr="00E74D4F">
        <w:t>this</w:t>
      </w:r>
      <w:r w:rsidR="00BD3C49" w:rsidRPr="00E74D4F">
        <w:t xml:space="preserve"> in mind, the Committee is not convinced that the </w:t>
      </w:r>
      <w:r w:rsidR="008166A1" w:rsidRPr="00E74D4F">
        <w:t>current</w:t>
      </w:r>
      <w:r w:rsidR="001A1DAA" w:rsidRPr="00E74D4F">
        <w:t xml:space="preserve"> </w:t>
      </w:r>
      <w:r w:rsidR="00BD3C49" w:rsidRPr="00E74D4F">
        <w:t xml:space="preserve">practice of </w:t>
      </w:r>
      <w:r w:rsidR="00730590" w:rsidRPr="00E74D4F">
        <w:t xml:space="preserve">Bulgarian public authorities with respect to the </w:t>
      </w:r>
      <w:r w:rsidR="00BD3C49" w:rsidRPr="00E74D4F">
        <w:t>grant</w:t>
      </w:r>
      <w:r w:rsidR="00730590" w:rsidRPr="00E74D4F">
        <w:t xml:space="preserve"> of </w:t>
      </w:r>
      <w:r w:rsidR="00BD3C49" w:rsidRPr="00E74D4F">
        <w:t xml:space="preserve">orders for preliminary enforcement fails to comply with the requirements </w:t>
      </w:r>
      <w:proofErr w:type="gramStart"/>
      <w:r w:rsidR="00BD3C49" w:rsidRPr="00E74D4F">
        <w:t>of  article</w:t>
      </w:r>
      <w:proofErr w:type="gramEnd"/>
      <w:r w:rsidR="00BD3C49" w:rsidRPr="00E74D4F">
        <w:t xml:space="preserve"> 9 p</w:t>
      </w:r>
      <w:r w:rsidR="00730590" w:rsidRPr="00E74D4F">
        <w:t>a</w:t>
      </w:r>
      <w:r w:rsidR="00BD3C49" w:rsidRPr="00E74D4F">
        <w:t xml:space="preserve">ragraph </w:t>
      </w:r>
      <w:r w:rsidR="00730590" w:rsidRPr="00E74D4F">
        <w:t xml:space="preserve">4 </w:t>
      </w:r>
      <w:r w:rsidR="00BD3C49" w:rsidRPr="00E74D4F">
        <w:t>of the Convention</w:t>
      </w:r>
      <w:r w:rsidR="00730590" w:rsidRPr="00E74D4F">
        <w:t>,</w:t>
      </w:r>
      <w:r w:rsidR="00BD3C49" w:rsidRPr="00E74D4F">
        <w:t xml:space="preserve"> and therefore the Committee does not conclude that the Party concerned is in </w:t>
      </w:r>
      <w:proofErr w:type="spellStart"/>
      <w:r w:rsidR="00BD3C49" w:rsidRPr="00E74D4F">
        <w:t>non compliance</w:t>
      </w:r>
      <w:proofErr w:type="spellEnd"/>
      <w:r w:rsidR="00BD3C49" w:rsidRPr="00E74D4F">
        <w:t xml:space="preserve"> with the Convention in this specific point.</w:t>
      </w:r>
    </w:p>
    <w:p w14:paraId="063F6A9F" w14:textId="1FA4B163" w:rsidR="00DC5DAA" w:rsidRPr="00E74D4F" w:rsidRDefault="00E14EF5" w:rsidP="00F11DE7">
      <w:pPr>
        <w:pStyle w:val="SingleTxtG"/>
        <w:ind w:left="1100"/>
      </w:pPr>
      <w:r w:rsidRPr="00E74D4F">
        <w:t>6</w:t>
      </w:r>
      <w:r w:rsidR="00174AF2" w:rsidRPr="00E74D4F">
        <w:t>8</w:t>
      </w:r>
      <w:r w:rsidR="008F2BCE" w:rsidRPr="00E74D4F">
        <w:t xml:space="preserve">. </w:t>
      </w:r>
      <w:r w:rsidR="00687AF7" w:rsidRPr="00E74D4F">
        <w:t>T</w:t>
      </w:r>
      <w:r w:rsidR="009E2C49" w:rsidRPr="00E74D4F">
        <w:t xml:space="preserve">he Committee </w:t>
      </w:r>
      <w:r w:rsidR="00AB529A" w:rsidRPr="00E74D4F">
        <w:t>takes this opportunity to</w:t>
      </w:r>
      <w:r w:rsidR="009E2C49" w:rsidRPr="00E74D4F">
        <w:t xml:space="preserve"> make a more general observation regarding the relationship of the right to participate and </w:t>
      </w:r>
      <w:r w:rsidR="008028C8" w:rsidRPr="00E74D4F">
        <w:t xml:space="preserve">the </w:t>
      </w:r>
      <w:r w:rsidR="009E2C49" w:rsidRPr="00E74D4F">
        <w:t xml:space="preserve">right </w:t>
      </w:r>
      <w:r w:rsidR="005A5D86" w:rsidRPr="00E74D4F">
        <w:t>of acc</w:t>
      </w:r>
      <w:r w:rsidR="009E2C49" w:rsidRPr="00E74D4F">
        <w:t>e</w:t>
      </w:r>
      <w:r w:rsidR="005A5D86" w:rsidRPr="00E74D4F">
        <w:t>s</w:t>
      </w:r>
      <w:r w:rsidR="009E2C49" w:rsidRPr="00E74D4F">
        <w:t>s to justice under the Convention</w:t>
      </w:r>
      <w:r w:rsidR="00687AF7" w:rsidRPr="00E74D4F">
        <w:t>, while stressing that what follows is not in any way directed at the communicant of the present communication</w:t>
      </w:r>
      <w:r w:rsidR="00A46C75" w:rsidRPr="00E74D4F">
        <w:t>. T</w:t>
      </w:r>
      <w:r w:rsidR="009E2C49" w:rsidRPr="00E74D4F">
        <w:t xml:space="preserve">he </w:t>
      </w:r>
      <w:r w:rsidR="00BD3C49" w:rsidRPr="00E74D4F">
        <w:t xml:space="preserve">Convention does not make </w:t>
      </w:r>
      <w:r w:rsidR="009549B9" w:rsidRPr="00E74D4F">
        <w:t xml:space="preserve">participation in </w:t>
      </w:r>
      <w:r w:rsidR="00EB7287" w:rsidRPr="00E74D4F">
        <w:t xml:space="preserve">the administrative procedure a pre-condition </w:t>
      </w:r>
      <w:r w:rsidR="00687AF7" w:rsidRPr="00E74D4F">
        <w:rPr>
          <w:bCs/>
        </w:rPr>
        <w:t>for</w:t>
      </w:r>
      <w:r w:rsidR="00EB7287" w:rsidRPr="00E74D4F">
        <w:rPr>
          <w:bCs/>
        </w:rPr>
        <w:t xml:space="preserve"> </w:t>
      </w:r>
      <w:r w:rsidR="009549B9" w:rsidRPr="00E74D4F">
        <w:rPr>
          <w:bCs/>
        </w:rPr>
        <w:t xml:space="preserve">access to </w:t>
      </w:r>
      <w:r w:rsidR="00EB7287" w:rsidRPr="00E74D4F">
        <w:rPr>
          <w:bCs/>
        </w:rPr>
        <w:t xml:space="preserve">justice </w:t>
      </w:r>
      <w:r w:rsidR="009549B9" w:rsidRPr="00E74D4F">
        <w:rPr>
          <w:bCs/>
        </w:rPr>
        <w:t xml:space="preserve">to challenge the decision </w:t>
      </w:r>
      <w:r w:rsidR="00EB7287" w:rsidRPr="00E74D4F">
        <w:rPr>
          <w:bCs/>
        </w:rPr>
        <w:t>take</w:t>
      </w:r>
      <w:r w:rsidR="007946E6" w:rsidRPr="00E74D4F">
        <w:rPr>
          <w:bCs/>
        </w:rPr>
        <w:t>n as a result of that procedure</w:t>
      </w:r>
      <w:r w:rsidR="003D0C50" w:rsidRPr="00E74D4F">
        <w:rPr>
          <w:bCs/>
        </w:rPr>
        <w:t>, and introducing such a general requirement for standing would not be in line with the Convention</w:t>
      </w:r>
      <w:r w:rsidR="00A46C75" w:rsidRPr="00E74D4F">
        <w:rPr>
          <w:bCs/>
        </w:rPr>
        <w:t>. On the other hand</w:t>
      </w:r>
      <w:r w:rsidR="00EB7287" w:rsidRPr="00E74D4F">
        <w:rPr>
          <w:bCs/>
        </w:rPr>
        <w:t xml:space="preserve">, </w:t>
      </w:r>
      <w:r w:rsidR="00687AF7" w:rsidRPr="00E74D4F">
        <w:rPr>
          <w:bCs/>
        </w:rPr>
        <w:t xml:space="preserve">the Convention recognizes that </w:t>
      </w:r>
      <w:r w:rsidR="00DC5DAA" w:rsidRPr="00E74D4F">
        <w:rPr>
          <w:kern w:val="0"/>
          <w:lang w:val="en-US" w:eastAsia="en-GB"/>
        </w:rPr>
        <w:t xml:space="preserve">public participation in decision-making </w:t>
      </w:r>
      <w:r w:rsidR="00981CA6" w:rsidRPr="00E74D4F">
        <w:rPr>
          <w:kern w:val="0"/>
          <w:lang w:val="en-US" w:eastAsia="en-GB"/>
        </w:rPr>
        <w:t xml:space="preserve">procedures </w:t>
      </w:r>
      <w:r w:rsidR="00EB7287" w:rsidRPr="00E74D4F">
        <w:rPr>
          <w:kern w:val="0"/>
          <w:lang w:val="en-US" w:eastAsia="en-GB"/>
        </w:rPr>
        <w:t>is</w:t>
      </w:r>
      <w:r w:rsidR="00DC5DAA" w:rsidRPr="00E74D4F">
        <w:rPr>
          <w:kern w:val="0"/>
          <w:lang w:val="en-US" w:eastAsia="en-GB"/>
        </w:rPr>
        <w:t xml:space="preserve"> </w:t>
      </w:r>
      <w:r w:rsidR="008028C8" w:rsidRPr="00E74D4F">
        <w:rPr>
          <w:kern w:val="0"/>
          <w:lang w:val="en-US" w:eastAsia="en-GB"/>
        </w:rPr>
        <w:t xml:space="preserve">a fundamental </w:t>
      </w:r>
      <w:r w:rsidR="00DC5DAA" w:rsidRPr="00E74D4F">
        <w:rPr>
          <w:kern w:val="0"/>
          <w:lang w:val="en-US" w:eastAsia="en-GB"/>
        </w:rPr>
        <w:t xml:space="preserve">tool for enhancing the quality of </w:t>
      </w:r>
      <w:r w:rsidR="00EB7287" w:rsidRPr="00E74D4F">
        <w:rPr>
          <w:kern w:val="0"/>
          <w:lang w:val="en-US" w:eastAsia="en-GB"/>
        </w:rPr>
        <w:t>environmental decision-making.</w:t>
      </w:r>
      <w:r w:rsidR="00687AF7" w:rsidRPr="00E74D4F">
        <w:rPr>
          <w:rStyle w:val="FootnoteReference"/>
          <w:kern w:val="0"/>
          <w:lang w:val="en-US" w:eastAsia="en-GB"/>
        </w:rPr>
        <w:footnoteReference w:id="58"/>
      </w:r>
      <w:r w:rsidR="00EB7287" w:rsidRPr="00E74D4F">
        <w:rPr>
          <w:kern w:val="0"/>
          <w:lang w:val="en-US" w:eastAsia="en-GB"/>
        </w:rPr>
        <w:t xml:space="preserve"> </w:t>
      </w:r>
      <w:proofErr w:type="gramStart"/>
      <w:r w:rsidR="00EB7287" w:rsidRPr="00E74D4F">
        <w:rPr>
          <w:kern w:val="0"/>
          <w:lang w:val="en-US" w:eastAsia="en-GB"/>
        </w:rPr>
        <w:t>By</w:t>
      </w:r>
      <w:r w:rsidR="00DC5DAA" w:rsidRPr="00E74D4F">
        <w:rPr>
          <w:kern w:val="0"/>
          <w:lang w:val="en-US" w:eastAsia="en-GB"/>
        </w:rPr>
        <w:t xml:space="preserve"> </w:t>
      </w:r>
      <w:r w:rsidR="00EB7287" w:rsidRPr="00E74D4F">
        <w:rPr>
          <w:kern w:val="0"/>
          <w:lang w:val="en-US" w:eastAsia="en-GB"/>
        </w:rPr>
        <w:t>ensuring</w:t>
      </w:r>
      <w:r w:rsidR="00DC5DAA" w:rsidRPr="00E74D4F">
        <w:rPr>
          <w:kern w:val="0"/>
          <w:lang w:val="en-US" w:eastAsia="en-GB"/>
        </w:rPr>
        <w:t xml:space="preserve"> </w:t>
      </w:r>
      <w:r w:rsidR="008166A1" w:rsidRPr="00E74D4F">
        <w:rPr>
          <w:kern w:val="0"/>
          <w:lang w:val="en-US" w:eastAsia="en-GB"/>
        </w:rPr>
        <w:t xml:space="preserve">that </w:t>
      </w:r>
      <w:r w:rsidR="00DC5DAA" w:rsidRPr="00E74D4F">
        <w:rPr>
          <w:kern w:val="0"/>
          <w:lang w:val="en-US" w:eastAsia="en-GB"/>
        </w:rPr>
        <w:t xml:space="preserve">the public </w:t>
      </w:r>
      <w:r w:rsidR="00EB7287" w:rsidRPr="00E74D4F">
        <w:rPr>
          <w:kern w:val="0"/>
          <w:lang w:val="en-US" w:eastAsia="en-GB"/>
        </w:rPr>
        <w:t xml:space="preserve">has </w:t>
      </w:r>
      <w:r w:rsidR="00DC5DAA" w:rsidRPr="00E74D4F">
        <w:rPr>
          <w:kern w:val="0"/>
          <w:lang w:val="en-US" w:eastAsia="en-GB"/>
        </w:rPr>
        <w:t>the opportunity to express its concerns</w:t>
      </w:r>
      <w:r w:rsidR="00DC5DAA" w:rsidRPr="00E74D4F">
        <w:t xml:space="preserve"> </w:t>
      </w:r>
      <w:r w:rsidR="00DC5DAA" w:rsidRPr="00E74D4F">
        <w:rPr>
          <w:kern w:val="0"/>
          <w:lang w:val="en-US" w:eastAsia="en-GB"/>
        </w:rPr>
        <w:t xml:space="preserve">and </w:t>
      </w:r>
      <w:r w:rsidR="00981CA6" w:rsidRPr="00E74D4F">
        <w:rPr>
          <w:kern w:val="0"/>
          <w:lang w:val="en-US" w:eastAsia="en-GB"/>
        </w:rPr>
        <w:t xml:space="preserve">by </w:t>
      </w:r>
      <w:r w:rsidR="00EB7287" w:rsidRPr="00E74D4F">
        <w:rPr>
          <w:kern w:val="0"/>
          <w:lang w:val="en-US" w:eastAsia="en-GB"/>
        </w:rPr>
        <w:t xml:space="preserve">requiring </w:t>
      </w:r>
      <w:r w:rsidR="00DC5DAA" w:rsidRPr="00E74D4F">
        <w:rPr>
          <w:kern w:val="0"/>
          <w:lang w:val="en-US" w:eastAsia="en-GB"/>
        </w:rPr>
        <w:t xml:space="preserve">public authorities to take due account of </w:t>
      </w:r>
      <w:r w:rsidR="00245EEC" w:rsidRPr="00E74D4F">
        <w:rPr>
          <w:kern w:val="0"/>
          <w:lang w:val="en-US" w:eastAsia="en-GB"/>
        </w:rPr>
        <w:t>those</w:t>
      </w:r>
      <w:r w:rsidR="00DC5DAA" w:rsidRPr="00E74D4F">
        <w:rPr>
          <w:kern w:val="0"/>
          <w:lang w:val="en-US" w:eastAsia="en-GB"/>
        </w:rPr>
        <w:t xml:space="preserve"> concerns</w:t>
      </w:r>
      <w:r w:rsidR="001B5EAD" w:rsidRPr="00E74D4F">
        <w:rPr>
          <w:kern w:val="0"/>
          <w:lang w:val="en-US" w:eastAsia="en-GB"/>
        </w:rPr>
        <w:t xml:space="preserve">, </w:t>
      </w:r>
      <w:r w:rsidR="00EB7287" w:rsidRPr="00E74D4F">
        <w:rPr>
          <w:kern w:val="0"/>
          <w:lang w:val="en-US" w:eastAsia="en-GB"/>
        </w:rPr>
        <w:t>the Convention</w:t>
      </w:r>
      <w:r w:rsidR="001B5EAD" w:rsidRPr="00E74D4F">
        <w:rPr>
          <w:kern w:val="0"/>
          <w:lang w:val="en-US" w:eastAsia="en-GB"/>
        </w:rPr>
        <w:t xml:space="preserve"> </w:t>
      </w:r>
      <w:r w:rsidR="00EB7287" w:rsidRPr="00E74D4F">
        <w:rPr>
          <w:kern w:val="0"/>
          <w:lang w:val="en-US" w:eastAsia="en-GB"/>
        </w:rPr>
        <w:t xml:space="preserve">helps to ensure that </w:t>
      </w:r>
      <w:r w:rsidR="001B5EAD" w:rsidRPr="00E74D4F">
        <w:rPr>
          <w:kern w:val="0"/>
          <w:lang w:val="en-US" w:eastAsia="en-GB"/>
        </w:rPr>
        <w:t>envir</w:t>
      </w:r>
      <w:r w:rsidR="00EB7287" w:rsidRPr="00E74D4F">
        <w:rPr>
          <w:kern w:val="0"/>
          <w:lang w:val="en-US" w:eastAsia="en-GB"/>
        </w:rPr>
        <w:t>o</w:t>
      </w:r>
      <w:r w:rsidR="001B5EAD" w:rsidRPr="00E74D4F">
        <w:rPr>
          <w:kern w:val="0"/>
          <w:lang w:val="en-US" w:eastAsia="en-GB"/>
        </w:rPr>
        <w:t xml:space="preserve">nmental considerations </w:t>
      </w:r>
      <w:r w:rsidR="00EB7287" w:rsidRPr="00E74D4F">
        <w:rPr>
          <w:kern w:val="0"/>
          <w:lang w:val="en-US" w:eastAsia="en-GB"/>
        </w:rPr>
        <w:t xml:space="preserve">are integrated </w:t>
      </w:r>
      <w:r w:rsidR="001B5EAD" w:rsidRPr="00E74D4F">
        <w:rPr>
          <w:kern w:val="0"/>
          <w:lang w:val="en-US" w:eastAsia="en-GB"/>
        </w:rPr>
        <w:t>in</w:t>
      </w:r>
      <w:r w:rsidR="00EB7287" w:rsidRPr="00E74D4F">
        <w:rPr>
          <w:kern w:val="0"/>
          <w:lang w:val="en-US" w:eastAsia="en-GB"/>
        </w:rPr>
        <w:t>to</w:t>
      </w:r>
      <w:r w:rsidR="001B5EAD" w:rsidRPr="00E74D4F">
        <w:rPr>
          <w:kern w:val="0"/>
          <w:lang w:val="en-US" w:eastAsia="en-GB"/>
        </w:rPr>
        <w:t xml:space="preserve"> governmental decision-making.</w:t>
      </w:r>
      <w:proofErr w:type="gramEnd"/>
      <w:r w:rsidR="001B5EAD" w:rsidRPr="00E74D4F">
        <w:rPr>
          <w:kern w:val="0"/>
          <w:lang w:val="en-US" w:eastAsia="en-GB"/>
        </w:rPr>
        <w:t xml:space="preserve"> </w:t>
      </w:r>
      <w:r w:rsidR="00F21E90" w:rsidRPr="00E74D4F">
        <w:rPr>
          <w:kern w:val="0"/>
          <w:lang w:val="en-US" w:eastAsia="en-GB"/>
        </w:rPr>
        <w:t>Therefore</w:t>
      </w:r>
      <w:r w:rsidR="00245EEC" w:rsidRPr="00E74D4F">
        <w:rPr>
          <w:kern w:val="0"/>
          <w:lang w:val="en-US" w:eastAsia="en-GB"/>
        </w:rPr>
        <w:t xml:space="preserve">, the Committee considers that </w:t>
      </w:r>
      <w:r w:rsidR="00F21E90" w:rsidRPr="00E74D4F">
        <w:rPr>
          <w:kern w:val="0"/>
          <w:lang w:val="en-US" w:eastAsia="en-GB"/>
        </w:rPr>
        <w:t>if NGOs were to develop a</w:t>
      </w:r>
      <w:r w:rsidR="00245EEC" w:rsidRPr="00E74D4F">
        <w:rPr>
          <w:kern w:val="0"/>
          <w:lang w:val="en-US" w:eastAsia="en-GB"/>
        </w:rPr>
        <w:t xml:space="preserve"> practice to deliberately </w:t>
      </w:r>
      <w:r w:rsidR="00BF360B" w:rsidRPr="00E74D4F">
        <w:rPr>
          <w:kern w:val="0"/>
          <w:lang w:val="en-US" w:eastAsia="en-GB"/>
        </w:rPr>
        <w:t xml:space="preserve">opt </w:t>
      </w:r>
      <w:r w:rsidR="00245EEC" w:rsidRPr="00E74D4F">
        <w:rPr>
          <w:kern w:val="0"/>
          <w:lang w:val="en-US" w:eastAsia="en-GB"/>
        </w:rPr>
        <w:t xml:space="preserve">not </w:t>
      </w:r>
      <w:r w:rsidR="00613879" w:rsidRPr="00E74D4F">
        <w:rPr>
          <w:kern w:val="0"/>
          <w:lang w:val="en-US" w:eastAsia="en-GB"/>
        </w:rPr>
        <w:t xml:space="preserve">to participate </w:t>
      </w:r>
      <w:r w:rsidR="00245EEC" w:rsidRPr="00E74D4F">
        <w:rPr>
          <w:kern w:val="0"/>
          <w:lang w:val="en-US" w:eastAsia="en-GB"/>
        </w:rPr>
        <w:t>during public participation procedure</w:t>
      </w:r>
      <w:r w:rsidR="00981CA6" w:rsidRPr="00E74D4F">
        <w:rPr>
          <w:kern w:val="0"/>
          <w:lang w:val="en-US" w:eastAsia="en-GB"/>
        </w:rPr>
        <w:t>s</w:t>
      </w:r>
      <w:r w:rsidR="00F21E90" w:rsidRPr="00E74D4F">
        <w:rPr>
          <w:kern w:val="0"/>
          <w:lang w:val="en-US" w:eastAsia="en-GB"/>
        </w:rPr>
        <w:t>,</w:t>
      </w:r>
      <w:r w:rsidR="00245EEC" w:rsidRPr="00E74D4F">
        <w:rPr>
          <w:kern w:val="0"/>
          <w:lang w:val="en-US" w:eastAsia="en-GB"/>
        </w:rPr>
        <w:t xml:space="preserve"> </w:t>
      </w:r>
      <w:r w:rsidR="00BF360B" w:rsidRPr="00E74D4F">
        <w:rPr>
          <w:kern w:val="0"/>
          <w:lang w:val="en-US" w:eastAsia="en-GB"/>
        </w:rPr>
        <w:t xml:space="preserve">though </w:t>
      </w:r>
      <w:r w:rsidR="008166A1" w:rsidRPr="00E74D4F">
        <w:rPr>
          <w:kern w:val="0"/>
          <w:lang w:val="en-US" w:eastAsia="en-GB"/>
        </w:rPr>
        <w:t>having the</w:t>
      </w:r>
      <w:r w:rsidR="00BF360B" w:rsidRPr="00E74D4F">
        <w:rPr>
          <w:kern w:val="0"/>
          <w:lang w:val="en-US" w:eastAsia="en-GB"/>
        </w:rPr>
        <w:t xml:space="preserve"> </w:t>
      </w:r>
      <w:r w:rsidR="00245EEC" w:rsidRPr="00E74D4F">
        <w:rPr>
          <w:kern w:val="0"/>
          <w:lang w:val="en-US" w:eastAsia="en-GB"/>
        </w:rPr>
        <w:t xml:space="preserve">opportunity to do so, </w:t>
      </w:r>
      <w:r w:rsidR="00BF360B" w:rsidRPr="00E74D4F">
        <w:rPr>
          <w:kern w:val="0"/>
          <w:lang w:val="en-US" w:eastAsia="en-GB"/>
        </w:rPr>
        <w:t>but</w:t>
      </w:r>
      <w:r w:rsidR="00245EEC" w:rsidRPr="00E74D4F">
        <w:rPr>
          <w:kern w:val="0"/>
          <w:lang w:val="en-US" w:eastAsia="en-GB"/>
        </w:rPr>
        <w:t xml:space="preserve"> instead </w:t>
      </w:r>
      <w:r w:rsidR="00CD7DB9" w:rsidRPr="00E74D4F">
        <w:rPr>
          <w:kern w:val="0"/>
          <w:lang w:val="en-US" w:eastAsia="en-GB"/>
        </w:rPr>
        <w:t xml:space="preserve">to </w:t>
      </w:r>
      <w:r w:rsidR="00F21E90" w:rsidRPr="00E74D4F">
        <w:rPr>
          <w:kern w:val="0"/>
          <w:lang w:val="en-US" w:eastAsia="en-GB"/>
        </w:rPr>
        <w:t>limit</w:t>
      </w:r>
      <w:r w:rsidR="00CD7DB9" w:rsidRPr="00E74D4F">
        <w:rPr>
          <w:kern w:val="0"/>
          <w:lang w:val="en-US" w:eastAsia="en-GB"/>
        </w:rPr>
        <w:t xml:space="preserve"> </w:t>
      </w:r>
      <w:proofErr w:type="gramStart"/>
      <w:r w:rsidR="00F21E90" w:rsidRPr="00E74D4F">
        <w:rPr>
          <w:kern w:val="0"/>
          <w:lang w:val="en-US" w:eastAsia="en-GB"/>
        </w:rPr>
        <w:t>themselves</w:t>
      </w:r>
      <w:proofErr w:type="gramEnd"/>
      <w:r w:rsidR="00F21E90" w:rsidRPr="00E74D4F">
        <w:rPr>
          <w:kern w:val="0"/>
          <w:lang w:val="en-US" w:eastAsia="en-GB"/>
        </w:rPr>
        <w:t xml:space="preserve"> to</w:t>
      </w:r>
      <w:r w:rsidR="007946E6" w:rsidRPr="00E74D4F">
        <w:rPr>
          <w:kern w:val="0"/>
          <w:lang w:val="en-US" w:eastAsia="en-GB"/>
        </w:rPr>
        <w:t xml:space="preserve"> using administrative or judicial review procedures to challenge </w:t>
      </w:r>
      <w:r w:rsidR="00613879" w:rsidRPr="00E74D4F">
        <w:rPr>
          <w:kern w:val="0"/>
          <w:lang w:val="en-US" w:eastAsia="en-GB"/>
        </w:rPr>
        <w:t xml:space="preserve">the decision </w:t>
      </w:r>
      <w:r w:rsidR="00245EEC" w:rsidRPr="00E74D4F">
        <w:rPr>
          <w:kern w:val="0"/>
          <w:lang w:val="en-US" w:eastAsia="en-GB"/>
        </w:rPr>
        <w:t>once taken</w:t>
      </w:r>
      <w:r w:rsidR="002479CB" w:rsidRPr="00E74D4F">
        <w:rPr>
          <w:kern w:val="0"/>
          <w:lang w:val="en-US" w:eastAsia="en-GB"/>
        </w:rPr>
        <w:t>,</w:t>
      </w:r>
      <w:r w:rsidR="00245EEC" w:rsidRPr="00E74D4F">
        <w:rPr>
          <w:kern w:val="0"/>
          <w:lang w:val="en-US" w:eastAsia="en-GB"/>
        </w:rPr>
        <w:t xml:space="preserve"> </w:t>
      </w:r>
      <w:r w:rsidR="00F21E90" w:rsidRPr="00E74D4F">
        <w:rPr>
          <w:kern w:val="0"/>
          <w:lang w:val="en-US" w:eastAsia="en-GB"/>
        </w:rPr>
        <w:t>that could</w:t>
      </w:r>
      <w:r w:rsidR="00245EEC" w:rsidRPr="00E74D4F">
        <w:rPr>
          <w:kern w:val="0"/>
          <w:lang w:val="en-US" w:eastAsia="en-GB"/>
        </w:rPr>
        <w:t xml:space="preserve"> </w:t>
      </w:r>
      <w:r w:rsidR="00F11DE7" w:rsidRPr="00E74D4F">
        <w:rPr>
          <w:kern w:val="0"/>
          <w:lang w:val="en-US" w:eastAsia="en-GB"/>
        </w:rPr>
        <w:t>undermine</w:t>
      </w:r>
      <w:r w:rsidR="00F21E90" w:rsidRPr="00E74D4F">
        <w:rPr>
          <w:kern w:val="0"/>
          <w:lang w:val="en-US" w:eastAsia="en-GB"/>
        </w:rPr>
        <w:t xml:space="preserve"> </w:t>
      </w:r>
      <w:r w:rsidR="00613879" w:rsidRPr="00E74D4F">
        <w:rPr>
          <w:kern w:val="0"/>
          <w:lang w:val="en-US" w:eastAsia="en-GB"/>
        </w:rPr>
        <w:t>the obj</w:t>
      </w:r>
      <w:r w:rsidR="00BF360B" w:rsidRPr="00E74D4F">
        <w:rPr>
          <w:kern w:val="0"/>
          <w:lang w:val="en-US" w:eastAsia="en-GB"/>
        </w:rPr>
        <w:t>e</w:t>
      </w:r>
      <w:r w:rsidR="00613879" w:rsidRPr="00E74D4F">
        <w:rPr>
          <w:kern w:val="0"/>
          <w:lang w:val="en-US" w:eastAsia="en-GB"/>
        </w:rPr>
        <w:t xml:space="preserve">ctives of the Convention.  </w:t>
      </w:r>
      <w:r w:rsidR="001B5EAD" w:rsidRPr="00E74D4F">
        <w:rPr>
          <w:kern w:val="0"/>
          <w:lang w:val="en-US" w:eastAsia="en-GB"/>
        </w:rPr>
        <w:t xml:space="preserve"> </w:t>
      </w:r>
    </w:p>
    <w:p w14:paraId="360CFF35" w14:textId="77777777" w:rsidR="007946E6" w:rsidRPr="00E74D4F" w:rsidRDefault="007946E6" w:rsidP="00DC3FDE">
      <w:pPr>
        <w:pStyle w:val="SingleTxtG"/>
        <w:ind w:left="1100"/>
      </w:pPr>
    </w:p>
    <w:p w14:paraId="7D1B99B7" w14:textId="6DC57F20" w:rsidR="000C2290" w:rsidRPr="00E74D4F" w:rsidRDefault="00E01A43" w:rsidP="00E01A43">
      <w:pPr>
        <w:pStyle w:val="SingleTxtG"/>
        <w:numPr>
          <w:ilvl w:val="0"/>
          <w:numId w:val="19"/>
        </w:numPr>
        <w:rPr>
          <w:b/>
          <w:bCs/>
          <w:i/>
          <w:iCs/>
        </w:rPr>
      </w:pPr>
      <w:r w:rsidRPr="00E74D4F">
        <w:rPr>
          <w:b/>
          <w:bCs/>
          <w:i/>
          <w:iCs/>
        </w:rPr>
        <w:t>Role of</w:t>
      </w:r>
      <w:r w:rsidR="000C2290" w:rsidRPr="00E74D4F">
        <w:rPr>
          <w:b/>
          <w:bCs/>
          <w:i/>
          <w:iCs/>
        </w:rPr>
        <w:t xml:space="preserve"> </w:t>
      </w:r>
      <w:r w:rsidR="00A718A9" w:rsidRPr="00E74D4F">
        <w:rPr>
          <w:b/>
          <w:bCs/>
          <w:i/>
          <w:iCs/>
        </w:rPr>
        <w:t xml:space="preserve">the courts and other </w:t>
      </w:r>
      <w:r w:rsidR="00176734" w:rsidRPr="00E74D4F">
        <w:rPr>
          <w:b/>
          <w:bCs/>
          <w:i/>
          <w:iCs/>
        </w:rPr>
        <w:t>review bodies</w:t>
      </w:r>
    </w:p>
    <w:p w14:paraId="5FCD31DC" w14:textId="30CE19E6" w:rsidR="00F27488" w:rsidRPr="00E74D4F" w:rsidRDefault="00E14EF5" w:rsidP="008F2BCE">
      <w:pPr>
        <w:pStyle w:val="SingleTxtG"/>
        <w:ind w:left="1100"/>
      </w:pPr>
      <w:r w:rsidRPr="00E74D4F">
        <w:t>6</w:t>
      </w:r>
      <w:r w:rsidR="00174AF2" w:rsidRPr="00E74D4F">
        <w:t>9</w:t>
      </w:r>
      <w:r w:rsidR="008F2BCE" w:rsidRPr="00E74D4F">
        <w:t xml:space="preserve">. </w:t>
      </w:r>
      <w:r w:rsidR="00955B6C" w:rsidRPr="00E74D4F">
        <w:t>The Committee confirms that, as submitted by the communicant,</w:t>
      </w:r>
      <w:r w:rsidR="00955B6C" w:rsidRPr="00E74D4F">
        <w:rPr>
          <w:rStyle w:val="FootnoteReference"/>
        </w:rPr>
        <w:footnoteReference w:id="59"/>
      </w:r>
      <w:r w:rsidR="00955B6C" w:rsidRPr="00E74D4F">
        <w:t xml:space="preserve"> the requirement in article 9, paragraph 4</w:t>
      </w:r>
      <w:r w:rsidR="00F27488" w:rsidRPr="00E74D4F">
        <w:t>,</w:t>
      </w:r>
      <w:r w:rsidR="00955B6C" w:rsidRPr="00E74D4F">
        <w:t xml:space="preserve"> of the Convention that injunctive relief and other remedies be “effective” includes, inter alia, an implicit requirement that those remedies should prevent irreversible damage to the environment. </w:t>
      </w:r>
    </w:p>
    <w:p w14:paraId="3C3074DE" w14:textId="0C35EBA6" w:rsidR="000C2290" w:rsidRPr="00E74D4F" w:rsidRDefault="00174AF2" w:rsidP="008F2BCE">
      <w:pPr>
        <w:pStyle w:val="SingleTxtG"/>
        <w:ind w:left="1100"/>
      </w:pPr>
      <w:r w:rsidRPr="00E74D4F">
        <w:t>70</w:t>
      </w:r>
      <w:r w:rsidR="00830EAD" w:rsidRPr="00E74D4F">
        <w:t xml:space="preserve">. </w:t>
      </w:r>
      <w:r w:rsidR="000C2290" w:rsidRPr="00E74D4F">
        <w:t>In this respect</w:t>
      </w:r>
      <w:r w:rsidR="00830EAD" w:rsidRPr="00E74D4F">
        <w:t>,</w:t>
      </w:r>
      <w:r w:rsidR="000C2290" w:rsidRPr="00E74D4F">
        <w:t xml:space="preserve"> it is important to note that the Party concerned is bound to guarantee access to justice in accordance with the </w:t>
      </w:r>
      <w:r w:rsidR="00972628" w:rsidRPr="00E74D4F">
        <w:t xml:space="preserve">objective set out in article 1 </w:t>
      </w:r>
      <w:r w:rsidR="000C2290" w:rsidRPr="00E74D4F">
        <w:t xml:space="preserve">of the </w:t>
      </w:r>
      <w:proofErr w:type="gramStart"/>
      <w:r w:rsidR="000C2290" w:rsidRPr="00E74D4F">
        <w:t>Convention</w:t>
      </w:r>
      <w:r w:rsidR="00972628" w:rsidRPr="00E74D4F">
        <w:t>, that</w:t>
      </w:r>
      <w:proofErr w:type="gramEnd"/>
      <w:r w:rsidR="00972628" w:rsidRPr="00E74D4F">
        <w:t xml:space="preserve"> is</w:t>
      </w:r>
      <w:r w:rsidR="000C2290" w:rsidRPr="00E74D4F">
        <w:t xml:space="preserve"> in order to contribute to the right of every person to live in an environment adequate to his or her health and well-being. Therefore, the protection of the environment </w:t>
      </w:r>
      <w:r w:rsidR="00F27488" w:rsidRPr="00E74D4F">
        <w:t>must</w:t>
      </w:r>
      <w:r w:rsidR="00135E8D" w:rsidRPr="00E74D4F">
        <w:t xml:space="preserve">, in the language of APC article 60(1), </w:t>
      </w:r>
      <w:r w:rsidR="000C2290" w:rsidRPr="00E74D4F">
        <w:t>be treated as a</w:t>
      </w:r>
      <w:r w:rsidR="002119E7" w:rsidRPr="00E74D4F">
        <w:t xml:space="preserve"> “particularly</w:t>
      </w:r>
      <w:r w:rsidR="000C2290" w:rsidRPr="00E74D4F">
        <w:t xml:space="preserve"> important public interest</w:t>
      </w:r>
      <w:r w:rsidR="002119E7" w:rsidRPr="00E74D4F">
        <w:t>”</w:t>
      </w:r>
      <w:r w:rsidR="00135E8D" w:rsidRPr="00E74D4F">
        <w:t xml:space="preserve"> for the purposes of that provision</w:t>
      </w:r>
      <w:r w:rsidR="000C2290" w:rsidRPr="00E74D4F">
        <w:t>.</w:t>
      </w:r>
    </w:p>
    <w:p w14:paraId="2A004782" w14:textId="2E47C979" w:rsidR="000C2290" w:rsidRPr="00E74D4F" w:rsidRDefault="00174AF2" w:rsidP="003D0C50">
      <w:pPr>
        <w:pStyle w:val="SingleTxtG"/>
        <w:ind w:left="1100"/>
        <w:rPr>
          <w:bCs/>
        </w:rPr>
      </w:pPr>
      <w:r w:rsidRPr="00E74D4F">
        <w:rPr>
          <w:bCs/>
        </w:rPr>
        <w:t>71</w:t>
      </w:r>
      <w:r w:rsidR="008F2BCE" w:rsidRPr="00E74D4F">
        <w:rPr>
          <w:bCs/>
        </w:rPr>
        <w:t xml:space="preserve">. </w:t>
      </w:r>
      <w:r w:rsidR="000C2290" w:rsidRPr="00E74D4F">
        <w:rPr>
          <w:bCs/>
        </w:rPr>
        <w:t>Furthermore, the Committee considers that</w:t>
      </w:r>
      <w:r w:rsidR="009D7F63" w:rsidRPr="00E74D4F">
        <w:rPr>
          <w:bCs/>
        </w:rPr>
        <w:t xml:space="preserve">, </w:t>
      </w:r>
      <w:r w:rsidR="00D776A3" w:rsidRPr="00E74D4F">
        <w:rPr>
          <w:bCs/>
        </w:rPr>
        <w:t>in contrast to its findings regarding the grant of such orders</w:t>
      </w:r>
      <w:r w:rsidR="009D7F63" w:rsidRPr="00E74D4F">
        <w:rPr>
          <w:bCs/>
        </w:rPr>
        <w:t xml:space="preserve"> </w:t>
      </w:r>
      <w:r w:rsidR="00A562AA" w:rsidRPr="00E74D4F">
        <w:rPr>
          <w:bCs/>
        </w:rPr>
        <w:t xml:space="preserve">by public authorities </w:t>
      </w:r>
      <w:r w:rsidR="0008548C" w:rsidRPr="00E74D4F">
        <w:rPr>
          <w:bCs/>
        </w:rPr>
        <w:t>(see para</w:t>
      </w:r>
      <w:r w:rsidR="008166A1" w:rsidRPr="00E74D4F">
        <w:rPr>
          <w:bCs/>
        </w:rPr>
        <w:t>.</w:t>
      </w:r>
      <w:r w:rsidR="009D7F63" w:rsidRPr="00E74D4F">
        <w:rPr>
          <w:bCs/>
        </w:rPr>
        <w:t xml:space="preserve"> </w:t>
      </w:r>
      <w:r w:rsidR="008166A1" w:rsidRPr="00E74D4F">
        <w:rPr>
          <w:bCs/>
        </w:rPr>
        <w:t>6</w:t>
      </w:r>
      <w:r w:rsidR="00A4632C" w:rsidRPr="00E74D4F">
        <w:rPr>
          <w:bCs/>
        </w:rPr>
        <w:t>7</w:t>
      </w:r>
      <w:r w:rsidR="009D7F63" w:rsidRPr="00E74D4F">
        <w:rPr>
          <w:bCs/>
        </w:rPr>
        <w:t xml:space="preserve"> above</w:t>
      </w:r>
      <w:r w:rsidR="0008548C" w:rsidRPr="00E74D4F">
        <w:rPr>
          <w:bCs/>
        </w:rPr>
        <w:t>)</w:t>
      </w:r>
      <w:r w:rsidR="00F22D0E" w:rsidRPr="00E74D4F">
        <w:rPr>
          <w:bCs/>
        </w:rPr>
        <w:t>,</w:t>
      </w:r>
      <w:r w:rsidR="009D7F63" w:rsidRPr="00E74D4F">
        <w:rPr>
          <w:bCs/>
        </w:rPr>
        <w:t xml:space="preserve"> </w:t>
      </w:r>
      <w:r w:rsidR="00F22D0E" w:rsidRPr="00E74D4F">
        <w:rPr>
          <w:bCs/>
        </w:rPr>
        <w:t xml:space="preserve">in </w:t>
      </w:r>
      <w:r w:rsidR="00265DC7" w:rsidRPr="00E74D4F">
        <w:rPr>
          <w:bCs/>
        </w:rPr>
        <w:t xml:space="preserve">an appeal of an </w:t>
      </w:r>
      <w:r w:rsidR="00624D28" w:rsidRPr="00E74D4F">
        <w:rPr>
          <w:bCs/>
        </w:rPr>
        <w:t xml:space="preserve">order for preliminary </w:t>
      </w:r>
      <w:r w:rsidR="000C2290" w:rsidRPr="00E74D4F">
        <w:rPr>
          <w:bCs/>
        </w:rPr>
        <w:t>enforcement</w:t>
      </w:r>
      <w:r w:rsidR="007946E6" w:rsidRPr="00E74D4F">
        <w:rPr>
          <w:bCs/>
        </w:rPr>
        <w:t xml:space="preserve"> under APC articles 60(4)</w:t>
      </w:r>
      <w:r w:rsidR="000C2290" w:rsidRPr="00E74D4F">
        <w:rPr>
          <w:bCs/>
        </w:rPr>
        <w:t>, it should be irrelevant whether the public raised any concerns during the</w:t>
      </w:r>
      <w:r w:rsidR="00CB448A" w:rsidRPr="00E74D4F">
        <w:rPr>
          <w:bCs/>
        </w:rPr>
        <w:t xml:space="preserve"> earlier</w:t>
      </w:r>
      <w:r w:rsidR="000C2290" w:rsidRPr="00E74D4F">
        <w:rPr>
          <w:bCs/>
        </w:rPr>
        <w:t xml:space="preserve"> public participation procedure</w:t>
      </w:r>
      <w:r w:rsidR="006630F9" w:rsidRPr="00E74D4F">
        <w:rPr>
          <w:bCs/>
        </w:rPr>
        <w:t xml:space="preserve">. Likewise, </w:t>
      </w:r>
      <w:r w:rsidR="000C2290" w:rsidRPr="00E74D4F">
        <w:rPr>
          <w:bCs/>
        </w:rPr>
        <w:t xml:space="preserve">the </w:t>
      </w:r>
      <w:r w:rsidR="00D776A3" w:rsidRPr="00E74D4F">
        <w:rPr>
          <w:bCs/>
        </w:rPr>
        <w:t xml:space="preserve">grounds upon which </w:t>
      </w:r>
      <w:r w:rsidR="000C2290" w:rsidRPr="00E74D4F">
        <w:rPr>
          <w:bCs/>
        </w:rPr>
        <w:t xml:space="preserve">the </w:t>
      </w:r>
      <w:r w:rsidR="00D776A3" w:rsidRPr="00E74D4F">
        <w:rPr>
          <w:bCs/>
        </w:rPr>
        <w:t xml:space="preserve">EIA/SEA </w:t>
      </w:r>
      <w:r w:rsidR="000C2290" w:rsidRPr="00E74D4F">
        <w:rPr>
          <w:bCs/>
        </w:rPr>
        <w:t>decision</w:t>
      </w:r>
      <w:r w:rsidR="00D776A3" w:rsidRPr="00E74D4F">
        <w:rPr>
          <w:bCs/>
        </w:rPr>
        <w:t xml:space="preserve"> </w:t>
      </w:r>
      <w:r w:rsidR="004672E3" w:rsidRPr="00E74D4F">
        <w:rPr>
          <w:bCs/>
        </w:rPr>
        <w:t xml:space="preserve">is challenged </w:t>
      </w:r>
      <w:r w:rsidR="00D776A3" w:rsidRPr="00E74D4F">
        <w:rPr>
          <w:bCs/>
        </w:rPr>
        <w:t>in the main proceeding</w:t>
      </w:r>
      <w:r w:rsidR="006630F9" w:rsidRPr="00E74D4F">
        <w:rPr>
          <w:bCs/>
        </w:rPr>
        <w:t xml:space="preserve"> should be irrelevant also</w:t>
      </w:r>
      <w:r w:rsidR="000C2290" w:rsidRPr="00E74D4F">
        <w:rPr>
          <w:bCs/>
        </w:rPr>
        <w:t xml:space="preserve">. </w:t>
      </w:r>
      <w:r w:rsidR="00135E8D" w:rsidRPr="00E74D4F">
        <w:rPr>
          <w:bCs/>
        </w:rPr>
        <w:t>Rather, i</w:t>
      </w:r>
      <w:r w:rsidR="004672E3" w:rsidRPr="00E74D4F">
        <w:rPr>
          <w:bCs/>
        </w:rPr>
        <w:t xml:space="preserve">f </w:t>
      </w:r>
      <w:r w:rsidR="00331AFA" w:rsidRPr="00E74D4F">
        <w:rPr>
          <w:bCs/>
        </w:rPr>
        <w:t>a</w:t>
      </w:r>
      <w:r w:rsidR="004672E3" w:rsidRPr="00E74D4F">
        <w:rPr>
          <w:bCs/>
        </w:rPr>
        <w:t xml:space="preserve"> </w:t>
      </w:r>
      <w:r w:rsidR="000C2290" w:rsidRPr="00E74D4F">
        <w:t xml:space="preserve">risk of damage to the environment </w:t>
      </w:r>
      <w:r w:rsidR="00331AFA" w:rsidRPr="00E74D4F">
        <w:t xml:space="preserve">is put forward as a ground for </w:t>
      </w:r>
      <w:r w:rsidR="00D32AA9" w:rsidRPr="00E74D4F">
        <w:t xml:space="preserve">appealing </w:t>
      </w:r>
      <w:r w:rsidR="00331AFA" w:rsidRPr="00E74D4F">
        <w:t>the order for preliminary enforcement, the</w:t>
      </w:r>
      <w:r w:rsidR="00AC4113" w:rsidRPr="00E74D4F">
        <w:t>n in accordance with the</w:t>
      </w:r>
      <w:r w:rsidR="00331AFA" w:rsidRPr="00E74D4F">
        <w:t xml:space="preserve"> </w:t>
      </w:r>
      <w:r w:rsidR="00133279" w:rsidRPr="00E74D4F">
        <w:t>requirement in article 9, paragraph 4 of the Convention to ensure adequate and effective remedies to prevent environmental damage</w:t>
      </w:r>
      <w:r w:rsidR="00AC4113" w:rsidRPr="00E74D4F">
        <w:t>, the protection of the environment</w:t>
      </w:r>
      <w:r w:rsidR="00133279" w:rsidRPr="00E74D4F">
        <w:t xml:space="preserve"> must </w:t>
      </w:r>
      <w:r w:rsidR="004672E3" w:rsidRPr="00E74D4F">
        <w:t xml:space="preserve">be a major factor to be taken into account by </w:t>
      </w:r>
      <w:r w:rsidR="00D32AA9" w:rsidRPr="00E74D4F">
        <w:t xml:space="preserve">the </w:t>
      </w:r>
      <w:r w:rsidR="000C4949" w:rsidRPr="00E74D4F">
        <w:t>court</w:t>
      </w:r>
      <w:r w:rsidR="00331AFA" w:rsidRPr="00E74D4F">
        <w:t xml:space="preserve"> in deciding the </w:t>
      </w:r>
      <w:r w:rsidR="000C4949" w:rsidRPr="00E74D4F">
        <w:t>appeal</w:t>
      </w:r>
      <w:r w:rsidR="000C2290" w:rsidRPr="00E74D4F">
        <w:t>.</w:t>
      </w:r>
    </w:p>
    <w:p w14:paraId="26BD77A2" w14:textId="5706B69B" w:rsidR="00331AFA" w:rsidRPr="00E74D4F" w:rsidRDefault="00174AF2" w:rsidP="008F2BCE">
      <w:pPr>
        <w:pStyle w:val="SingleTxtG"/>
        <w:ind w:left="1100"/>
      </w:pPr>
      <w:r w:rsidRPr="00E74D4F">
        <w:t>72</w:t>
      </w:r>
      <w:r w:rsidR="00E14EF5" w:rsidRPr="00E74D4F">
        <w:rPr>
          <w:bCs/>
        </w:rPr>
        <w:t xml:space="preserve">. </w:t>
      </w:r>
      <w:r w:rsidR="00331AFA" w:rsidRPr="00E74D4F">
        <w:rPr>
          <w:bCs/>
        </w:rPr>
        <w:t>Given that the EIA/SEA decision is itself challenged in the main proceeding, this will require that</w:t>
      </w:r>
      <w:r w:rsidR="00265DC7" w:rsidRPr="00E74D4F">
        <w:rPr>
          <w:bCs/>
        </w:rPr>
        <w:t xml:space="preserve"> </w:t>
      </w:r>
      <w:r w:rsidR="00331AFA" w:rsidRPr="00E74D4F">
        <w:rPr>
          <w:bCs/>
        </w:rPr>
        <w:t xml:space="preserve">the </w:t>
      </w:r>
      <w:r w:rsidR="006630F9" w:rsidRPr="00E74D4F">
        <w:rPr>
          <w:bCs/>
        </w:rPr>
        <w:t>reviewing body</w:t>
      </w:r>
      <w:r w:rsidR="00F27488" w:rsidRPr="00E74D4F">
        <w:rPr>
          <w:bCs/>
        </w:rPr>
        <w:t>,</w:t>
      </w:r>
      <w:r w:rsidR="00331AFA" w:rsidRPr="00E74D4F">
        <w:rPr>
          <w:bCs/>
        </w:rPr>
        <w:t xml:space="preserve"> </w:t>
      </w:r>
      <w:r w:rsidR="00F27488" w:rsidRPr="00E74D4F">
        <w:rPr>
          <w:bCs/>
        </w:rPr>
        <w:t xml:space="preserve">when </w:t>
      </w:r>
      <w:r w:rsidR="00D32AA9" w:rsidRPr="00E74D4F">
        <w:rPr>
          <w:bCs/>
        </w:rPr>
        <w:t>considering the appeal</w:t>
      </w:r>
      <w:r w:rsidR="00B056EB" w:rsidRPr="00E74D4F">
        <w:rPr>
          <w:bCs/>
        </w:rPr>
        <w:t xml:space="preserve"> against an order for preliminary enforcement</w:t>
      </w:r>
      <w:r w:rsidR="00F27488" w:rsidRPr="00E74D4F">
        <w:rPr>
          <w:bCs/>
        </w:rPr>
        <w:t>,</w:t>
      </w:r>
      <w:r w:rsidR="00D32AA9" w:rsidRPr="00E74D4F">
        <w:rPr>
          <w:bCs/>
        </w:rPr>
        <w:t xml:space="preserve"> </w:t>
      </w:r>
      <w:r w:rsidR="00135E8D" w:rsidRPr="00E74D4F">
        <w:rPr>
          <w:bCs/>
        </w:rPr>
        <w:t>undertakes</w:t>
      </w:r>
      <w:r w:rsidR="00331AFA" w:rsidRPr="00E74D4F">
        <w:rPr>
          <w:bCs/>
        </w:rPr>
        <w:t xml:space="preserve"> it</w:t>
      </w:r>
      <w:r w:rsidR="00265DC7" w:rsidRPr="00E74D4F">
        <w:rPr>
          <w:bCs/>
        </w:rPr>
        <w:t xml:space="preserve">s own assessment as to whether there is any risk of damage to the environment should the </w:t>
      </w:r>
      <w:r w:rsidR="00265DC7" w:rsidRPr="00E74D4F">
        <w:t>activity proceed while the challenge to the EIA/SEA decision is still pending.</w:t>
      </w:r>
      <w:r w:rsidR="00F27488" w:rsidRPr="00E74D4F">
        <w:t xml:space="preserve"> </w:t>
      </w:r>
      <w:r w:rsidR="00E943F9" w:rsidRPr="00E74D4F">
        <w:t>This assessment must be carried out</w:t>
      </w:r>
      <w:r w:rsidR="00E943F9" w:rsidRPr="00E74D4F">
        <w:rPr>
          <w:bCs/>
        </w:rPr>
        <w:t xml:space="preserve"> on the basis of all the facts and arguments before it and </w:t>
      </w:r>
      <w:r w:rsidR="00E943F9" w:rsidRPr="00E74D4F">
        <w:t>taking into account the particularly important public interest in the protection of the environment and the need for precaution with respect to preventing environmental harm</w:t>
      </w:r>
      <w:r w:rsidR="00E943F9" w:rsidRPr="00E74D4F">
        <w:rPr>
          <w:bCs/>
        </w:rPr>
        <w:t>.</w:t>
      </w:r>
      <w:r w:rsidR="00E943F9" w:rsidRPr="00E74D4F" w:rsidDel="006630F9">
        <w:t xml:space="preserve"> </w:t>
      </w:r>
    </w:p>
    <w:p w14:paraId="67C41E6A" w14:textId="3C95693B" w:rsidR="000C2290" w:rsidRPr="00E74D4F" w:rsidRDefault="00E14EF5" w:rsidP="008F2BCE">
      <w:pPr>
        <w:pStyle w:val="SingleTxtG"/>
        <w:ind w:left="1100"/>
      </w:pPr>
      <w:r w:rsidRPr="00E74D4F">
        <w:t>7</w:t>
      </w:r>
      <w:r w:rsidR="00174AF2" w:rsidRPr="00E74D4F">
        <w:t>3</w:t>
      </w:r>
      <w:r w:rsidR="008F2BCE" w:rsidRPr="00E74D4F">
        <w:t xml:space="preserve">. </w:t>
      </w:r>
      <w:r w:rsidR="00331AFA" w:rsidRPr="00E74D4F">
        <w:t>As an aside</w:t>
      </w:r>
      <w:r w:rsidR="000C2290" w:rsidRPr="00E74D4F">
        <w:t xml:space="preserve">, the Committee does not find convincing the Party </w:t>
      </w:r>
      <w:proofErr w:type="spellStart"/>
      <w:r w:rsidR="000C2290" w:rsidRPr="00E74D4F">
        <w:t>concerned’s</w:t>
      </w:r>
      <w:proofErr w:type="spellEnd"/>
      <w:r w:rsidR="000C2290" w:rsidRPr="00E74D4F">
        <w:t xml:space="preserve"> submission that even though</w:t>
      </w:r>
      <w:r w:rsidR="00892804" w:rsidRPr="00E74D4F">
        <w:t xml:space="preserve"> </w:t>
      </w:r>
      <w:r w:rsidR="000C2290" w:rsidRPr="00E74D4F">
        <w:t>a</w:t>
      </w:r>
      <w:r w:rsidR="00892804" w:rsidRPr="00E74D4F">
        <w:t>n</w:t>
      </w:r>
      <w:r w:rsidR="000C2290" w:rsidRPr="00E74D4F">
        <w:t xml:space="preserve"> </w:t>
      </w:r>
      <w:r w:rsidR="00F1001C" w:rsidRPr="00E74D4F">
        <w:t>order for preliminary enforcement</w:t>
      </w:r>
      <w:r w:rsidR="00892804" w:rsidRPr="00E74D4F">
        <w:t xml:space="preserve"> </w:t>
      </w:r>
      <w:r w:rsidR="000C2290" w:rsidRPr="00E74D4F">
        <w:t>is upheld by the court, the project may not yet commence for some time, and hence no environmental damage</w:t>
      </w:r>
      <w:r w:rsidR="00892804" w:rsidRPr="00E74D4F">
        <w:t xml:space="preserve"> </w:t>
      </w:r>
      <w:r w:rsidR="000C2290" w:rsidRPr="00E74D4F">
        <w:t xml:space="preserve">occur. </w:t>
      </w:r>
      <w:proofErr w:type="gramStart"/>
      <w:r w:rsidR="000C2290" w:rsidRPr="00E74D4F">
        <w:t xml:space="preserve">While due to various practical circumstances that may be correct in some cases, </w:t>
      </w:r>
      <w:r w:rsidR="00CB448A" w:rsidRPr="00E74D4F">
        <w:t>a</w:t>
      </w:r>
      <w:r w:rsidR="000C2290" w:rsidRPr="00E74D4F">
        <w:t xml:space="preserve">s </w:t>
      </w:r>
      <w:r w:rsidR="007C5827" w:rsidRPr="00E74D4F">
        <w:t>evident from</w:t>
      </w:r>
      <w:r w:rsidR="00CB448A" w:rsidRPr="00E74D4F">
        <w:t xml:space="preserve"> </w:t>
      </w:r>
      <w:r w:rsidR="000C2290" w:rsidRPr="00E74D4F">
        <w:t xml:space="preserve">the </w:t>
      </w:r>
      <w:r w:rsidR="00CB448A" w:rsidRPr="00E74D4F">
        <w:t>cases examined in these findings, it is not necessarily so.</w:t>
      </w:r>
      <w:proofErr w:type="gramEnd"/>
      <w:r w:rsidR="000C2290" w:rsidRPr="00E74D4F">
        <w:t xml:space="preserve"> </w:t>
      </w:r>
      <w:r w:rsidR="007C5827" w:rsidRPr="00E74D4F">
        <w:t>For example, the two ski lifts projects (ruling no 15789/2010 regarding decision</w:t>
      </w:r>
      <w:r w:rsidR="00C374B0" w:rsidRPr="00E74D4F">
        <w:t>s</w:t>
      </w:r>
      <w:r w:rsidR="007C5827" w:rsidRPr="00E74D4F">
        <w:t xml:space="preserve"> no. 31- ПР/2010 of </w:t>
      </w:r>
      <w:proofErr w:type="spellStart"/>
      <w:r w:rsidR="007C5827" w:rsidRPr="00E74D4F">
        <w:t>MoEW</w:t>
      </w:r>
      <w:proofErr w:type="spellEnd"/>
      <w:r w:rsidR="007C5827" w:rsidRPr="00E74D4F">
        <w:t xml:space="preserve">) resulted in irreversible environmental damage before the decision authorising the ski lifts was finally found to be illegal (paragraph </w:t>
      </w:r>
      <w:r w:rsidR="00174AF2" w:rsidRPr="00E74D4F">
        <w:t>31</w:t>
      </w:r>
      <w:r w:rsidR="005F0DF2" w:rsidRPr="00E74D4F">
        <w:t xml:space="preserve"> </w:t>
      </w:r>
      <w:r w:rsidR="007C5827" w:rsidRPr="00E74D4F">
        <w:t xml:space="preserve">above). </w:t>
      </w:r>
      <w:r w:rsidR="00CB448A" w:rsidRPr="00E74D4F">
        <w:t xml:space="preserve">As </w:t>
      </w:r>
      <w:r w:rsidR="007C5827" w:rsidRPr="00E74D4F">
        <w:t>that case</w:t>
      </w:r>
      <w:r w:rsidR="00CB448A" w:rsidRPr="00E74D4F">
        <w:t xml:space="preserve"> demonstrate</w:t>
      </w:r>
      <w:r w:rsidR="007C5827" w:rsidRPr="00E74D4F">
        <w:t>s</w:t>
      </w:r>
      <w:r w:rsidR="00CB448A" w:rsidRPr="00E74D4F">
        <w:t xml:space="preserve">, </w:t>
      </w:r>
      <w:r w:rsidR="000C2290" w:rsidRPr="00E74D4F">
        <w:t xml:space="preserve">environmental damage can indeed occur as a result of granting </w:t>
      </w:r>
      <w:r w:rsidR="00624D28" w:rsidRPr="00E74D4F">
        <w:t xml:space="preserve">preliminary </w:t>
      </w:r>
      <w:r w:rsidR="000C2290" w:rsidRPr="00E74D4F">
        <w:t xml:space="preserve">enforcement </w:t>
      </w:r>
      <w:r w:rsidR="00B30396" w:rsidRPr="00E74D4F">
        <w:t xml:space="preserve">of a challenged EIA/SEA </w:t>
      </w:r>
      <w:r w:rsidR="000C2290" w:rsidRPr="00E74D4F">
        <w:t xml:space="preserve">decision </w:t>
      </w:r>
      <w:r w:rsidR="00B30396" w:rsidRPr="00E74D4F">
        <w:t xml:space="preserve">that is </w:t>
      </w:r>
      <w:r w:rsidR="000C2290" w:rsidRPr="00E74D4F">
        <w:t xml:space="preserve">subsequently </w:t>
      </w:r>
      <w:r w:rsidR="00B30396" w:rsidRPr="00E74D4F">
        <w:t>overturned as a result of that challenge</w:t>
      </w:r>
      <w:r w:rsidR="000C2290" w:rsidRPr="00E74D4F">
        <w:t xml:space="preserve">. The key point is that there is nothing legally to prevent the developer from proceeding </w:t>
      </w:r>
      <w:r w:rsidR="00B30396" w:rsidRPr="00E74D4F">
        <w:t>to apply</w:t>
      </w:r>
      <w:r w:rsidR="000C2290" w:rsidRPr="00E74D4F">
        <w:t xml:space="preserve"> for and </w:t>
      </w:r>
      <w:r w:rsidR="00B30396" w:rsidRPr="00E74D4F">
        <w:t xml:space="preserve">obtain </w:t>
      </w:r>
      <w:r w:rsidR="000C2290" w:rsidRPr="00E74D4F">
        <w:t xml:space="preserve">a construction permit as soon as the </w:t>
      </w:r>
      <w:r w:rsidR="00F1001C" w:rsidRPr="00E74D4F">
        <w:t>order for preliminary enforcement</w:t>
      </w:r>
      <w:r w:rsidR="00B30396" w:rsidRPr="00E74D4F">
        <w:t xml:space="preserve"> </w:t>
      </w:r>
      <w:r w:rsidR="000C2290" w:rsidRPr="00E74D4F">
        <w:t xml:space="preserve">is upheld and before the appeal regarding </w:t>
      </w:r>
      <w:r w:rsidR="00B30396" w:rsidRPr="00E74D4F">
        <w:t xml:space="preserve">the </w:t>
      </w:r>
      <w:r w:rsidR="000C2290" w:rsidRPr="00E74D4F">
        <w:t>validity of the EIA/SEA decision is concluded.</w:t>
      </w:r>
    </w:p>
    <w:p w14:paraId="69CFC0B1" w14:textId="207E3F27" w:rsidR="000C2290" w:rsidRPr="00E74D4F" w:rsidRDefault="00E14EF5" w:rsidP="008F2BCE">
      <w:pPr>
        <w:pStyle w:val="SingleTxtG"/>
        <w:ind w:left="1100"/>
      </w:pPr>
      <w:r w:rsidRPr="00E74D4F">
        <w:t>7</w:t>
      </w:r>
      <w:r w:rsidR="00174AF2" w:rsidRPr="00E74D4F">
        <w:t>4</w:t>
      </w:r>
      <w:r w:rsidR="008F2BCE" w:rsidRPr="00E74D4F">
        <w:t xml:space="preserve">. </w:t>
      </w:r>
      <w:r w:rsidR="000C2290" w:rsidRPr="00E74D4F">
        <w:t xml:space="preserve">Bearing in mind the above considerations the Committee notes that only in one of the </w:t>
      </w:r>
      <w:r w:rsidR="00897F6A" w:rsidRPr="00E74D4F">
        <w:t>five</w:t>
      </w:r>
      <w:r w:rsidR="004A106D" w:rsidRPr="00E74D4F">
        <w:t xml:space="preserve"> </w:t>
      </w:r>
      <w:r w:rsidR="000C2290" w:rsidRPr="00E74D4F">
        <w:t>cases</w:t>
      </w:r>
      <w:r w:rsidR="00B30396" w:rsidRPr="00E74D4F">
        <w:t xml:space="preserve"> it has examined</w:t>
      </w:r>
      <w:r w:rsidR="00B056EB" w:rsidRPr="00E74D4F">
        <w:t>,</w:t>
      </w:r>
      <w:r w:rsidR="00892804" w:rsidRPr="00E74D4F">
        <w:t xml:space="preserve"> </w:t>
      </w:r>
      <w:r w:rsidR="000C2290" w:rsidRPr="00E74D4F">
        <w:t xml:space="preserve">namely the ruling in cassation case 14251/2010 regarding decision no. 33- ПР/2010 of </w:t>
      </w:r>
      <w:proofErr w:type="spellStart"/>
      <w:r w:rsidR="000C2290" w:rsidRPr="00E74D4F">
        <w:t>MoEW</w:t>
      </w:r>
      <w:proofErr w:type="spellEnd"/>
      <w:r w:rsidR="00892804" w:rsidRPr="00E74D4F">
        <w:t>, did</w:t>
      </w:r>
      <w:r w:rsidR="000C2290" w:rsidRPr="00E74D4F">
        <w:t xml:space="preserve"> the court </w:t>
      </w:r>
      <w:r w:rsidR="00B30396" w:rsidRPr="00E74D4F">
        <w:t xml:space="preserve">appear, when balancing the interests, </w:t>
      </w:r>
      <w:r w:rsidR="00FA78EC" w:rsidRPr="00E74D4F">
        <w:t xml:space="preserve">to make </w:t>
      </w:r>
      <w:r w:rsidR="00523A3F" w:rsidRPr="00E74D4F">
        <w:t xml:space="preserve">its </w:t>
      </w:r>
      <w:r w:rsidR="00FA78EC" w:rsidRPr="00E74D4F">
        <w:t xml:space="preserve">own assessment </w:t>
      </w:r>
      <w:r w:rsidR="000C2290" w:rsidRPr="00E74D4F">
        <w:t xml:space="preserve">of the </w:t>
      </w:r>
      <w:r w:rsidR="00265DC7" w:rsidRPr="00E74D4F">
        <w:t xml:space="preserve">risk of </w:t>
      </w:r>
      <w:r w:rsidR="00FA78EC" w:rsidRPr="00E74D4F">
        <w:t xml:space="preserve">environmental </w:t>
      </w:r>
      <w:r w:rsidR="000C2290" w:rsidRPr="00E74D4F">
        <w:t>damage</w:t>
      </w:r>
      <w:r w:rsidR="005866EF" w:rsidRPr="00E74D4F">
        <w:t xml:space="preserve"> on the basis of all the facts and arguments before it</w:t>
      </w:r>
      <w:r w:rsidR="000C2290" w:rsidRPr="00E74D4F">
        <w:t xml:space="preserve">. In the other four cases, the courts, when reviewing the decisions of the competent authorities regarding the preliminary enforcement of </w:t>
      </w:r>
      <w:r w:rsidR="00DB31B8" w:rsidRPr="00E74D4F">
        <w:t xml:space="preserve">challenged </w:t>
      </w:r>
      <w:r w:rsidR="000C2290" w:rsidRPr="00E74D4F">
        <w:t>EIA/SEA decisions</w:t>
      </w:r>
      <w:r w:rsidR="00FA78EC" w:rsidRPr="00E74D4F">
        <w:t>,</w:t>
      </w:r>
      <w:r w:rsidR="000C2290" w:rsidRPr="00E74D4F">
        <w:t xml:space="preserve"> did not attempt to </w:t>
      </w:r>
      <w:r w:rsidR="00523A3F" w:rsidRPr="00E74D4F">
        <w:t>make their own</w:t>
      </w:r>
      <w:r w:rsidR="00FA78EC" w:rsidRPr="00E74D4F">
        <w:t xml:space="preserve"> assessment</w:t>
      </w:r>
      <w:r w:rsidR="00DB31B8" w:rsidRPr="00E74D4F">
        <w:t xml:space="preserve"> of the </w:t>
      </w:r>
      <w:r w:rsidR="00ED5D39" w:rsidRPr="00E74D4F">
        <w:t xml:space="preserve">potential effects on the environment </w:t>
      </w:r>
      <w:r w:rsidR="000C2290" w:rsidRPr="00E74D4F">
        <w:t xml:space="preserve">but </w:t>
      </w:r>
      <w:r w:rsidR="00ED5D39" w:rsidRPr="00E74D4F">
        <w:t xml:space="preserve">instead </w:t>
      </w:r>
      <w:r w:rsidR="000C2290" w:rsidRPr="00E74D4F">
        <w:t xml:space="preserve">relied solely on the conclusions </w:t>
      </w:r>
      <w:r w:rsidR="00DB31B8" w:rsidRPr="00E74D4F">
        <w:t>of</w:t>
      </w:r>
      <w:r w:rsidR="000C2290" w:rsidRPr="00E74D4F">
        <w:t xml:space="preserve"> the competent authority</w:t>
      </w:r>
      <w:r w:rsidR="00DB31B8" w:rsidRPr="00E74D4F">
        <w:t xml:space="preserve"> on that point, </w:t>
      </w:r>
      <w:r w:rsidR="00ED5D39" w:rsidRPr="00E74D4F">
        <w:t>i.e. the</w:t>
      </w:r>
      <w:r w:rsidR="00DB31B8" w:rsidRPr="00E74D4F">
        <w:t xml:space="preserve"> </w:t>
      </w:r>
      <w:r w:rsidR="00ED5D39" w:rsidRPr="00E74D4F">
        <w:t xml:space="preserve">exact </w:t>
      </w:r>
      <w:r w:rsidR="00DB31B8" w:rsidRPr="00E74D4F">
        <w:t xml:space="preserve">conclusions being challenged in the </w:t>
      </w:r>
      <w:r w:rsidR="00ED5D39" w:rsidRPr="00E74D4F">
        <w:t>main proceeding</w:t>
      </w:r>
      <w:r w:rsidR="000C2290" w:rsidRPr="00E74D4F">
        <w:t xml:space="preserve">. </w:t>
      </w:r>
      <w:r w:rsidR="00DB31B8" w:rsidRPr="00E74D4F">
        <w:t>In one case, the ruling in cassation case no 8885/2012, t</w:t>
      </w:r>
      <w:r w:rsidR="000C2290" w:rsidRPr="00E74D4F">
        <w:t xml:space="preserve">he courts did not </w:t>
      </w:r>
      <w:r w:rsidR="00ED5D39" w:rsidRPr="00E74D4F">
        <w:t xml:space="preserve">consider </w:t>
      </w:r>
      <w:r w:rsidR="000C2290" w:rsidRPr="00E74D4F">
        <w:t>environmental concerns at all</w:t>
      </w:r>
      <w:r w:rsidR="00DB31B8" w:rsidRPr="00E74D4F">
        <w:t xml:space="preserve">. </w:t>
      </w:r>
      <w:r w:rsidR="007C5827" w:rsidRPr="00E74D4F">
        <w:t xml:space="preserve">Subsequently, the substantive review by the Ministry revealed significant flaws in assessing the environmental impact of the activity and consequently repealed the </w:t>
      </w:r>
      <w:r w:rsidR="000C5163" w:rsidRPr="00E74D4F">
        <w:t xml:space="preserve">EIA </w:t>
      </w:r>
      <w:r w:rsidR="007C5827" w:rsidRPr="00E74D4F">
        <w:t xml:space="preserve">decision (in that case, decision no 181/2012 of MOEW repealing the decision VA-7/2012 of RIEW). </w:t>
      </w:r>
      <w:r w:rsidR="00DB31B8" w:rsidRPr="00E74D4F">
        <w:t xml:space="preserve">The courts in </w:t>
      </w:r>
      <w:r w:rsidR="000C2290" w:rsidRPr="00E74D4F">
        <w:t xml:space="preserve">the </w:t>
      </w:r>
      <w:r w:rsidR="007C5827" w:rsidRPr="00E74D4F">
        <w:t xml:space="preserve">other </w:t>
      </w:r>
      <w:r w:rsidR="000C2290" w:rsidRPr="00E74D4F">
        <w:t xml:space="preserve">three cases clearly refused to </w:t>
      </w:r>
      <w:r w:rsidR="005866EF" w:rsidRPr="00E74D4F">
        <w:t xml:space="preserve">take into account </w:t>
      </w:r>
      <w:r w:rsidR="000C2290" w:rsidRPr="00E74D4F">
        <w:t>any environmental concerns</w:t>
      </w:r>
      <w:r w:rsidR="005866EF" w:rsidRPr="00E74D4F">
        <w:t xml:space="preserve"> put forward by the applicant</w:t>
      </w:r>
      <w:r w:rsidR="000C2290" w:rsidRPr="00E74D4F">
        <w:t xml:space="preserve"> indicating that they would be addressed when adjudicating the case on its merit.</w:t>
      </w:r>
    </w:p>
    <w:p w14:paraId="62202DA0" w14:textId="3E6F37CA" w:rsidR="000C2290" w:rsidRPr="00E74D4F" w:rsidRDefault="00E14EF5" w:rsidP="008F2BCE">
      <w:pPr>
        <w:pStyle w:val="SingleTxtG"/>
        <w:ind w:left="1100"/>
      </w:pPr>
      <w:r w:rsidRPr="00E74D4F">
        <w:t>7</w:t>
      </w:r>
      <w:r w:rsidR="00174AF2" w:rsidRPr="00E74D4F">
        <w:t>5</w:t>
      </w:r>
      <w:r w:rsidR="008F2BCE" w:rsidRPr="00E74D4F">
        <w:t xml:space="preserve">. </w:t>
      </w:r>
      <w:r w:rsidR="004A5AAA" w:rsidRPr="00E74D4F">
        <w:t>That</w:t>
      </w:r>
      <w:r w:rsidR="00ED5D39" w:rsidRPr="00E74D4F">
        <w:t xml:space="preserve"> the above </w:t>
      </w:r>
      <w:r w:rsidR="004A5AAA" w:rsidRPr="00E74D4F">
        <w:t xml:space="preserve">is an accurate </w:t>
      </w:r>
      <w:r w:rsidR="00ED5D39" w:rsidRPr="00E74D4F">
        <w:t xml:space="preserve">summary </w:t>
      </w:r>
      <w:r w:rsidR="004A5AAA" w:rsidRPr="00E74D4F">
        <w:t>appears</w:t>
      </w:r>
      <w:r w:rsidR="00415115" w:rsidRPr="00E74D4F">
        <w:t xml:space="preserve"> </w:t>
      </w:r>
      <w:r w:rsidR="004A5AAA" w:rsidRPr="00E74D4F">
        <w:t xml:space="preserve">further </w:t>
      </w:r>
      <w:r w:rsidR="00ED5D39" w:rsidRPr="00E74D4F">
        <w:t xml:space="preserve">confirmed </w:t>
      </w:r>
      <w:r w:rsidR="000C2290" w:rsidRPr="00E74D4F">
        <w:t xml:space="preserve">by the Party </w:t>
      </w:r>
      <w:proofErr w:type="spellStart"/>
      <w:r w:rsidR="000C2290" w:rsidRPr="00E74D4F">
        <w:t>concerned</w:t>
      </w:r>
      <w:r w:rsidR="00415115" w:rsidRPr="00E74D4F">
        <w:t>’s</w:t>
      </w:r>
      <w:proofErr w:type="spellEnd"/>
      <w:r w:rsidR="00415115" w:rsidRPr="00E74D4F">
        <w:t xml:space="preserve"> statement</w:t>
      </w:r>
      <w:r w:rsidR="000C2290" w:rsidRPr="00E74D4F">
        <w:t xml:space="preserve"> that in each of the </w:t>
      </w:r>
      <w:r w:rsidR="00897F6A" w:rsidRPr="00E74D4F">
        <w:t>five</w:t>
      </w:r>
      <w:r w:rsidR="004A106D" w:rsidRPr="00E74D4F">
        <w:t xml:space="preserve"> </w:t>
      </w:r>
      <w:r w:rsidR="000C2290" w:rsidRPr="00E74D4F">
        <w:t>cases the courts rejected the appeals against preliminary enforcement “on the grounds of prevailing public and state interest in the implementation of the investment proposals, given the fact that the possible occurrence of any harms for the environment has not been proved”</w:t>
      </w:r>
      <w:r w:rsidR="00617DD0" w:rsidRPr="00E74D4F">
        <w:t>.</w:t>
      </w:r>
      <w:r w:rsidR="00617DD0" w:rsidRPr="00E74D4F">
        <w:rPr>
          <w:rStyle w:val="FootnoteReference"/>
        </w:rPr>
        <w:footnoteReference w:id="60"/>
      </w:r>
      <w:r w:rsidR="000C2290" w:rsidRPr="00E74D4F">
        <w:t xml:space="preserve"> </w:t>
      </w:r>
    </w:p>
    <w:p w14:paraId="24FB833A" w14:textId="2E674041" w:rsidR="00E00332" w:rsidRPr="00E74D4F" w:rsidRDefault="00E14EF5" w:rsidP="008F2BCE">
      <w:pPr>
        <w:pStyle w:val="SingleTxtG"/>
        <w:ind w:left="1100"/>
      </w:pPr>
      <w:r w:rsidRPr="00E74D4F">
        <w:t>7</w:t>
      </w:r>
      <w:r w:rsidR="00174AF2" w:rsidRPr="00E74D4F">
        <w:t>6</w:t>
      </w:r>
      <w:r w:rsidR="008F2BCE" w:rsidRPr="00E74D4F">
        <w:t xml:space="preserve">. </w:t>
      </w:r>
      <w:r w:rsidR="000C2290" w:rsidRPr="00E74D4F">
        <w:t xml:space="preserve">In </w:t>
      </w:r>
      <w:r w:rsidR="00523A3F" w:rsidRPr="00E74D4F">
        <w:t xml:space="preserve">the </w:t>
      </w:r>
      <w:r w:rsidR="000C2290" w:rsidRPr="00E74D4F">
        <w:t>view of the Committee</w:t>
      </w:r>
      <w:r w:rsidR="00523A3F" w:rsidRPr="00E74D4F">
        <w:t>,</w:t>
      </w:r>
      <w:r w:rsidR="000C2290" w:rsidRPr="00E74D4F">
        <w:t xml:space="preserve"> the above facts reveal the existence of a certain trend, condoned by the Party concerned: when </w:t>
      </w:r>
      <w:r w:rsidR="00BC60A5" w:rsidRPr="00E74D4F">
        <w:t xml:space="preserve">considering an appeal of an </w:t>
      </w:r>
      <w:r w:rsidR="000C5163" w:rsidRPr="00E74D4F">
        <w:t>order for</w:t>
      </w:r>
      <w:r w:rsidR="000C2290" w:rsidRPr="00E74D4F">
        <w:t xml:space="preserve"> preliminary enforcement of </w:t>
      </w:r>
      <w:r w:rsidR="000C5163" w:rsidRPr="00E74D4F">
        <w:t xml:space="preserve">a challenged </w:t>
      </w:r>
      <w:r w:rsidR="000C2290" w:rsidRPr="00E74D4F">
        <w:t xml:space="preserve">EIA/SEA decision, </w:t>
      </w:r>
      <w:r w:rsidR="000B196C" w:rsidRPr="00E74D4F">
        <w:t xml:space="preserve">instead of reviewing the extent to which the criteria in APC article 60(1) are met in the light of the proportionality principle (article 6 APC) and the requirement to assess all the facts and arguments </w:t>
      </w:r>
      <w:r w:rsidR="000B196C" w:rsidRPr="00E74D4F">
        <w:rPr>
          <w:shd w:val="clear" w:color="auto" w:fill="FEFEFE"/>
        </w:rPr>
        <w:t xml:space="preserve">significant for the case (article 7 APC), the </w:t>
      </w:r>
      <w:r w:rsidR="000C4949" w:rsidRPr="00E74D4F">
        <w:rPr>
          <w:shd w:val="clear" w:color="auto" w:fill="FEFEFE"/>
        </w:rPr>
        <w:t>courts</w:t>
      </w:r>
      <w:r w:rsidR="000B196C" w:rsidRPr="00E74D4F">
        <w:rPr>
          <w:shd w:val="clear" w:color="auto" w:fill="FEFEFE"/>
        </w:rPr>
        <w:t xml:space="preserve"> </w:t>
      </w:r>
      <w:r w:rsidR="000C2290" w:rsidRPr="00E74D4F">
        <w:t xml:space="preserve">rely heavily on the conclusions contained in </w:t>
      </w:r>
      <w:r w:rsidR="006C3447" w:rsidRPr="00E74D4F">
        <w:t xml:space="preserve">the </w:t>
      </w:r>
      <w:r w:rsidR="000B196C" w:rsidRPr="00E74D4F">
        <w:t xml:space="preserve">EIA/SEA </w:t>
      </w:r>
      <w:r w:rsidR="000C2290" w:rsidRPr="00E74D4F">
        <w:t>decision, despite the fact that the</w:t>
      </w:r>
      <w:r w:rsidR="00C374B0" w:rsidRPr="00E74D4F">
        <w:t xml:space="preserve"> legality of that decision is being </w:t>
      </w:r>
      <w:r w:rsidR="000C2290" w:rsidRPr="00E74D4F">
        <w:t xml:space="preserve">challenged in the </w:t>
      </w:r>
      <w:r w:rsidR="00BC60A5" w:rsidRPr="00E74D4F">
        <w:t>main proceeding</w:t>
      </w:r>
      <w:r w:rsidR="008028C8" w:rsidRPr="00E74D4F">
        <w:t xml:space="preserve">. </w:t>
      </w:r>
      <w:r w:rsidR="00673359" w:rsidRPr="00E74D4F">
        <w:t>The Com</w:t>
      </w:r>
      <w:r w:rsidR="000835B3" w:rsidRPr="00E74D4F">
        <w:t xml:space="preserve">mittee considers that the </w:t>
      </w:r>
      <w:r w:rsidR="000C4949" w:rsidRPr="00E74D4F">
        <w:t>courts</w:t>
      </w:r>
      <w:r w:rsidR="000835B3" w:rsidRPr="00E74D4F">
        <w:t>’</w:t>
      </w:r>
      <w:r w:rsidR="00673359" w:rsidRPr="00E74D4F">
        <w:t xml:space="preserve"> approach is not </w:t>
      </w:r>
      <w:r w:rsidR="00D81AA6" w:rsidRPr="00E74D4F">
        <w:t xml:space="preserve">in accordance </w:t>
      </w:r>
      <w:r w:rsidR="00673359" w:rsidRPr="00E74D4F">
        <w:t xml:space="preserve">with the requirement in article 9, paragraph 4 of the Convention to </w:t>
      </w:r>
      <w:r w:rsidR="006C3447" w:rsidRPr="00E74D4F">
        <w:t>provide</w:t>
      </w:r>
      <w:r w:rsidR="00673359" w:rsidRPr="00E74D4F">
        <w:t xml:space="preserve"> adequate and effective remedies. </w:t>
      </w:r>
    </w:p>
    <w:p w14:paraId="36F55CFB" w14:textId="67EEADD0" w:rsidR="00912EAF" w:rsidRPr="00E74D4F" w:rsidRDefault="00E14EF5" w:rsidP="00912EAF">
      <w:pPr>
        <w:pStyle w:val="SingleTxtG"/>
        <w:ind w:left="1100"/>
      </w:pPr>
      <w:r w:rsidRPr="00E74D4F">
        <w:t>7</w:t>
      </w:r>
      <w:r w:rsidR="00174AF2" w:rsidRPr="00E74D4F">
        <w:t>7</w:t>
      </w:r>
      <w:r w:rsidRPr="00E74D4F">
        <w:t xml:space="preserve">. </w:t>
      </w:r>
      <w:r w:rsidR="00AF158E" w:rsidRPr="00E74D4F">
        <w:t>More precisely</w:t>
      </w:r>
      <w:r w:rsidR="00E00332" w:rsidRPr="00E74D4F">
        <w:t xml:space="preserve">, </w:t>
      </w:r>
      <w:r w:rsidR="00912EAF" w:rsidRPr="00E74D4F">
        <w:t xml:space="preserve">with respect to appeals </w:t>
      </w:r>
      <w:r w:rsidR="008A3B8B" w:rsidRPr="00E74D4F">
        <w:t xml:space="preserve">under APC article 60(4) </w:t>
      </w:r>
      <w:r w:rsidR="00912EAF" w:rsidRPr="00E74D4F">
        <w:t xml:space="preserve">of orders for preliminary enforcement </w:t>
      </w:r>
      <w:r w:rsidR="0019662B" w:rsidRPr="00E74D4F">
        <w:t>challenged</w:t>
      </w:r>
      <w:r w:rsidR="00912EAF" w:rsidRPr="00E74D4F">
        <w:t xml:space="preserve"> on the ground of </w:t>
      </w:r>
      <w:r w:rsidR="0019662B" w:rsidRPr="00E74D4F">
        <w:t xml:space="preserve">potential </w:t>
      </w:r>
      <w:r w:rsidR="00912EAF" w:rsidRPr="00E74D4F">
        <w:t xml:space="preserve">environmental damage, </w:t>
      </w:r>
      <w:r w:rsidR="0019662B" w:rsidRPr="00E74D4F">
        <w:t>the Committee finds that</w:t>
      </w:r>
      <w:r w:rsidR="00912EAF" w:rsidRPr="00E74D4F">
        <w:t xml:space="preserve"> a practice in which the </w:t>
      </w:r>
      <w:r w:rsidR="006630F9" w:rsidRPr="00E74D4F">
        <w:t>review bodies</w:t>
      </w:r>
      <w:r w:rsidR="00912EAF" w:rsidRPr="00E74D4F">
        <w:t xml:space="preserve"> rely on the conclusions </w:t>
      </w:r>
      <w:r w:rsidR="0019662B" w:rsidRPr="00E74D4F">
        <w:t xml:space="preserve">of </w:t>
      </w:r>
      <w:r w:rsidR="00912EAF" w:rsidRPr="00E74D4F">
        <w:t>the contested EIA/SEA decision</w:t>
      </w:r>
      <w:r w:rsidR="00F21E90" w:rsidRPr="00E74D4F">
        <w:t>,</w:t>
      </w:r>
      <w:r w:rsidR="00912EAF" w:rsidRPr="00E74D4F">
        <w:t xml:space="preserve"> rather than making their own assessment of the risk of</w:t>
      </w:r>
      <w:r w:rsidR="0019662B" w:rsidRPr="00E74D4F">
        <w:t xml:space="preserve"> </w:t>
      </w:r>
      <w:r w:rsidR="00912EAF" w:rsidRPr="00E74D4F">
        <w:t>environmental damage in the light of all the facts and arguments significant to the case taking into account the particularly important public interest in the protection of the environment</w:t>
      </w:r>
      <w:r w:rsidR="0019662B" w:rsidRPr="00E74D4F">
        <w:t xml:space="preserve"> and the need for precaution with respect to preventing environmental harm</w:t>
      </w:r>
      <w:r w:rsidR="00912EAF" w:rsidRPr="00E74D4F">
        <w:t xml:space="preserve">, </w:t>
      </w:r>
      <w:r w:rsidR="00F21E90" w:rsidRPr="00E74D4F">
        <w:t>does not</w:t>
      </w:r>
      <w:r w:rsidR="00912EAF" w:rsidRPr="00E74D4F">
        <w:t xml:space="preserve"> ensure that </w:t>
      </w:r>
      <w:r w:rsidR="00A54DE4" w:rsidRPr="00E74D4F">
        <w:t>such procedures</w:t>
      </w:r>
      <w:r w:rsidR="0019662B" w:rsidRPr="00E74D4F">
        <w:t xml:space="preserve"> </w:t>
      </w:r>
      <w:r w:rsidR="00912EAF" w:rsidRPr="00E74D4F">
        <w:t>provide adequate and effective remedies to prevent environmental damage</w:t>
      </w:r>
      <w:r w:rsidR="00F21E90" w:rsidRPr="00E74D4F">
        <w:t>. Therefore, the Party concerned fails to comply with</w:t>
      </w:r>
      <w:r w:rsidR="00912EAF" w:rsidRPr="00E74D4F">
        <w:t xml:space="preserve"> article 9, paragraph 4 of the Convention.</w:t>
      </w:r>
    </w:p>
    <w:p w14:paraId="58695D97" w14:textId="5F17778C" w:rsidR="000C4949" w:rsidRPr="00E74D4F" w:rsidRDefault="00174AF2" w:rsidP="00912EAF">
      <w:pPr>
        <w:pStyle w:val="SingleTxtG"/>
        <w:ind w:left="1100"/>
      </w:pPr>
      <w:r w:rsidRPr="00E74D4F">
        <w:t xml:space="preserve">78. </w:t>
      </w:r>
      <w:r w:rsidR="000C4949" w:rsidRPr="00E74D4F">
        <w:t xml:space="preserve">The Committee </w:t>
      </w:r>
      <w:r w:rsidR="001228B9" w:rsidRPr="00E74D4F">
        <w:t xml:space="preserve">notes that, in addition to an appeal under APC article 60(4), an applicant </w:t>
      </w:r>
      <w:r w:rsidR="003F6D57" w:rsidRPr="00E74D4F">
        <w:t>may, pursuant to APC article 90(3)</w:t>
      </w:r>
      <w:r w:rsidR="001228B9" w:rsidRPr="00E74D4F">
        <w:t xml:space="preserve"> </w:t>
      </w:r>
      <w:proofErr w:type="gramStart"/>
      <w:r w:rsidR="001228B9" w:rsidRPr="00E74D4F">
        <w:t>request</w:t>
      </w:r>
      <w:proofErr w:type="gramEnd"/>
      <w:r w:rsidR="001228B9" w:rsidRPr="00E74D4F">
        <w:t xml:space="preserve"> a higher administrative body to stop </w:t>
      </w:r>
      <w:r w:rsidR="003F6D57" w:rsidRPr="00E74D4F">
        <w:t xml:space="preserve">the </w:t>
      </w:r>
      <w:r w:rsidR="001228B9" w:rsidRPr="00E74D4F">
        <w:t xml:space="preserve">execution of </w:t>
      </w:r>
      <w:r w:rsidR="003F6D57" w:rsidRPr="00E74D4F">
        <w:t>a</w:t>
      </w:r>
      <w:r w:rsidR="001228B9" w:rsidRPr="00E74D4F">
        <w:t xml:space="preserve"> preliminary order for enforcement if not necessitated by the public interest or if </w:t>
      </w:r>
      <w:r w:rsidR="003F6D57" w:rsidRPr="00E74D4F">
        <w:t>execution</w:t>
      </w:r>
      <w:r w:rsidR="001228B9" w:rsidRPr="00E74D4F">
        <w:t xml:space="preserve"> would cause irreparable damage to the person concerned. Having not examined </w:t>
      </w:r>
      <w:r w:rsidR="003F6D57" w:rsidRPr="00E74D4F">
        <w:t>in detail the practice of higher administrative bodies regarding requests under article 90(3), the Committee does not make any findings on this point. However, t</w:t>
      </w:r>
      <w:r w:rsidR="001228B9" w:rsidRPr="00E74D4F">
        <w:t xml:space="preserve">he Committee stresses that </w:t>
      </w:r>
      <w:r w:rsidR="003F6D57" w:rsidRPr="00E74D4F">
        <w:t xml:space="preserve">the requirement in article 9, paragraph 4, of the Convention to provide adequate and effective remedies is equally applicable to </w:t>
      </w:r>
      <w:r w:rsidR="00B02D78" w:rsidRPr="00E74D4F">
        <w:t>requests under article 90(3)</w:t>
      </w:r>
      <w:r w:rsidR="00E943F9" w:rsidRPr="00E74D4F">
        <w:t>,</w:t>
      </w:r>
      <w:r w:rsidR="00B02D78" w:rsidRPr="00E74D4F">
        <w:t xml:space="preserve"> grounded o</w:t>
      </w:r>
      <w:r w:rsidR="00E943F9" w:rsidRPr="00E74D4F">
        <w:t>n</w:t>
      </w:r>
      <w:r w:rsidR="00B02D78" w:rsidRPr="00E74D4F">
        <w:t xml:space="preserve"> a risk of environmental damage</w:t>
      </w:r>
      <w:r w:rsidR="00E943F9" w:rsidRPr="00E74D4F">
        <w:t>. T</w:t>
      </w:r>
      <w:r w:rsidR="00B02D78" w:rsidRPr="00E74D4F">
        <w:t>hus, the Committee’s</w:t>
      </w:r>
      <w:r w:rsidR="003F6D57" w:rsidRPr="00E74D4F">
        <w:t xml:space="preserve"> </w:t>
      </w:r>
      <w:r w:rsidR="001228B9" w:rsidRPr="00E74D4F">
        <w:t xml:space="preserve">reasoning in paragraph 77 </w:t>
      </w:r>
      <w:r w:rsidR="00E943F9" w:rsidRPr="00E74D4F">
        <w:t>is</w:t>
      </w:r>
      <w:r w:rsidR="003F6D57" w:rsidRPr="00E74D4F">
        <w:t xml:space="preserve"> applicable </w:t>
      </w:r>
      <w:r w:rsidR="00E943F9" w:rsidRPr="00E74D4F">
        <w:t xml:space="preserve">also </w:t>
      </w:r>
      <w:r w:rsidR="003F6D57" w:rsidRPr="00E74D4F">
        <w:t xml:space="preserve">to </w:t>
      </w:r>
      <w:r w:rsidR="00B02D78" w:rsidRPr="00E74D4F">
        <w:t>such requests.</w:t>
      </w:r>
    </w:p>
    <w:p w14:paraId="55CEC3B1" w14:textId="77777777" w:rsidR="00E74D4F" w:rsidRPr="00E74D4F" w:rsidRDefault="00E74D4F" w:rsidP="000C2290">
      <w:pPr>
        <w:pStyle w:val="SingleTxtG"/>
        <w:ind w:left="392" w:firstLine="708"/>
        <w:rPr>
          <w:b/>
        </w:rPr>
      </w:pPr>
    </w:p>
    <w:p w14:paraId="3113317E" w14:textId="7D8FE367" w:rsidR="000C2290" w:rsidRPr="00E74D4F" w:rsidRDefault="000C2290" w:rsidP="000C2290">
      <w:pPr>
        <w:pStyle w:val="SingleTxtG"/>
        <w:ind w:left="392" w:firstLine="708"/>
        <w:rPr>
          <w:b/>
        </w:rPr>
      </w:pPr>
      <w:r w:rsidRPr="00E74D4F">
        <w:rPr>
          <w:b/>
        </w:rPr>
        <w:t xml:space="preserve">Financial </w:t>
      </w:r>
      <w:r w:rsidR="00BC6115" w:rsidRPr="00E74D4F">
        <w:rPr>
          <w:b/>
        </w:rPr>
        <w:t>guarantees</w:t>
      </w:r>
    </w:p>
    <w:p w14:paraId="080AD30C" w14:textId="42E0444D" w:rsidR="00E74D96" w:rsidRPr="00E74D4F" w:rsidRDefault="00E14EF5" w:rsidP="00E74D96">
      <w:pPr>
        <w:pStyle w:val="SingleTxtG"/>
        <w:ind w:left="1100"/>
      </w:pPr>
      <w:r w:rsidRPr="00E74D4F">
        <w:t>7</w:t>
      </w:r>
      <w:r w:rsidR="00B02D78" w:rsidRPr="00E74D4F">
        <w:t>9</w:t>
      </w:r>
      <w:r w:rsidR="008F2BCE" w:rsidRPr="00E74D4F">
        <w:t xml:space="preserve">. </w:t>
      </w:r>
      <w:r w:rsidR="00E74D96" w:rsidRPr="00E74D4F">
        <w:t xml:space="preserve">While the Convention does not preclude the use of financial </w:t>
      </w:r>
      <w:r w:rsidR="00BC6115" w:rsidRPr="00E74D4F">
        <w:t>guarantees</w:t>
      </w:r>
      <w:r w:rsidR="00E74D96" w:rsidRPr="00E74D4F">
        <w:t xml:space="preserve"> per se in judicial procedures covered by the Convention (and indeed </w:t>
      </w:r>
      <w:r w:rsidR="00BC6115" w:rsidRPr="00E74D4F">
        <w:t>guarantees</w:t>
      </w:r>
      <w:r w:rsidR="00E74D96" w:rsidRPr="00E74D4F">
        <w:t xml:space="preserve"> </w:t>
      </w:r>
      <w:proofErr w:type="gramStart"/>
      <w:r w:rsidR="00E74D96" w:rsidRPr="00E74D4F">
        <w:t>may</w:t>
      </w:r>
      <w:proofErr w:type="gramEnd"/>
      <w:r w:rsidR="00E74D96" w:rsidRPr="00E74D4F">
        <w:t xml:space="preserve"> in appropriate cases play a useful role in helping to protect the environment), they may in practice be applied in a manner counter to article 9, paragraph 4 of the Convention. This could be the case when a financial guarantee is imposed as a condition for upholding an order for preliminary enforcement, but the amount of the guarantee is not set at a level that would be a disincentive to the taking of action that may cause environmental damage, or alternatively that would provide an adequate remedy for any harm caused.</w:t>
      </w:r>
    </w:p>
    <w:p w14:paraId="7FFC761E" w14:textId="5CF1E155" w:rsidR="00E74D96" w:rsidRPr="00E74D4F" w:rsidRDefault="00B02D78" w:rsidP="00E74D96">
      <w:pPr>
        <w:pStyle w:val="SingleTxtG"/>
        <w:ind w:left="1100"/>
      </w:pPr>
      <w:r w:rsidRPr="00E74D4F">
        <w:t>80</w:t>
      </w:r>
      <w:r w:rsidR="00BC6115" w:rsidRPr="00E74D4F">
        <w:t>.</w:t>
      </w:r>
      <w:r w:rsidR="00BC6115" w:rsidRPr="00E74D4F">
        <w:tab/>
      </w:r>
      <w:r w:rsidR="00E74D96" w:rsidRPr="00E74D4F">
        <w:t xml:space="preserve">The case law before the Committee appears to </w:t>
      </w:r>
      <w:proofErr w:type="gramStart"/>
      <w:r w:rsidR="00E74D96" w:rsidRPr="00E74D4F">
        <w:t>show  a</w:t>
      </w:r>
      <w:proofErr w:type="gramEnd"/>
      <w:r w:rsidR="00E74D96" w:rsidRPr="00E74D4F">
        <w:t xml:space="preserve"> trend for courts to uphold orders for preliminary enforcement if a financial guarantee is imposed, without first considering whether the amount of the guarantee would be adequate to redress any environmental </w:t>
      </w:r>
      <w:r w:rsidR="00A54DE4" w:rsidRPr="00E74D4F">
        <w:t>and</w:t>
      </w:r>
      <w:r w:rsidR="00E74D96" w:rsidRPr="00E74D4F">
        <w:t xml:space="preserve"> other harm suffered should the work go ahead and the appellant then succeeds in the substantive proceeding. If this were the case, the Party concerned would fail to comply with article 9, para 4 of the Convention. However, on the basis of the limited information in front of it, the Committee does not conclude that the Party concerned is in </w:t>
      </w:r>
      <w:proofErr w:type="spellStart"/>
      <w:r w:rsidR="00E74D96" w:rsidRPr="00E74D4F">
        <w:t>non compliance</w:t>
      </w:r>
      <w:proofErr w:type="spellEnd"/>
      <w:r w:rsidR="00E74D96" w:rsidRPr="00E74D4F">
        <w:t xml:space="preserve"> with the Convention on this specific point.</w:t>
      </w:r>
    </w:p>
    <w:p w14:paraId="6D838284" w14:textId="77777777" w:rsidR="000C2290" w:rsidRPr="00E74D4F" w:rsidRDefault="000C2290" w:rsidP="000C2290">
      <w:pPr>
        <w:pStyle w:val="HChG"/>
        <w:rPr>
          <w:szCs w:val="28"/>
        </w:rPr>
      </w:pPr>
      <w:r w:rsidRPr="00E74D4F">
        <w:rPr>
          <w:szCs w:val="28"/>
        </w:rPr>
        <w:tab/>
        <w:t>IV.</w:t>
      </w:r>
      <w:r w:rsidRPr="00E74D4F">
        <w:rPr>
          <w:szCs w:val="28"/>
        </w:rPr>
        <w:tab/>
        <w:t xml:space="preserve">Conclusions and recommendations </w:t>
      </w:r>
    </w:p>
    <w:p w14:paraId="6932EEAC" w14:textId="31F53C6E" w:rsidR="000C2290" w:rsidRPr="00E74D4F" w:rsidRDefault="00E74D4F" w:rsidP="008F2BCE">
      <w:pPr>
        <w:pStyle w:val="SingleTxtG"/>
        <w:ind w:left="1100"/>
      </w:pPr>
      <w:r w:rsidRPr="00E74D4F">
        <w:t>81</w:t>
      </w:r>
      <w:r w:rsidR="008F2BCE" w:rsidRPr="00E74D4F">
        <w:t xml:space="preserve">. </w:t>
      </w:r>
      <w:r w:rsidR="000C2290" w:rsidRPr="00E74D4F">
        <w:t>Having considered the above, the Committee adopts the findings and recommendations set out in the following paragraphs.</w:t>
      </w:r>
    </w:p>
    <w:p w14:paraId="61FB2BE7" w14:textId="77777777" w:rsidR="000C2290" w:rsidRPr="00E74D4F" w:rsidRDefault="000C2290" w:rsidP="000C2290">
      <w:pPr>
        <w:pStyle w:val="H1G"/>
        <w:numPr>
          <w:ilvl w:val="0"/>
          <w:numId w:val="3"/>
        </w:numPr>
        <w:rPr>
          <w:sz w:val="20"/>
        </w:rPr>
      </w:pPr>
      <w:r w:rsidRPr="00E74D4F">
        <w:rPr>
          <w:sz w:val="20"/>
        </w:rPr>
        <w:t>Main findings with regard to non-compliance</w:t>
      </w:r>
    </w:p>
    <w:p w14:paraId="65858CED" w14:textId="7D3E839F" w:rsidR="000C2290" w:rsidRPr="00E74D4F" w:rsidRDefault="00E74D4F" w:rsidP="00A54DE4">
      <w:pPr>
        <w:pStyle w:val="SingleTxtG"/>
        <w:ind w:left="1100"/>
      </w:pPr>
      <w:r w:rsidRPr="00E74D4F">
        <w:t>82</w:t>
      </w:r>
      <w:r w:rsidR="008F2BCE" w:rsidRPr="00E74D4F">
        <w:t xml:space="preserve">. </w:t>
      </w:r>
      <w:r w:rsidR="000C2290" w:rsidRPr="00E74D4F">
        <w:t xml:space="preserve">The </w:t>
      </w:r>
      <w:r w:rsidR="00343F66" w:rsidRPr="00E74D4F">
        <w:t xml:space="preserve">Committee finds that, </w:t>
      </w:r>
      <w:r w:rsidR="00A54DE4" w:rsidRPr="00E74D4F">
        <w:t xml:space="preserve">with respect to appeals </w:t>
      </w:r>
      <w:r w:rsidR="008A3B8B" w:rsidRPr="00E74D4F">
        <w:t xml:space="preserve">under APC article 60(4) </w:t>
      </w:r>
      <w:r w:rsidR="00A54DE4" w:rsidRPr="00E74D4F">
        <w:t xml:space="preserve">of orders for preliminary enforcement challenged on the ground of potential environmental damage, a practice in which the </w:t>
      </w:r>
      <w:r w:rsidR="00B02D78" w:rsidRPr="00E74D4F">
        <w:t>courts</w:t>
      </w:r>
      <w:r w:rsidR="00A54DE4" w:rsidRPr="00E74D4F">
        <w:t xml:space="preserve"> rely on the conclusions of the contested EIA/SEA decision</w:t>
      </w:r>
      <w:r w:rsidR="00E943F9" w:rsidRPr="00E74D4F">
        <w:t>,</w:t>
      </w:r>
      <w:r w:rsidR="00A54DE4" w:rsidRPr="00E74D4F">
        <w:t xml:space="preserve"> rather than making their own assessment of the risk of environmental damage in the light of all the facts and arguments significant to the case taking into account the particularly important public interest in the protection of the environment and the need for precaution with respect to preventing environmental harm, </w:t>
      </w:r>
      <w:r w:rsidR="00E943F9" w:rsidRPr="00E74D4F">
        <w:t>does not</w:t>
      </w:r>
      <w:r w:rsidR="00A54DE4" w:rsidRPr="00E74D4F">
        <w:t xml:space="preserve"> ensure that such procedures provide adequate and effective remedies to prevent environmental damage</w:t>
      </w:r>
      <w:r w:rsidR="00E943F9" w:rsidRPr="00E74D4F">
        <w:t>. Therefore, the Party concerned fails to comply with</w:t>
      </w:r>
      <w:r w:rsidR="00A54DE4" w:rsidRPr="00E74D4F">
        <w:t xml:space="preserve"> article 9, paragraph 4 of the Convention</w:t>
      </w:r>
    </w:p>
    <w:p w14:paraId="4F7C50A4" w14:textId="77777777" w:rsidR="000C2290" w:rsidRPr="00E74D4F" w:rsidRDefault="000C2290" w:rsidP="000C2290">
      <w:pPr>
        <w:pStyle w:val="H1G"/>
        <w:rPr>
          <w:sz w:val="20"/>
        </w:rPr>
      </w:pPr>
      <w:r w:rsidRPr="00E74D4F">
        <w:rPr>
          <w:sz w:val="20"/>
        </w:rPr>
        <w:tab/>
        <w:t>B.</w:t>
      </w:r>
      <w:r w:rsidRPr="00E74D4F">
        <w:rPr>
          <w:sz w:val="20"/>
        </w:rPr>
        <w:tab/>
        <w:t>Recommendations</w:t>
      </w:r>
    </w:p>
    <w:p w14:paraId="362B2F44" w14:textId="3166D19F" w:rsidR="00D2295D" w:rsidRPr="00E74D4F" w:rsidRDefault="00E74D4F" w:rsidP="008F2BCE">
      <w:pPr>
        <w:pStyle w:val="SingleTxtG"/>
        <w:spacing w:before="120"/>
      </w:pPr>
      <w:r w:rsidRPr="00E74D4F">
        <w:t>83</w:t>
      </w:r>
      <w:r w:rsidR="008F2BCE" w:rsidRPr="00E74D4F">
        <w:t xml:space="preserve">. </w:t>
      </w:r>
      <w:r w:rsidR="000C2290" w:rsidRPr="00E74D4F">
        <w:t>The Committee, pursuant to paragraph 36 (b) of the annex to decision I/7 of the Meeting of the Parties, [and noting the agreement of the Party concerned that the Committee take the measures request in paragraph 37 (b) of the annex to decision I/7,] recom</w:t>
      </w:r>
      <w:r w:rsidR="003D0A7E" w:rsidRPr="00E74D4F">
        <w:t>mends that the Party concerned</w:t>
      </w:r>
      <w:r w:rsidR="00D2295D" w:rsidRPr="00E74D4F">
        <w:t xml:space="preserve"> </w:t>
      </w:r>
      <w:r w:rsidR="00343F66" w:rsidRPr="00E74D4F">
        <w:t xml:space="preserve">review the approach of its </w:t>
      </w:r>
      <w:r w:rsidR="006630F9" w:rsidRPr="00E74D4F">
        <w:t>review bodies</w:t>
      </w:r>
      <w:r w:rsidR="00343F66" w:rsidRPr="00E74D4F">
        <w:t xml:space="preserve"> to </w:t>
      </w:r>
      <w:r w:rsidR="008A3B8B" w:rsidRPr="00E74D4F">
        <w:t>appeals under APC article 60(4)</w:t>
      </w:r>
      <w:r w:rsidR="006630F9" w:rsidRPr="00E74D4F">
        <w:t xml:space="preserve"> </w:t>
      </w:r>
      <w:r w:rsidR="008A3B8B" w:rsidRPr="00E74D4F">
        <w:t xml:space="preserve">of orders for preliminary enforcement challenged on the ground of potential environmental damage </w:t>
      </w:r>
      <w:r w:rsidR="000C2290" w:rsidRPr="00E74D4F">
        <w:t>and</w:t>
      </w:r>
      <w:r w:rsidR="00D2295D" w:rsidRPr="00E74D4F">
        <w:t xml:space="preserve"> </w:t>
      </w:r>
      <w:r w:rsidR="000C2290" w:rsidRPr="00E74D4F">
        <w:t>undertake practical and/or legislative measures</w:t>
      </w:r>
      <w:r w:rsidR="003E79C5" w:rsidRPr="00E74D4F">
        <w:t xml:space="preserve"> </w:t>
      </w:r>
      <w:r w:rsidR="000C2290" w:rsidRPr="00E74D4F">
        <w:t>to ensure that</w:t>
      </w:r>
      <w:r w:rsidR="00D2295D" w:rsidRPr="00E74D4F">
        <w:t>:</w:t>
      </w:r>
      <w:r w:rsidR="000C2290" w:rsidRPr="00E74D4F">
        <w:t xml:space="preserve"> </w:t>
      </w:r>
    </w:p>
    <w:p w14:paraId="0774DD6B" w14:textId="70E261FA" w:rsidR="00655F24" w:rsidRPr="00E74D4F" w:rsidRDefault="00D2295D" w:rsidP="00655F24">
      <w:pPr>
        <w:pStyle w:val="SingleTxtG"/>
        <w:spacing w:before="120"/>
        <w:ind w:left="1440"/>
      </w:pPr>
      <w:r w:rsidRPr="00E74D4F">
        <w:t>(</w:t>
      </w:r>
      <w:r w:rsidR="00343F66" w:rsidRPr="00E74D4F">
        <w:t>a</w:t>
      </w:r>
      <w:r w:rsidRPr="00E74D4F">
        <w:t xml:space="preserve">) </w:t>
      </w:r>
      <w:r w:rsidRPr="00E74D4F">
        <w:tab/>
      </w:r>
      <w:r w:rsidR="008A3B8B" w:rsidRPr="00E74D4F">
        <w:t xml:space="preserve">instead of relying on the conclusions of the contested EIA/SEA decision, the </w:t>
      </w:r>
      <w:r w:rsidR="00B02D78" w:rsidRPr="00E74D4F">
        <w:t>courts</w:t>
      </w:r>
      <w:r w:rsidR="008A3B8B" w:rsidRPr="00E74D4F">
        <w:t xml:space="preserve"> in such </w:t>
      </w:r>
      <w:r w:rsidR="00B02D78" w:rsidRPr="00E74D4F">
        <w:t>appeals</w:t>
      </w:r>
      <w:r w:rsidR="008A3B8B" w:rsidRPr="00E74D4F">
        <w:t xml:space="preserve"> make their own assessment of the risk of environmental damage in the light of all the facts and arguments significant to the case taking into account the particularly important public interest in the protection of the environment and the need for precaution with respect to preventing environmental harm</w:t>
      </w:r>
      <w:r w:rsidRPr="00E74D4F">
        <w:t xml:space="preserve">; </w:t>
      </w:r>
    </w:p>
    <w:p w14:paraId="04EC9A89" w14:textId="41F78107" w:rsidR="00655F24" w:rsidRPr="00E74D4F" w:rsidRDefault="00655F24" w:rsidP="00655F24">
      <w:pPr>
        <w:pStyle w:val="SingleTxtG"/>
        <w:spacing w:before="120"/>
        <w:ind w:left="1440"/>
      </w:pPr>
      <w:r w:rsidRPr="00E74D4F">
        <w:t>(</w:t>
      </w:r>
      <w:r w:rsidR="00912EAF" w:rsidRPr="00E74D4F">
        <w:t>b</w:t>
      </w:r>
      <w:r w:rsidRPr="00E74D4F">
        <w:t>)</w:t>
      </w:r>
      <w:r w:rsidRPr="00E74D4F">
        <w:tab/>
      </w:r>
      <w:r w:rsidR="00BE3777" w:rsidRPr="00E74D4F">
        <w:t xml:space="preserve">the </w:t>
      </w:r>
      <w:r w:rsidR="00B02D78" w:rsidRPr="00E74D4F">
        <w:t>courts’</w:t>
      </w:r>
      <w:r w:rsidR="00BE3777" w:rsidRPr="00E74D4F">
        <w:t xml:space="preserve"> decisions on such </w:t>
      </w:r>
      <w:r w:rsidR="00B02D78" w:rsidRPr="00E74D4F">
        <w:t>appeals</w:t>
      </w:r>
      <w:r w:rsidR="00BE3777" w:rsidRPr="00E74D4F">
        <w:t xml:space="preserve"> set out their reasoning</w:t>
      </w:r>
      <w:r w:rsidR="009934DC" w:rsidRPr="00E74D4F">
        <w:t xml:space="preserve"> </w:t>
      </w:r>
      <w:r w:rsidR="00B02D78" w:rsidRPr="00E74D4F">
        <w:t xml:space="preserve">to clearly show </w:t>
      </w:r>
      <w:r w:rsidR="009934DC" w:rsidRPr="00E74D4F">
        <w:t>how they have balanced the interests</w:t>
      </w:r>
      <w:r w:rsidR="00BE3777" w:rsidRPr="00E74D4F">
        <w:t>, including the assessment they have undertaken</w:t>
      </w:r>
      <w:r w:rsidR="008A3B8B" w:rsidRPr="00E74D4F">
        <w:t xml:space="preserve"> of the risk of environmental damage in the light of all the facts and arguments significant to the case taking into account the particularly important public interest in the protection of the environment and the need for precaution with respect to preventing environmental harm</w:t>
      </w:r>
      <w:r w:rsidR="00631519" w:rsidRPr="00E74D4F">
        <w:t>;</w:t>
      </w:r>
      <w:r w:rsidR="00EF2913" w:rsidRPr="00E74D4F">
        <w:t xml:space="preserve"> </w:t>
      </w:r>
    </w:p>
    <w:p w14:paraId="35CDE6C0" w14:textId="41A74033" w:rsidR="009934DC" w:rsidRPr="005F159E" w:rsidRDefault="009934DC" w:rsidP="00655F24">
      <w:pPr>
        <w:pStyle w:val="SingleTxtG"/>
        <w:spacing w:before="120"/>
        <w:ind w:left="1440"/>
        <w:rPr>
          <w:lang w:val="x-none"/>
        </w:rPr>
      </w:pPr>
      <w:r w:rsidRPr="00E74D4F">
        <w:t xml:space="preserve">(c) </w:t>
      </w:r>
      <w:r w:rsidRPr="00E74D4F">
        <w:tab/>
      </w:r>
      <w:proofErr w:type="gramStart"/>
      <w:r w:rsidRPr="00E74D4F">
        <w:t>training</w:t>
      </w:r>
      <w:proofErr w:type="gramEnd"/>
      <w:r w:rsidRPr="00E74D4F">
        <w:t xml:space="preserve"> and guidance is provided for judges and public officials </w:t>
      </w:r>
      <w:r w:rsidR="00B02D78" w:rsidRPr="00E74D4F">
        <w:t>i</w:t>
      </w:r>
      <w:r w:rsidRPr="00E74D4F">
        <w:t xml:space="preserve">n relation to </w:t>
      </w:r>
      <w:r w:rsidR="00B02D78" w:rsidRPr="00E74D4F">
        <w:t>how to carry out the above-</w:t>
      </w:r>
      <w:r w:rsidRPr="00E74D4F">
        <w:t xml:space="preserve">mentioned balancing of interests in </w:t>
      </w:r>
      <w:proofErr w:type="spellStart"/>
      <w:r w:rsidRPr="00E74D4F">
        <w:t>enviornmental</w:t>
      </w:r>
      <w:proofErr w:type="spellEnd"/>
      <w:r w:rsidRPr="00E74D4F">
        <w:t xml:space="preserve"> cases, including on how to properly reflect </w:t>
      </w:r>
      <w:r w:rsidR="00B02D78" w:rsidRPr="00E74D4F">
        <w:t xml:space="preserve">that balancing </w:t>
      </w:r>
      <w:r w:rsidRPr="00E74D4F">
        <w:t>i</w:t>
      </w:r>
      <w:r w:rsidR="00B02D78" w:rsidRPr="00E74D4F">
        <w:t>n</w:t>
      </w:r>
      <w:r w:rsidRPr="00E74D4F">
        <w:t xml:space="preserve"> the</w:t>
      </w:r>
      <w:r w:rsidR="00B02D78" w:rsidRPr="00E74D4F">
        <w:t>ir</w:t>
      </w:r>
      <w:r w:rsidRPr="00E74D4F">
        <w:t xml:space="preserve"> reasoning.</w:t>
      </w:r>
      <w:bookmarkStart w:id="2" w:name="_GoBack"/>
      <w:bookmarkEnd w:id="2"/>
    </w:p>
    <w:p w14:paraId="0E6E1472" w14:textId="51DF29FB" w:rsidR="00555B54" w:rsidRPr="002B7883" w:rsidRDefault="008A3B8B" w:rsidP="00992425">
      <w:pPr>
        <w:pStyle w:val="SingleTxtG"/>
        <w:tabs>
          <w:tab w:val="num" w:pos="1710"/>
        </w:tabs>
        <w:spacing w:before="120"/>
        <w:ind w:left="1440"/>
      </w:pPr>
      <w:r w:rsidRPr="00992425" w:rsidDel="008A3B8B">
        <w:t xml:space="preserve"> </w:t>
      </w:r>
    </w:p>
    <w:sectPr w:rsidR="00555B54" w:rsidRPr="002B7883" w:rsidSect="00E74D4F">
      <w:headerReference w:type="even" r:id="rId9"/>
      <w:headerReference w:type="default" r:id="rId10"/>
      <w:footerReference w:type="even" r:id="rId11"/>
      <w:footerReference w:type="default" r:id="rId12"/>
      <w:pgSz w:w="11906" w:h="16838"/>
      <w:pgMar w:top="1701" w:right="707" w:bottom="2268" w:left="1276" w:header="1134" w:footer="1701" w:gutter="0"/>
      <w:cols w:space="720"/>
      <w:docGrid w:linePitch="600" w:charSpace="409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1627E" w15:done="0"/>
  <w15:commentEx w15:paraId="7C1A7D59" w15:done="0"/>
  <w15:commentEx w15:paraId="07B8BC09" w15:done="0"/>
  <w15:commentEx w15:paraId="20D9D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10DB" w14:textId="77777777" w:rsidR="00BE3037" w:rsidRDefault="00BE3037">
      <w:pPr>
        <w:spacing w:line="240" w:lineRule="auto"/>
      </w:pPr>
      <w:r>
        <w:separator/>
      </w:r>
    </w:p>
  </w:endnote>
  <w:endnote w:type="continuationSeparator" w:id="0">
    <w:p w14:paraId="2A79D633" w14:textId="77777777" w:rsidR="00BE3037" w:rsidRDefault="00BE3037">
      <w:pPr>
        <w:spacing w:line="240" w:lineRule="auto"/>
      </w:pPr>
      <w:r>
        <w:continuationSeparator/>
      </w:r>
    </w:p>
  </w:endnote>
  <w:endnote w:type="continuationNotice" w:id="1">
    <w:p w14:paraId="7191A335" w14:textId="77777777" w:rsidR="00BE3037" w:rsidRDefault="00BE30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BEEE" w14:textId="77777777" w:rsidR="002C618F" w:rsidRDefault="002C618F">
    <w:pPr>
      <w:pStyle w:val="Footer"/>
      <w:tabs>
        <w:tab w:val="clear" w:pos="48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7B94" w14:textId="5B638EC1" w:rsidR="002C618F" w:rsidRDefault="002C618F">
    <w:pPr>
      <w:pStyle w:val="Footer"/>
      <w:tabs>
        <w:tab w:val="clear" w:pos="48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458D2" w14:textId="77777777" w:rsidR="00BE3037" w:rsidRDefault="00BE3037">
      <w:pPr>
        <w:spacing w:line="240" w:lineRule="auto"/>
      </w:pPr>
      <w:r>
        <w:separator/>
      </w:r>
    </w:p>
  </w:footnote>
  <w:footnote w:type="continuationSeparator" w:id="0">
    <w:p w14:paraId="23B6FEF0" w14:textId="77777777" w:rsidR="00BE3037" w:rsidRDefault="00BE3037">
      <w:pPr>
        <w:spacing w:line="240" w:lineRule="auto"/>
      </w:pPr>
      <w:r>
        <w:continuationSeparator/>
      </w:r>
    </w:p>
  </w:footnote>
  <w:footnote w:type="continuationNotice" w:id="1">
    <w:p w14:paraId="60AFDCF7" w14:textId="77777777" w:rsidR="00BE3037" w:rsidRDefault="00BE3037">
      <w:pPr>
        <w:spacing w:line="240" w:lineRule="auto"/>
      </w:pPr>
    </w:p>
  </w:footnote>
  <w:footnote w:id="2">
    <w:p w14:paraId="1CD2933B" w14:textId="77777777" w:rsidR="002C618F" w:rsidRPr="002B7883" w:rsidRDefault="002C618F" w:rsidP="008F2BCE">
      <w:pPr>
        <w:pStyle w:val="FootnoteText"/>
        <w:ind w:left="142" w:right="1134" w:firstLine="0"/>
        <w:rPr>
          <w:sz w:val="18"/>
          <w:szCs w:val="18"/>
        </w:rPr>
      </w:pPr>
      <w:r w:rsidRPr="002B7883">
        <w:rPr>
          <w:rStyle w:val="FootnoteReference"/>
          <w:sz w:val="18"/>
          <w:szCs w:val="18"/>
        </w:rPr>
        <w:footnoteRef/>
      </w:r>
      <w:r w:rsidRPr="002B7883">
        <w:rPr>
          <w:sz w:val="18"/>
          <w:szCs w:val="18"/>
        </w:rPr>
        <w:t xml:space="preserve"> See communication, paragraphs 1 </w:t>
      </w:r>
      <w:proofErr w:type="gramStart"/>
      <w:r w:rsidRPr="002B7883">
        <w:rPr>
          <w:sz w:val="18"/>
          <w:szCs w:val="18"/>
        </w:rPr>
        <w:t>and  51</w:t>
      </w:r>
      <w:proofErr w:type="gramEnd"/>
      <w:r w:rsidRPr="002B7883">
        <w:rPr>
          <w:sz w:val="18"/>
          <w:szCs w:val="18"/>
        </w:rPr>
        <w:t xml:space="preserve">. </w:t>
      </w:r>
    </w:p>
  </w:footnote>
  <w:footnote w:id="3">
    <w:p w14:paraId="556708D6" w14:textId="77777777" w:rsidR="002C618F" w:rsidRPr="002B7883" w:rsidRDefault="002C618F" w:rsidP="008F2BCE">
      <w:pPr>
        <w:pStyle w:val="FootnoteText"/>
        <w:spacing w:line="240" w:lineRule="auto"/>
        <w:ind w:left="142" w:right="1134" w:firstLine="0"/>
        <w:rPr>
          <w:sz w:val="18"/>
          <w:szCs w:val="18"/>
          <w:lang w:val="en-US"/>
        </w:rPr>
      </w:pPr>
      <w:r w:rsidRPr="002B7883">
        <w:rPr>
          <w:rStyle w:val="FootnoteReference"/>
          <w:sz w:val="18"/>
          <w:szCs w:val="18"/>
        </w:rPr>
        <w:footnoteRef/>
      </w:r>
      <w:r w:rsidRPr="002B7883">
        <w:rPr>
          <w:sz w:val="18"/>
          <w:szCs w:val="18"/>
        </w:rPr>
        <w:t xml:space="preserve"> Council Directive 85/337/EEC of 27 June 1985 on the assessment of the effects of certain public and private projects on the environment, as amended. (See Directive 2011/92/EU of the European Parliament and the Council of 13 December 2011 on the assessment of the effects of certain public and private projects on the environment (codification)).</w:t>
      </w:r>
    </w:p>
  </w:footnote>
  <w:footnote w:id="4">
    <w:p w14:paraId="6CCAE1BE" w14:textId="77777777" w:rsidR="002C618F" w:rsidRPr="00E74D4F" w:rsidRDefault="002C618F" w:rsidP="008F2BCE">
      <w:pPr>
        <w:pStyle w:val="FootnoteText"/>
        <w:spacing w:line="240" w:lineRule="auto"/>
        <w:ind w:left="142" w:right="1134" w:firstLine="0"/>
        <w:rPr>
          <w:sz w:val="18"/>
          <w:szCs w:val="18"/>
          <w:lang w:val="en-US"/>
        </w:rPr>
      </w:pPr>
      <w:r w:rsidRPr="00E74D4F">
        <w:rPr>
          <w:rStyle w:val="FootnoteReference"/>
          <w:sz w:val="18"/>
          <w:szCs w:val="18"/>
        </w:rPr>
        <w:footnoteRef/>
      </w:r>
      <w:r w:rsidRPr="00E74D4F">
        <w:rPr>
          <w:sz w:val="18"/>
          <w:szCs w:val="18"/>
        </w:rPr>
        <w:t xml:space="preserve"> </w:t>
      </w:r>
      <w:proofErr w:type="gramStart"/>
      <w:r w:rsidRPr="00E74D4F">
        <w:rPr>
          <w:sz w:val="18"/>
          <w:szCs w:val="18"/>
        </w:rPr>
        <w:t>Directive 2001/42/EC of the European Parliament and of the Council of 27 June 2001 on the assessment of the effects of certain plans and programmes on the environment.</w:t>
      </w:r>
      <w:proofErr w:type="gramEnd"/>
    </w:p>
  </w:footnote>
  <w:footnote w:id="5">
    <w:p w14:paraId="4676E558" w14:textId="438B65D7" w:rsidR="00E74D4F" w:rsidRPr="00E74D4F" w:rsidRDefault="00E74D4F" w:rsidP="00E74D4F">
      <w:pPr>
        <w:pStyle w:val="FootnoteText"/>
        <w:ind w:hanging="141"/>
        <w:rPr>
          <w:sz w:val="18"/>
          <w:szCs w:val="18"/>
        </w:rPr>
      </w:pPr>
      <w:r w:rsidRPr="00E74D4F">
        <w:rPr>
          <w:rStyle w:val="FootnoteReference"/>
          <w:sz w:val="18"/>
          <w:szCs w:val="18"/>
        </w:rPr>
        <w:footnoteRef/>
      </w:r>
      <w:r w:rsidRPr="00E74D4F">
        <w:rPr>
          <w:sz w:val="18"/>
          <w:szCs w:val="18"/>
        </w:rPr>
        <w:t xml:space="preserve"> </w:t>
      </w:r>
      <w:proofErr w:type="gramStart"/>
      <w:r w:rsidRPr="00E74D4F">
        <w:rPr>
          <w:sz w:val="18"/>
          <w:szCs w:val="18"/>
        </w:rPr>
        <w:t>Council Directive 92/43/EEC of 21 May 1992 on the conservation of natural habitats and of wild fauna and flora, as amended</w:t>
      </w:r>
      <w:r>
        <w:rPr>
          <w:sz w:val="18"/>
          <w:szCs w:val="18"/>
        </w:rPr>
        <w:t>.</w:t>
      </w:r>
      <w:proofErr w:type="gramEnd"/>
    </w:p>
  </w:footnote>
  <w:footnote w:id="6">
    <w:p w14:paraId="3A98DBB4" w14:textId="5637EFE6" w:rsidR="002C618F" w:rsidRPr="002B7883" w:rsidRDefault="002C618F" w:rsidP="008F2BCE">
      <w:pPr>
        <w:spacing w:line="240" w:lineRule="auto"/>
        <w:ind w:right="1134"/>
        <w:rPr>
          <w:sz w:val="18"/>
          <w:szCs w:val="18"/>
        </w:rPr>
      </w:pPr>
      <w:r w:rsidRPr="002B7883">
        <w:rPr>
          <w:rStyle w:val="Znakiprzypiswdolnych"/>
          <w:sz w:val="18"/>
          <w:szCs w:val="18"/>
          <w:vertAlign w:val="superscript"/>
        </w:rPr>
        <w:footnoteRef/>
      </w:r>
      <w:r w:rsidRPr="002B7883">
        <w:rPr>
          <w:sz w:val="18"/>
          <w:szCs w:val="18"/>
        </w:rPr>
        <w:t xml:space="preserve"> This section summarizes only the main facts, evidence and issues considered to be relevant to the question of compliance, as presented to and considered by the Committee.</w:t>
      </w:r>
    </w:p>
  </w:footnote>
  <w:footnote w:id="7">
    <w:p w14:paraId="153168FA" w14:textId="6343BC7D" w:rsidR="002C618F" w:rsidRPr="002B7883" w:rsidRDefault="002C618F" w:rsidP="008F2BCE">
      <w:pPr>
        <w:spacing w:line="240" w:lineRule="auto"/>
        <w:ind w:right="1134"/>
        <w:rPr>
          <w:sz w:val="18"/>
          <w:szCs w:val="18"/>
        </w:rPr>
      </w:pPr>
      <w:r w:rsidRPr="002B7883">
        <w:rPr>
          <w:rStyle w:val="Znakiprzypiswdolnych"/>
          <w:sz w:val="18"/>
          <w:szCs w:val="18"/>
          <w:vertAlign w:val="superscript"/>
        </w:rPr>
        <w:footnoteRef/>
      </w:r>
      <w:r w:rsidRPr="002B7883">
        <w:rPr>
          <w:sz w:val="18"/>
          <w:szCs w:val="18"/>
          <w:lang w:val="en-US"/>
        </w:rPr>
        <w:t xml:space="preserve"> Party </w:t>
      </w:r>
      <w:proofErr w:type="spellStart"/>
      <w:r w:rsidRPr="002B7883">
        <w:rPr>
          <w:sz w:val="18"/>
          <w:szCs w:val="18"/>
          <w:lang w:val="en-US"/>
        </w:rPr>
        <w:t>concerned’s</w:t>
      </w:r>
      <w:proofErr w:type="spellEnd"/>
      <w:r w:rsidRPr="002B7883">
        <w:rPr>
          <w:sz w:val="18"/>
          <w:szCs w:val="18"/>
          <w:lang w:val="en-US"/>
        </w:rPr>
        <w:t xml:space="preserve"> response to the communication, page 1. In communication ACCC/C/11/58 submitted by the same communicant, the </w:t>
      </w:r>
      <w:proofErr w:type="spellStart"/>
      <w:r w:rsidRPr="002B7883">
        <w:rPr>
          <w:sz w:val="18"/>
          <w:szCs w:val="18"/>
          <w:lang w:val="en-US"/>
        </w:rPr>
        <w:t>authorisations</w:t>
      </w:r>
      <w:proofErr w:type="spellEnd"/>
      <w:r w:rsidRPr="002B7883">
        <w:rPr>
          <w:sz w:val="18"/>
          <w:szCs w:val="18"/>
          <w:lang w:val="en-US"/>
        </w:rPr>
        <w:t xml:space="preserve"> related to an EIA procedure are called </w:t>
      </w:r>
      <w:r w:rsidRPr="002B7883">
        <w:rPr>
          <w:sz w:val="18"/>
          <w:szCs w:val="18"/>
        </w:rPr>
        <w:t>“EIA decisions” while those related to an SEA procedur</w:t>
      </w:r>
      <w:r>
        <w:rPr>
          <w:sz w:val="18"/>
          <w:szCs w:val="18"/>
        </w:rPr>
        <w:t>e</w:t>
      </w:r>
      <w:r w:rsidRPr="002B7883">
        <w:rPr>
          <w:sz w:val="18"/>
          <w:szCs w:val="18"/>
        </w:rPr>
        <w:t xml:space="preserve"> are called  “SEA statements”</w:t>
      </w:r>
    </w:p>
  </w:footnote>
  <w:footnote w:id="8">
    <w:p w14:paraId="2394F778" w14:textId="5F067F1F" w:rsidR="002C618F" w:rsidRPr="002B7883" w:rsidRDefault="002C618F" w:rsidP="008F2BCE">
      <w:pPr>
        <w:spacing w:line="240" w:lineRule="auto"/>
        <w:ind w:right="1134"/>
        <w:rPr>
          <w:sz w:val="18"/>
          <w:szCs w:val="18"/>
        </w:rPr>
      </w:pPr>
      <w:r w:rsidRPr="002B7883">
        <w:rPr>
          <w:rStyle w:val="Znakiprzypiswdolnych"/>
          <w:sz w:val="18"/>
          <w:szCs w:val="18"/>
          <w:vertAlign w:val="superscript"/>
        </w:rPr>
        <w:footnoteRef/>
      </w:r>
      <w:r w:rsidRPr="002B7883">
        <w:rPr>
          <w:sz w:val="18"/>
          <w:szCs w:val="18"/>
          <w:lang w:val="en-US"/>
        </w:rPr>
        <w:t xml:space="preserve"> See communication, paragraph 3. In communication ACCC/C/11/58 submitted by the same communicant, the communication alleged that the legal nature of the </w:t>
      </w:r>
      <w:r w:rsidRPr="002B7883">
        <w:rPr>
          <w:sz w:val="18"/>
          <w:szCs w:val="18"/>
        </w:rPr>
        <w:t>“</w:t>
      </w:r>
      <w:r w:rsidRPr="002B7883">
        <w:rPr>
          <w:sz w:val="18"/>
          <w:szCs w:val="18"/>
          <w:lang w:val="en-US"/>
        </w:rPr>
        <w:t>SEA statements</w:t>
      </w:r>
      <w:proofErr w:type="gramStart"/>
      <w:r w:rsidRPr="002B7883">
        <w:rPr>
          <w:sz w:val="18"/>
          <w:szCs w:val="18"/>
          <w:lang w:val="en-US"/>
        </w:rPr>
        <w:t>”  and</w:t>
      </w:r>
      <w:proofErr w:type="gramEnd"/>
      <w:r w:rsidRPr="002B7883">
        <w:rPr>
          <w:sz w:val="18"/>
          <w:szCs w:val="18"/>
          <w:lang w:val="en-US"/>
        </w:rPr>
        <w:t xml:space="preserve"> the possibility to judicial</w:t>
      </w:r>
      <w:r>
        <w:rPr>
          <w:sz w:val="18"/>
          <w:szCs w:val="18"/>
          <w:lang w:val="en-US"/>
        </w:rPr>
        <w:t>ly</w:t>
      </w:r>
      <w:r w:rsidRPr="002B7883">
        <w:rPr>
          <w:sz w:val="18"/>
          <w:szCs w:val="18"/>
          <w:lang w:val="en-US"/>
        </w:rPr>
        <w:t xml:space="preserve"> review them was doubtful. In its findings on communication ACCC/C/11/58</w:t>
      </w:r>
      <w:r>
        <w:rPr>
          <w:sz w:val="18"/>
          <w:szCs w:val="18"/>
          <w:lang w:val="en-US"/>
        </w:rPr>
        <w:t>,</w:t>
      </w:r>
      <w:r w:rsidRPr="002B7883">
        <w:rPr>
          <w:sz w:val="18"/>
          <w:szCs w:val="18"/>
          <w:lang w:val="en-US"/>
        </w:rPr>
        <w:t xml:space="preserve"> the Committee found that indeed “the Bulgarian law does not make fully clear whether judicial reviews of SEA statements as such are admissible” (para 59)</w:t>
      </w:r>
      <w:r>
        <w:rPr>
          <w:sz w:val="18"/>
          <w:szCs w:val="18"/>
          <w:lang w:val="en-US"/>
        </w:rPr>
        <w:t>.</w:t>
      </w:r>
      <w:r w:rsidRPr="002B7883">
        <w:rPr>
          <w:sz w:val="18"/>
          <w:szCs w:val="18"/>
          <w:lang w:val="en-US"/>
        </w:rPr>
        <w:t xml:space="preserve"> </w:t>
      </w:r>
    </w:p>
  </w:footnote>
  <w:footnote w:id="9">
    <w:p w14:paraId="24E6765C" w14:textId="1747BF53" w:rsidR="002C618F" w:rsidRPr="002B7883" w:rsidRDefault="002C618F" w:rsidP="008F2BCE">
      <w:pPr>
        <w:spacing w:line="240" w:lineRule="auto"/>
        <w:ind w:right="1134"/>
        <w:rPr>
          <w:sz w:val="18"/>
          <w:szCs w:val="18"/>
        </w:rPr>
      </w:pPr>
      <w:r w:rsidRPr="002B7883">
        <w:rPr>
          <w:rStyle w:val="Znakiprzypiswdolnych"/>
          <w:sz w:val="18"/>
          <w:szCs w:val="18"/>
          <w:vertAlign w:val="superscript"/>
        </w:rPr>
        <w:footnoteRef/>
      </w:r>
      <w:r w:rsidRPr="002B7883">
        <w:rPr>
          <w:sz w:val="18"/>
          <w:szCs w:val="18"/>
        </w:rPr>
        <w:t xml:space="preserve"> Translation provided by the communicant, see communication page 2 (footnote 3).</w:t>
      </w:r>
    </w:p>
  </w:footnote>
  <w:footnote w:id="10">
    <w:p w14:paraId="38577101" w14:textId="77777777" w:rsidR="002C618F" w:rsidRPr="002B7883" w:rsidRDefault="002C618F" w:rsidP="008F2BCE">
      <w:pPr>
        <w:pStyle w:val="FootnoteText"/>
        <w:ind w:left="0" w:right="1134" w:firstLine="0"/>
        <w:rPr>
          <w:sz w:val="18"/>
          <w:szCs w:val="18"/>
        </w:rPr>
      </w:pPr>
      <w:r w:rsidRPr="002B7883">
        <w:rPr>
          <w:rStyle w:val="FootnoteReference"/>
          <w:sz w:val="18"/>
          <w:szCs w:val="18"/>
        </w:rPr>
        <w:footnoteRef/>
      </w:r>
      <w:r w:rsidRPr="002B7883">
        <w:rPr>
          <w:sz w:val="18"/>
          <w:szCs w:val="18"/>
        </w:rPr>
        <w:t xml:space="preserve"> </w:t>
      </w:r>
      <w:r w:rsidRPr="002B7883">
        <w:rPr>
          <w:rStyle w:val="st"/>
          <w:sz w:val="18"/>
          <w:szCs w:val="18"/>
        </w:rPr>
        <w:t>APC, article 90(1).</w:t>
      </w:r>
    </w:p>
  </w:footnote>
  <w:footnote w:id="11">
    <w:p w14:paraId="0D96F514" w14:textId="77777777" w:rsidR="002C618F" w:rsidRPr="002B7883" w:rsidRDefault="002C618F" w:rsidP="008F2BCE">
      <w:pPr>
        <w:pStyle w:val="FootnoteText"/>
        <w:ind w:left="0" w:right="1134" w:firstLine="0"/>
        <w:rPr>
          <w:sz w:val="18"/>
          <w:szCs w:val="18"/>
        </w:rPr>
      </w:pPr>
      <w:r w:rsidRPr="002B7883">
        <w:rPr>
          <w:rStyle w:val="FootnoteReference"/>
          <w:sz w:val="18"/>
          <w:szCs w:val="18"/>
        </w:rPr>
        <w:footnoteRef/>
      </w:r>
      <w:r w:rsidRPr="002B7883">
        <w:rPr>
          <w:sz w:val="18"/>
          <w:szCs w:val="18"/>
        </w:rPr>
        <w:t xml:space="preserve"> APC, article 166(1).</w:t>
      </w:r>
    </w:p>
  </w:footnote>
  <w:footnote w:id="12">
    <w:p w14:paraId="7344BF34" w14:textId="77777777" w:rsidR="002C618F" w:rsidRPr="00655F24" w:rsidRDefault="002C618F" w:rsidP="008F2BCE">
      <w:pPr>
        <w:pStyle w:val="FootnoteText"/>
        <w:ind w:left="0" w:right="1134" w:firstLine="0"/>
        <w:rPr>
          <w:sz w:val="18"/>
          <w:szCs w:val="18"/>
          <w:lang w:val="en-US"/>
        </w:rPr>
      </w:pPr>
      <w:r w:rsidRPr="002B7883">
        <w:rPr>
          <w:rStyle w:val="FootnoteReference"/>
          <w:sz w:val="18"/>
          <w:szCs w:val="18"/>
        </w:rPr>
        <w:footnoteRef/>
      </w:r>
      <w:r w:rsidRPr="002B7883">
        <w:rPr>
          <w:sz w:val="18"/>
          <w:szCs w:val="18"/>
        </w:rPr>
        <w:t xml:space="preserve"> Response of the Party concerned (March 2013), page 1</w:t>
      </w:r>
    </w:p>
  </w:footnote>
  <w:footnote w:id="13">
    <w:p w14:paraId="2F681DE9" w14:textId="6E439C70" w:rsidR="002C618F" w:rsidRPr="00E742BD" w:rsidRDefault="002C618F" w:rsidP="008F2BCE">
      <w:pPr>
        <w:spacing w:line="240" w:lineRule="auto"/>
        <w:ind w:right="1134"/>
        <w:rPr>
          <w:sz w:val="18"/>
          <w:szCs w:val="18"/>
        </w:rPr>
      </w:pPr>
      <w:r w:rsidRPr="00E742BD">
        <w:rPr>
          <w:rStyle w:val="Znakiprzypiswdolnych"/>
          <w:sz w:val="18"/>
          <w:szCs w:val="18"/>
          <w:vertAlign w:val="superscript"/>
        </w:rPr>
        <w:footnoteRef/>
      </w:r>
      <w:r w:rsidRPr="00E742BD">
        <w:rPr>
          <w:sz w:val="18"/>
          <w:szCs w:val="18"/>
        </w:rPr>
        <w:t xml:space="preserve"> Translation provided by the communicant, see communication, p. 3 (especially footnote 5).</w:t>
      </w:r>
    </w:p>
  </w:footnote>
  <w:footnote w:id="14">
    <w:p w14:paraId="48503C66" w14:textId="77777777" w:rsidR="002C618F" w:rsidRPr="00E742BD" w:rsidRDefault="002C618F" w:rsidP="008F2BCE">
      <w:pPr>
        <w:pStyle w:val="FootnoteText"/>
        <w:ind w:left="0" w:right="1134" w:firstLine="0"/>
        <w:rPr>
          <w:sz w:val="18"/>
          <w:szCs w:val="18"/>
        </w:rPr>
      </w:pPr>
      <w:r w:rsidRPr="00E742BD">
        <w:rPr>
          <w:rStyle w:val="FootnoteReference"/>
          <w:sz w:val="18"/>
          <w:szCs w:val="18"/>
        </w:rPr>
        <w:footnoteRef/>
      </w:r>
      <w:r w:rsidRPr="00E742BD">
        <w:rPr>
          <w:sz w:val="18"/>
          <w:szCs w:val="18"/>
        </w:rPr>
        <w:t xml:space="preserve"> Response of the Party concerned (March 2013), page 1 (bottom of page)</w:t>
      </w:r>
    </w:p>
  </w:footnote>
  <w:footnote w:id="15">
    <w:p w14:paraId="4929FD34" w14:textId="77777777" w:rsidR="002C618F" w:rsidRPr="00E742BD" w:rsidRDefault="002C618F" w:rsidP="008F2BCE">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communication, paragraph 10 and Response of the Party concerned (March 2013), page 1 (bottom)</w:t>
      </w:r>
    </w:p>
  </w:footnote>
  <w:footnote w:id="16">
    <w:p w14:paraId="6AE3A029" w14:textId="77777777" w:rsidR="002C618F" w:rsidRPr="00E742BD" w:rsidRDefault="002C618F" w:rsidP="008F2BCE">
      <w:pPr>
        <w:pStyle w:val="FootnoteText"/>
        <w:ind w:left="0" w:right="1134" w:firstLine="0"/>
        <w:rPr>
          <w:sz w:val="18"/>
          <w:szCs w:val="18"/>
        </w:rPr>
      </w:pPr>
      <w:r w:rsidRPr="00E742BD">
        <w:rPr>
          <w:rStyle w:val="FootnoteReference"/>
          <w:sz w:val="18"/>
          <w:szCs w:val="18"/>
        </w:rPr>
        <w:footnoteRef/>
      </w:r>
      <w:r w:rsidRPr="00E742BD">
        <w:rPr>
          <w:sz w:val="18"/>
          <w:szCs w:val="18"/>
        </w:rPr>
        <w:t xml:space="preserve"> Response of the Party concerned (March 2013), page 1 (bottom of page)</w:t>
      </w:r>
    </w:p>
  </w:footnote>
  <w:footnote w:id="17">
    <w:p w14:paraId="398430CB" w14:textId="3AFB4104" w:rsidR="002C618F" w:rsidRPr="00655F24" w:rsidRDefault="002C618F" w:rsidP="008F2BCE">
      <w:pPr>
        <w:pStyle w:val="FootnoteText"/>
        <w:ind w:left="0" w:right="1134" w:firstLine="0"/>
        <w:rPr>
          <w:sz w:val="18"/>
          <w:szCs w:val="18"/>
        </w:rPr>
      </w:pPr>
      <w:r w:rsidRPr="00655F24">
        <w:rPr>
          <w:rStyle w:val="FootnoteReference"/>
          <w:sz w:val="18"/>
          <w:szCs w:val="18"/>
        </w:rPr>
        <w:footnoteRef/>
      </w:r>
      <w:r w:rsidRPr="00655F24">
        <w:rPr>
          <w:sz w:val="18"/>
          <w:szCs w:val="18"/>
        </w:rPr>
        <w:t xml:space="preserve"> APC, art. 60(5), </w:t>
      </w:r>
      <w:r w:rsidRPr="00E742BD">
        <w:rPr>
          <w:sz w:val="18"/>
          <w:szCs w:val="18"/>
        </w:rPr>
        <w:t>response of the Party concerned (March 2013), page 4 (1</w:t>
      </w:r>
      <w:r w:rsidRPr="00E742BD">
        <w:rPr>
          <w:sz w:val="18"/>
          <w:szCs w:val="18"/>
          <w:vertAlign w:val="superscript"/>
        </w:rPr>
        <w:t>st</w:t>
      </w:r>
      <w:r w:rsidRPr="00E742BD">
        <w:rPr>
          <w:sz w:val="18"/>
          <w:szCs w:val="18"/>
        </w:rPr>
        <w:t xml:space="preserve"> paragraph</w:t>
      </w:r>
      <w:r w:rsidRPr="00655F24">
        <w:rPr>
          <w:sz w:val="18"/>
          <w:szCs w:val="18"/>
        </w:rPr>
        <w:t>)</w:t>
      </w:r>
    </w:p>
  </w:footnote>
  <w:footnote w:id="18">
    <w:p w14:paraId="65F3F86F" w14:textId="0ED450E3" w:rsidR="002C618F" w:rsidRPr="00655F24" w:rsidRDefault="002C618F" w:rsidP="008F2BCE">
      <w:pPr>
        <w:pStyle w:val="FootnoteText"/>
        <w:ind w:left="0" w:right="1134" w:firstLine="0"/>
        <w:rPr>
          <w:sz w:val="18"/>
          <w:szCs w:val="18"/>
        </w:rPr>
      </w:pPr>
      <w:r w:rsidRPr="00E742BD">
        <w:rPr>
          <w:rStyle w:val="FootnoteReference"/>
          <w:sz w:val="18"/>
          <w:szCs w:val="18"/>
        </w:rPr>
        <w:footnoteRef/>
      </w:r>
      <w:r w:rsidRPr="00E742BD">
        <w:rPr>
          <w:sz w:val="18"/>
          <w:szCs w:val="18"/>
        </w:rPr>
        <w:t xml:space="preserve"> APC, art. 6(1) states “</w:t>
      </w:r>
      <w:r w:rsidRPr="00E742BD">
        <w:rPr>
          <w:color w:val="000000"/>
          <w:kern w:val="0"/>
          <w:sz w:val="18"/>
          <w:szCs w:val="18"/>
          <w:lang w:eastAsia="en-GB"/>
        </w:rPr>
        <w:t>The administrative authorities shall exercise the powers vested therein reasonably, in good faith, and fairly”.</w:t>
      </w:r>
    </w:p>
  </w:footnote>
  <w:footnote w:id="19">
    <w:p w14:paraId="6F741915" w14:textId="14587383" w:rsidR="002C618F" w:rsidRPr="00655F24" w:rsidRDefault="002C618F" w:rsidP="008F2BCE">
      <w:pPr>
        <w:pStyle w:val="FootnoteText"/>
        <w:ind w:left="0" w:right="1134" w:firstLine="0"/>
        <w:rPr>
          <w:sz w:val="18"/>
          <w:szCs w:val="18"/>
        </w:rPr>
      </w:pPr>
      <w:r w:rsidRPr="00E742BD">
        <w:rPr>
          <w:rStyle w:val="FootnoteReference"/>
          <w:sz w:val="18"/>
          <w:szCs w:val="18"/>
        </w:rPr>
        <w:footnoteRef/>
      </w:r>
      <w:r w:rsidRPr="00E742BD">
        <w:rPr>
          <w:sz w:val="18"/>
          <w:szCs w:val="18"/>
        </w:rPr>
        <w:t xml:space="preserve"> APC, art. 6.2 states “An administrative act and the enforcement thereof may not affect any rights and legitimate interests to a greater extent than the minimum necessary for the purpose for which the act is issued.”</w:t>
      </w:r>
    </w:p>
  </w:footnote>
  <w:footnote w:id="20">
    <w:p w14:paraId="2FD440B3" w14:textId="478023A8" w:rsidR="002C618F" w:rsidRPr="00655F24" w:rsidRDefault="002C618F" w:rsidP="004C3A11">
      <w:pPr>
        <w:pStyle w:val="FootnoteText"/>
        <w:ind w:left="0" w:right="1134" w:firstLine="0"/>
        <w:rPr>
          <w:sz w:val="18"/>
          <w:szCs w:val="18"/>
        </w:rPr>
      </w:pPr>
      <w:r w:rsidRPr="00E742BD">
        <w:rPr>
          <w:rStyle w:val="FootnoteReference"/>
          <w:sz w:val="18"/>
          <w:szCs w:val="18"/>
        </w:rPr>
        <w:footnoteRef/>
      </w:r>
      <w:r w:rsidRPr="00E742BD">
        <w:rPr>
          <w:sz w:val="18"/>
          <w:szCs w:val="18"/>
        </w:rPr>
        <w:t xml:space="preserve"> APC, art. 6(3) states “</w:t>
      </w:r>
      <w:r w:rsidRPr="00E742BD">
        <w:rPr>
          <w:color w:val="000000"/>
          <w:kern w:val="0"/>
          <w:sz w:val="18"/>
          <w:szCs w:val="18"/>
          <w:lang w:eastAsia="en-GB"/>
        </w:rPr>
        <w:t>Where an administrative act affects any rights or creates any obligations for individuals or for organizations, the measures which are more favourable to the said individuals or organizations shall applied if the purpose of the law can likewise be achieved in this manner.”</w:t>
      </w:r>
    </w:p>
  </w:footnote>
  <w:footnote w:id="21">
    <w:p w14:paraId="3030B946" w14:textId="4BA1EA8C" w:rsidR="002C618F" w:rsidRPr="00655F24" w:rsidRDefault="002C618F" w:rsidP="004C3A11">
      <w:pPr>
        <w:pStyle w:val="FootnoteText"/>
        <w:ind w:left="0" w:right="1134" w:firstLine="0"/>
        <w:rPr>
          <w:sz w:val="18"/>
          <w:szCs w:val="18"/>
        </w:rPr>
      </w:pPr>
      <w:r w:rsidRPr="00655F24">
        <w:rPr>
          <w:rStyle w:val="FootnoteReference"/>
          <w:sz w:val="18"/>
          <w:szCs w:val="18"/>
        </w:rPr>
        <w:footnoteRef/>
      </w:r>
      <w:r w:rsidRPr="00655F24">
        <w:rPr>
          <w:sz w:val="18"/>
          <w:szCs w:val="18"/>
        </w:rPr>
        <w:t xml:space="preserve"> </w:t>
      </w:r>
      <w:r w:rsidRPr="00E742BD">
        <w:rPr>
          <w:sz w:val="18"/>
          <w:szCs w:val="18"/>
        </w:rPr>
        <w:t>APC, art. 6(5) states “</w:t>
      </w:r>
      <w:r w:rsidRPr="00655F24">
        <w:rPr>
          <w:sz w:val="18"/>
          <w:szCs w:val="18"/>
          <w:highlight w:val="white"/>
          <w:shd w:val="clear" w:color="auto" w:fill="FEFEFE"/>
        </w:rPr>
        <w:t xml:space="preserve">The administrative bodies shall restrain themselves from acts and actions, which may cause damages, obviously </w:t>
      </w:r>
      <w:proofErr w:type="spellStart"/>
      <w:r w:rsidRPr="00655F24">
        <w:rPr>
          <w:sz w:val="18"/>
          <w:szCs w:val="18"/>
          <w:highlight w:val="white"/>
          <w:shd w:val="clear" w:color="auto" w:fill="FEFEFE"/>
        </w:rPr>
        <w:t>incommensurated</w:t>
      </w:r>
      <w:proofErr w:type="spellEnd"/>
      <w:r w:rsidRPr="00655F24">
        <w:rPr>
          <w:sz w:val="18"/>
          <w:szCs w:val="18"/>
          <w:highlight w:val="white"/>
          <w:shd w:val="clear" w:color="auto" w:fill="FEFEFE"/>
        </w:rPr>
        <w:t xml:space="preserve"> to the pursued aim.</w:t>
      </w:r>
    </w:p>
  </w:footnote>
  <w:footnote w:id="22">
    <w:p w14:paraId="218C8476" w14:textId="77777777" w:rsidR="002C618F" w:rsidRDefault="002C618F" w:rsidP="00A84304">
      <w:pPr>
        <w:pStyle w:val="FootnoteText"/>
        <w:rPr>
          <w:kern w:val="2"/>
        </w:rPr>
      </w:pPr>
      <w:r>
        <w:rPr>
          <w:rStyle w:val="FootnoteReference"/>
        </w:rPr>
        <w:footnoteRef/>
      </w:r>
      <w:r>
        <w:t xml:space="preserve"> </w:t>
      </w:r>
      <w:r>
        <w:rPr>
          <w:sz w:val="18"/>
          <w:szCs w:val="18"/>
        </w:rPr>
        <w:t>Response of the Party concerned (March 2013), page 4.</w:t>
      </w:r>
    </w:p>
  </w:footnote>
  <w:footnote w:id="23">
    <w:p w14:paraId="1F50A4CE" w14:textId="36839EAE" w:rsidR="002C618F" w:rsidRPr="00655F24" w:rsidRDefault="002C618F" w:rsidP="004C3A11">
      <w:pPr>
        <w:pStyle w:val="FootnoteText"/>
        <w:ind w:right="1134"/>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Translation provided by the Party concerned, page 2 (last paragraph)</w:t>
      </w:r>
      <w:r>
        <w:rPr>
          <w:sz w:val="18"/>
          <w:szCs w:val="18"/>
          <w:lang w:val="en-US"/>
        </w:rPr>
        <w:t>.</w:t>
      </w:r>
    </w:p>
  </w:footnote>
  <w:footnote w:id="24">
    <w:p w14:paraId="73CF2A21" w14:textId="68AF3A77" w:rsidR="002C618F" w:rsidRPr="00E742BD" w:rsidRDefault="002C618F" w:rsidP="004C3A11">
      <w:pPr>
        <w:pStyle w:val="FootnoteText"/>
        <w:ind w:right="1134"/>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for instance, communication, paragraphs 62, 64, 65</w:t>
      </w:r>
      <w:r>
        <w:rPr>
          <w:sz w:val="18"/>
          <w:szCs w:val="18"/>
          <w:lang w:val="en-US"/>
        </w:rPr>
        <w:t>.</w:t>
      </w:r>
    </w:p>
  </w:footnote>
  <w:footnote w:id="25">
    <w:p w14:paraId="6D903623" w14:textId="726B56A5" w:rsidR="002C618F" w:rsidRPr="00655F24" w:rsidRDefault="002C618F" w:rsidP="008F2BCE">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Party </w:t>
      </w:r>
      <w:proofErr w:type="spellStart"/>
      <w:r w:rsidRPr="00E742BD">
        <w:rPr>
          <w:sz w:val="18"/>
          <w:szCs w:val="18"/>
        </w:rPr>
        <w:t>concerned’s</w:t>
      </w:r>
      <w:proofErr w:type="spellEnd"/>
      <w:r w:rsidRPr="00E742BD">
        <w:rPr>
          <w:sz w:val="18"/>
          <w:szCs w:val="18"/>
        </w:rPr>
        <w:t xml:space="preserve"> response (March 2013), page 8-9 (at </w:t>
      </w:r>
      <w:r w:rsidRPr="00655F24">
        <w:rPr>
          <w:sz w:val="18"/>
          <w:szCs w:val="18"/>
        </w:rPr>
        <w:t>2, points a, b and c)</w:t>
      </w:r>
      <w:r>
        <w:rPr>
          <w:sz w:val="18"/>
          <w:szCs w:val="18"/>
        </w:rPr>
        <w:t>.</w:t>
      </w:r>
    </w:p>
  </w:footnote>
  <w:footnote w:id="26">
    <w:p w14:paraId="5079CA2F" w14:textId="57DBE67F"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See c</w:t>
      </w:r>
      <w:proofErr w:type="spellStart"/>
      <w:r w:rsidRPr="00E742BD">
        <w:rPr>
          <w:sz w:val="18"/>
          <w:szCs w:val="18"/>
          <w:lang w:val="en-US"/>
        </w:rPr>
        <w:t>ommunication</w:t>
      </w:r>
      <w:proofErr w:type="spellEnd"/>
      <w:r w:rsidRPr="00E742BD">
        <w:rPr>
          <w:sz w:val="18"/>
          <w:szCs w:val="18"/>
          <w:lang w:val="en-US"/>
        </w:rPr>
        <w:t>, paragraph 9</w:t>
      </w:r>
      <w:r>
        <w:rPr>
          <w:sz w:val="18"/>
          <w:szCs w:val="18"/>
          <w:lang w:val="en-US"/>
        </w:rPr>
        <w:t>.</w:t>
      </w:r>
    </w:p>
  </w:footnote>
  <w:footnote w:id="27">
    <w:p w14:paraId="6B4E5572" w14:textId="2A267539"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communication, paragraph 21</w:t>
      </w:r>
      <w:r>
        <w:rPr>
          <w:sz w:val="18"/>
          <w:szCs w:val="18"/>
          <w:lang w:val="en-US"/>
        </w:rPr>
        <w:t>.</w:t>
      </w:r>
    </w:p>
  </w:footnote>
  <w:footnote w:id="28">
    <w:p w14:paraId="4AB6F771" w14:textId="6F268762" w:rsidR="00C63CA7" w:rsidRPr="00E74D4F" w:rsidRDefault="00C63CA7">
      <w:pPr>
        <w:pStyle w:val="FootnoteText"/>
        <w:rPr>
          <w:sz w:val="18"/>
          <w:szCs w:val="18"/>
          <w:lang w:val="fr-CH"/>
        </w:rPr>
      </w:pPr>
      <w:r w:rsidRPr="00E74D4F">
        <w:rPr>
          <w:rStyle w:val="FootnoteReference"/>
          <w:sz w:val="18"/>
          <w:szCs w:val="18"/>
        </w:rPr>
        <w:footnoteRef/>
      </w:r>
      <w:r w:rsidRPr="00E74D4F">
        <w:rPr>
          <w:sz w:val="18"/>
          <w:szCs w:val="18"/>
        </w:rPr>
        <w:t xml:space="preserve"> See communication, paragraph 23.</w:t>
      </w:r>
    </w:p>
  </w:footnote>
  <w:footnote w:id="29">
    <w:p w14:paraId="3730F797" w14:textId="206BD271"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See c</w:t>
      </w:r>
      <w:proofErr w:type="spellStart"/>
      <w:r w:rsidRPr="00E742BD">
        <w:rPr>
          <w:sz w:val="18"/>
          <w:szCs w:val="18"/>
          <w:lang w:val="en-US"/>
        </w:rPr>
        <w:t>ommunication</w:t>
      </w:r>
      <w:proofErr w:type="spellEnd"/>
      <w:r w:rsidRPr="00E742BD">
        <w:rPr>
          <w:sz w:val="18"/>
          <w:szCs w:val="18"/>
          <w:lang w:val="en-US"/>
        </w:rPr>
        <w:t>, paragraph 23</w:t>
      </w:r>
      <w:r>
        <w:rPr>
          <w:sz w:val="18"/>
          <w:szCs w:val="18"/>
          <w:lang w:val="en-US"/>
        </w:rPr>
        <w:t>.</w:t>
      </w:r>
    </w:p>
  </w:footnote>
  <w:footnote w:id="30">
    <w:p w14:paraId="6C973B63" w14:textId="6374FE82" w:rsidR="002C618F" w:rsidRPr="00E742BD"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communication, paragraphs 26 and 27</w:t>
      </w:r>
      <w:r>
        <w:rPr>
          <w:sz w:val="18"/>
          <w:szCs w:val="18"/>
        </w:rPr>
        <w:t>.</w:t>
      </w:r>
    </w:p>
  </w:footnote>
  <w:footnote w:id="31">
    <w:p w14:paraId="00CE3583" w14:textId="1A54A9AE" w:rsidR="002C618F" w:rsidRPr="00655F24"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communication, paragraph 29 to </w:t>
      </w:r>
      <w:r w:rsidRPr="00655F24">
        <w:rPr>
          <w:sz w:val="18"/>
          <w:szCs w:val="18"/>
        </w:rPr>
        <w:t>31</w:t>
      </w:r>
      <w:r>
        <w:rPr>
          <w:sz w:val="18"/>
          <w:szCs w:val="18"/>
        </w:rPr>
        <w:t>.</w:t>
      </w:r>
    </w:p>
  </w:footnote>
  <w:footnote w:id="32">
    <w:p w14:paraId="01E78F7A" w14:textId="3CFE33A1"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communication, paragraph 36</w:t>
      </w:r>
      <w:r>
        <w:rPr>
          <w:sz w:val="18"/>
          <w:szCs w:val="18"/>
          <w:lang w:val="en-US"/>
        </w:rPr>
        <w:t>.</w:t>
      </w:r>
    </w:p>
  </w:footnote>
  <w:footnote w:id="33">
    <w:p w14:paraId="2B77E73B" w14:textId="7F0F82E6"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communication</w:t>
      </w:r>
      <w:r w:rsidRPr="00655F24">
        <w:rPr>
          <w:sz w:val="18"/>
          <w:szCs w:val="18"/>
          <w:lang w:val="en-US"/>
        </w:rPr>
        <w:t>, paragraph 42</w:t>
      </w:r>
      <w:r>
        <w:rPr>
          <w:sz w:val="18"/>
          <w:szCs w:val="18"/>
          <w:lang w:val="en-US"/>
        </w:rPr>
        <w:t>.</w:t>
      </w:r>
    </w:p>
  </w:footnote>
  <w:footnote w:id="34">
    <w:p w14:paraId="31EE9258" w14:textId="55903CEE"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communication,</w:t>
      </w:r>
      <w:r w:rsidRPr="00655F24">
        <w:rPr>
          <w:sz w:val="18"/>
          <w:szCs w:val="18"/>
          <w:lang w:val="en-US"/>
        </w:rPr>
        <w:t xml:space="preserve"> paragraph 44</w:t>
      </w:r>
      <w:r>
        <w:rPr>
          <w:sz w:val="18"/>
          <w:szCs w:val="18"/>
          <w:lang w:val="en-US"/>
        </w:rPr>
        <w:t>.</w:t>
      </w:r>
    </w:p>
  </w:footnote>
  <w:footnote w:id="35">
    <w:p w14:paraId="2871053C" w14:textId="197E6090"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See communication, paragraph 45</w:t>
      </w:r>
      <w:r>
        <w:rPr>
          <w:sz w:val="18"/>
          <w:szCs w:val="18"/>
        </w:rPr>
        <w:t>.</w:t>
      </w:r>
    </w:p>
  </w:footnote>
  <w:footnote w:id="36">
    <w:p w14:paraId="12E2A707" w14:textId="77777777" w:rsidR="002C618F" w:rsidRPr="00655F24" w:rsidRDefault="002C618F" w:rsidP="00B212B9">
      <w:pPr>
        <w:ind w:right="1134"/>
        <w:rPr>
          <w:sz w:val="18"/>
          <w:szCs w:val="18"/>
        </w:rPr>
      </w:pPr>
      <w:r w:rsidRPr="00E742BD">
        <w:rPr>
          <w:rStyle w:val="FootnoteReference"/>
          <w:sz w:val="18"/>
          <w:szCs w:val="18"/>
        </w:rPr>
        <w:footnoteRef/>
      </w:r>
      <w:r w:rsidRPr="00E742BD">
        <w:rPr>
          <w:sz w:val="18"/>
          <w:szCs w:val="18"/>
        </w:rPr>
        <w:t xml:space="preserve"> For example, cases 8792/2009,</w:t>
      </w:r>
      <w:r w:rsidRPr="00655F24">
        <w:rPr>
          <w:sz w:val="18"/>
          <w:szCs w:val="18"/>
        </w:rPr>
        <w:t xml:space="preserve"> 1396/2010, 241/2010, 12009/2008 and 11796/2006 of SAC. See communication, paragraphs 46 to 49.</w:t>
      </w:r>
    </w:p>
  </w:footnote>
  <w:footnote w:id="37">
    <w:p w14:paraId="1C2E79AB" w14:textId="2145BB2D" w:rsidR="002C618F" w:rsidRPr="00655F24"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communication,</w:t>
      </w:r>
      <w:r w:rsidRPr="00655F24">
        <w:rPr>
          <w:sz w:val="18"/>
          <w:szCs w:val="18"/>
        </w:rPr>
        <w:t xml:space="preserve"> paragraph 48</w:t>
      </w:r>
      <w:r>
        <w:rPr>
          <w:sz w:val="18"/>
          <w:szCs w:val="18"/>
        </w:rPr>
        <w:t>.</w:t>
      </w:r>
    </w:p>
  </w:footnote>
  <w:footnote w:id="38">
    <w:p w14:paraId="3DFE6735" w14:textId="1933CC55" w:rsidR="002C618F" w:rsidRPr="00E742BD"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w:t>
      </w:r>
      <w:proofErr w:type="gramStart"/>
      <w:r w:rsidRPr="00E742BD">
        <w:rPr>
          <w:sz w:val="18"/>
          <w:szCs w:val="18"/>
        </w:rPr>
        <w:t>Additional information of the Party concerned (22.8.13), page 7 (second bullet point)</w:t>
      </w:r>
      <w:r>
        <w:rPr>
          <w:sz w:val="18"/>
          <w:szCs w:val="18"/>
        </w:rPr>
        <w:t>.</w:t>
      </w:r>
      <w:proofErr w:type="gramEnd"/>
    </w:p>
  </w:footnote>
  <w:footnote w:id="39">
    <w:p w14:paraId="63CA226C" w14:textId="204B2F95"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Ibid</w:t>
      </w:r>
      <w:r>
        <w:rPr>
          <w:sz w:val="18"/>
          <w:szCs w:val="18"/>
          <w:lang w:val="en-US"/>
        </w:rPr>
        <w:t>.</w:t>
      </w:r>
    </w:p>
  </w:footnote>
  <w:footnote w:id="40">
    <w:p w14:paraId="5C977A60" w14:textId="493967B5"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See communication, paragraphs 8 and 9</w:t>
      </w:r>
      <w:r>
        <w:rPr>
          <w:sz w:val="18"/>
          <w:szCs w:val="18"/>
        </w:rPr>
        <w:t>.</w:t>
      </w:r>
    </w:p>
  </w:footnote>
  <w:footnote w:id="41">
    <w:p w14:paraId="3A3E995B" w14:textId="73328CCD"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communication, paragraph 60</w:t>
      </w:r>
      <w:r>
        <w:rPr>
          <w:sz w:val="18"/>
          <w:szCs w:val="18"/>
          <w:lang w:val="en-US"/>
        </w:rPr>
        <w:t>.</w:t>
      </w:r>
    </w:p>
  </w:footnote>
  <w:footnote w:id="42">
    <w:p w14:paraId="0E8E01CB" w14:textId="75508FF4"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See Party </w:t>
      </w:r>
      <w:proofErr w:type="spellStart"/>
      <w:r w:rsidRPr="00E742BD">
        <w:rPr>
          <w:sz w:val="18"/>
          <w:szCs w:val="18"/>
        </w:rPr>
        <w:t>concerned’s</w:t>
      </w:r>
      <w:proofErr w:type="spellEnd"/>
      <w:r w:rsidRPr="00E742BD">
        <w:rPr>
          <w:sz w:val="18"/>
          <w:szCs w:val="18"/>
        </w:rPr>
        <w:t xml:space="preserve"> response (March 2013) at page 8 (paragraph numbered 1)</w:t>
      </w:r>
      <w:r>
        <w:rPr>
          <w:sz w:val="18"/>
          <w:szCs w:val="18"/>
        </w:rPr>
        <w:t>.</w:t>
      </w:r>
    </w:p>
  </w:footnote>
  <w:footnote w:id="43">
    <w:p w14:paraId="78E77207" w14:textId="2EAF6AAB" w:rsidR="002C618F" w:rsidRPr="00655F24"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Additional information of the Party concerned (22.8.13), page 7 (first bullet point). </w:t>
      </w:r>
      <w:proofErr w:type="gramStart"/>
      <w:r w:rsidRPr="00E742BD">
        <w:rPr>
          <w:sz w:val="18"/>
          <w:szCs w:val="18"/>
        </w:rPr>
        <w:t>See also page 5 (1</w:t>
      </w:r>
      <w:r w:rsidRPr="00655F24">
        <w:rPr>
          <w:sz w:val="18"/>
          <w:szCs w:val="18"/>
          <w:vertAlign w:val="superscript"/>
        </w:rPr>
        <w:t>st</w:t>
      </w:r>
      <w:r w:rsidRPr="00655F24">
        <w:rPr>
          <w:sz w:val="18"/>
          <w:szCs w:val="18"/>
        </w:rPr>
        <w:t xml:space="preserve"> and 2</w:t>
      </w:r>
      <w:r w:rsidRPr="00655F24">
        <w:rPr>
          <w:sz w:val="18"/>
          <w:szCs w:val="18"/>
          <w:vertAlign w:val="superscript"/>
        </w:rPr>
        <w:t>nd</w:t>
      </w:r>
      <w:r w:rsidRPr="00655F24">
        <w:rPr>
          <w:sz w:val="18"/>
          <w:szCs w:val="18"/>
        </w:rPr>
        <w:t xml:space="preserve"> bullet points), page 6 (at the top)</w:t>
      </w:r>
      <w:r>
        <w:rPr>
          <w:sz w:val="18"/>
          <w:szCs w:val="18"/>
        </w:rPr>
        <w:t>.</w:t>
      </w:r>
      <w:proofErr w:type="gramEnd"/>
    </w:p>
  </w:footnote>
  <w:footnote w:id="44">
    <w:p w14:paraId="620E79F7" w14:textId="345D0820" w:rsidR="002C618F" w:rsidRPr="00655F24"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communication, paragraph 14</w:t>
      </w:r>
      <w:r>
        <w:rPr>
          <w:sz w:val="18"/>
          <w:szCs w:val="18"/>
        </w:rPr>
        <w:t>.</w:t>
      </w:r>
    </w:p>
  </w:footnote>
  <w:footnote w:id="45">
    <w:p w14:paraId="6069E9A5" w14:textId="05F8C9A9" w:rsidR="002C618F" w:rsidRPr="00655F24" w:rsidRDefault="002C618F" w:rsidP="00B212B9">
      <w:pPr>
        <w:pStyle w:val="FootnoteText"/>
        <w:ind w:left="0" w:right="1134" w:firstLine="0"/>
        <w:rPr>
          <w:sz w:val="18"/>
          <w:szCs w:val="18"/>
          <w:lang w:val="en-US"/>
        </w:rPr>
      </w:pPr>
      <w:r w:rsidRPr="00655F24">
        <w:rPr>
          <w:rStyle w:val="FootnoteReference"/>
          <w:sz w:val="18"/>
          <w:szCs w:val="18"/>
        </w:rPr>
        <w:footnoteRef/>
      </w:r>
      <w:r w:rsidRPr="00655F24">
        <w:rPr>
          <w:sz w:val="18"/>
          <w:szCs w:val="18"/>
        </w:rPr>
        <w:t xml:space="preserve"> </w:t>
      </w:r>
      <w:r w:rsidRPr="00655F24">
        <w:rPr>
          <w:sz w:val="18"/>
          <w:szCs w:val="18"/>
          <w:lang w:val="en-US"/>
        </w:rPr>
        <w:t xml:space="preserve">See </w:t>
      </w:r>
      <w:r w:rsidRPr="00E742BD">
        <w:rPr>
          <w:sz w:val="18"/>
          <w:szCs w:val="18"/>
          <w:lang w:val="en-US"/>
        </w:rPr>
        <w:t>communication, paragraph 46 to 49</w:t>
      </w:r>
      <w:r w:rsidRPr="00655F24">
        <w:rPr>
          <w:sz w:val="18"/>
          <w:szCs w:val="18"/>
          <w:lang w:val="en-US"/>
        </w:rPr>
        <w:t xml:space="preserve"> and paragraph 63</w:t>
      </w:r>
      <w:r>
        <w:rPr>
          <w:sz w:val="18"/>
          <w:szCs w:val="18"/>
          <w:lang w:val="en-US"/>
        </w:rPr>
        <w:t>.</w:t>
      </w:r>
    </w:p>
  </w:footnote>
  <w:footnote w:id="46">
    <w:p w14:paraId="5A3554E1" w14:textId="262F7719" w:rsidR="002C618F" w:rsidRPr="00655F24"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communication</w:t>
      </w:r>
      <w:proofErr w:type="gramStart"/>
      <w:r w:rsidRPr="00E742BD">
        <w:rPr>
          <w:sz w:val="18"/>
          <w:szCs w:val="18"/>
        </w:rPr>
        <w:t>,  paragraphs</w:t>
      </w:r>
      <w:proofErr w:type="gramEnd"/>
      <w:r w:rsidRPr="00E742BD">
        <w:rPr>
          <w:sz w:val="18"/>
          <w:szCs w:val="18"/>
        </w:rPr>
        <w:t xml:space="preserve"> 14, 15, 57, 58 and quote is at paragraph 59</w:t>
      </w:r>
      <w:r>
        <w:rPr>
          <w:sz w:val="18"/>
          <w:szCs w:val="18"/>
        </w:rPr>
        <w:t>.</w:t>
      </w:r>
    </w:p>
  </w:footnote>
  <w:footnote w:id="47">
    <w:p w14:paraId="4B0611D5" w14:textId="4E4E2006"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communication, paragraph 11</w:t>
      </w:r>
      <w:r>
        <w:rPr>
          <w:sz w:val="18"/>
          <w:szCs w:val="18"/>
          <w:lang w:val="en-US"/>
        </w:rPr>
        <w:t>.</w:t>
      </w:r>
    </w:p>
  </w:footnote>
  <w:footnote w:id="48">
    <w:p w14:paraId="42E6E6E7" w14:textId="77854251"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See communication, para 58</w:t>
      </w:r>
      <w:r>
        <w:rPr>
          <w:sz w:val="18"/>
          <w:szCs w:val="18"/>
          <w:lang w:val="en-US"/>
        </w:rPr>
        <w:t>.</w:t>
      </w:r>
    </w:p>
  </w:footnote>
  <w:footnote w:id="49">
    <w:p w14:paraId="2F35138C" w14:textId="04A2E058"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 xml:space="preserve">Party </w:t>
      </w:r>
      <w:proofErr w:type="spellStart"/>
      <w:r w:rsidRPr="00E742BD">
        <w:rPr>
          <w:sz w:val="18"/>
          <w:szCs w:val="18"/>
          <w:lang w:val="en-US"/>
        </w:rPr>
        <w:t>concerned’s</w:t>
      </w:r>
      <w:proofErr w:type="spellEnd"/>
      <w:r w:rsidRPr="00E742BD">
        <w:rPr>
          <w:sz w:val="18"/>
          <w:szCs w:val="18"/>
          <w:lang w:val="en-US"/>
        </w:rPr>
        <w:t xml:space="preserve"> response (March 2013) at page 3</w:t>
      </w:r>
      <w:r>
        <w:rPr>
          <w:sz w:val="18"/>
          <w:szCs w:val="18"/>
          <w:lang w:val="en-US"/>
        </w:rPr>
        <w:t>.</w:t>
      </w:r>
    </w:p>
  </w:footnote>
  <w:footnote w:id="50">
    <w:p w14:paraId="223B9D5B" w14:textId="77777777" w:rsidR="002C618F" w:rsidRPr="00655F24" w:rsidRDefault="002C618F" w:rsidP="00B212B9">
      <w:pPr>
        <w:pStyle w:val="FootnoteText"/>
        <w:ind w:left="0" w:right="1134" w:firstLine="0"/>
        <w:rPr>
          <w:sz w:val="18"/>
          <w:szCs w:val="18"/>
          <w:lang w:val="en-US"/>
        </w:rPr>
      </w:pPr>
      <w:r w:rsidRPr="00655F24">
        <w:rPr>
          <w:rStyle w:val="FootnoteReference"/>
          <w:sz w:val="18"/>
          <w:szCs w:val="18"/>
        </w:rPr>
        <w:footnoteRef/>
      </w:r>
      <w:r w:rsidRPr="00655F24">
        <w:rPr>
          <w:sz w:val="18"/>
          <w:szCs w:val="18"/>
        </w:rPr>
        <w:t xml:space="preserve"> </w:t>
      </w:r>
      <w:r w:rsidRPr="00E742BD">
        <w:rPr>
          <w:sz w:val="18"/>
          <w:szCs w:val="18"/>
        </w:rPr>
        <w:t>Additional information of the Party concerned</w:t>
      </w:r>
      <w:r w:rsidRPr="00E742BD">
        <w:rPr>
          <w:sz w:val="18"/>
          <w:szCs w:val="18"/>
          <w:lang w:val="en-US"/>
        </w:rPr>
        <w:t xml:space="preserve"> (22 August 2013) at page </w:t>
      </w:r>
      <w:r w:rsidRPr="00655F24">
        <w:rPr>
          <w:sz w:val="18"/>
          <w:szCs w:val="18"/>
          <w:lang w:val="en-US"/>
        </w:rPr>
        <w:t>4 onwards.</w:t>
      </w:r>
    </w:p>
  </w:footnote>
  <w:footnote w:id="51">
    <w:p w14:paraId="64106813" w14:textId="1A9BF2AC" w:rsidR="002C618F" w:rsidRPr="00E742BD" w:rsidRDefault="002C618F" w:rsidP="00B212B9">
      <w:pPr>
        <w:spacing w:line="240" w:lineRule="auto"/>
        <w:ind w:right="1134"/>
        <w:rPr>
          <w:sz w:val="18"/>
          <w:szCs w:val="18"/>
        </w:rPr>
      </w:pPr>
      <w:r w:rsidRPr="00E742BD">
        <w:rPr>
          <w:rStyle w:val="Znakiprzypiswdolnych"/>
          <w:sz w:val="18"/>
          <w:szCs w:val="18"/>
          <w:vertAlign w:val="superscript"/>
        </w:rPr>
        <w:footnoteRef/>
      </w:r>
      <w:r w:rsidRPr="00E742BD">
        <w:rPr>
          <w:sz w:val="18"/>
          <w:szCs w:val="18"/>
          <w:lang w:val="en-US"/>
        </w:rPr>
        <w:t xml:space="preserve"> Party </w:t>
      </w:r>
      <w:proofErr w:type="spellStart"/>
      <w:r w:rsidRPr="00E742BD">
        <w:rPr>
          <w:sz w:val="18"/>
          <w:szCs w:val="18"/>
          <w:lang w:val="en-US"/>
        </w:rPr>
        <w:t>concerned’s</w:t>
      </w:r>
      <w:proofErr w:type="spellEnd"/>
      <w:r w:rsidRPr="00E742BD">
        <w:rPr>
          <w:sz w:val="18"/>
          <w:szCs w:val="18"/>
          <w:lang w:val="en-US"/>
        </w:rPr>
        <w:t xml:space="preserve"> response ((March 2013), page 7 (3rd paragraph)</w:t>
      </w:r>
      <w:r>
        <w:rPr>
          <w:sz w:val="18"/>
          <w:szCs w:val="18"/>
          <w:lang w:val="en-US"/>
        </w:rPr>
        <w:t>.</w:t>
      </w:r>
    </w:p>
  </w:footnote>
  <w:footnote w:id="52">
    <w:p w14:paraId="64758DB2" w14:textId="6BB96E13" w:rsidR="002C618F" w:rsidRPr="00E742BD" w:rsidRDefault="002C618F" w:rsidP="00B212B9">
      <w:pPr>
        <w:spacing w:line="240" w:lineRule="auto"/>
        <w:ind w:right="1134"/>
        <w:rPr>
          <w:sz w:val="18"/>
          <w:szCs w:val="18"/>
        </w:rPr>
      </w:pPr>
      <w:r w:rsidRPr="00E742BD">
        <w:rPr>
          <w:rStyle w:val="Znakiprzypiswdolnych"/>
          <w:sz w:val="18"/>
          <w:szCs w:val="18"/>
          <w:vertAlign w:val="superscript"/>
        </w:rPr>
        <w:footnoteRef/>
      </w:r>
      <w:r w:rsidRPr="00E742BD">
        <w:rPr>
          <w:sz w:val="18"/>
          <w:szCs w:val="18"/>
          <w:lang w:val="en-US"/>
        </w:rPr>
        <w:t xml:space="preserve"> Party </w:t>
      </w:r>
      <w:proofErr w:type="spellStart"/>
      <w:r w:rsidRPr="00E742BD">
        <w:rPr>
          <w:sz w:val="18"/>
          <w:szCs w:val="18"/>
          <w:lang w:val="en-US"/>
        </w:rPr>
        <w:t>concerned’s</w:t>
      </w:r>
      <w:proofErr w:type="spellEnd"/>
      <w:r w:rsidRPr="00E742BD">
        <w:rPr>
          <w:sz w:val="18"/>
          <w:szCs w:val="18"/>
          <w:lang w:val="en-US"/>
        </w:rPr>
        <w:t xml:space="preserve"> response (March 2013), page 7 (2nd to last paragraph)</w:t>
      </w:r>
      <w:r>
        <w:rPr>
          <w:sz w:val="18"/>
          <w:szCs w:val="18"/>
          <w:lang w:val="en-US"/>
        </w:rPr>
        <w:t>.</w:t>
      </w:r>
    </w:p>
  </w:footnote>
  <w:footnote w:id="53">
    <w:p w14:paraId="0CC9DBFB" w14:textId="21A8C3F3" w:rsidR="002C618F" w:rsidRPr="00E742BD"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See Party </w:t>
      </w:r>
      <w:proofErr w:type="spellStart"/>
      <w:r w:rsidRPr="00E742BD">
        <w:rPr>
          <w:sz w:val="18"/>
          <w:szCs w:val="18"/>
        </w:rPr>
        <w:t>concerned’s</w:t>
      </w:r>
      <w:proofErr w:type="spellEnd"/>
      <w:r w:rsidRPr="00E742BD">
        <w:rPr>
          <w:sz w:val="18"/>
          <w:szCs w:val="18"/>
        </w:rPr>
        <w:t xml:space="preserve"> response (March 2013) at page 2</w:t>
      </w:r>
      <w:r>
        <w:rPr>
          <w:sz w:val="18"/>
          <w:szCs w:val="18"/>
        </w:rPr>
        <w:t>.</w:t>
      </w:r>
    </w:p>
  </w:footnote>
  <w:footnote w:id="54">
    <w:p w14:paraId="3708D864" w14:textId="52DC7E56" w:rsidR="002C618F" w:rsidRPr="00655F24" w:rsidRDefault="002C618F" w:rsidP="00B212B9">
      <w:pPr>
        <w:pStyle w:val="FootnoteText"/>
        <w:ind w:left="0" w:right="1134" w:firstLine="0"/>
        <w:rPr>
          <w:sz w:val="18"/>
          <w:szCs w:val="18"/>
        </w:rPr>
      </w:pPr>
      <w:r w:rsidRPr="00E742BD">
        <w:rPr>
          <w:rStyle w:val="FootnoteReference"/>
          <w:sz w:val="18"/>
          <w:szCs w:val="18"/>
        </w:rPr>
        <w:footnoteRef/>
      </w:r>
      <w:r w:rsidRPr="00E742BD">
        <w:rPr>
          <w:sz w:val="18"/>
          <w:szCs w:val="18"/>
        </w:rPr>
        <w:t xml:space="preserve"> See for instance, Decision No 255/13.09.2012 and Decision No 22/01.02.2013 (Additional information of the Party concerned (22.8.13), </w:t>
      </w:r>
      <w:r w:rsidRPr="00655F24">
        <w:rPr>
          <w:sz w:val="18"/>
          <w:szCs w:val="18"/>
        </w:rPr>
        <w:t>page 6)</w:t>
      </w:r>
      <w:r>
        <w:rPr>
          <w:sz w:val="18"/>
          <w:szCs w:val="18"/>
        </w:rPr>
        <w:t>.</w:t>
      </w:r>
    </w:p>
  </w:footnote>
  <w:footnote w:id="55">
    <w:p w14:paraId="6962549C" w14:textId="77777777" w:rsidR="002C618F" w:rsidRPr="00E742BD" w:rsidRDefault="002C618F" w:rsidP="00B212B9">
      <w:pPr>
        <w:spacing w:line="240" w:lineRule="auto"/>
        <w:ind w:right="1134"/>
        <w:rPr>
          <w:sz w:val="18"/>
          <w:szCs w:val="18"/>
        </w:rPr>
      </w:pPr>
      <w:r w:rsidRPr="00E742BD">
        <w:rPr>
          <w:rStyle w:val="Znakiprzypiswdolnych"/>
          <w:sz w:val="18"/>
          <w:szCs w:val="18"/>
          <w:vertAlign w:val="superscript"/>
        </w:rPr>
        <w:footnoteRef/>
      </w:r>
      <w:r w:rsidRPr="00E742BD">
        <w:rPr>
          <w:sz w:val="18"/>
          <w:szCs w:val="18"/>
        </w:rPr>
        <w:t xml:space="preserve"> Translation provided by the communicant.</w:t>
      </w:r>
    </w:p>
  </w:footnote>
  <w:footnote w:id="56">
    <w:p w14:paraId="203B719A" w14:textId="6A00A0EB" w:rsidR="002C618F" w:rsidRPr="00655F24" w:rsidRDefault="002C618F" w:rsidP="00B212B9">
      <w:pPr>
        <w:pStyle w:val="FootnoteText"/>
        <w:ind w:left="0" w:right="1134" w:firstLine="0"/>
        <w:rPr>
          <w:sz w:val="18"/>
          <w:szCs w:val="18"/>
        </w:rPr>
      </w:pPr>
      <w:r w:rsidRPr="00655F24">
        <w:rPr>
          <w:rStyle w:val="FootnoteReference"/>
          <w:sz w:val="18"/>
          <w:szCs w:val="18"/>
        </w:rPr>
        <w:footnoteRef/>
      </w:r>
      <w:r w:rsidRPr="00655F24">
        <w:rPr>
          <w:sz w:val="18"/>
          <w:szCs w:val="18"/>
        </w:rPr>
        <w:t xml:space="preserve"> Response of the Party concerned, March 2013, page 4.</w:t>
      </w:r>
    </w:p>
  </w:footnote>
  <w:footnote w:id="57">
    <w:p w14:paraId="7C54CE2B" w14:textId="77777777"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w:t>
      </w:r>
      <w:r w:rsidRPr="00E742BD">
        <w:rPr>
          <w:sz w:val="18"/>
          <w:szCs w:val="18"/>
          <w:lang w:val="en-US"/>
        </w:rPr>
        <w:t>Response of the Party concerned</w:t>
      </w:r>
      <w:r w:rsidRPr="00655F24">
        <w:rPr>
          <w:sz w:val="18"/>
          <w:szCs w:val="18"/>
          <w:lang w:val="en-US"/>
        </w:rPr>
        <w:t>, March 2013, page 7.</w:t>
      </w:r>
    </w:p>
  </w:footnote>
  <w:footnote w:id="58">
    <w:p w14:paraId="0F4713B2" w14:textId="3C3F3E71" w:rsidR="002C618F" w:rsidRPr="00687AF7" w:rsidRDefault="002C618F">
      <w:pPr>
        <w:pStyle w:val="FootnoteText"/>
      </w:pPr>
      <w:r>
        <w:rPr>
          <w:rStyle w:val="FootnoteReference"/>
        </w:rPr>
        <w:footnoteRef/>
      </w:r>
      <w:r>
        <w:t xml:space="preserve"> </w:t>
      </w:r>
      <w:r w:rsidRPr="00992425">
        <w:rPr>
          <w:sz w:val="18"/>
          <w:szCs w:val="18"/>
        </w:rPr>
        <w:t xml:space="preserve">For example, </w:t>
      </w:r>
      <w:proofErr w:type="spellStart"/>
      <w:r w:rsidRPr="00992425">
        <w:rPr>
          <w:sz w:val="18"/>
          <w:szCs w:val="18"/>
        </w:rPr>
        <w:t>preambular</w:t>
      </w:r>
      <w:proofErr w:type="spellEnd"/>
      <w:r w:rsidRPr="00992425">
        <w:rPr>
          <w:sz w:val="18"/>
          <w:szCs w:val="18"/>
        </w:rPr>
        <w:t xml:space="preserve"> paragraph 9 of the Convention.</w:t>
      </w:r>
    </w:p>
  </w:footnote>
  <w:footnote w:id="59">
    <w:p w14:paraId="5C763E3B" w14:textId="23E3D921" w:rsidR="002C618F" w:rsidRPr="00655F24" w:rsidRDefault="002C618F" w:rsidP="00B212B9">
      <w:pPr>
        <w:pStyle w:val="FootnoteText"/>
        <w:ind w:left="0" w:right="1134" w:firstLine="0"/>
        <w:rPr>
          <w:sz w:val="18"/>
          <w:szCs w:val="18"/>
        </w:rPr>
      </w:pPr>
      <w:r w:rsidRPr="00655F24">
        <w:rPr>
          <w:rStyle w:val="FootnoteReference"/>
          <w:sz w:val="18"/>
          <w:szCs w:val="18"/>
        </w:rPr>
        <w:footnoteRef/>
      </w:r>
      <w:r>
        <w:rPr>
          <w:sz w:val="18"/>
          <w:szCs w:val="18"/>
        </w:rPr>
        <w:t xml:space="preserve"> </w:t>
      </w:r>
      <w:r w:rsidRPr="00655F24">
        <w:rPr>
          <w:sz w:val="18"/>
          <w:szCs w:val="18"/>
        </w:rPr>
        <w:t>Communication, para. 52.</w:t>
      </w:r>
    </w:p>
  </w:footnote>
  <w:footnote w:id="60">
    <w:p w14:paraId="3F3E4BF4" w14:textId="77777777" w:rsidR="002C618F" w:rsidRPr="00655F24" w:rsidRDefault="002C618F" w:rsidP="00B212B9">
      <w:pPr>
        <w:pStyle w:val="FootnoteText"/>
        <w:ind w:left="0" w:right="1134" w:firstLine="0"/>
        <w:rPr>
          <w:sz w:val="18"/>
          <w:szCs w:val="18"/>
          <w:lang w:val="en-US"/>
        </w:rPr>
      </w:pPr>
      <w:r w:rsidRPr="00E742BD">
        <w:rPr>
          <w:rStyle w:val="FootnoteReference"/>
          <w:sz w:val="18"/>
          <w:szCs w:val="18"/>
        </w:rPr>
        <w:footnoteRef/>
      </w:r>
      <w:r w:rsidRPr="00E742BD">
        <w:rPr>
          <w:sz w:val="18"/>
          <w:szCs w:val="18"/>
        </w:rPr>
        <w:t xml:space="preserve"> Additional information of the Party concerned (22.8.13)</w:t>
      </w:r>
      <w:r w:rsidRPr="00655F24">
        <w:rPr>
          <w:sz w:val="18"/>
          <w:szCs w:val="18"/>
        </w:rPr>
        <w:t>, page 4 (second to last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A668" w14:textId="77777777" w:rsidR="002C618F" w:rsidRDefault="002C618F">
    <w:pPr>
      <w:pStyle w:val="Header"/>
      <w:jc w:val="right"/>
      <w:rPr>
        <w:b w:val="0"/>
      </w:rPr>
    </w:pPr>
    <w:r>
      <w:rPr>
        <w:b w:val="0"/>
      </w:rPr>
      <w:t>C/76 Bulgaria</w:t>
    </w:r>
  </w:p>
  <w:p w14:paraId="6BA0CAA8" w14:textId="7BDE7132" w:rsidR="002C618F" w:rsidRDefault="002C618F">
    <w:pPr>
      <w:pStyle w:val="Header"/>
      <w:jc w:val="right"/>
    </w:pPr>
    <w:r>
      <w:rPr>
        <w:b w:val="0"/>
      </w:rPr>
      <w:t xml:space="preserve">Draft findings – for </w:t>
    </w:r>
    <w:r w:rsidR="00E74D4F">
      <w:rPr>
        <w:b w:val="0"/>
      </w:rPr>
      <w:t>comment by parties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CAB1" w14:textId="77777777" w:rsidR="002C618F" w:rsidRDefault="002C618F">
    <w:pPr>
      <w:pStyle w:val="Header"/>
      <w:jc w:val="right"/>
      <w:rPr>
        <w:b w:val="0"/>
      </w:rPr>
    </w:pPr>
    <w:r>
      <w:rPr>
        <w:b w:val="0"/>
      </w:rPr>
      <w:t>C/76 Bulgaria</w:t>
    </w:r>
  </w:p>
  <w:p w14:paraId="0060AAFE" w14:textId="429B5047" w:rsidR="002C618F" w:rsidRDefault="002C618F">
    <w:pPr>
      <w:pStyle w:val="Header"/>
      <w:jc w:val="right"/>
    </w:pPr>
    <w:r>
      <w:rPr>
        <w:b w:val="0"/>
      </w:rPr>
      <w:t xml:space="preserve">Draft </w:t>
    </w:r>
    <w:r w:rsidR="000A53D1">
      <w:rPr>
        <w:b w:val="0"/>
      </w:rPr>
      <w:t>f</w:t>
    </w:r>
    <w:r w:rsidR="000A53D1">
      <w:rPr>
        <w:b w:val="0"/>
      </w:rPr>
      <w:t>indings</w:t>
    </w:r>
    <w:r w:rsidR="000A53D1">
      <w:rPr>
        <w:b w:val="0"/>
      </w:rPr>
      <w:t xml:space="preserve"> for comment by parties</w:t>
    </w:r>
    <w:r w:rsidR="000A53D1">
      <w:rPr>
        <w:b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B8CCAA"/>
    <w:name w:val="WW8Num1"/>
    <w:lvl w:ilvl="0">
      <w:start w:val="1"/>
      <w:numFmt w:val="decimal"/>
      <w:lvlText w:val="%1."/>
      <w:lvlJc w:val="left"/>
      <w:pPr>
        <w:tabs>
          <w:tab w:val="num" w:pos="1710"/>
        </w:tabs>
        <w:ind w:left="1710" w:hanging="576"/>
      </w:pPr>
      <w:rPr>
        <w:rFonts w:cs="Calibri"/>
        <w:b/>
        <w:bCs/>
        <w:i/>
        <w:sz w:val="24"/>
        <w:szCs w:val="24"/>
        <w:lang w:val="en-US"/>
      </w:rPr>
    </w:lvl>
    <w:lvl w:ilvl="1">
      <w:start w:val="1"/>
      <w:numFmt w:val="lowerLetter"/>
      <w:lvlText w:val="(%2)"/>
      <w:lvlJc w:val="left"/>
      <w:pPr>
        <w:tabs>
          <w:tab w:val="num" w:pos="2574"/>
        </w:tabs>
        <w:ind w:left="2574" w:hanging="720"/>
      </w:pPr>
      <w:rPr>
        <w:sz w:val="20"/>
        <w:szCs w:val="20"/>
      </w:rPr>
    </w:lvl>
    <w:lvl w:ilvl="2">
      <w:start w:val="1"/>
      <w:numFmt w:val="lowerRoman"/>
      <w:lvlText w:val="%2.%3."/>
      <w:lvlJc w:val="right"/>
      <w:pPr>
        <w:tabs>
          <w:tab w:val="num" w:pos="2934"/>
        </w:tabs>
        <w:ind w:left="2934" w:hanging="180"/>
      </w:pPr>
    </w:lvl>
    <w:lvl w:ilvl="3">
      <w:start w:val="1"/>
      <w:numFmt w:val="decimal"/>
      <w:lvlText w:val="%2.%3.%4."/>
      <w:lvlJc w:val="left"/>
      <w:pPr>
        <w:tabs>
          <w:tab w:val="num" w:pos="3654"/>
        </w:tabs>
        <w:ind w:left="3654" w:hanging="360"/>
      </w:pPr>
    </w:lvl>
    <w:lvl w:ilvl="4">
      <w:start w:val="1"/>
      <w:numFmt w:val="lowerLetter"/>
      <w:lvlText w:val="%2.%3.%4.%5."/>
      <w:lvlJc w:val="left"/>
      <w:pPr>
        <w:tabs>
          <w:tab w:val="num" w:pos="4374"/>
        </w:tabs>
        <w:ind w:left="4374" w:hanging="360"/>
      </w:pPr>
    </w:lvl>
    <w:lvl w:ilvl="5">
      <w:start w:val="1"/>
      <w:numFmt w:val="lowerRoman"/>
      <w:lvlText w:val="%2.%3.%4.%5.%6."/>
      <w:lvlJc w:val="right"/>
      <w:pPr>
        <w:tabs>
          <w:tab w:val="num" w:pos="5094"/>
        </w:tabs>
        <w:ind w:left="5094" w:hanging="180"/>
      </w:pPr>
    </w:lvl>
    <w:lvl w:ilvl="6">
      <w:start w:val="1"/>
      <w:numFmt w:val="decimal"/>
      <w:lvlText w:val="%2.%3.%4.%5.%6.%7."/>
      <w:lvlJc w:val="left"/>
      <w:pPr>
        <w:tabs>
          <w:tab w:val="num" w:pos="5814"/>
        </w:tabs>
        <w:ind w:left="5814" w:hanging="360"/>
      </w:pPr>
    </w:lvl>
    <w:lvl w:ilvl="7">
      <w:start w:val="1"/>
      <w:numFmt w:val="lowerLetter"/>
      <w:lvlText w:val="%2.%3.%4.%5.%6.%7.%8."/>
      <w:lvlJc w:val="left"/>
      <w:pPr>
        <w:tabs>
          <w:tab w:val="num" w:pos="6534"/>
        </w:tabs>
        <w:ind w:left="6534" w:hanging="360"/>
      </w:pPr>
    </w:lvl>
    <w:lvl w:ilvl="8">
      <w:start w:val="1"/>
      <w:numFmt w:val="lowerRoman"/>
      <w:lvlText w:val="%2.%3.%4.%5.%6.%7.%8.%9."/>
      <w:lvlJc w:val="right"/>
      <w:pPr>
        <w:tabs>
          <w:tab w:val="num" w:pos="7254"/>
        </w:tabs>
        <w:ind w:left="7254" w:hanging="180"/>
      </w:pPr>
    </w:lvl>
  </w:abstractNum>
  <w:abstractNum w:abstractNumId="1">
    <w:nsid w:val="00000002"/>
    <w:multiLevelType w:val="multilevel"/>
    <w:tmpl w:val="A596F7DC"/>
    <w:name w:val="WW8Num2"/>
    <w:lvl w:ilvl="0">
      <w:start w:val="1"/>
      <w:numFmt w:val="upperLetter"/>
      <w:lvlText w:val="%1."/>
      <w:lvlJc w:val="left"/>
      <w:pPr>
        <w:tabs>
          <w:tab w:val="num" w:pos="1200"/>
        </w:tabs>
        <w:ind w:left="1200" w:hanging="525"/>
      </w:pPr>
      <w:rPr>
        <w:b/>
        <w:i/>
        <w:sz w:val="24"/>
        <w:szCs w:val="24"/>
      </w:rPr>
    </w:lvl>
    <w:lvl w:ilvl="1">
      <w:start w:val="1"/>
      <w:numFmt w:val="lowerLetter"/>
      <w:lvlText w:val="%2."/>
      <w:lvlJc w:val="left"/>
      <w:pPr>
        <w:tabs>
          <w:tab w:val="num" w:pos="1755"/>
        </w:tabs>
        <w:ind w:left="1755" w:hanging="360"/>
      </w:pPr>
    </w:lvl>
    <w:lvl w:ilvl="2">
      <w:start w:val="1"/>
      <w:numFmt w:val="lowerRoman"/>
      <w:lvlText w:val="%2.%3."/>
      <w:lvlJc w:val="right"/>
      <w:pPr>
        <w:tabs>
          <w:tab w:val="num" w:pos="2475"/>
        </w:tabs>
        <w:ind w:left="2475" w:hanging="180"/>
      </w:pPr>
    </w:lvl>
    <w:lvl w:ilvl="3">
      <w:start w:val="1"/>
      <w:numFmt w:val="decimal"/>
      <w:lvlText w:val="%2.%3.%4."/>
      <w:lvlJc w:val="left"/>
      <w:pPr>
        <w:tabs>
          <w:tab w:val="num" w:pos="3195"/>
        </w:tabs>
        <w:ind w:left="3195" w:hanging="360"/>
      </w:pPr>
    </w:lvl>
    <w:lvl w:ilvl="4">
      <w:start w:val="1"/>
      <w:numFmt w:val="lowerLetter"/>
      <w:lvlText w:val="%2.%3.%4.%5."/>
      <w:lvlJc w:val="left"/>
      <w:pPr>
        <w:tabs>
          <w:tab w:val="num" w:pos="3915"/>
        </w:tabs>
        <w:ind w:left="3915" w:hanging="360"/>
      </w:pPr>
    </w:lvl>
    <w:lvl w:ilvl="5">
      <w:start w:val="1"/>
      <w:numFmt w:val="lowerRoman"/>
      <w:lvlText w:val="%2.%3.%4.%5.%6."/>
      <w:lvlJc w:val="right"/>
      <w:pPr>
        <w:tabs>
          <w:tab w:val="num" w:pos="4635"/>
        </w:tabs>
        <w:ind w:left="4635" w:hanging="180"/>
      </w:pPr>
    </w:lvl>
    <w:lvl w:ilvl="6">
      <w:start w:val="1"/>
      <w:numFmt w:val="decimal"/>
      <w:lvlText w:val="%2.%3.%4.%5.%6.%7."/>
      <w:lvlJc w:val="left"/>
      <w:pPr>
        <w:tabs>
          <w:tab w:val="num" w:pos="5355"/>
        </w:tabs>
        <w:ind w:left="5355" w:hanging="360"/>
      </w:pPr>
    </w:lvl>
    <w:lvl w:ilvl="7">
      <w:start w:val="1"/>
      <w:numFmt w:val="lowerLetter"/>
      <w:lvlText w:val="%2.%3.%4.%5.%6.%7.%8."/>
      <w:lvlJc w:val="left"/>
      <w:pPr>
        <w:tabs>
          <w:tab w:val="num" w:pos="6075"/>
        </w:tabs>
        <w:ind w:left="6075" w:hanging="360"/>
      </w:pPr>
    </w:lvl>
    <w:lvl w:ilvl="8">
      <w:start w:val="1"/>
      <w:numFmt w:val="lowerRoman"/>
      <w:lvlText w:val="%2.%3.%4.%5.%6.%7.%8.%9."/>
      <w:lvlJc w:val="right"/>
      <w:pPr>
        <w:tabs>
          <w:tab w:val="num" w:pos="6795"/>
        </w:tabs>
        <w:ind w:left="6795" w:hanging="180"/>
      </w:pPr>
    </w:lvl>
  </w:abstractNum>
  <w:abstractNum w:abstractNumId="2">
    <w:nsid w:val="00000003"/>
    <w:multiLevelType w:val="multilevel"/>
    <w:tmpl w:val="00000003"/>
    <w:name w:val="WW8Num3"/>
    <w:lvl w:ilvl="0">
      <w:start w:val="1"/>
      <w:numFmt w:val="upperLetter"/>
      <w:lvlText w:val="%1."/>
      <w:lvlJc w:val="left"/>
      <w:pPr>
        <w:tabs>
          <w:tab w:val="num" w:pos="0"/>
        </w:tabs>
        <w:ind w:left="1128" w:hanging="504"/>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3">
    <w:nsid w:val="00000004"/>
    <w:multiLevelType w:val="multilevel"/>
    <w:tmpl w:val="00000004"/>
    <w:name w:val="WW8Num4"/>
    <w:lvl w:ilvl="0">
      <w:start w:val="1"/>
      <w:numFmt w:val="upperRoman"/>
      <w:lvlText w:val="%1."/>
      <w:lvlJc w:val="left"/>
      <w:pPr>
        <w:tabs>
          <w:tab w:val="num" w:pos="33"/>
        </w:tabs>
        <w:ind w:left="1428" w:hanging="720"/>
      </w:pPr>
      <w:rPr>
        <w:szCs w:val="24"/>
      </w:rPr>
    </w:lvl>
    <w:lvl w:ilvl="1">
      <w:start w:val="1"/>
      <w:numFmt w:val="lowerLetter"/>
      <w:lvlText w:val="%2."/>
      <w:lvlJc w:val="left"/>
      <w:pPr>
        <w:tabs>
          <w:tab w:val="num" w:pos="33"/>
        </w:tabs>
        <w:ind w:left="1788" w:hanging="360"/>
      </w:pPr>
    </w:lvl>
    <w:lvl w:ilvl="2">
      <w:start w:val="1"/>
      <w:numFmt w:val="lowerRoman"/>
      <w:lvlText w:val="%2.%3."/>
      <w:lvlJc w:val="right"/>
      <w:pPr>
        <w:tabs>
          <w:tab w:val="num" w:pos="33"/>
        </w:tabs>
        <w:ind w:left="2508" w:hanging="180"/>
      </w:pPr>
    </w:lvl>
    <w:lvl w:ilvl="3">
      <w:start w:val="1"/>
      <w:numFmt w:val="decimal"/>
      <w:lvlText w:val="%2.%3.%4."/>
      <w:lvlJc w:val="left"/>
      <w:pPr>
        <w:tabs>
          <w:tab w:val="num" w:pos="33"/>
        </w:tabs>
        <w:ind w:left="3228" w:hanging="360"/>
      </w:pPr>
    </w:lvl>
    <w:lvl w:ilvl="4">
      <w:start w:val="1"/>
      <w:numFmt w:val="lowerLetter"/>
      <w:lvlText w:val="%2.%3.%4.%5."/>
      <w:lvlJc w:val="left"/>
      <w:pPr>
        <w:tabs>
          <w:tab w:val="num" w:pos="33"/>
        </w:tabs>
        <w:ind w:left="3948" w:hanging="360"/>
      </w:pPr>
    </w:lvl>
    <w:lvl w:ilvl="5">
      <w:start w:val="1"/>
      <w:numFmt w:val="lowerRoman"/>
      <w:lvlText w:val="%2.%3.%4.%5.%6."/>
      <w:lvlJc w:val="right"/>
      <w:pPr>
        <w:tabs>
          <w:tab w:val="num" w:pos="33"/>
        </w:tabs>
        <w:ind w:left="4668" w:hanging="180"/>
      </w:pPr>
    </w:lvl>
    <w:lvl w:ilvl="6">
      <w:start w:val="1"/>
      <w:numFmt w:val="decimal"/>
      <w:lvlText w:val="%2.%3.%4.%5.%6.%7."/>
      <w:lvlJc w:val="left"/>
      <w:pPr>
        <w:tabs>
          <w:tab w:val="num" w:pos="33"/>
        </w:tabs>
        <w:ind w:left="5388" w:hanging="360"/>
      </w:pPr>
    </w:lvl>
    <w:lvl w:ilvl="7">
      <w:start w:val="1"/>
      <w:numFmt w:val="lowerLetter"/>
      <w:lvlText w:val="%2.%3.%4.%5.%6.%7.%8."/>
      <w:lvlJc w:val="left"/>
      <w:pPr>
        <w:tabs>
          <w:tab w:val="num" w:pos="33"/>
        </w:tabs>
        <w:ind w:left="6108" w:hanging="360"/>
      </w:pPr>
    </w:lvl>
    <w:lvl w:ilvl="8">
      <w:start w:val="1"/>
      <w:numFmt w:val="lowerRoman"/>
      <w:lvlText w:val="%2.%3.%4.%5.%6.%7.%8.%9."/>
      <w:lvlJc w:val="right"/>
      <w:pPr>
        <w:tabs>
          <w:tab w:val="num" w:pos="33"/>
        </w:tabs>
        <w:ind w:left="6828" w:hanging="180"/>
      </w:pPr>
    </w:lvl>
  </w:abstractNum>
  <w:abstractNum w:abstractNumId="4">
    <w:nsid w:val="00000005"/>
    <w:multiLevelType w:val="multilevel"/>
    <w:tmpl w:val="5686AD60"/>
    <w:name w:val="WW8Num5"/>
    <w:lvl w:ilvl="0">
      <w:start w:val="3"/>
      <w:numFmt w:val="lowerLetter"/>
      <w:lvlText w:val="(%1)"/>
      <w:lvlJc w:val="left"/>
      <w:pPr>
        <w:tabs>
          <w:tab w:val="num" w:pos="2564"/>
        </w:tabs>
        <w:ind w:left="2564" w:hanging="720"/>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nsid w:val="00000006"/>
    <w:multiLevelType w:val="multilevel"/>
    <w:tmpl w:val="00000006"/>
    <w:name w:val="WW8Num6"/>
    <w:lvl w:ilvl="0">
      <w:start w:val="1"/>
      <w:numFmt w:val="decimal"/>
      <w:lvlText w:val="%1."/>
      <w:lvlJc w:val="left"/>
      <w:pPr>
        <w:tabs>
          <w:tab w:val="num" w:pos="1710"/>
        </w:tabs>
        <w:ind w:left="1710" w:hanging="576"/>
      </w:pPr>
    </w:lvl>
    <w:lvl w:ilvl="1">
      <w:start w:val="1"/>
      <w:numFmt w:val="decimal"/>
      <w:lvlText w:val="(%2)"/>
      <w:lvlJc w:val="left"/>
      <w:pPr>
        <w:tabs>
          <w:tab w:val="num" w:pos="2574"/>
        </w:tabs>
        <w:ind w:left="2574" w:hanging="720"/>
      </w:pPr>
      <w:rPr>
        <w:sz w:val="20"/>
        <w:szCs w:val="20"/>
      </w:rPr>
    </w:lvl>
    <w:lvl w:ilvl="2">
      <w:start w:val="1"/>
      <w:numFmt w:val="lowerRoman"/>
      <w:lvlText w:val="%2.%3."/>
      <w:lvlJc w:val="right"/>
      <w:pPr>
        <w:tabs>
          <w:tab w:val="num" w:pos="2934"/>
        </w:tabs>
        <w:ind w:left="2934" w:hanging="180"/>
      </w:pPr>
    </w:lvl>
    <w:lvl w:ilvl="3">
      <w:start w:val="1"/>
      <w:numFmt w:val="decimal"/>
      <w:lvlText w:val="%2.%3.%4."/>
      <w:lvlJc w:val="left"/>
      <w:pPr>
        <w:tabs>
          <w:tab w:val="num" w:pos="3654"/>
        </w:tabs>
        <w:ind w:left="3654" w:hanging="360"/>
      </w:pPr>
    </w:lvl>
    <w:lvl w:ilvl="4">
      <w:start w:val="1"/>
      <w:numFmt w:val="lowerLetter"/>
      <w:lvlText w:val="%2.%3.%4.%5."/>
      <w:lvlJc w:val="left"/>
      <w:pPr>
        <w:tabs>
          <w:tab w:val="num" w:pos="4374"/>
        </w:tabs>
        <w:ind w:left="4374" w:hanging="360"/>
      </w:pPr>
    </w:lvl>
    <w:lvl w:ilvl="5">
      <w:start w:val="1"/>
      <w:numFmt w:val="lowerRoman"/>
      <w:lvlText w:val="%2.%3.%4.%5.%6."/>
      <w:lvlJc w:val="right"/>
      <w:pPr>
        <w:tabs>
          <w:tab w:val="num" w:pos="5094"/>
        </w:tabs>
        <w:ind w:left="5094" w:hanging="180"/>
      </w:pPr>
    </w:lvl>
    <w:lvl w:ilvl="6">
      <w:start w:val="1"/>
      <w:numFmt w:val="decimal"/>
      <w:lvlText w:val="%2.%3.%4.%5.%6.%7."/>
      <w:lvlJc w:val="left"/>
      <w:pPr>
        <w:tabs>
          <w:tab w:val="num" w:pos="5814"/>
        </w:tabs>
        <w:ind w:left="5814" w:hanging="360"/>
      </w:pPr>
    </w:lvl>
    <w:lvl w:ilvl="7">
      <w:start w:val="1"/>
      <w:numFmt w:val="lowerLetter"/>
      <w:lvlText w:val="%2.%3.%4.%5.%6.%7.%8."/>
      <w:lvlJc w:val="left"/>
      <w:pPr>
        <w:tabs>
          <w:tab w:val="num" w:pos="6534"/>
        </w:tabs>
        <w:ind w:left="6534" w:hanging="360"/>
      </w:pPr>
    </w:lvl>
    <w:lvl w:ilvl="8">
      <w:start w:val="1"/>
      <w:numFmt w:val="lowerRoman"/>
      <w:lvlText w:val="%2.%3.%4.%5.%6.%7.%8.%9."/>
      <w:lvlJc w:val="right"/>
      <w:pPr>
        <w:tabs>
          <w:tab w:val="num" w:pos="7254"/>
        </w:tabs>
        <w:ind w:left="7254" w:hanging="18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3351D3"/>
    <w:multiLevelType w:val="hybridMultilevel"/>
    <w:tmpl w:val="9AE604C4"/>
    <w:lvl w:ilvl="0" w:tplc="2F1EF2A2">
      <w:start w:val="1"/>
      <w:numFmt w:val="decimal"/>
      <w:lvlText w:val="%1."/>
      <w:lvlJc w:val="left"/>
      <w:pPr>
        <w:ind w:left="1495"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80462C"/>
    <w:multiLevelType w:val="hybridMultilevel"/>
    <w:tmpl w:val="B09E4D68"/>
    <w:lvl w:ilvl="0" w:tplc="5AF62378">
      <w:start w:val="8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B6596F"/>
    <w:multiLevelType w:val="hybridMultilevel"/>
    <w:tmpl w:val="9F5E6FB6"/>
    <w:lvl w:ilvl="0" w:tplc="B67EA1F4">
      <w:start w:val="1"/>
      <w:numFmt w:val="lowerLetter"/>
      <w:lvlText w:val="(%1)"/>
      <w:lvlJc w:val="left"/>
      <w:pPr>
        <w:ind w:left="2130" w:hanging="6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3792D9A"/>
    <w:multiLevelType w:val="hybridMultilevel"/>
    <w:tmpl w:val="3F1C6EE0"/>
    <w:lvl w:ilvl="0" w:tplc="F8C653A6">
      <w:start w:val="1"/>
      <w:numFmt w:val="upperLetter"/>
      <w:lvlText w:val="%1."/>
      <w:lvlJc w:val="left"/>
      <w:pPr>
        <w:ind w:left="1068" w:hanging="360"/>
      </w:pPr>
      <w:rPr>
        <w:rFonts w:hint="default"/>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15AD3AB4"/>
    <w:multiLevelType w:val="hybridMultilevel"/>
    <w:tmpl w:val="1CD451C6"/>
    <w:lvl w:ilvl="0" w:tplc="57A00D5E">
      <w:start w:val="1"/>
      <w:numFmt w:val="lowerLetter"/>
      <w:lvlText w:val="(%1)"/>
      <w:lvlJc w:val="left"/>
      <w:pPr>
        <w:ind w:left="2061" w:hanging="360"/>
      </w:pPr>
      <w:rPr>
        <w:rFonts w:hint="default"/>
        <w:u w:val="singl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EAA264A"/>
    <w:multiLevelType w:val="hybridMultilevel"/>
    <w:tmpl w:val="9AE604C4"/>
    <w:lvl w:ilvl="0" w:tplc="2F1EF2A2">
      <w:start w:val="1"/>
      <w:numFmt w:val="decimal"/>
      <w:lvlText w:val="%1."/>
      <w:lvlJc w:val="left"/>
      <w:pPr>
        <w:ind w:left="1495"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E65C88"/>
    <w:multiLevelType w:val="hybridMultilevel"/>
    <w:tmpl w:val="40AE9E82"/>
    <w:lvl w:ilvl="0" w:tplc="E7AC3D9E">
      <w:start w:val="1"/>
      <w:numFmt w:val="lowerLetter"/>
      <w:lvlText w:val="(%1)"/>
      <w:lvlJc w:val="left"/>
      <w:pPr>
        <w:ind w:left="2136" w:hanging="360"/>
      </w:pPr>
      <w:rPr>
        <w:rFonts w:hint="default"/>
        <w:sz w:val="20"/>
        <w:szCs w:val="20"/>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4">
    <w:nsid w:val="28306CB5"/>
    <w:multiLevelType w:val="hybridMultilevel"/>
    <w:tmpl w:val="4EA6C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E70020"/>
    <w:multiLevelType w:val="hybridMultilevel"/>
    <w:tmpl w:val="9AE604C4"/>
    <w:lvl w:ilvl="0" w:tplc="2F1EF2A2">
      <w:start w:val="1"/>
      <w:numFmt w:val="decimal"/>
      <w:lvlText w:val="%1."/>
      <w:lvlJc w:val="left"/>
      <w:pPr>
        <w:ind w:left="1495"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472AF7"/>
    <w:multiLevelType w:val="hybridMultilevel"/>
    <w:tmpl w:val="70866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D475C2"/>
    <w:multiLevelType w:val="hybridMultilevel"/>
    <w:tmpl w:val="D0E8C95E"/>
    <w:lvl w:ilvl="0" w:tplc="6FACB97E">
      <w:start w:val="86"/>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7D26AC"/>
    <w:multiLevelType w:val="hybridMultilevel"/>
    <w:tmpl w:val="9F5E6FB6"/>
    <w:lvl w:ilvl="0" w:tplc="B67EA1F4">
      <w:start w:val="1"/>
      <w:numFmt w:val="lowerLetter"/>
      <w:lvlText w:val="(%1)"/>
      <w:lvlJc w:val="left"/>
      <w:pPr>
        <w:ind w:left="2108" w:hanging="69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2AE6C01"/>
    <w:multiLevelType w:val="hybridMultilevel"/>
    <w:tmpl w:val="5C4ADCBE"/>
    <w:lvl w:ilvl="0" w:tplc="FD0C3DBA">
      <w:start w:val="1"/>
      <w:numFmt w:val="lowerRoman"/>
      <w:lvlText w:val="(%1)"/>
      <w:lvlJc w:val="left"/>
      <w:pPr>
        <w:ind w:left="1820" w:hanging="720"/>
      </w:pPr>
      <w:rPr>
        <w:rFonts w:hint="default"/>
        <w:b/>
        <w:i/>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0">
    <w:nsid w:val="68751374"/>
    <w:multiLevelType w:val="hybridMultilevel"/>
    <w:tmpl w:val="497693A0"/>
    <w:lvl w:ilvl="0" w:tplc="201E5FB0">
      <w:start w:val="1"/>
      <w:numFmt w:val="lowerLetter"/>
      <w:lvlText w:val="(%1)"/>
      <w:lvlJc w:val="left"/>
      <w:pPr>
        <w:ind w:left="2616" w:hanging="360"/>
      </w:pPr>
      <w:rPr>
        <w:rFonts w:hint="default"/>
      </w:rPr>
    </w:lvl>
    <w:lvl w:ilvl="1" w:tplc="04090019" w:tentative="1">
      <w:start w:val="1"/>
      <w:numFmt w:val="lowerLetter"/>
      <w:lvlText w:val="%2."/>
      <w:lvlJc w:val="left"/>
      <w:pPr>
        <w:ind w:left="3336" w:hanging="360"/>
      </w:pPr>
    </w:lvl>
    <w:lvl w:ilvl="2" w:tplc="0409001B" w:tentative="1">
      <w:start w:val="1"/>
      <w:numFmt w:val="lowerRoman"/>
      <w:lvlText w:val="%3."/>
      <w:lvlJc w:val="right"/>
      <w:pPr>
        <w:ind w:left="4056" w:hanging="180"/>
      </w:pPr>
    </w:lvl>
    <w:lvl w:ilvl="3" w:tplc="0409000F" w:tentative="1">
      <w:start w:val="1"/>
      <w:numFmt w:val="decimal"/>
      <w:lvlText w:val="%4."/>
      <w:lvlJc w:val="left"/>
      <w:pPr>
        <w:ind w:left="4776" w:hanging="360"/>
      </w:pPr>
    </w:lvl>
    <w:lvl w:ilvl="4" w:tplc="04090019" w:tentative="1">
      <w:start w:val="1"/>
      <w:numFmt w:val="lowerLetter"/>
      <w:lvlText w:val="%5."/>
      <w:lvlJc w:val="left"/>
      <w:pPr>
        <w:ind w:left="5496" w:hanging="360"/>
      </w:pPr>
    </w:lvl>
    <w:lvl w:ilvl="5" w:tplc="0409001B" w:tentative="1">
      <w:start w:val="1"/>
      <w:numFmt w:val="lowerRoman"/>
      <w:lvlText w:val="%6."/>
      <w:lvlJc w:val="right"/>
      <w:pPr>
        <w:ind w:left="6216" w:hanging="180"/>
      </w:pPr>
    </w:lvl>
    <w:lvl w:ilvl="6" w:tplc="0409000F" w:tentative="1">
      <w:start w:val="1"/>
      <w:numFmt w:val="decimal"/>
      <w:lvlText w:val="%7."/>
      <w:lvlJc w:val="left"/>
      <w:pPr>
        <w:ind w:left="6936" w:hanging="360"/>
      </w:pPr>
    </w:lvl>
    <w:lvl w:ilvl="7" w:tplc="04090019" w:tentative="1">
      <w:start w:val="1"/>
      <w:numFmt w:val="lowerLetter"/>
      <w:lvlText w:val="%8."/>
      <w:lvlJc w:val="left"/>
      <w:pPr>
        <w:ind w:left="7656" w:hanging="360"/>
      </w:pPr>
    </w:lvl>
    <w:lvl w:ilvl="8" w:tplc="0409001B" w:tentative="1">
      <w:start w:val="1"/>
      <w:numFmt w:val="lowerRoman"/>
      <w:lvlText w:val="%9."/>
      <w:lvlJc w:val="right"/>
      <w:pPr>
        <w:ind w:left="8376" w:hanging="180"/>
      </w:pPr>
    </w:lvl>
  </w:abstractNum>
  <w:abstractNum w:abstractNumId="21">
    <w:nsid w:val="6C7514F2"/>
    <w:multiLevelType w:val="hybridMultilevel"/>
    <w:tmpl w:val="7D2687E8"/>
    <w:lvl w:ilvl="0" w:tplc="AF888C2C">
      <w:start w:val="82"/>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FE008B"/>
    <w:multiLevelType w:val="hybridMultilevel"/>
    <w:tmpl w:val="8A626CD0"/>
    <w:lvl w:ilvl="0" w:tplc="E1ECDB8E">
      <w:start w:val="2"/>
      <w:numFmt w:val="lowerLetter"/>
      <w:lvlText w:val="(%1)"/>
      <w:lvlJc w:val="left"/>
      <w:pPr>
        <w:ind w:left="2133" w:hanging="360"/>
      </w:pPr>
      <w:rPr>
        <w:sz w:val="20"/>
        <w:szCs w:val="20"/>
      </w:r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2"/>
  </w:num>
  <w:num w:numId="10">
    <w:abstractNumId w:val="22"/>
  </w:num>
  <w:num w:numId="11">
    <w:abstractNumId w:val="10"/>
  </w:num>
  <w:num w:numId="12">
    <w:abstractNumId w:val="8"/>
  </w:num>
  <w:num w:numId="13">
    <w:abstractNumId w:val="21"/>
  </w:num>
  <w:num w:numId="14">
    <w:abstractNumId w:val="17"/>
  </w:num>
  <w:num w:numId="15">
    <w:abstractNumId w:val="13"/>
  </w:num>
  <w:num w:numId="16">
    <w:abstractNumId w:val="20"/>
  </w:num>
  <w:num w:numId="17">
    <w:abstractNumId w:val="11"/>
  </w:num>
  <w:num w:numId="18">
    <w:abstractNumId w:val="18"/>
  </w:num>
  <w:num w:numId="19">
    <w:abstractNumId w:val="19"/>
  </w:num>
  <w:num w:numId="20">
    <w:abstractNumId w:val="9"/>
  </w:num>
  <w:num w:numId="21">
    <w:abstractNumId w:val="15"/>
  </w:num>
  <w:num w:numId="22">
    <w:abstractNumId w:val="7"/>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Č">
    <w15:presenceInfo w15:providerId="None" w15:userId="P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C"/>
    <w:rsid w:val="00002CE4"/>
    <w:rsid w:val="00004410"/>
    <w:rsid w:val="00005158"/>
    <w:rsid w:val="000051D2"/>
    <w:rsid w:val="000142A1"/>
    <w:rsid w:val="000158A9"/>
    <w:rsid w:val="000167E2"/>
    <w:rsid w:val="00032027"/>
    <w:rsid w:val="0003471B"/>
    <w:rsid w:val="00035ECF"/>
    <w:rsid w:val="00037D2F"/>
    <w:rsid w:val="0004257D"/>
    <w:rsid w:val="00044502"/>
    <w:rsid w:val="00044D0D"/>
    <w:rsid w:val="000522F1"/>
    <w:rsid w:val="00060A33"/>
    <w:rsid w:val="00060CF9"/>
    <w:rsid w:val="00067371"/>
    <w:rsid w:val="00071E3A"/>
    <w:rsid w:val="00072B4B"/>
    <w:rsid w:val="000822D4"/>
    <w:rsid w:val="0008314A"/>
    <w:rsid w:val="000835B3"/>
    <w:rsid w:val="0008548C"/>
    <w:rsid w:val="0008736D"/>
    <w:rsid w:val="00096B22"/>
    <w:rsid w:val="000A3806"/>
    <w:rsid w:val="000A53D1"/>
    <w:rsid w:val="000B169D"/>
    <w:rsid w:val="000B196C"/>
    <w:rsid w:val="000B3E7E"/>
    <w:rsid w:val="000C1B8C"/>
    <w:rsid w:val="000C2290"/>
    <w:rsid w:val="000C4416"/>
    <w:rsid w:val="000C4949"/>
    <w:rsid w:val="000C5163"/>
    <w:rsid w:val="000D03FC"/>
    <w:rsid w:val="000D77D5"/>
    <w:rsid w:val="000D7F4A"/>
    <w:rsid w:val="000E2754"/>
    <w:rsid w:val="000E4E90"/>
    <w:rsid w:val="000E58E1"/>
    <w:rsid w:val="000E613D"/>
    <w:rsid w:val="000E78AB"/>
    <w:rsid w:val="000F074F"/>
    <w:rsid w:val="000F6B86"/>
    <w:rsid w:val="001011DA"/>
    <w:rsid w:val="001026D9"/>
    <w:rsid w:val="00107549"/>
    <w:rsid w:val="00110563"/>
    <w:rsid w:val="00111449"/>
    <w:rsid w:val="001228B9"/>
    <w:rsid w:val="001241B0"/>
    <w:rsid w:val="001243C0"/>
    <w:rsid w:val="001265B7"/>
    <w:rsid w:val="00130AEA"/>
    <w:rsid w:val="00133279"/>
    <w:rsid w:val="00135E8D"/>
    <w:rsid w:val="0013684C"/>
    <w:rsid w:val="001416DC"/>
    <w:rsid w:val="00142FB4"/>
    <w:rsid w:val="00147506"/>
    <w:rsid w:val="0015014E"/>
    <w:rsid w:val="00151D4C"/>
    <w:rsid w:val="0015247A"/>
    <w:rsid w:val="001530DA"/>
    <w:rsid w:val="0016147D"/>
    <w:rsid w:val="001637E9"/>
    <w:rsid w:val="00164888"/>
    <w:rsid w:val="00174AF2"/>
    <w:rsid w:val="001766EB"/>
    <w:rsid w:val="00176734"/>
    <w:rsid w:val="00181414"/>
    <w:rsid w:val="00183FE8"/>
    <w:rsid w:val="00186D6E"/>
    <w:rsid w:val="0018766B"/>
    <w:rsid w:val="0019074C"/>
    <w:rsid w:val="00192945"/>
    <w:rsid w:val="001939A2"/>
    <w:rsid w:val="0019662B"/>
    <w:rsid w:val="00197440"/>
    <w:rsid w:val="00197869"/>
    <w:rsid w:val="001A1DAA"/>
    <w:rsid w:val="001A2EC1"/>
    <w:rsid w:val="001A5274"/>
    <w:rsid w:val="001B029D"/>
    <w:rsid w:val="001B5EAD"/>
    <w:rsid w:val="001C2EE2"/>
    <w:rsid w:val="001C56DA"/>
    <w:rsid w:val="001D3FA6"/>
    <w:rsid w:val="001D4B66"/>
    <w:rsid w:val="001D586D"/>
    <w:rsid w:val="001E2E5D"/>
    <w:rsid w:val="001E60EF"/>
    <w:rsid w:val="001E670E"/>
    <w:rsid w:val="001E67A3"/>
    <w:rsid w:val="001F0FA2"/>
    <w:rsid w:val="001F10BF"/>
    <w:rsid w:val="001F2600"/>
    <w:rsid w:val="002119E7"/>
    <w:rsid w:val="00217075"/>
    <w:rsid w:val="00220EC5"/>
    <w:rsid w:val="00223203"/>
    <w:rsid w:val="00223A04"/>
    <w:rsid w:val="00225AD4"/>
    <w:rsid w:val="0022658E"/>
    <w:rsid w:val="00226D13"/>
    <w:rsid w:val="00233DE3"/>
    <w:rsid w:val="002379CA"/>
    <w:rsid w:val="00245EEC"/>
    <w:rsid w:val="0024791C"/>
    <w:rsid w:val="002479CB"/>
    <w:rsid w:val="00252B0C"/>
    <w:rsid w:val="00253FD6"/>
    <w:rsid w:val="0025477A"/>
    <w:rsid w:val="00254A2A"/>
    <w:rsid w:val="00257D2D"/>
    <w:rsid w:val="002604B9"/>
    <w:rsid w:val="002636A7"/>
    <w:rsid w:val="00263D79"/>
    <w:rsid w:val="00264FA8"/>
    <w:rsid w:val="00265DC7"/>
    <w:rsid w:val="0026638B"/>
    <w:rsid w:val="00275FF0"/>
    <w:rsid w:val="00286C4D"/>
    <w:rsid w:val="002927A8"/>
    <w:rsid w:val="00292867"/>
    <w:rsid w:val="00295BC2"/>
    <w:rsid w:val="00296DFB"/>
    <w:rsid w:val="002A20BE"/>
    <w:rsid w:val="002A7844"/>
    <w:rsid w:val="002B0567"/>
    <w:rsid w:val="002B7883"/>
    <w:rsid w:val="002C35FA"/>
    <w:rsid w:val="002C618F"/>
    <w:rsid w:val="002C706F"/>
    <w:rsid w:val="002C7DE7"/>
    <w:rsid w:val="002D3169"/>
    <w:rsid w:val="002D7DD0"/>
    <w:rsid w:val="002E1A69"/>
    <w:rsid w:val="002E6CE1"/>
    <w:rsid w:val="002F3F86"/>
    <w:rsid w:val="002F4396"/>
    <w:rsid w:val="00304539"/>
    <w:rsid w:val="003143B8"/>
    <w:rsid w:val="003145A3"/>
    <w:rsid w:val="0032533F"/>
    <w:rsid w:val="00325B05"/>
    <w:rsid w:val="00325D81"/>
    <w:rsid w:val="00330D31"/>
    <w:rsid w:val="00331AFA"/>
    <w:rsid w:val="00332A38"/>
    <w:rsid w:val="00332C23"/>
    <w:rsid w:val="00335AB4"/>
    <w:rsid w:val="00342790"/>
    <w:rsid w:val="00343F66"/>
    <w:rsid w:val="0034517A"/>
    <w:rsid w:val="00346AEC"/>
    <w:rsid w:val="00351953"/>
    <w:rsid w:val="00353B11"/>
    <w:rsid w:val="00360416"/>
    <w:rsid w:val="00360488"/>
    <w:rsid w:val="003623AB"/>
    <w:rsid w:val="00364406"/>
    <w:rsid w:val="0036619B"/>
    <w:rsid w:val="00373CC6"/>
    <w:rsid w:val="00380866"/>
    <w:rsid w:val="003819BC"/>
    <w:rsid w:val="0038322D"/>
    <w:rsid w:val="003941D4"/>
    <w:rsid w:val="003B06A4"/>
    <w:rsid w:val="003B43A2"/>
    <w:rsid w:val="003C12C4"/>
    <w:rsid w:val="003C1B66"/>
    <w:rsid w:val="003C2AE6"/>
    <w:rsid w:val="003C3AA3"/>
    <w:rsid w:val="003D0A7E"/>
    <w:rsid w:val="003D0C50"/>
    <w:rsid w:val="003D337B"/>
    <w:rsid w:val="003D4300"/>
    <w:rsid w:val="003E79C5"/>
    <w:rsid w:val="003F3BBA"/>
    <w:rsid w:val="003F6D57"/>
    <w:rsid w:val="004032C8"/>
    <w:rsid w:val="0040381D"/>
    <w:rsid w:val="004057B7"/>
    <w:rsid w:val="00415115"/>
    <w:rsid w:val="00423072"/>
    <w:rsid w:val="00425544"/>
    <w:rsid w:val="0042578A"/>
    <w:rsid w:val="004259CF"/>
    <w:rsid w:val="004478DD"/>
    <w:rsid w:val="004504AD"/>
    <w:rsid w:val="004525D5"/>
    <w:rsid w:val="004535C9"/>
    <w:rsid w:val="004604CA"/>
    <w:rsid w:val="00460AE1"/>
    <w:rsid w:val="004672E3"/>
    <w:rsid w:val="00470F3E"/>
    <w:rsid w:val="0047528D"/>
    <w:rsid w:val="004828D2"/>
    <w:rsid w:val="00483CAE"/>
    <w:rsid w:val="0048533E"/>
    <w:rsid w:val="00492341"/>
    <w:rsid w:val="0049454D"/>
    <w:rsid w:val="00497699"/>
    <w:rsid w:val="00497F91"/>
    <w:rsid w:val="004A106D"/>
    <w:rsid w:val="004A3809"/>
    <w:rsid w:val="004A4512"/>
    <w:rsid w:val="004A5AAA"/>
    <w:rsid w:val="004A6CEF"/>
    <w:rsid w:val="004A79DB"/>
    <w:rsid w:val="004B0F07"/>
    <w:rsid w:val="004B667F"/>
    <w:rsid w:val="004C0633"/>
    <w:rsid w:val="004C0DA6"/>
    <w:rsid w:val="004C1749"/>
    <w:rsid w:val="004C3A11"/>
    <w:rsid w:val="004C3EFC"/>
    <w:rsid w:val="004C570F"/>
    <w:rsid w:val="004C66B8"/>
    <w:rsid w:val="004D43E3"/>
    <w:rsid w:val="004D703A"/>
    <w:rsid w:val="004D7552"/>
    <w:rsid w:val="004D7D80"/>
    <w:rsid w:val="004E1BF4"/>
    <w:rsid w:val="004E7042"/>
    <w:rsid w:val="004E7D1D"/>
    <w:rsid w:val="004F13E8"/>
    <w:rsid w:val="004F5F87"/>
    <w:rsid w:val="0050171C"/>
    <w:rsid w:val="005058BE"/>
    <w:rsid w:val="00510309"/>
    <w:rsid w:val="00523A3F"/>
    <w:rsid w:val="00525794"/>
    <w:rsid w:val="005303E6"/>
    <w:rsid w:val="00540A9A"/>
    <w:rsid w:val="00542463"/>
    <w:rsid w:val="00555B54"/>
    <w:rsid w:val="00557105"/>
    <w:rsid w:val="0056380D"/>
    <w:rsid w:val="00564DEC"/>
    <w:rsid w:val="00570A41"/>
    <w:rsid w:val="00576F82"/>
    <w:rsid w:val="00583E93"/>
    <w:rsid w:val="0058444D"/>
    <w:rsid w:val="005866EF"/>
    <w:rsid w:val="005A2681"/>
    <w:rsid w:val="005A35BE"/>
    <w:rsid w:val="005A5A8A"/>
    <w:rsid w:val="005A5D86"/>
    <w:rsid w:val="005B534B"/>
    <w:rsid w:val="005B776F"/>
    <w:rsid w:val="005C0FE3"/>
    <w:rsid w:val="005C1F03"/>
    <w:rsid w:val="005C2737"/>
    <w:rsid w:val="005C5B3C"/>
    <w:rsid w:val="005D3178"/>
    <w:rsid w:val="005D58CF"/>
    <w:rsid w:val="005D6086"/>
    <w:rsid w:val="005D70B2"/>
    <w:rsid w:val="005F0AF8"/>
    <w:rsid w:val="005F0DF2"/>
    <w:rsid w:val="005F159E"/>
    <w:rsid w:val="005F1AB7"/>
    <w:rsid w:val="00602DD7"/>
    <w:rsid w:val="00602E6B"/>
    <w:rsid w:val="00604071"/>
    <w:rsid w:val="00605CCE"/>
    <w:rsid w:val="00611B77"/>
    <w:rsid w:val="00613879"/>
    <w:rsid w:val="00613974"/>
    <w:rsid w:val="0061453F"/>
    <w:rsid w:val="00617DD0"/>
    <w:rsid w:val="00622E8E"/>
    <w:rsid w:val="0062361D"/>
    <w:rsid w:val="00624964"/>
    <w:rsid w:val="00624D28"/>
    <w:rsid w:val="00631519"/>
    <w:rsid w:val="006401BE"/>
    <w:rsid w:val="00640F69"/>
    <w:rsid w:val="00645F0B"/>
    <w:rsid w:val="00655F24"/>
    <w:rsid w:val="00661E04"/>
    <w:rsid w:val="006630F9"/>
    <w:rsid w:val="006638BF"/>
    <w:rsid w:val="00664346"/>
    <w:rsid w:val="006654CD"/>
    <w:rsid w:val="00665D17"/>
    <w:rsid w:val="00665FE0"/>
    <w:rsid w:val="00666C97"/>
    <w:rsid w:val="00673327"/>
    <w:rsid w:val="00673359"/>
    <w:rsid w:val="0067770F"/>
    <w:rsid w:val="006826AD"/>
    <w:rsid w:val="00683D05"/>
    <w:rsid w:val="00684BC2"/>
    <w:rsid w:val="00686BA9"/>
    <w:rsid w:val="00687AF7"/>
    <w:rsid w:val="00690472"/>
    <w:rsid w:val="00695176"/>
    <w:rsid w:val="006B0215"/>
    <w:rsid w:val="006B2570"/>
    <w:rsid w:val="006C3447"/>
    <w:rsid w:val="006C64B7"/>
    <w:rsid w:val="006D10CC"/>
    <w:rsid w:val="006D383B"/>
    <w:rsid w:val="006D7B77"/>
    <w:rsid w:val="006E177A"/>
    <w:rsid w:val="006E633E"/>
    <w:rsid w:val="006E73F5"/>
    <w:rsid w:val="006F4B39"/>
    <w:rsid w:val="006F6128"/>
    <w:rsid w:val="006F79AE"/>
    <w:rsid w:val="006F7D53"/>
    <w:rsid w:val="0070169B"/>
    <w:rsid w:val="007031D3"/>
    <w:rsid w:val="007033DF"/>
    <w:rsid w:val="00705F5B"/>
    <w:rsid w:val="00706E9A"/>
    <w:rsid w:val="007152AB"/>
    <w:rsid w:val="00715BEC"/>
    <w:rsid w:val="007209B8"/>
    <w:rsid w:val="00721892"/>
    <w:rsid w:val="00723E35"/>
    <w:rsid w:val="00730590"/>
    <w:rsid w:val="00730913"/>
    <w:rsid w:val="00735AC3"/>
    <w:rsid w:val="007375F2"/>
    <w:rsid w:val="00761AD8"/>
    <w:rsid w:val="00765564"/>
    <w:rsid w:val="00765C6D"/>
    <w:rsid w:val="007705CC"/>
    <w:rsid w:val="0077097D"/>
    <w:rsid w:val="00771475"/>
    <w:rsid w:val="007758C4"/>
    <w:rsid w:val="0078140A"/>
    <w:rsid w:val="00781BFF"/>
    <w:rsid w:val="007946E6"/>
    <w:rsid w:val="00794DB0"/>
    <w:rsid w:val="007A7B03"/>
    <w:rsid w:val="007A7DFC"/>
    <w:rsid w:val="007C0E55"/>
    <w:rsid w:val="007C5827"/>
    <w:rsid w:val="007C6374"/>
    <w:rsid w:val="007C637F"/>
    <w:rsid w:val="007D3F75"/>
    <w:rsid w:val="007D49B5"/>
    <w:rsid w:val="007D781F"/>
    <w:rsid w:val="007E41E8"/>
    <w:rsid w:val="007F0E2B"/>
    <w:rsid w:val="008028C8"/>
    <w:rsid w:val="008052CB"/>
    <w:rsid w:val="0081469E"/>
    <w:rsid w:val="00814841"/>
    <w:rsid w:val="008166A1"/>
    <w:rsid w:val="008166BD"/>
    <w:rsid w:val="00820B78"/>
    <w:rsid w:val="00830EAD"/>
    <w:rsid w:val="00830EE8"/>
    <w:rsid w:val="0083115C"/>
    <w:rsid w:val="0083768D"/>
    <w:rsid w:val="008378AF"/>
    <w:rsid w:val="008471F3"/>
    <w:rsid w:val="00853E96"/>
    <w:rsid w:val="00854124"/>
    <w:rsid w:val="00862CED"/>
    <w:rsid w:val="008635D3"/>
    <w:rsid w:val="008640B8"/>
    <w:rsid w:val="008774C0"/>
    <w:rsid w:val="00885015"/>
    <w:rsid w:val="008852C9"/>
    <w:rsid w:val="00891CB3"/>
    <w:rsid w:val="00892804"/>
    <w:rsid w:val="008949F4"/>
    <w:rsid w:val="00894A25"/>
    <w:rsid w:val="00897499"/>
    <w:rsid w:val="00897F6A"/>
    <w:rsid w:val="008A31D1"/>
    <w:rsid w:val="008A3B8B"/>
    <w:rsid w:val="008A5182"/>
    <w:rsid w:val="008A5D7D"/>
    <w:rsid w:val="008A6AC5"/>
    <w:rsid w:val="008A7E5C"/>
    <w:rsid w:val="008B0EE7"/>
    <w:rsid w:val="008B2314"/>
    <w:rsid w:val="008D1C05"/>
    <w:rsid w:val="008E3D80"/>
    <w:rsid w:val="008E5AFF"/>
    <w:rsid w:val="008E6CBA"/>
    <w:rsid w:val="008E7987"/>
    <w:rsid w:val="008F2A62"/>
    <w:rsid w:val="008F2BCE"/>
    <w:rsid w:val="008F5959"/>
    <w:rsid w:val="008F6DFE"/>
    <w:rsid w:val="00903A66"/>
    <w:rsid w:val="00911DFF"/>
    <w:rsid w:val="00912A16"/>
    <w:rsid w:val="00912EAF"/>
    <w:rsid w:val="00913982"/>
    <w:rsid w:val="00913E7B"/>
    <w:rsid w:val="0092059F"/>
    <w:rsid w:val="00921BF5"/>
    <w:rsid w:val="0093205D"/>
    <w:rsid w:val="00932B1B"/>
    <w:rsid w:val="00934C4F"/>
    <w:rsid w:val="0094352D"/>
    <w:rsid w:val="00947AE1"/>
    <w:rsid w:val="00947C14"/>
    <w:rsid w:val="00950981"/>
    <w:rsid w:val="00951447"/>
    <w:rsid w:val="0095359D"/>
    <w:rsid w:val="009549B9"/>
    <w:rsid w:val="00954E96"/>
    <w:rsid w:val="00955B6C"/>
    <w:rsid w:val="009639DC"/>
    <w:rsid w:val="00971C1E"/>
    <w:rsid w:val="00972628"/>
    <w:rsid w:val="0097647A"/>
    <w:rsid w:val="00981CA6"/>
    <w:rsid w:val="0098430E"/>
    <w:rsid w:val="00985271"/>
    <w:rsid w:val="00992425"/>
    <w:rsid w:val="009934DC"/>
    <w:rsid w:val="00995025"/>
    <w:rsid w:val="009A0C55"/>
    <w:rsid w:val="009A15E2"/>
    <w:rsid w:val="009A6325"/>
    <w:rsid w:val="009B3BD3"/>
    <w:rsid w:val="009C10CD"/>
    <w:rsid w:val="009C2490"/>
    <w:rsid w:val="009C4AA2"/>
    <w:rsid w:val="009C6B8D"/>
    <w:rsid w:val="009D1AB4"/>
    <w:rsid w:val="009D6D88"/>
    <w:rsid w:val="009D7F63"/>
    <w:rsid w:val="009E2C49"/>
    <w:rsid w:val="009E3820"/>
    <w:rsid w:val="009F291F"/>
    <w:rsid w:val="009F737F"/>
    <w:rsid w:val="00A01EFE"/>
    <w:rsid w:val="00A030AC"/>
    <w:rsid w:val="00A21725"/>
    <w:rsid w:val="00A23030"/>
    <w:rsid w:val="00A248EA"/>
    <w:rsid w:val="00A33F4A"/>
    <w:rsid w:val="00A378DD"/>
    <w:rsid w:val="00A40FDA"/>
    <w:rsid w:val="00A4446B"/>
    <w:rsid w:val="00A4511F"/>
    <w:rsid w:val="00A4632C"/>
    <w:rsid w:val="00A46C75"/>
    <w:rsid w:val="00A52E93"/>
    <w:rsid w:val="00A54B63"/>
    <w:rsid w:val="00A54DE4"/>
    <w:rsid w:val="00A55B75"/>
    <w:rsid w:val="00A562AA"/>
    <w:rsid w:val="00A60B40"/>
    <w:rsid w:val="00A641EF"/>
    <w:rsid w:val="00A64DCD"/>
    <w:rsid w:val="00A718A9"/>
    <w:rsid w:val="00A71ED2"/>
    <w:rsid w:val="00A74996"/>
    <w:rsid w:val="00A778DC"/>
    <w:rsid w:val="00A77F64"/>
    <w:rsid w:val="00A84304"/>
    <w:rsid w:val="00A9563B"/>
    <w:rsid w:val="00AA606C"/>
    <w:rsid w:val="00AB28A2"/>
    <w:rsid w:val="00AB5240"/>
    <w:rsid w:val="00AB529A"/>
    <w:rsid w:val="00AC23CD"/>
    <w:rsid w:val="00AC4113"/>
    <w:rsid w:val="00AD09CE"/>
    <w:rsid w:val="00AD0BC6"/>
    <w:rsid w:val="00AD5A2E"/>
    <w:rsid w:val="00AD5E3E"/>
    <w:rsid w:val="00AD662C"/>
    <w:rsid w:val="00AE59F4"/>
    <w:rsid w:val="00AE65BA"/>
    <w:rsid w:val="00AF158E"/>
    <w:rsid w:val="00AF40CB"/>
    <w:rsid w:val="00AF7CCC"/>
    <w:rsid w:val="00B02D78"/>
    <w:rsid w:val="00B04105"/>
    <w:rsid w:val="00B056EB"/>
    <w:rsid w:val="00B06CDE"/>
    <w:rsid w:val="00B212B9"/>
    <w:rsid w:val="00B21D6E"/>
    <w:rsid w:val="00B27423"/>
    <w:rsid w:val="00B27F95"/>
    <w:rsid w:val="00B30396"/>
    <w:rsid w:val="00B37463"/>
    <w:rsid w:val="00B40BE8"/>
    <w:rsid w:val="00B42CE7"/>
    <w:rsid w:val="00B42DF7"/>
    <w:rsid w:val="00B47478"/>
    <w:rsid w:val="00B505B7"/>
    <w:rsid w:val="00B523D7"/>
    <w:rsid w:val="00B533C7"/>
    <w:rsid w:val="00B57CE5"/>
    <w:rsid w:val="00B62A1B"/>
    <w:rsid w:val="00B63FE0"/>
    <w:rsid w:val="00B654E3"/>
    <w:rsid w:val="00B66C03"/>
    <w:rsid w:val="00B7762F"/>
    <w:rsid w:val="00B803A8"/>
    <w:rsid w:val="00B828FF"/>
    <w:rsid w:val="00B84A62"/>
    <w:rsid w:val="00B85820"/>
    <w:rsid w:val="00B866ED"/>
    <w:rsid w:val="00B93714"/>
    <w:rsid w:val="00B95A5B"/>
    <w:rsid w:val="00B977B2"/>
    <w:rsid w:val="00BA3615"/>
    <w:rsid w:val="00BA52C4"/>
    <w:rsid w:val="00BA7667"/>
    <w:rsid w:val="00BB1EA7"/>
    <w:rsid w:val="00BB4BE5"/>
    <w:rsid w:val="00BB6195"/>
    <w:rsid w:val="00BC0572"/>
    <w:rsid w:val="00BC60A5"/>
    <w:rsid w:val="00BC6115"/>
    <w:rsid w:val="00BD098B"/>
    <w:rsid w:val="00BD1E30"/>
    <w:rsid w:val="00BD2726"/>
    <w:rsid w:val="00BD3639"/>
    <w:rsid w:val="00BD38C8"/>
    <w:rsid w:val="00BD3C49"/>
    <w:rsid w:val="00BD47B0"/>
    <w:rsid w:val="00BE3037"/>
    <w:rsid w:val="00BE3777"/>
    <w:rsid w:val="00BF360B"/>
    <w:rsid w:val="00C00B74"/>
    <w:rsid w:val="00C071FE"/>
    <w:rsid w:val="00C16D64"/>
    <w:rsid w:val="00C17CDC"/>
    <w:rsid w:val="00C21407"/>
    <w:rsid w:val="00C264B6"/>
    <w:rsid w:val="00C31D75"/>
    <w:rsid w:val="00C3317E"/>
    <w:rsid w:val="00C33E0C"/>
    <w:rsid w:val="00C374B0"/>
    <w:rsid w:val="00C55F41"/>
    <w:rsid w:val="00C61547"/>
    <w:rsid w:val="00C63CA7"/>
    <w:rsid w:val="00C648CD"/>
    <w:rsid w:val="00C73594"/>
    <w:rsid w:val="00C75350"/>
    <w:rsid w:val="00C7694C"/>
    <w:rsid w:val="00C77AB4"/>
    <w:rsid w:val="00C809BC"/>
    <w:rsid w:val="00C8678B"/>
    <w:rsid w:val="00C871E3"/>
    <w:rsid w:val="00C87B82"/>
    <w:rsid w:val="00C95F87"/>
    <w:rsid w:val="00CA00B0"/>
    <w:rsid w:val="00CA45EF"/>
    <w:rsid w:val="00CA5C01"/>
    <w:rsid w:val="00CB1236"/>
    <w:rsid w:val="00CB448A"/>
    <w:rsid w:val="00CC4851"/>
    <w:rsid w:val="00CC6E0C"/>
    <w:rsid w:val="00CC7D3C"/>
    <w:rsid w:val="00CD13CF"/>
    <w:rsid w:val="00CD1D73"/>
    <w:rsid w:val="00CD5C94"/>
    <w:rsid w:val="00CD64DA"/>
    <w:rsid w:val="00CD7DB9"/>
    <w:rsid w:val="00CE3CC1"/>
    <w:rsid w:val="00CE5A45"/>
    <w:rsid w:val="00CF0EBE"/>
    <w:rsid w:val="00CF2432"/>
    <w:rsid w:val="00D01A8F"/>
    <w:rsid w:val="00D04BEC"/>
    <w:rsid w:val="00D04CA0"/>
    <w:rsid w:val="00D149B5"/>
    <w:rsid w:val="00D153D4"/>
    <w:rsid w:val="00D2021A"/>
    <w:rsid w:val="00D2295D"/>
    <w:rsid w:val="00D22AEA"/>
    <w:rsid w:val="00D25AF1"/>
    <w:rsid w:val="00D26930"/>
    <w:rsid w:val="00D26A3C"/>
    <w:rsid w:val="00D32AA9"/>
    <w:rsid w:val="00D36D98"/>
    <w:rsid w:val="00D37F20"/>
    <w:rsid w:val="00D400EC"/>
    <w:rsid w:val="00D40C40"/>
    <w:rsid w:val="00D4348A"/>
    <w:rsid w:val="00D46431"/>
    <w:rsid w:val="00D57A3C"/>
    <w:rsid w:val="00D60739"/>
    <w:rsid w:val="00D65D6E"/>
    <w:rsid w:val="00D67511"/>
    <w:rsid w:val="00D764BE"/>
    <w:rsid w:val="00D776A3"/>
    <w:rsid w:val="00D77F29"/>
    <w:rsid w:val="00D8192C"/>
    <w:rsid w:val="00D81AA6"/>
    <w:rsid w:val="00D865B2"/>
    <w:rsid w:val="00D9408D"/>
    <w:rsid w:val="00D95944"/>
    <w:rsid w:val="00DA6CA1"/>
    <w:rsid w:val="00DB31B8"/>
    <w:rsid w:val="00DC2BA0"/>
    <w:rsid w:val="00DC3FDE"/>
    <w:rsid w:val="00DC5DAA"/>
    <w:rsid w:val="00DD4361"/>
    <w:rsid w:val="00DD496A"/>
    <w:rsid w:val="00DD7FA7"/>
    <w:rsid w:val="00DE13B1"/>
    <w:rsid w:val="00DE2624"/>
    <w:rsid w:val="00DE320A"/>
    <w:rsid w:val="00DE4DFD"/>
    <w:rsid w:val="00DF00CF"/>
    <w:rsid w:val="00DF1673"/>
    <w:rsid w:val="00E00332"/>
    <w:rsid w:val="00E01A43"/>
    <w:rsid w:val="00E06979"/>
    <w:rsid w:val="00E075E8"/>
    <w:rsid w:val="00E115BC"/>
    <w:rsid w:val="00E128AC"/>
    <w:rsid w:val="00E14EF5"/>
    <w:rsid w:val="00E260B3"/>
    <w:rsid w:val="00E336D0"/>
    <w:rsid w:val="00E42FB1"/>
    <w:rsid w:val="00E43DD9"/>
    <w:rsid w:val="00E45051"/>
    <w:rsid w:val="00E47BB0"/>
    <w:rsid w:val="00E50047"/>
    <w:rsid w:val="00E55270"/>
    <w:rsid w:val="00E55A07"/>
    <w:rsid w:val="00E61C83"/>
    <w:rsid w:val="00E63F80"/>
    <w:rsid w:val="00E64CF6"/>
    <w:rsid w:val="00E70081"/>
    <w:rsid w:val="00E72DB3"/>
    <w:rsid w:val="00E742BD"/>
    <w:rsid w:val="00E74D4F"/>
    <w:rsid w:val="00E74D96"/>
    <w:rsid w:val="00E75445"/>
    <w:rsid w:val="00E75599"/>
    <w:rsid w:val="00E77F74"/>
    <w:rsid w:val="00E850F7"/>
    <w:rsid w:val="00E863D4"/>
    <w:rsid w:val="00E87555"/>
    <w:rsid w:val="00E87965"/>
    <w:rsid w:val="00E943F9"/>
    <w:rsid w:val="00EA050B"/>
    <w:rsid w:val="00EA1B99"/>
    <w:rsid w:val="00EA32C4"/>
    <w:rsid w:val="00EA7E2E"/>
    <w:rsid w:val="00EB29CA"/>
    <w:rsid w:val="00EB3667"/>
    <w:rsid w:val="00EB3673"/>
    <w:rsid w:val="00EB7287"/>
    <w:rsid w:val="00EC6521"/>
    <w:rsid w:val="00ED5D39"/>
    <w:rsid w:val="00ED6309"/>
    <w:rsid w:val="00EE16FA"/>
    <w:rsid w:val="00EE1E76"/>
    <w:rsid w:val="00EE2CC7"/>
    <w:rsid w:val="00EE3831"/>
    <w:rsid w:val="00EF05E5"/>
    <w:rsid w:val="00EF1E8E"/>
    <w:rsid w:val="00EF2913"/>
    <w:rsid w:val="00EF5760"/>
    <w:rsid w:val="00EF6408"/>
    <w:rsid w:val="00F008B7"/>
    <w:rsid w:val="00F024D0"/>
    <w:rsid w:val="00F1001C"/>
    <w:rsid w:val="00F11DE7"/>
    <w:rsid w:val="00F2113B"/>
    <w:rsid w:val="00F21E90"/>
    <w:rsid w:val="00F22D0E"/>
    <w:rsid w:val="00F262CB"/>
    <w:rsid w:val="00F27488"/>
    <w:rsid w:val="00F34A32"/>
    <w:rsid w:val="00F368EC"/>
    <w:rsid w:val="00F37398"/>
    <w:rsid w:val="00F47401"/>
    <w:rsid w:val="00F52F3C"/>
    <w:rsid w:val="00F576E0"/>
    <w:rsid w:val="00F70E47"/>
    <w:rsid w:val="00F73E5E"/>
    <w:rsid w:val="00F81B20"/>
    <w:rsid w:val="00F84154"/>
    <w:rsid w:val="00F85525"/>
    <w:rsid w:val="00F86D5A"/>
    <w:rsid w:val="00F9023A"/>
    <w:rsid w:val="00F92184"/>
    <w:rsid w:val="00F95F9A"/>
    <w:rsid w:val="00FA2D24"/>
    <w:rsid w:val="00FA78EC"/>
    <w:rsid w:val="00FB0B94"/>
    <w:rsid w:val="00FB12A3"/>
    <w:rsid w:val="00FB4D09"/>
    <w:rsid w:val="00FB717B"/>
    <w:rsid w:val="00FC6612"/>
    <w:rsid w:val="00FC6FDE"/>
    <w:rsid w:val="00FD4F14"/>
    <w:rsid w:val="00FD6A93"/>
    <w:rsid w:val="00FE6A03"/>
    <w:rsid w:val="00FF1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b/>
      <w:bCs/>
      <w:i/>
      <w:sz w:val="24"/>
      <w:szCs w:val="24"/>
      <w:lang w:val="en-US"/>
    </w:rPr>
  </w:style>
  <w:style w:type="character" w:customStyle="1" w:styleId="WW8Num1z1">
    <w:name w:val="WW8Num1z1"/>
    <w:rPr>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i/>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ootnoteReference1">
    <w:name w:val="Footnote Reference1"/>
    <w:rPr>
      <w:rFonts w:ascii="Times New Roman" w:hAnsi="Times New Roman" w:cs="Times New Roman"/>
      <w:sz w:val="18"/>
      <w:vertAlign w:val="superscript"/>
    </w:rPr>
  </w:style>
  <w:style w:type="character" w:customStyle="1" w:styleId="TekstprzypisudolnegoZnak">
    <w:name w:val="Tekst przypisu dolnego Znak"/>
    <w:rPr>
      <w:rFonts w:eastAsia="Times New Roman"/>
      <w:sz w:val="18"/>
      <w:szCs w:val="20"/>
      <w:lang w:val="en-GB"/>
    </w:rPr>
  </w:style>
  <w:style w:type="character" w:customStyle="1" w:styleId="StopkaZnak">
    <w:name w:val="Stopka Znak"/>
    <w:rPr>
      <w:rFonts w:eastAsia="Times New Roman"/>
      <w:sz w:val="16"/>
      <w:szCs w:val="20"/>
      <w:lang w:val="en-GB"/>
    </w:rPr>
  </w:style>
  <w:style w:type="character" w:customStyle="1" w:styleId="NagwekZnak">
    <w:name w:val="Nagłówek Znak"/>
    <w:rPr>
      <w:rFonts w:eastAsia="Times New Roman"/>
      <w:b/>
      <w:sz w:val="18"/>
      <w:szCs w:val="20"/>
      <w:lang w:val="en-GB"/>
    </w:rPr>
  </w:style>
  <w:style w:type="character" w:customStyle="1" w:styleId="st">
    <w:name w:val="st"/>
  </w:style>
  <w:style w:type="character" w:customStyle="1" w:styleId="TekstdymkaZnak">
    <w:name w:val="Tekst dymka Znak"/>
    <w:rPr>
      <w:rFonts w:ascii="Tahoma" w:eastAsia="Times New Roman" w:hAnsi="Tahoma" w:cs="Tahoma"/>
      <w:sz w:val="16"/>
      <w:szCs w:val="16"/>
      <w:lang w:val="en-GB"/>
    </w:rPr>
  </w:style>
  <w:style w:type="character" w:customStyle="1" w:styleId="ListLabel1">
    <w:name w:val="ListLabel 1"/>
    <w:rPr>
      <w:sz w:val="20"/>
      <w:szCs w:val="20"/>
    </w:rPr>
  </w:style>
  <w:style w:type="character" w:customStyle="1" w:styleId="Znakiprzypiswkocowych">
    <w:name w:val="Znaki przypisów końcowych"/>
  </w:style>
  <w:style w:type="character" w:customStyle="1" w:styleId="Znakiprzypiswdolnych">
    <w:name w:val="Znaki przypisów dolnych"/>
  </w:style>
  <w:style w:type="character" w:styleId="FootnoteReference">
    <w:name w:val="footnote reference"/>
    <w:aliases w:val="4_G"/>
    <w:uiPriority w:val="99"/>
    <w:rPr>
      <w:vertAlign w:val="superscript"/>
    </w:rPr>
  </w:style>
  <w:style w:type="character" w:styleId="EndnoteReference">
    <w:name w:val="endnote reference"/>
    <w:rPr>
      <w:vertAlign w:val="superscript"/>
    </w:rPr>
  </w:style>
  <w:style w:type="paragraph" w:customStyle="1" w:styleId="Nagwek1">
    <w:name w:val="Nagłówek1"/>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odpis1">
    <w:name w:val="Podpis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customStyle="1" w:styleId="SingleTxtG">
    <w:name w:val="_ Single Txt_G"/>
    <w:basedOn w:val="Normal"/>
    <w:pPr>
      <w:spacing w:after="120"/>
      <w:ind w:left="1134" w:right="1134"/>
      <w:jc w:val="both"/>
    </w:pPr>
  </w:style>
  <w:style w:type="paragraph" w:customStyle="1" w:styleId="HChG">
    <w:name w:val="_ H _Ch_G"/>
    <w:basedOn w:val="Normal"/>
    <w:pPr>
      <w:keepNext/>
      <w:keepLines/>
      <w:tabs>
        <w:tab w:val="right" w:pos="851"/>
      </w:tabs>
      <w:spacing w:before="360" w:after="240" w:line="300" w:lineRule="exact"/>
      <w:ind w:left="1134" w:right="1134" w:hanging="1134"/>
    </w:pPr>
    <w:rPr>
      <w:b/>
      <w:sz w:val="28"/>
    </w:rPr>
  </w:style>
  <w:style w:type="paragraph" w:customStyle="1" w:styleId="FootnoteText1">
    <w:name w:val="Footnote Text1"/>
    <w:basedOn w:val="Normal"/>
    <w:pPr>
      <w:tabs>
        <w:tab w:val="right" w:pos="1021"/>
      </w:tabs>
      <w:spacing w:line="220" w:lineRule="exact"/>
      <w:ind w:left="1134" w:right="1134" w:hanging="1134"/>
    </w:pPr>
    <w:rPr>
      <w:sz w:val="18"/>
    </w:rPr>
  </w:style>
  <w:style w:type="paragraph" w:customStyle="1" w:styleId="H1G">
    <w:name w:val="_ H_1_G"/>
    <w:basedOn w:val="Normal"/>
    <w:pPr>
      <w:keepNext/>
      <w:keepLines/>
      <w:tabs>
        <w:tab w:val="right" w:pos="851"/>
      </w:tabs>
      <w:spacing w:before="360" w:after="240" w:line="270" w:lineRule="exact"/>
      <w:ind w:left="1134" w:right="1134" w:hanging="1134"/>
    </w:pPr>
    <w:rPr>
      <w:b/>
      <w:sz w:val="24"/>
    </w:rPr>
  </w:style>
  <w:style w:type="paragraph" w:styleId="Footer">
    <w:name w:val="footer"/>
    <w:basedOn w:val="Normal"/>
    <w:pPr>
      <w:suppressLineNumbers/>
      <w:tabs>
        <w:tab w:val="center" w:pos="4819"/>
        <w:tab w:val="right" w:pos="9638"/>
      </w:tabs>
      <w:spacing w:line="100" w:lineRule="atLeast"/>
    </w:pPr>
    <w:rPr>
      <w:sz w:val="16"/>
    </w:rPr>
  </w:style>
  <w:style w:type="paragraph" w:styleId="Header">
    <w:name w:val="header"/>
    <w:basedOn w:val="Normal"/>
    <w:pPr>
      <w:suppressLineNumbers/>
      <w:pBdr>
        <w:bottom w:val="single" w:sz="4" w:space="4" w:color="000000"/>
      </w:pBdr>
      <w:tabs>
        <w:tab w:val="center" w:pos="4819"/>
        <w:tab w:val="right" w:pos="9638"/>
      </w:tabs>
      <w:spacing w:line="100" w:lineRule="atLeast"/>
    </w:pPr>
    <w:rPr>
      <w:b/>
      <w:sz w:val="18"/>
    </w:rPr>
  </w:style>
  <w:style w:type="paragraph" w:styleId="ListParagraph">
    <w:name w:val="List Paragraph"/>
    <w:basedOn w:val="Normal"/>
    <w:qFormat/>
    <w:pPr>
      <w:ind w:left="720"/>
    </w:pPr>
  </w:style>
  <w:style w:type="paragraph" w:styleId="BalloonText">
    <w:name w:val="Balloon Text"/>
    <w:basedOn w:val="Normal"/>
    <w:pPr>
      <w:spacing w:line="100" w:lineRule="atLeast"/>
    </w:pPr>
    <w:rPr>
      <w:rFonts w:ascii="Tahoma" w:hAnsi="Tahoma" w:cs="Tahoma"/>
      <w:sz w:val="16"/>
      <w:szCs w:val="16"/>
    </w:rPr>
  </w:style>
  <w:style w:type="paragraph" w:styleId="FootnoteText">
    <w:name w:val="footnote text"/>
    <w:basedOn w:val="Normal"/>
    <w:link w:val="FootnoteTextChar"/>
    <w:pPr>
      <w:suppressLineNumbers/>
      <w:ind w:left="283" w:hanging="283"/>
    </w:pPr>
  </w:style>
  <w:style w:type="character" w:styleId="CommentReference">
    <w:name w:val="annotation reference"/>
    <w:uiPriority w:val="99"/>
    <w:semiHidden/>
    <w:unhideWhenUsed/>
    <w:rsid w:val="00583E93"/>
    <w:rPr>
      <w:sz w:val="16"/>
      <w:szCs w:val="16"/>
    </w:rPr>
  </w:style>
  <w:style w:type="paragraph" w:styleId="CommentText">
    <w:name w:val="annotation text"/>
    <w:basedOn w:val="Normal"/>
    <w:link w:val="CommentTextChar"/>
    <w:uiPriority w:val="99"/>
    <w:unhideWhenUsed/>
    <w:rsid w:val="00583E93"/>
    <w:rPr>
      <w:lang w:val="x-none"/>
    </w:rPr>
  </w:style>
  <w:style w:type="character" w:customStyle="1" w:styleId="CommentTextChar">
    <w:name w:val="Comment Text Char"/>
    <w:link w:val="CommentText"/>
    <w:uiPriority w:val="99"/>
    <w:rsid w:val="00583E93"/>
    <w:rPr>
      <w:kern w:val="1"/>
      <w:lang w:eastAsia="ar-SA"/>
    </w:rPr>
  </w:style>
  <w:style w:type="paragraph" w:styleId="CommentSubject">
    <w:name w:val="annotation subject"/>
    <w:basedOn w:val="CommentText"/>
    <w:next w:val="CommentText"/>
    <w:link w:val="CommentSubjectChar"/>
    <w:uiPriority w:val="99"/>
    <w:semiHidden/>
    <w:unhideWhenUsed/>
    <w:rsid w:val="00583E93"/>
    <w:rPr>
      <w:b/>
      <w:bCs/>
    </w:rPr>
  </w:style>
  <w:style w:type="character" w:customStyle="1" w:styleId="CommentSubjectChar">
    <w:name w:val="Comment Subject Char"/>
    <w:link w:val="CommentSubject"/>
    <w:uiPriority w:val="99"/>
    <w:semiHidden/>
    <w:rsid w:val="00583E93"/>
    <w:rPr>
      <w:b/>
      <w:bCs/>
      <w:kern w:val="1"/>
      <w:lang w:eastAsia="ar-SA"/>
    </w:rPr>
  </w:style>
  <w:style w:type="paragraph" w:styleId="NormalWeb">
    <w:name w:val="Normal (Web)"/>
    <w:basedOn w:val="Normal"/>
    <w:uiPriority w:val="99"/>
    <w:semiHidden/>
    <w:unhideWhenUsed/>
    <w:rsid w:val="00695176"/>
    <w:pPr>
      <w:suppressAutoHyphens w:val="0"/>
      <w:spacing w:before="100" w:beforeAutospacing="1" w:after="100" w:afterAutospacing="1" w:line="240" w:lineRule="auto"/>
    </w:pPr>
    <w:rPr>
      <w:kern w:val="0"/>
      <w:sz w:val="24"/>
      <w:szCs w:val="24"/>
      <w:lang w:val="en-US" w:eastAsia="zh-CN"/>
    </w:rPr>
  </w:style>
  <w:style w:type="paragraph" w:styleId="Revision">
    <w:name w:val="Revision"/>
    <w:hidden/>
    <w:uiPriority w:val="99"/>
    <w:semiHidden/>
    <w:rsid w:val="00CA00B0"/>
    <w:rPr>
      <w:kern w:val="1"/>
      <w:lang w:eastAsia="ar-SA"/>
    </w:rPr>
  </w:style>
  <w:style w:type="paragraph" w:customStyle="1" w:styleId="firstline">
    <w:name w:val="firstline"/>
    <w:basedOn w:val="Normal"/>
    <w:rsid w:val="00A60B40"/>
    <w:pPr>
      <w:suppressAutoHyphens w:val="0"/>
      <w:ind w:firstLine="640"/>
      <w:jc w:val="both"/>
    </w:pPr>
    <w:rPr>
      <w:rFonts w:ascii="Arial" w:hAnsi="Arial" w:cs="Arial"/>
      <w:color w:val="000000"/>
      <w:kern w:val="0"/>
      <w:sz w:val="24"/>
      <w:szCs w:val="24"/>
      <w:lang w:eastAsia="en-GB"/>
    </w:rPr>
  </w:style>
  <w:style w:type="character" w:customStyle="1" w:styleId="FootnoteTextChar">
    <w:name w:val="Footnote Text Char"/>
    <w:basedOn w:val="DefaultParagraphFont"/>
    <w:link w:val="FootnoteText"/>
    <w:rsid w:val="0050171C"/>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b/>
      <w:bCs/>
      <w:i/>
      <w:sz w:val="24"/>
      <w:szCs w:val="24"/>
      <w:lang w:val="en-US"/>
    </w:rPr>
  </w:style>
  <w:style w:type="character" w:customStyle="1" w:styleId="WW8Num1z1">
    <w:name w:val="WW8Num1z1"/>
    <w:rPr>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i/>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ootnoteReference1">
    <w:name w:val="Footnote Reference1"/>
    <w:rPr>
      <w:rFonts w:ascii="Times New Roman" w:hAnsi="Times New Roman" w:cs="Times New Roman"/>
      <w:sz w:val="18"/>
      <w:vertAlign w:val="superscript"/>
    </w:rPr>
  </w:style>
  <w:style w:type="character" w:customStyle="1" w:styleId="TekstprzypisudolnegoZnak">
    <w:name w:val="Tekst przypisu dolnego Znak"/>
    <w:rPr>
      <w:rFonts w:eastAsia="Times New Roman"/>
      <w:sz w:val="18"/>
      <w:szCs w:val="20"/>
      <w:lang w:val="en-GB"/>
    </w:rPr>
  </w:style>
  <w:style w:type="character" w:customStyle="1" w:styleId="StopkaZnak">
    <w:name w:val="Stopka Znak"/>
    <w:rPr>
      <w:rFonts w:eastAsia="Times New Roman"/>
      <w:sz w:val="16"/>
      <w:szCs w:val="20"/>
      <w:lang w:val="en-GB"/>
    </w:rPr>
  </w:style>
  <w:style w:type="character" w:customStyle="1" w:styleId="NagwekZnak">
    <w:name w:val="Nagłówek Znak"/>
    <w:rPr>
      <w:rFonts w:eastAsia="Times New Roman"/>
      <w:b/>
      <w:sz w:val="18"/>
      <w:szCs w:val="20"/>
      <w:lang w:val="en-GB"/>
    </w:rPr>
  </w:style>
  <w:style w:type="character" w:customStyle="1" w:styleId="st">
    <w:name w:val="st"/>
  </w:style>
  <w:style w:type="character" w:customStyle="1" w:styleId="TekstdymkaZnak">
    <w:name w:val="Tekst dymka Znak"/>
    <w:rPr>
      <w:rFonts w:ascii="Tahoma" w:eastAsia="Times New Roman" w:hAnsi="Tahoma" w:cs="Tahoma"/>
      <w:sz w:val="16"/>
      <w:szCs w:val="16"/>
      <w:lang w:val="en-GB"/>
    </w:rPr>
  </w:style>
  <w:style w:type="character" w:customStyle="1" w:styleId="ListLabel1">
    <w:name w:val="ListLabel 1"/>
    <w:rPr>
      <w:sz w:val="20"/>
      <w:szCs w:val="20"/>
    </w:rPr>
  </w:style>
  <w:style w:type="character" w:customStyle="1" w:styleId="Znakiprzypiswkocowych">
    <w:name w:val="Znaki przypisów końcowych"/>
  </w:style>
  <w:style w:type="character" w:customStyle="1" w:styleId="Znakiprzypiswdolnych">
    <w:name w:val="Znaki przypisów dolnych"/>
  </w:style>
  <w:style w:type="character" w:styleId="FootnoteReference">
    <w:name w:val="footnote reference"/>
    <w:aliases w:val="4_G"/>
    <w:uiPriority w:val="99"/>
    <w:rPr>
      <w:vertAlign w:val="superscript"/>
    </w:rPr>
  </w:style>
  <w:style w:type="character" w:styleId="EndnoteReference">
    <w:name w:val="endnote reference"/>
    <w:rPr>
      <w:vertAlign w:val="superscript"/>
    </w:rPr>
  </w:style>
  <w:style w:type="paragraph" w:customStyle="1" w:styleId="Nagwek1">
    <w:name w:val="Nagłówek1"/>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odpis1">
    <w:name w:val="Podpis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customStyle="1" w:styleId="SingleTxtG">
    <w:name w:val="_ Single Txt_G"/>
    <w:basedOn w:val="Normal"/>
    <w:pPr>
      <w:spacing w:after="120"/>
      <w:ind w:left="1134" w:right="1134"/>
      <w:jc w:val="both"/>
    </w:pPr>
  </w:style>
  <w:style w:type="paragraph" w:customStyle="1" w:styleId="HChG">
    <w:name w:val="_ H _Ch_G"/>
    <w:basedOn w:val="Normal"/>
    <w:pPr>
      <w:keepNext/>
      <w:keepLines/>
      <w:tabs>
        <w:tab w:val="right" w:pos="851"/>
      </w:tabs>
      <w:spacing w:before="360" w:after="240" w:line="300" w:lineRule="exact"/>
      <w:ind w:left="1134" w:right="1134" w:hanging="1134"/>
    </w:pPr>
    <w:rPr>
      <w:b/>
      <w:sz w:val="28"/>
    </w:rPr>
  </w:style>
  <w:style w:type="paragraph" w:customStyle="1" w:styleId="FootnoteText1">
    <w:name w:val="Footnote Text1"/>
    <w:basedOn w:val="Normal"/>
    <w:pPr>
      <w:tabs>
        <w:tab w:val="right" w:pos="1021"/>
      </w:tabs>
      <w:spacing w:line="220" w:lineRule="exact"/>
      <w:ind w:left="1134" w:right="1134" w:hanging="1134"/>
    </w:pPr>
    <w:rPr>
      <w:sz w:val="18"/>
    </w:rPr>
  </w:style>
  <w:style w:type="paragraph" w:customStyle="1" w:styleId="H1G">
    <w:name w:val="_ H_1_G"/>
    <w:basedOn w:val="Normal"/>
    <w:pPr>
      <w:keepNext/>
      <w:keepLines/>
      <w:tabs>
        <w:tab w:val="right" w:pos="851"/>
      </w:tabs>
      <w:spacing w:before="360" w:after="240" w:line="270" w:lineRule="exact"/>
      <w:ind w:left="1134" w:right="1134" w:hanging="1134"/>
    </w:pPr>
    <w:rPr>
      <w:b/>
      <w:sz w:val="24"/>
    </w:rPr>
  </w:style>
  <w:style w:type="paragraph" w:styleId="Footer">
    <w:name w:val="footer"/>
    <w:basedOn w:val="Normal"/>
    <w:pPr>
      <w:suppressLineNumbers/>
      <w:tabs>
        <w:tab w:val="center" w:pos="4819"/>
        <w:tab w:val="right" w:pos="9638"/>
      </w:tabs>
      <w:spacing w:line="100" w:lineRule="atLeast"/>
    </w:pPr>
    <w:rPr>
      <w:sz w:val="16"/>
    </w:rPr>
  </w:style>
  <w:style w:type="paragraph" w:styleId="Header">
    <w:name w:val="header"/>
    <w:basedOn w:val="Normal"/>
    <w:pPr>
      <w:suppressLineNumbers/>
      <w:pBdr>
        <w:bottom w:val="single" w:sz="4" w:space="4" w:color="000000"/>
      </w:pBdr>
      <w:tabs>
        <w:tab w:val="center" w:pos="4819"/>
        <w:tab w:val="right" w:pos="9638"/>
      </w:tabs>
      <w:spacing w:line="100" w:lineRule="atLeast"/>
    </w:pPr>
    <w:rPr>
      <w:b/>
      <w:sz w:val="18"/>
    </w:rPr>
  </w:style>
  <w:style w:type="paragraph" w:styleId="ListParagraph">
    <w:name w:val="List Paragraph"/>
    <w:basedOn w:val="Normal"/>
    <w:qFormat/>
    <w:pPr>
      <w:ind w:left="720"/>
    </w:pPr>
  </w:style>
  <w:style w:type="paragraph" w:styleId="BalloonText">
    <w:name w:val="Balloon Text"/>
    <w:basedOn w:val="Normal"/>
    <w:pPr>
      <w:spacing w:line="100" w:lineRule="atLeast"/>
    </w:pPr>
    <w:rPr>
      <w:rFonts w:ascii="Tahoma" w:hAnsi="Tahoma" w:cs="Tahoma"/>
      <w:sz w:val="16"/>
      <w:szCs w:val="16"/>
    </w:rPr>
  </w:style>
  <w:style w:type="paragraph" w:styleId="FootnoteText">
    <w:name w:val="footnote text"/>
    <w:basedOn w:val="Normal"/>
    <w:link w:val="FootnoteTextChar"/>
    <w:pPr>
      <w:suppressLineNumbers/>
      <w:ind w:left="283" w:hanging="283"/>
    </w:pPr>
  </w:style>
  <w:style w:type="character" w:styleId="CommentReference">
    <w:name w:val="annotation reference"/>
    <w:uiPriority w:val="99"/>
    <w:semiHidden/>
    <w:unhideWhenUsed/>
    <w:rsid w:val="00583E93"/>
    <w:rPr>
      <w:sz w:val="16"/>
      <w:szCs w:val="16"/>
    </w:rPr>
  </w:style>
  <w:style w:type="paragraph" w:styleId="CommentText">
    <w:name w:val="annotation text"/>
    <w:basedOn w:val="Normal"/>
    <w:link w:val="CommentTextChar"/>
    <w:uiPriority w:val="99"/>
    <w:unhideWhenUsed/>
    <w:rsid w:val="00583E93"/>
    <w:rPr>
      <w:lang w:val="x-none"/>
    </w:rPr>
  </w:style>
  <w:style w:type="character" w:customStyle="1" w:styleId="CommentTextChar">
    <w:name w:val="Comment Text Char"/>
    <w:link w:val="CommentText"/>
    <w:uiPriority w:val="99"/>
    <w:rsid w:val="00583E93"/>
    <w:rPr>
      <w:kern w:val="1"/>
      <w:lang w:eastAsia="ar-SA"/>
    </w:rPr>
  </w:style>
  <w:style w:type="paragraph" w:styleId="CommentSubject">
    <w:name w:val="annotation subject"/>
    <w:basedOn w:val="CommentText"/>
    <w:next w:val="CommentText"/>
    <w:link w:val="CommentSubjectChar"/>
    <w:uiPriority w:val="99"/>
    <w:semiHidden/>
    <w:unhideWhenUsed/>
    <w:rsid w:val="00583E93"/>
    <w:rPr>
      <w:b/>
      <w:bCs/>
    </w:rPr>
  </w:style>
  <w:style w:type="character" w:customStyle="1" w:styleId="CommentSubjectChar">
    <w:name w:val="Comment Subject Char"/>
    <w:link w:val="CommentSubject"/>
    <w:uiPriority w:val="99"/>
    <w:semiHidden/>
    <w:rsid w:val="00583E93"/>
    <w:rPr>
      <w:b/>
      <w:bCs/>
      <w:kern w:val="1"/>
      <w:lang w:eastAsia="ar-SA"/>
    </w:rPr>
  </w:style>
  <w:style w:type="paragraph" w:styleId="NormalWeb">
    <w:name w:val="Normal (Web)"/>
    <w:basedOn w:val="Normal"/>
    <w:uiPriority w:val="99"/>
    <w:semiHidden/>
    <w:unhideWhenUsed/>
    <w:rsid w:val="00695176"/>
    <w:pPr>
      <w:suppressAutoHyphens w:val="0"/>
      <w:spacing w:before="100" w:beforeAutospacing="1" w:after="100" w:afterAutospacing="1" w:line="240" w:lineRule="auto"/>
    </w:pPr>
    <w:rPr>
      <w:kern w:val="0"/>
      <w:sz w:val="24"/>
      <w:szCs w:val="24"/>
      <w:lang w:val="en-US" w:eastAsia="zh-CN"/>
    </w:rPr>
  </w:style>
  <w:style w:type="paragraph" w:styleId="Revision">
    <w:name w:val="Revision"/>
    <w:hidden/>
    <w:uiPriority w:val="99"/>
    <w:semiHidden/>
    <w:rsid w:val="00CA00B0"/>
    <w:rPr>
      <w:kern w:val="1"/>
      <w:lang w:eastAsia="ar-SA"/>
    </w:rPr>
  </w:style>
  <w:style w:type="paragraph" w:customStyle="1" w:styleId="firstline">
    <w:name w:val="firstline"/>
    <w:basedOn w:val="Normal"/>
    <w:rsid w:val="00A60B40"/>
    <w:pPr>
      <w:suppressAutoHyphens w:val="0"/>
      <w:ind w:firstLine="640"/>
      <w:jc w:val="both"/>
    </w:pPr>
    <w:rPr>
      <w:rFonts w:ascii="Arial" w:hAnsi="Arial" w:cs="Arial"/>
      <w:color w:val="000000"/>
      <w:kern w:val="0"/>
      <w:sz w:val="24"/>
      <w:szCs w:val="24"/>
      <w:lang w:eastAsia="en-GB"/>
    </w:rPr>
  </w:style>
  <w:style w:type="character" w:customStyle="1" w:styleId="FootnoteTextChar">
    <w:name w:val="Footnote Text Char"/>
    <w:basedOn w:val="DefaultParagraphFont"/>
    <w:link w:val="FootnoteText"/>
    <w:rsid w:val="0050171C"/>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9589">
      <w:bodyDiv w:val="1"/>
      <w:marLeft w:val="0"/>
      <w:marRight w:val="0"/>
      <w:marTop w:val="0"/>
      <w:marBottom w:val="0"/>
      <w:divBdr>
        <w:top w:val="none" w:sz="0" w:space="0" w:color="auto"/>
        <w:left w:val="none" w:sz="0" w:space="0" w:color="auto"/>
        <w:bottom w:val="none" w:sz="0" w:space="0" w:color="auto"/>
        <w:right w:val="none" w:sz="0" w:space="0" w:color="auto"/>
      </w:divBdr>
      <w:divsChild>
        <w:div w:id="1472594495">
          <w:marLeft w:val="0"/>
          <w:marRight w:val="0"/>
          <w:marTop w:val="0"/>
          <w:marBottom w:val="0"/>
          <w:divBdr>
            <w:top w:val="none" w:sz="0" w:space="0" w:color="auto"/>
            <w:left w:val="none" w:sz="0" w:space="0" w:color="auto"/>
            <w:bottom w:val="none" w:sz="0" w:space="0" w:color="auto"/>
            <w:right w:val="none" w:sz="0" w:space="0" w:color="auto"/>
          </w:divBdr>
        </w:div>
        <w:div w:id="937568720">
          <w:marLeft w:val="0"/>
          <w:marRight w:val="0"/>
          <w:marTop w:val="0"/>
          <w:marBottom w:val="0"/>
          <w:divBdr>
            <w:top w:val="none" w:sz="0" w:space="0" w:color="auto"/>
            <w:left w:val="none" w:sz="0" w:space="0" w:color="auto"/>
            <w:bottom w:val="none" w:sz="0" w:space="0" w:color="auto"/>
            <w:right w:val="none" w:sz="0" w:space="0" w:color="auto"/>
          </w:divBdr>
        </w:div>
        <w:div w:id="300424960">
          <w:marLeft w:val="0"/>
          <w:marRight w:val="0"/>
          <w:marTop w:val="0"/>
          <w:marBottom w:val="0"/>
          <w:divBdr>
            <w:top w:val="none" w:sz="0" w:space="0" w:color="auto"/>
            <w:left w:val="none" w:sz="0" w:space="0" w:color="auto"/>
            <w:bottom w:val="none" w:sz="0" w:space="0" w:color="auto"/>
            <w:right w:val="none" w:sz="0" w:space="0" w:color="auto"/>
          </w:divBdr>
        </w:div>
        <w:div w:id="1528441570">
          <w:marLeft w:val="0"/>
          <w:marRight w:val="0"/>
          <w:marTop w:val="0"/>
          <w:marBottom w:val="0"/>
          <w:divBdr>
            <w:top w:val="none" w:sz="0" w:space="0" w:color="auto"/>
            <w:left w:val="none" w:sz="0" w:space="0" w:color="auto"/>
            <w:bottom w:val="none" w:sz="0" w:space="0" w:color="auto"/>
            <w:right w:val="none" w:sz="0" w:space="0" w:color="auto"/>
          </w:divBdr>
        </w:div>
        <w:div w:id="755707631">
          <w:marLeft w:val="0"/>
          <w:marRight w:val="0"/>
          <w:marTop w:val="0"/>
          <w:marBottom w:val="0"/>
          <w:divBdr>
            <w:top w:val="none" w:sz="0" w:space="0" w:color="auto"/>
            <w:left w:val="none" w:sz="0" w:space="0" w:color="auto"/>
            <w:bottom w:val="none" w:sz="0" w:space="0" w:color="auto"/>
            <w:right w:val="none" w:sz="0" w:space="0" w:color="auto"/>
          </w:divBdr>
        </w:div>
        <w:div w:id="467404753">
          <w:marLeft w:val="0"/>
          <w:marRight w:val="0"/>
          <w:marTop w:val="0"/>
          <w:marBottom w:val="0"/>
          <w:divBdr>
            <w:top w:val="none" w:sz="0" w:space="0" w:color="auto"/>
            <w:left w:val="none" w:sz="0" w:space="0" w:color="auto"/>
            <w:bottom w:val="none" w:sz="0" w:space="0" w:color="auto"/>
            <w:right w:val="none" w:sz="0" w:space="0" w:color="auto"/>
          </w:divBdr>
        </w:div>
        <w:div w:id="1734817119">
          <w:marLeft w:val="0"/>
          <w:marRight w:val="0"/>
          <w:marTop w:val="0"/>
          <w:marBottom w:val="0"/>
          <w:divBdr>
            <w:top w:val="none" w:sz="0" w:space="0" w:color="auto"/>
            <w:left w:val="none" w:sz="0" w:space="0" w:color="auto"/>
            <w:bottom w:val="none" w:sz="0" w:space="0" w:color="auto"/>
            <w:right w:val="none" w:sz="0" w:space="0" w:color="auto"/>
          </w:divBdr>
        </w:div>
      </w:divsChild>
    </w:div>
    <w:div w:id="427652951">
      <w:bodyDiv w:val="1"/>
      <w:marLeft w:val="0"/>
      <w:marRight w:val="0"/>
      <w:marTop w:val="0"/>
      <w:marBottom w:val="0"/>
      <w:divBdr>
        <w:top w:val="none" w:sz="0" w:space="0" w:color="auto"/>
        <w:left w:val="none" w:sz="0" w:space="0" w:color="auto"/>
        <w:bottom w:val="none" w:sz="0" w:space="0" w:color="auto"/>
        <w:right w:val="none" w:sz="0" w:space="0" w:color="auto"/>
      </w:divBdr>
      <w:divsChild>
        <w:div w:id="1221593486">
          <w:marLeft w:val="100"/>
          <w:marRight w:val="100"/>
          <w:marTop w:val="100"/>
          <w:marBottom w:val="100"/>
          <w:divBdr>
            <w:top w:val="none" w:sz="0" w:space="0" w:color="auto"/>
            <w:left w:val="none" w:sz="0" w:space="0" w:color="auto"/>
            <w:bottom w:val="none" w:sz="0" w:space="0" w:color="auto"/>
            <w:right w:val="none" w:sz="0" w:space="0" w:color="auto"/>
          </w:divBdr>
        </w:div>
      </w:divsChild>
    </w:div>
    <w:div w:id="482162400">
      <w:bodyDiv w:val="1"/>
      <w:marLeft w:val="0"/>
      <w:marRight w:val="0"/>
      <w:marTop w:val="0"/>
      <w:marBottom w:val="0"/>
      <w:divBdr>
        <w:top w:val="none" w:sz="0" w:space="0" w:color="auto"/>
        <w:left w:val="none" w:sz="0" w:space="0" w:color="auto"/>
        <w:bottom w:val="none" w:sz="0" w:space="0" w:color="auto"/>
        <w:right w:val="none" w:sz="0" w:space="0" w:color="auto"/>
      </w:divBdr>
      <w:divsChild>
        <w:div w:id="132867581">
          <w:marLeft w:val="0"/>
          <w:marRight w:val="0"/>
          <w:marTop w:val="0"/>
          <w:marBottom w:val="0"/>
          <w:divBdr>
            <w:top w:val="none" w:sz="0" w:space="0" w:color="auto"/>
            <w:left w:val="none" w:sz="0" w:space="0" w:color="auto"/>
            <w:bottom w:val="none" w:sz="0" w:space="0" w:color="auto"/>
            <w:right w:val="none" w:sz="0" w:space="0" w:color="auto"/>
          </w:divBdr>
        </w:div>
        <w:div w:id="1282418141">
          <w:marLeft w:val="0"/>
          <w:marRight w:val="0"/>
          <w:marTop w:val="0"/>
          <w:marBottom w:val="0"/>
          <w:divBdr>
            <w:top w:val="none" w:sz="0" w:space="0" w:color="auto"/>
            <w:left w:val="none" w:sz="0" w:space="0" w:color="auto"/>
            <w:bottom w:val="none" w:sz="0" w:space="0" w:color="auto"/>
            <w:right w:val="none" w:sz="0" w:space="0" w:color="auto"/>
          </w:divBdr>
        </w:div>
      </w:divsChild>
    </w:div>
    <w:div w:id="840657850">
      <w:bodyDiv w:val="1"/>
      <w:marLeft w:val="0"/>
      <w:marRight w:val="0"/>
      <w:marTop w:val="0"/>
      <w:marBottom w:val="0"/>
      <w:divBdr>
        <w:top w:val="none" w:sz="0" w:space="0" w:color="auto"/>
        <w:left w:val="none" w:sz="0" w:space="0" w:color="auto"/>
        <w:bottom w:val="none" w:sz="0" w:space="0" w:color="auto"/>
        <w:right w:val="none" w:sz="0" w:space="0" w:color="auto"/>
      </w:divBdr>
      <w:divsChild>
        <w:div w:id="1449818255">
          <w:marLeft w:val="100"/>
          <w:marRight w:val="100"/>
          <w:marTop w:val="100"/>
          <w:marBottom w:val="100"/>
          <w:divBdr>
            <w:top w:val="none" w:sz="0" w:space="0" w:color="auto"/>
            <w:left w:val="none" w:sz="0" w:space="0" w:color="auto"/>
            <w:bottom w:val="none" w:sz="0" w:space="0" w:color="auto"/>
            <w:right w:val="none" w:sz="0" w:space="0" w:color="auto"/>
          </w:divBdr>
        </w:div>
      </w:divsChild>
    </w:div>
    <w:div w:id="1106466782">
      <w:bodyDiv w:val="1"/>
      <w:marLeft w:val="0"/>
      <w:marRight w:val="0"/>
      <w:marTop w:val="0"/>
      <w:marBottom w:val="0"/>
      <w:divBdr>
        <w:top w:val="none" w:sz="0" w:space="0" w:color="auto"/>
        <w:left w:val="none" w:sz="0" w:space="0" w:color="auto"/>
        <w:bottom w:val="none" w:sz="0" w:space="0" w:color="auto"/>
        <w:right w:val="none" w:sz="0" w:space="0" w:color="auto"/>
      </w:divBdr>
    </w:div>
    <w:div w:id="1146439050">
      <w:bodyDiv w:val="1"/>
      <w:marLeft w:val="0"/>
      <w:marRight w:val="0"/>
      <w:marTop w:val="0"/>
      <w:marBottom w:val="0"/>
      <w:divBdr>
        <w:top w:val="none" w:sz="0" w:space="0" w:color="auto"/>
        <w:left w:val="none" w:sz="0" w:space="0" w:color="auto"/>
        <w:bottom w:val="none" w:sz="0" w:space="0" w:color="auto"/>
        <w:right w:val="none" w:sz="0" w:space="0" w:color="auto"/>
      </w:divBdr>
    </w:div>
    <w:div w:id="1210068593">
      <w:bodyDiv w:val="1"/>
      <w:marLeft w:val="0"/>
      <w:marRight w:val="0"/>
      <w:marTop w:val="0"/>
      <w:marBottom w:val="0"/>
      <w:divBdr>
        <w:top w:val="none" w:sz="0" w:space="0" w:color="auto"/>
        <w:left w:val="none" w:sz="0" w:space="0" w:color="auto"/>
        <w:bottom w:val="none" w:sz="0" w:space="0" w:color="auto"/>
        <w:right w:val="none" w:sz="0" w:space="0" w:color="auto"/>
      </w:divBdr>
      <w:divsChild>
        <w:div w:id="25260411">
          <w:marLeft w:val="0"/>
          <w:marRight w:val="0"/>
          <w:marTop w:val="0"/>
          <w:marBottom w:val="0"/>
          <w:divBdr>
            <w:top w:val="none" w:sz="0" w:space="0" w:color="auto"/>
            <w:left w:val="none" w:sz="0" w:space="0" w:color="auto"/>
            <w:bottom w:val="none" w:sz="0" w:space="0" w:color="auto"/>
            <w:right w:val="none" w:sz="0" w:space="0" w:color="auto"/>
          </w:divBdr>
        </w:div>
        <w:div w:id="181483218">
          <w:marLeft w:val="0"/>
          <w:marRight w:val="0"/>
          <w:marTop w:val="0"/>
          <w:marBottom w:val="0"/>
          <w:divBdr>
            <w:top w:val="none" w:sz="0" w:space="0" w:color="auto"/>
            <w:left w:val="none" w:sz="0" w:space="0" w:color="auto"/>
            <w:bottom w:val="none" w:sz="0" w:space="0" w:color="auto"/>
            <w:right w:val="none" w:sz="0" w:space="0" w:color="auto"/>
          </w:divBdr>
        </w:div>
        <w:div w:id="289436670">
          <w:marLeft w:val="0"/>
          <w:marRight w:val="0"/>
          <w:marTop w:val="0"/>
          <w:marBottom w:val="0"/>
          <w:divBdr>
            <w:top w:val="none" w:sz="0" w:space="0" w:color="auto"/>
            <w:left w:val="none" w:sz="0" w:space="0" w:color="auto"/>
            <w:bottom w:val="none" w:sz="0" w:space="0" w:color="auto"/>
            <w:right w:val="none" w:sz="0" w:space="0" w:color="auto"/>
          </w:divBdr>
        </w:div>
        <w:div w:id="408846241">
          <w:marLeft w:val="0"/>
          <w:marRight w:val="0"/>
          <w:marTop w:val="0"/>
          <w:marBottom w:val="0"/>
          <w:divBdr>
            <w:top w:val="none" w:sz="0" w:space="0" w:color="auto"/>
            <w:left w:val="none" w:sz="0" w:space="0" w:color="auto"/>
            <w:bottom w:val="none" w:sz="0" w:space="0" w:color="auto"/>
            <w:right w:val="none" w:sz="0" w:space="0" w:color="auto"/>
          </w:divBdr>
        </w:div>
        <w:div w:id="486093061">
          <w:marLeft w:val="0"/>
          <w:marRight w:val="0"/>
          <w:marTop w:val="0"/>
          <w:marBottom w:val="0"/>
          <w:divBdr>
            <w:top w:val="none" w:sz="0" w:space="0" w:color="auto"/>
            <w:left w:val="none" w:sz="0" w:space="0" w:color="auto"/>
            <w:bottom w:val="none" w:sz="0" w:space="0" w:color="auto"/>
            <w:right w:val="none" w:sz="0" w:space="0" w:color="auto"/>
          </w:divBdr>
        </w:div>
        <w:div w:id="779379285">
          <w:marLeft w:val="0"/>
          <w:marRight w:val="0"/>
          <w:marTop w:val="0"/>
          <w:marBottom w:val="0"/>
          <w:divBdr>
            <w:top w:val="none" w:sz="0" w:space="0" w:color="auto"/>
            <w:left w:val="none" w:sz="0" w:space="0" w:color="auto"/>
            <w:bottom w:val="none" w:sz="0" w:space="0" w:color="auto"/>
            <w:right w:val="none" w:sz="0" w:space="0" w:color="auto"/>
          </w:divBdr>
        </w:div>
        <w:div w:id="879171487">
          <w:marLeft w:val="0"/>
          <w:marRight w:val="0"/>
          <w:marTop w:val="0"/>
          <w:marBottom w:val="0"/>
          <w:divBdr>
            <w:top w:val="none" w:sz="0" w:space="0" w:color="auto"/>
            <w:left w:val="none" w:sz="0" w:space="0" w:color="auto"/>
            <w:bottom w:val="none" w:sz="0" w:space="0" w:color="auto"/>
            <w:right w:val="none" w:sz="0" w:space="0" w:color="auto"/>
          </w:divBdr>
        </w:div>
        <w:div w:id="1846894135">
          <w:marLeft w:val="0"/>
          <w:marRight w:val="0"/>
          <w:marTop w:val="0"/>
          <w:marBottom w:val="0"/>
          <w:divBdr>
            <w:top w:val="none" w:sz="0" w:space="0" w:color="auto"/>
            <w:left w:val="none" w:sz="0" w:space="0" w:color="auto"/>
            <w:bottom w:val="none" w:sz="0" w:space="0" w:color="auto"/>
            <w:right w:val="none" w:sz="0" w:space="0" w:color="auto"/>
          </w:divBdr>
        </w:div>
        <w:div w:id="2041121079">
          <w:marLeft w:val="0"/>
          <w:marRight w:val="0"/>
          <w:marTop w:val="0"/>
          <w:marBottom w:val="0"/>
          <w:divBdr>
            <w:top w:val="none" w:sz="0" w:space="0" w:color="auto"/>
            <w:left w:val="none" w:sz="0" w:space="0" w:color="auto"/>
            <w:bottom w:val="none" w:sz="0" w:space="0" w:color="auto"/>
            <w:right w:val="none" w:sz="0" w:space="0" w:color="auto"/>
          </w:divBdr>
        </w:div>
        <w:div w:id="2054647802">
          <w:marLeft w:val="0"/>
          <w:marRight w:val="0"/>
          <w:marTop w:val="0"/>
          <w:marBottom w:val="0"/>
          <w:divBdr>
            <w:top w:val="none" w:sz="0" w:space="0" w:color="auto"/>
            <w:left w:val="none" w:sz="0" w:space="0" w:color="auto"/>
            <w:bottom w:val="none" w:sz="0" w:space="0" w:color="auto"/>
            <w:right w:val="none" w:sz="0" w:space="0" w:color="auto"/>
          </w:divBdr>
        </w:div>
      </w:divsChild>
    </w:div>
    <w:div w:id="1421369800">
      <w:bodyDiv w:val="1"/>
      <w:marLeft w:val="0"/>
      <w:marRight w:val="0"/>
      <w:marTop w:val="0"/>
      <w:marBottom w:val="0"/>
      <w:divBdr>
        <w:top w:val="none" w:sz="0" w:space="0" w:color="auto"/>
        <w:left w:val="none" w:sz="0" w:space="0" w:color="auto"/>
        <w:bottom w:val="none" w:sz="0" w:space="0" w:color="auto"/>
        <w:right w:val="none" w:sz="0" w:space="0" w:color="auto"/>
      </w:divBdr>
    </w:div>
    <w:div w:id="1564483245">
      <w:bodyDiv w:val="1"/>
      <w:marLeft w:val="0"/>
      <w:marRight w:val="0"/>
      <w:marTop w:val="0"/>
      <w:marBottom w:val="0"/>
      <w:divBdr>
        <w:top w:val="none" w:sz="0" w:space="0" w:color="auto"/>
        <w:left w:val="none" w:sz="0" w:space="0" w:color="auto"/>
        <w:bottom w:val="none" w:sz="0" w:space="0" w:color="auto"/>
        <w:right w:val="none" w:sz="0" w:space="0" w:color="auto"/>
      </w:divBdr>
      <w:divsChild>
        <w:div w:id="1384327717">
          <w:marLeft w:val="0"/>
          <w:marRight w:val="0"/>
          <w:marTop w:val="0"/>
          <w:marBottom w:val="0"/>
          <w:divBdr>
            <w:top w:val="none" w:sz="0" w:space="0" w:color="auto"/>
            <w:left w:val="none" w:sz="0" w:space="0" w:color="auto"/>
            <w:bottom w:val="none" w:sz="0" w:space="0" w:color="auto"/>
            <w:right w:val="none" w:sz="0" w:space="0" w:color="auto"/>
          </w:divBdr>
        </w:div>
        <w:div w:id="174838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989C-BD42-4028-86C2-673C7106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7426</Words>
  <Characters>39289</Characters>
  <Application>Microsoft Office Word</Application>
  <DocSecurity>0</DocSecurity>
  <Lines>654</Lines>
  <Paragraphs>147</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Tytuł</vt:lpstr>
      </vt:variant>
      <vt:variant>
        <vt:i4>1</vt:i4>
      </vt:variant>
    </vt:vector>
  </HeadingPairs>
  <TitlesOfParts>
    <vt:vector size="4" baseType="lpstr">
      <vt:lpstr/>
      <vt:lpstr/>
      <vt:lpstr/>
      <vt:lpstr/>
    </vt:vector>
  </TitlesOfParts>
  <Company>ECE-ISU</Company>
  <LinksUpToDate>false</LinksUpToDate>
  <CharactersWithSpaces>46568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marshall</cp:lastModifiedBy>
  <cp:revision>3</cp:revision>
  <cp:lastPrinted>2015-06-12T16:35:00Z</cp:lastPrinted>
  <dcterms:created xsi:type="dcterms:W3CDTF">2015-09-04T15:46:00Z</dcterms:created>
  <dcterms:modified xsi:type="dcterms:W3CDTF">2015-09-04T15:51:00Z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ECE-ISU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