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3D" w:rsidRPr="004F0E28" w:rsidRDefault="004F0E28" w:rsidP="004F0E28">
      <w:pPr>
        <w:kinsoku w:val="0"/>
        <w:overflowPunct w:val="0"/>
        <w:autoSpaceDE w:val="0"/>
        <w:autoSpaceDN w:val="0"/>
        <w:adjustRightInd w:val="0"/>
        <w:snapToGrid w:val="0"/>
        <w:spacing w:after="480"/>
        <w:jc w:val="right"/>
        <w:outlineLvl w:val="0"/>
      </w:pPr>
      <w:r w:rsidRPr="004F0E28">
        <w:rPr>
          <w:sz w:val="40"/>
        </w:rPr>
        <w:t>ECE</w:t>
      </w:r>
      <w:r w:rsidRPr="004F0E28">
        <w:t>/BATUMI.CONF/2016/11</w:t>
      </w: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C16EC6" w:rsidRPr="00325B97" w:rsidTr="00E34712">
        <w:tc>
          <w:tcPr>
            <w:tcW w:w="3402" w:type="dxa"/>
            <w:tcBorders>
              <w:bottom w:val="single" w:sz="12" w:space="0" w:color="339966"/>
            </w:tcBorders>
            <w:shd w:val="clear" w:color="auto" w:fill="auto"/>
            <w:vAlign w:val="center"/>
          </w:tcPr>
          <w:p w:rsidR="00C16EC6" w:rsidRPr="00325B97" w:rsidRDefault="00C16EC6" w:rsidP="00E34712">
            <w:pPr>
              <w:spacing w:after="20" w:line="240" w:lineRule="auto"/>
              <w:rPr>
                <w:color w:val="00B050"/>
                <w:sz w:val="18"/>
                <w:szCs w:val="18"/>
              </w:rPr>
            </w:pPr>
            <w:r w:rsidRPr="00325B97">
              <w:rPr>
                <w:color w:val="00B050"/>
                <w:sz w:val="18"/>
                <w:szCs w:val="18"/>
              </w:rPr>
              <w:t>ENVIRONMENT FOR EUROPE</w:t>
            </w:r>
          </w:p>
          <w:p w:rsidR="00C16EC6" w:rsidRPr="00325B97" w:rsidRDefault="00C16EC6" w:rsidP="00E34712">
            <w:pPr>
              <w:spacing w:after="20" w:line="240" w:lineRule="auto"/>
              <w:rPr>
                <w:color w:val="00B050"/>
                <w:sz w:val="18"/>
                <w:szCs w:val="18"/>
              </w:rPr>
            </w:pPr>
            <w:r w:rsidRPr="00325B97">
              <w:rPr>
                <w:color w:val="00B050"/>
                <w:sz w:val="18"/>
                <w:szCs w:val="18"/>
              </w:rPr>
              <w:t>UN ENVIRONNEMENT POUR L</w:t>
            </w:r>
            <w:r w:rsidR="009C022A">
              <w:rPr>
                <w:color w:val="00B050"/>
                <w:sz w:val="18"/>
                <w:szCs w:val="18"/>
              </w:rPr>
              <w:t>’</w:t>
            </w:r>
            <w:r w:rsidRPr="00325B97">
              <w:rPr>
                <w:color w:val="00B050"/>
                <w:sz w:val="18"/>
                <w:szCs w:val="18"/>
              </w:rPr>
              <w:t>EUROPE</w:t>
            </w:r>
          </w:p>
          <w:p w:rsidR="00C16EC6" w:rsidRPr="00325B97" w:rsidRDefault="00C16EC6" w:rsidP="00E34712">
            <w:pPr>
              <w:spacing w:after="20" w:line="240" w:lineRule="auto"/>
              <w:rPr>
                <w:color w:val="00B050"/>
                <w:sz w:val="18"/>
                <w:szCs w:val="18"/>
              </w:rPr>
            </w:pPr>
            <w:r w:rsidRPr="00325B97">
              <w:rPr>
                <w:color w:val="00B050"/>
                <w:sz w:val="18"/>
                <w:szCs w:val="18"/>
              </w:rPr>
              <w:t>ОКРУЖАЮЩАЯ СРЕДА ДЛЯ ЕВРОПЫ</w:t>
            </w:r>
          </w:p>
          <w:p w:rsidR="00C16EC6" w:rsidRPr="00325B97" w:rsidRDefault="00C16EC6" w:rsidP="00E34712">
            <w:pPr>
              <w:spacing w:after="40" w:line="240" w:lineRule="auto"/>
              <w:rPr>
                <w:rFonts w:ascii="Arial Black" w:hAnsi="Arial Black" w:cs="Arial"/>
                <w:color w:val="00B050"/>
              </w:rPr>
            </w:pPr>
            <w:proofErr w:type="spellStart"/>
            <w:r w:rsidRPr="00325B97">
              <w:rPr>
                <w:rFonts w:ascii="Sylfaen" w:hAnsi="Sylfaen" w:cs="Sylfaen"/>
                <w:color w:val="00B050"/>
              </w:rPr>
              <w:t>გარემო</w:t>
            </w:r>
            <w:proofErr w:type="spellEnd"/>
            <w:r w:rsidRPr="00325B97">
              <w:rPr>
                <w:rFonts w:ascii="Arial Black" w:hAnsi="Arial Black" w:cs="Arial"/>
                <w:color w:val="00B050"/>
              </w:rPr>
              <w:t xml:space="preserve"> </w:t>
            </w:r>
            <w:proofErr w:type="spellStart"/>
            <w:r w:rsidRPr="00325B97">
              <w:rPr>
                <w:rFonts w:ascii="Sylfaen" w:hAnsi="Sylfaen" w:cs="Sylfaen"/>
                <w:color w:val="00B050"/>
              </w:rPr>
              <w:t>ევროპისათვის</w:t>
            </w:r>
            <w:proofErr w:type="spellEnd"/>
          </w:p>
        </w:tc>
        <w:tc>
          <w:tcPr>
            <w:tcW w:w="1298" w:type="dxa"/>
            <w:vMerge w:val="restart"/>
            <w:shd w:val="clear" w:color="auto" w:fill="auto"/>
            <w:vAlign w:val="center"/>
          </w:tcPr>
          <w:p w:rsidR="00C16EC6" w:rsidRPr="00325B97" w:rsidRDefault="00C16EC6" w:rsidP="00E34712">
            <w:pPr>
              <w:spacing w:line="240" w:lineRule="auto"/>
              <w:rPr>
                <w:sz w:val="18"/>
                <w:szCs w:val="18"/>
              </w:rPr>
            </w:pPr>
            <w:r w:rsidRPr="00325B97">
              <w:rPr>
                <w:noProof/>
                <w:sz w:val="18"/>
                <w:szCs w:val="18"/>
                <w:lang w:eastAsia="fr-CH"/>
              </w:rPr>
              <w:drawing>
                <wp:inline distT="0" distB="0" distL="0" distR="0" wp14:anchorId="5CF63663" wp14:editId="6C916C13">
                  <wp:extent cx="819785" cy="819785"/>
                  <wp:effectExtent l="0" t="0" r="0" b="0"/>
                  <wp:docPr id="6" name="Picture 5"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tc>
      </w:tr>
      <w:tr w:rsidR="00C16EC6" w:rsidRPr="00325B97" w:rsidTr="00E34712">
        <w:tc>
          <w:tcPr>
            <w:tcW w:w="3402" w:type="dxa"/>
            <w:tcBorders>
              <w:top w:val="single" w:sz="12" w:space="0" w:color="339966"/>
            </w:tcBorders>
            <w:shd w:val="clear" w:color="auto" w:fill="auto"/>
          </w:tcPr>
          <w:p w:rsidR="00C16EC6" w:rsidRPr="00325B97" w:rsidRDefault="00C16EC6" w:rsidP="00E34712">
            <w:pPr>
              <w:spacing w:before="80" w:line="240" w:lineRule="auto"/>
              <w:rPr>
                <w:color w:val="00B050"/>
                <w:sz w:val="18"/>
                <w:szCs w:val="18"/>
              </w:rPr>
            </w:pPr>
            <w:r w:rsidRPr="00325B97">
              <w:rPr>
                <w:color w:val="00B050"/>
                <w:sz w:val="18"/>
                <w:szCs w:val="18"/>
              </w:rPr>
              <w:t>BATUMI, 8-10 juin 2016</w:t>
            </w:r>
          </w:p>
        </w:tc>
        <w:tc>
          <w:tcPr>
            <w:tcW w:w="1298" w:type="dxa"/>
            <w:vMerge/>
            <w:shd w:val="clear" w:color="auto" w:fill="auto"/>
          </w:tcPr>
          <w:p w:rsidR="00C16EC6" w:rsidRPr="00325B97" w:rsidRDefault="00C16EC6" w:rsidP="00E34712">
            <w:pPr>
              <w:spacing w:before="40" w:after="40" w:line="240" w:lineRule="auto"/>
              <w:rPr>
                <w:sz w:val="18"/>
                <w:szCs w:val="18"/>
              </w:rPr>
            </w:pPr>
          </w:p>
        </w:tc>
      </w:tr>
    </w:tbl>
    <w:p w:rsidR="00C16EC6" w:rsidRPr="001C07DF" w:rsidRDefault="00C16EC6" w:rsidP="0040463D">
      <w:pPr>
        <w:spacing w:after="480"/>
        <w:jc w:val="right"/>
        <w:outlineLvl w:val="0"/>
        <w:rPr>
          <w:sz w:val="28"/>
          <w:szCs w:val="28"/>
        </w:rPr>
      </w:pPr>
    </w:p>
    <w:p w:rsidR="0040463D" w:rsidRPr="0040463D" w:rsidRDefault="00C16EC6" w:rsidP="0040463D">
      <w:pPr>
        <w:pStyle w:val="HMG"/>
        <w:spacing w:before="1200"/>
      </w:pPr>
      <w:r w:rsidRPr="00325B97">
        <w:tab/>
      </w:r>
      <w:r w:rsidRPr="00325B97">
        <w:tab/>
        <w:t xml:space="preserve">Huitième Conférence ministérielle </w:t>
      </w:r>
      <w:r w:rsidRPr="00325B97">
        <w:br/>
      </w:r>
      <w:r w:rsidR="0040463D" w:rsidRPr="0040463D">
        <w:t>«</w:t>
      </w:r>
      <w:r w:rsidR="00266618">
        <w:t> </w:t>
      </w:r>
      <w:r w:rsidR="0040463D" w:rsidRPr="0040463D">
        <w:t>Un environnement</w:t>
      </w:r>
      <w:r w:rsidR="0040463D">
        <w:t xml:space="preserve"> pour l</w:t>
      </w:r>
      <w:r w:rsidR="009C022A">
        <w:t>’</w:t>
      </w:r>
      <w:r w:rsidR="0040463D" w:rsidRPr="0040463D">
        <w:t>Europe</w:t>
      </w:r>
      <w:r w:rsidR="00266618">
        <w:t> </w:t>
      </w:r>
      <w:r w:rsidR="0040463D" w:rsidRPr="0040463D">
        <w:t>»</w:t>
      </w:r>
    </w:p>
    <w:p w:rsidR="00C16EC6" w:rsidRPr="00325B97" w:rsidRDefault="00C16EC6" w:rsidP="00C16EC6">
      <w:pPr>
        <w:pStyle w:val="HChG"/>
      </w:pPr>
      <w:r w:rsidRPr="00325B97">
        <w:tab/>
      </w:r>
      <w:r w:rsidRPr="00325B97">
        <w:tab/>
        <w:t>Batumi (Géorgie)</w:t>
      </w:r>
      <w:r w:rsidRPr="00325B97">
        <w:br/>
        <w:t>8-10 juin 2016</w:t>
      </w:r>
    </w:p>
    <w:p w:rsidR="0040463D" w:rsidRPr="0040463D" w:rsidRDefault="0040463D" w:rsidP="0040463D">
      <w:pPr>
        <w:pBdr>
          <w:bottom w:val="single" w:sz="12" w:space="1" w:color="auto"/>
        </w:pBdr>
        <w:rPr>
          <w:b/>
          <w:bCs/>
        </w:rPr>
      </w:pPr>
    </w:p>
    <w:p w:rsidR="0040463D" w:rsidRPr="0040463D" w:rsidRDefault="0040463D" w:rsidP="0040463D">
      <w:pPr>
        <w:pStyle w:val="HChG"/>
        <w:outlineLvl w:val="0"/>
      </w:pPr>
      <w:r w:rsidRPr="0040463D">
        <w:tab/>
      </w:r>
      <w:r w:rsidRPr="0040463D">
        <w:tab/>
      </w:r>
      <w:r w:rsidR="003F115C" w:rsidRPr="00E01B70">
        <w:t>Cadre de mise en œuvre de la Stratégie de la CEE</w:t>
      </w:r>
      <w:r w:rsidR="003F115C">
        <w:br/>
      </w:r>
      <w:r w:rsidR="003F115C" w:rsidRPr="00E01B70">
        <w:t>pour l</w:t>
      </w:r>
      <w:r w:rsidR="009C022A">
        <w:t>’</w:t>
      </w:r>
      <w:r w:rsidR="003F115C" w:rsidRPr="00E01B70">
        <w:t>éducation en vue du développement durable</w:t>
      </w:r>
    </w:p>
    <w:p w:rsidR="00CA3027" w:rsidRPr="00CA3027" w:rsidRDefault="00CA3027" w:rsidP="008A3CD9"/>
    <w:p w:rsidR="007745E1" w:rsidRDefault="007745E1" w:rsidP="000312C0">
      <w:pPr>
        <w:spacing w:before="120"/>
        <w:rPr>
          <w:b/>
          <w:sz w:val="28"/>
          <w:szCs w:val="28"/>
        </w:rPr>
        <w:sectPr w:rsidR="007745E1" w:rsidSect="004F0E28">
          <w:footerReference w:type="first" r:id="rId9"/>
          <w:endnotePr>
            <w:numFmt w:val="decimal"/>
          </w:endnotePr>
          <w:type w:val="oddPage"/>
          <w:pgSz w:w="11907" w:h="16840" w:code="9"/>
          <w:pgMar w:top="1701" w:right="1134" w:bottom="2268" w:left="1134" w:header="1134" w:footer="1701" w:gutter="0"/>
          <w:cols w:space="720"/>
          <w:titlePg/>
          <w:docGrid w:linePitch="272"/>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745E1" w:rsidRPr="00DB58B5" w:rsidTr="007745E1">
        <w:trPr>
          <w:trHeight w:hRule="exact" w:val="851"/>
        </w:trPr>
        <w:tc>
          <w:tcPr>
            <w:tcW w:w="1277" w:type="dxa"/>
            <w:tcBorders>
              <w:bottom w:val="single" w:sz="4" w:space="0" w:color="auto"/>
            </w:tcBorders>
          </w:tcPr>
          <w:p w:rsidR="007745E1" w:rsidRPr="00DB58B5" w:rsidRDefault="007745E1" w:rsidP="007745E1"/>
        </w:tc>
        <w:tc>
          <w:tcPr>
            <w:tcW w:w="2268" w:type="dxa"/>
            <w:tcBorders>
              <w:bottom w:val="single" w:sz="4" w:space="0" w:color="auto"/>
            </w:tcBorders>
            <w:vAlign w:val="bottom"/>
          </w:tcPr>
          <w:p w:rsidR="007745E1" w:rsidRPr="00DB58B5" w:rsidRDefault="007745E1" w:rsidP="007745E1">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7745E1" w:rsidRPr="00DB58B5" w:rsidRDefault="004F0E28" w:rsidP="004F0E28">
            <w:pPr>
              <w:jc w:val="right"/>
            </w:pPr>
            <w:r w:rsidRPr="004F0E28">
              <w:rPr>
                <w:sz w:val="40"/>
              </w:rPr>
              <w:t>ECE</w:t>
            </w:r>
            <w:r>
              <w:t>/BATUMI.CONF/2016/11</w:t>
            </w:r>
          </w:p>
        </w:tc>
      </w:tr>
      <w:tr w:rsidR="007745E1" w:rsidRPr="00DB58B5" w:rsidTr="007745E1">
        <w:trPr>
          <w:trHeight w:hRule="exact" w:val="2835"/>
        </w:trPr>
        <w:tc>
          <w:tcPr>
            <w:tcW w:w="1276" w:type="dxa"/>
            <w:tcBorders>
              <w:top w:val="single" w:sz="4" w:space="0" w:color="auto"/>
              <w:bottom w:val="single" w:sz="12" w:space="0" w:color="auto"/>
            </w:tcBorders>
          </w:tcPr>
          <w:p w:rsidR="007745E1" w:rsidRPr="00DB58B5" w:rsidRDefault="00290A9D" w:rsidP="007745E1">
            <w:pPr>
              <w:spacing w:before="120"/>
              <w:jc w:val="center"/>
            </w:pPr>
            <w:r>
              <w:rPr>
                <w:noProof/>
                <w:lang w:eastAsia="fr-CH"/>
              </w:rPr>
              <w:drawing>
                <wp:inline distT="0" distB="0" distL="0" distR="0" wp14:anchorId="21EBF543" wp14:editId="742CD571">
                  <wp:extent cx="714375" cy="590550"/>
                  <wp:effectExtent l="0" t="0" r="9525" b="0"/>
                  <wp:docPr id="2" name="Imag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745E1" w:rsidRPr="00740562" w:rsidRDefault="007745E1" w:rsidP="007745E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7745E1" w:rsidRDefault="004F0E28" w:rsidP="007745E1">
            <w:pPr>
              <w:spacing w:before="240"/>
            </w:pPr>
            <w:proofErr w:type="spellStart"/>
            <w:r>
              <w:t>Distr</w:t>
            </w:r>
            <w:proofErr w:type="spellEnd"/>
            <w:r>
              <w:t>. générale</w:t>
            </w:r>
          </w:p>
          <w:p w:rsidR="004F0E28" w:rsidRDefault="003F115C" w:rsidP="004F0E28">
            <w:pPr>
              <w:spacing w:line="240" w:lineRule="exact"/>
            </w:pPr>
            <w:r>
              <w:t>24 mars 2016</w:t>
            </w:r>
          </w:p>
          <w:p w:rsidR="004F0E28" w:rsidRDefault="004F0E28" w:rsidP="004F0E28">
            <w:pPr>
              <w:spacing w:line="240" w:lineRule="exact"/>
            </w:pPr>
            <w:r>
              <w:t>Français</w:t>
            </w:r>
          </w:p>
          <w:p w:rsidR="004F0E28" w:rsidRPr="00DB58B5" w:rsidRDefault="004F0E28" w:rsidP="004F0E28">
            <w:pPr>
              <w:spacing w:line="240" w:lineRule="exact"/>
            </w:pPr>
            <w:r>
              <w:t>Original: anglais</w:t>
            </w:r>
          </w:p>
        </w:tc>
      </w:tr>
    </w:tbl>
    <w:p w:rsidR="00FF1DBD" w:rsidRPr="000312C0" w:rsidRDefault="000312C0" w:rsidP="000312C0">
      <w:pPr>
        <w:spacing w:before="120"/>
        <w:rPr>
          <w:b/>
          <w:sz w:val="28"/>
          <w:szCs w:val="28"/>
        </w:rPr>
      </w:pPr>
      <w:r w:rsidRPr="000312C0">
        <w:rPr>
          <w:b/>
          <w:sz w:val="28"/>
          <w:szCs w:val="28"/>
        </w:rPr>
        <w:t>Commission économique pour l</w:t>
      </w:r>
      <w:r w:rsidR="009C022A">
        <w:rPr>
          <w:b/>
          <w:sz w:val="28"/>
          <w:szCs w:val="28"/>
        </w:rPr>
        <w:t>’</w:t>
      </w:r>
      <w:r w:rsidRPr="000312C0">
        <w:rPr>
          <w:b/>
          <w:sz w:val="28"/>
          <w:szCs w:val="28"/>
        </w:rPr>
        <w:t>Europe</w:t>
      </w:r>
    </w:p>
    <w:p w:rsidR="00C16EC6" w:rsidRDefault="00C16EC6" w:rsidP="00446F3A">
      <w:pPr>
        <w:spacing w:before="120"/>
        <w:rPr>
          <w:sz w:val="28"/>
          <w:szCs w:val="28"/>
        </w:rPr>
      </w:pPr>
      <w:r w:rsidRPr="00325B97">
        <w:rPr>
          <w:sz w:val="28"/>
          <w:szCs w:val="28"/>
        </w:rPr>
        <w:t xml:space="preserve">Huitième Conférence ministérielle </w:t>
      </w:r>
      <w:r w:rsidRPr="00325B97">
        <w:rPr>
          <w:sz w:val="28"/>
          <w:szCs w:val="28"/>
        </w:rPr>
        <w:br/>
        <w:t>« Un environnement pour l</w:t>
      </w:r>
      <w:r w:rsidR="009C022A">
        <w:rPr>
          <w:sz w:val="28"/>
          <w:szCs w:val="28"/>
        </w:rPr>
        <w:t>’</w:t>
      </w:r>
      <w:r w:rsidRPr="00325B97">
        <w:rPr>
          <w:sz w:val="28"/>
          <w:szCs w:val="28"/>
        </w:rPr>
        <w:t>Europe »</w:t>
      </w:r>
    </w:p>
    <w:p w:rsidR="00C16EC6" w:rsidRPr="007A3F60" w:rsidRDefault="00C16EC6" w:rsidP="00C16EC6">
      <w:pPr>
        <w:spacing w:before="120"/>
      </w:pPr>
      <w:r w:rsidRPr="007A3F60">
        <w:t>Batumi (Géorgie), 8-10 juin 2016</w:t>
      </w:r>
    </w:p>
    <w:p w:rsidR="00184F98" w:rsidRDefault="00C16EC6" w:rsidP="00C16EC6">
      <w:r w:rsidRPr="00325B97">
        <w:t xml:space="preserve">Point </w:t>
      </w:r>
      <w:r w:rsidR="00C0669C">
        <w:t>3</w:t>
      </w:r>
      <w:r w:rsidRPr="00325B97">
        <w:t xml:space="preserve"> de l</w:t>
      </w:r>
      <w:r w:rsidR="009C022A">
        <w:t>’</w:t>
      </w:r>
      <w:r w:rsidRPr="00325B97">
        <w:t>ordre du jour provisoire</w:t>
      </w:r>
    </w:p>
    <w:p w:rsidR="005B76A3" w:rsidRDefault="00C0669C" w:rsidP="00826B30">
      <w:r w:rsidRPr="00E01B70">
        <w:rPr>
          <w:b/>
        </w:rPr>
        <w:t>Vers une nouvelle société</w:t>
      </w:r>
      <w:r>
        <w:rPr>
          <w:b/>
        </w:rPr>
        <w:t> </w:t>
      </w:r>
      <w:r w:rsidRPr="00E01B70">
        <w:rPr>
          <w:b/>
        </w:rPr>
        <w:t>: dix ans d</w:t>
      </w:r>
      <w:r w:rsidR="009C022A">
        <w:rPr>
          <w:b/>
        </w:rPr>
        <w:t>’</w:t>
      </w:r>
      <w:r w:rsidRPr="00E01B70">
        <w:rPr>
          <w:b/>
        </w:rPr>
        <w:t xml:space="preserve">éducation </w:t>
      </w:r>
      <w:r>
        <w:rPr>
          <w:b/>
        </w:rPr>
        <w:br/>
      </w:r>
      <w:r w:rsidRPr="00E01B70">
        <w:rPr>
          <w:b/>
        </w:rPr>
        <w:t>en vue du développement durable</w:t>
      </w:r>
    </w:p>
    <w:p w:rsidR="00C0669C" w:rsidRPr="00E01B70" w:rsidRDefault="00C0669C" w:rsidP="00C0669C">
      <w:pPr>
        <w:pStyle w:val="HChG"/>
      </w:pPr>
      <w:r w:rsidRPr="00E01B70">
        <w:tab/>
      </w:r>
      <w:r w:rsidRPr="00E01B70">
        <w:tab/>
        <w:t xml:space="preserve">Cadre de mise en œuvre de la Stratégie de la CEE </w:t>
      </w:r>
      <w:r>
        <w:br/>
      </w:r>
      <w:r w:rsidRPr="00E01B70">
        <w:t>pour l</w:t>
      </w:r>
      <w:r w:rsidR="009C022A">
        <w:t>’</w:t>
      </w:r>
      <w:r w:rsidRPr="00E01B70">
        <w:t>éducation en vue du développement durable</w:t>
      </w:r>
    </w:p>
    <w:p w:rsidR="00C0669C" w:rsidRDefault="00C0669C" w:rsidP="00C0669C">
      <w:pPr>
        <w:pStyle w:val="H1G"/>
      </w:pPr>
      <w:r w:rsidRPr="00E01B70">
        <w:tab/>
      </w:r>
      <w:r w:rsidRPr="00E01B70">
        <w:tab/>
        <w:t>Note du secrétariat</w:t>
      </w:r>
    </w:p>
    <w:p w:rsidR="002562D6" w:rsidRPr="00D86941" w:rsidRDefault="00CD7FCA" w:rsidP="002562D6">
      <w:pPr>
        <w:pStyle w:val="SingleTxtG"/>
        <w:numPr>
          <w:ilvl w:val="0"/>
          <w:numId w:val="26"/>
        </w:numPr>
        <w:ind w:left="1134" w:firstLine="0"/>
      </w:pPr>
      <w:r w:rsidRPr="00D86941">
        <w:rPr>
          <w:szCs w:val="22"/>
          <w:lang w:val="fr-FR"/>
        </w:rPr>
        <w:t>À sa huitième réunion (Genève, 21 et 22 mars 2013), le Comité directeur pour l</w:t>
      </w:r>
      <w:r w:rsidR="009C022A" w:rsidRPr="00D86941">
        <w:rPr>
          <w:szCs w:val="22"/>
          <w:lang w:val="fr-FR"/>
        </w:rPr>
        <w:t>’</w:t>
      </w:r>
      <w:r w:rsidRPr="00D86941">
        <w:rPr>
          <w:szCs w:val="22"/>
          <w:lang w:val="fr-FR"/>
        </w:rPr>
        <w:t>éducation au développement durable de la Commission économique pour l</w:t>
      </w:r>
      <w:r w:rsidR="009C022A" w:rsidRPr="00D86941">
        <w:rPr>
          <w:szCs w:val="22"/>
          <w:lang w:val="fr-FR"/>
        </w:rPr>
        <w:t>’</w:t>
      </w:r>
      <w:r w:rsidRPr="00D86941">
        <w:rPr>
          <w:szCs w:val="22"/>
          <w:lang w:val="fr-FR"/>
        </w:rPr>
        <w:t>Europe (CEE) s</w:t>
      </w:r>
      <w:r w:rsidR="009C022A" w:rsidRPr="00D86941">
        <w:rPr>
          <w:szCs w:val="22"/>
          <w:lang w:val="fr-FR"/>
        </w:rPr>
        <w:t>’</w:t>
      </w:r>
      <w:r w:rsidRPr="00D86941">
        <w:rPr>
          <w:szCs w:val="22"/>
          <w:lang w:val="fr-FR"/>
        </w:rPr>
        <w:t>est résolument engagé à poursuivre l</w:t>
      </w:r>
      <w:r w:rsidR="009C022A" w:rsidRPr="00D86941">
        <w:rPr>
          <w:szCs w:val="22"/>
          <w:lang w:val="fr-FR"/>
        </w:rPr>
        <w:t>’</w:t>
      </w:r>
      <w:r w:rsidRPr="00D86941">
        <w:rPr>
          <w:szCs w:val="22"/>
          <w:lang w:val="fr-FR"/>
        </w:rPr>
        <w:t>application, sur le plan régional de la Stratégie de la CEE pour l</w:t>
      </w:r>
      <w:r w:rsidR="009C022A" w:rsidRPr="00D86941">
        <w:rPr>
          <w:szCs w:val="22"/>
          <w:lang w:val="fr-FR"/>
        </w:rPr>
        <w:t>’</w:t>
      </w:r>
      <w:r w:rsidRPr="00D86941">
        <w:rPr>
          <w:szCs w:val="22"/>
          <w:lang w:val="fr-FR"/>
        </w:rPr>
        <w:t>éducation en vue du développement durable (Stratégie pour l</w:t>
      </w:r>
      <w:r w:rsidR="009C022A" w:rsidRPr="00D86941">
        <w:rPr>
          <w:szCs w:val="22"/>
          <w:lang w:val="fr-FR"/>
        </w:rPr>
        <w:t>’</w:t>
      </w:r>
      <w:r w:rsidRPr="00D86941">
        <w:rPr>
          <w:szCs w:val="22"/>
          <w:lang w:val="fr-FR"/>
        </w:rPr>
        <w:t>EDD) au-delà de la troisième phase de mise en œuvre (voir ECE/CEP/AC.13/2013/2, par. 37 à 44). Afin d</w:t>
      </w:r>
      <w:r w:rsidR="009C022A" w:rsidRPr="00D86941">
        <w:rPr>
          <w:szCs w:val="22"/>
          <w:lang w:val="fr-FR"/>
        </w:rPr>
        <w:t>’</w:t>
      </w:r>
      <w:r w:rsidRPr="00D86941">
        <w:rPr>
          <w:szCs w:val="22"/>
          <w:lang w:val="fr-FR"/>
        </w:rPr>
        <w:t>évaluer les progrès accomplis dans le cadre de la Stratégie et de réfléchir à la manière dont celle-ci serait mise en œuvre à l</w:t>
      </w:r>
      <w:r w:rsidR="009C022A" w:rsidRPr="00D86941">
        <w:rPr>
          <w:szCs w:val="22"/>
          <w:lang w:val="fr-FR"/>
        </w:rPr>
        <w:t>’</w:t>
      </w:r>
      <w:r w:rsidRPr="00D86941">
        <w:rPr>
          <w:szCs w:val="22"/>
          <w:lang w:val="fr-FR"/>
        </w:rPr>
        <w:t>avenir, le Comité directeur a proposé d</w:t>
      </w:r>
      <w:r w:rsidR="009C022A" w:rsidRPr="00D86941">
        <w:rPr>
          <w:szCs w:val="22"/>
          <w:lang w:val="fr-FR"/>
        </w:rPr>
        <w:t>’</w:t>
      </w:r>
      <w:r w:rsidRPr="00D86941">
        <w:rPr>
          <w:szCs w:val="22"/>
          <w:lang w:val="fr-FR"/>
        </w:rPr>
        <w:t>organiser une réunion de haut niveau des Ministères de l</w:t>
      </w:r>
      <w:r w:rsidR="009C022A" w:rsidRPr="00D86941">
        <w:rPr>
          <w:szCs w:val="22"/>
          <w:lang w:val="fr-FR"/>
        </w:rPr>
        <w:t>’</w:t>
      </w:r>
      <w:r w:rsidRPr="00D86941">
        <w:rPr>
          <w:szCs w:val="22"/>
          <w:lang w:val="fr-FR"/>
        </w:rPr>
        <w:t>éducation et de l</w:t>
      </w:r>
      <w:r w:rsidR="009C022A" w:rsidRPr="00D86941">
        <w:rPr>
          <w:szCs w:val="22"/>
          <w:lang w:val="fr-FR"/>
        </w:rPr>
        <w:t>’</w:t>
      </w:r>
      <w:r w:rsidRPr="00D86941">
        <w:rPr>
          <w:szCs w:val="22"/>
          <w:lang w:val="fr-FR"/>
        </w:rPr>
        <w:t>environnement à la huitième Conférence ministérielle « Un environnement pour l</w:t>
      </w:r>
      <w:r w:rsidR="009C022A" w:rsidRPr="00D86941">
        <w:rPr>
          <w:szCs w:val="22"/>
          <w:lang w:val="fr-FR"/>
        </w:rPr>
        <w:t>’</w:t>
      </w:r>
      <w:r w:rsidRPr="00D86941">
        <w:rPr>
          <w:szCs w:val="22"/>
          <w:lang w:val="fr-FR"/>
        </w:rPr>
        <w:t>Europe ».</w:t>
      </w:r>
    </w:p>
    <w:p w:rsidR="002562D6" w:rsidRPr="00D86941" w:rsidRDefault="00CD7FCA" w:rsidP="002562D6">
      <w:pPr>
        <w:pStyle w:val="SingleTxtG"/>
        <w:numPr>
          <w:ilvl w:val="0"/>
          <w:numId w:val="26"/>
        </w:numPr>
        <w:ind w:left="1134" w:firstLine="0"/>
      </w:pPr>
      <w:r w:rsidRPr="00D86941">
        <w:rPr>
          <w:szCs w:val="24"/>
          <w:lang w:val="fr-FR"/>
        </w:rPr>
        <w:t>À sa neuvième réunion (Genève, 3 et 4 avril 2014), le Comité a réitéré son ferme engagement de poursuivre la mise en œuvre de la Stratégie pour l</w:t>
      </w:r>
      <w:r w:rsidR="009C022A" w:rsidRPr="00D86941">
        <w:rPr>
          <w:szCs w:val="24"/>
          <w:lang w:val="fr-FR"/>
        </w:rPr>
        <w:t>’</w:t>
      </w:r>
      <w:r w:rsidRPr="00D86941">
        <w:rPr>
          <w:szCs w:val="24"/>
          <w:lang w:val="fr-FR"/>
        </w:rPr>
        <w:t xml:space="preserve">EDD au-delà de 2015. Il a également </w:t>
      </w:r>
      <w:r w:rsidRPr="00D86941">
        <w:rPr>
          <w:szCs w:val="24"/>
        </w:rPr>
        <w:t>reconfirmé sa décision de préparer une réunion de haut niveau sur l</w:t>
      </w:r>
      <w:r w:rsidR="009C022A" w:rsidRPr="00D86941">
        <w:rPr>
          <w:szCs w:val="24"/>
        </w:rPr>
        <w:t>’</w:t>
      </w:r>
      <w:r w:rsidRPr="00D86941">
        <w:rPr>
          <w:szCs w:val="24"/>
        </w:rPr>
        <w:t>éducation au développement durable, ce qui supposerait notamment d</w:t>
      </w:r>
      <w:r w:rsidR="009C022A" w:rsidRPr="00D86941">
        <w:rPr>
          <w:szCs w:val="24"/>
        </w:rPr>
        <w:t>’</w:t>
      </w:r>
      <w:r w:rsidRPr="00D86941">
        <w:rPr>
          <w:szCs w:val="24"/>
        </w:rPr>
        <w:t>élaborer un projet de cadre de mise en œuvre de la Stratégie et un projet de déclaration ministérielle</w:t>
      </w:r>
      <w:r w:rsidRPr="00D86941">
        <w:rPr>
          <w:szCs w:val="24"/>
          <w:lang w:val="fr-FR"/>
        </w:rPr>
        <w:t xml:space="preserve"> (ECE/CEP/AC.13/2014/2, par. 35 et 36).</w:t>
      </w:r>
    </w:p>
    <w:p w:rsidR="002562D6" w:rsidRPr="00D86941" w:rsidRDefault="00CD7FCA" w:rsidP="002562D6">
      <w:pPr>
        <w:pStyle w:val="SingleTxtG"/>
        <w:numPr>
          <w:ilvl w:val="0"/>
          <w:numId w:val="26"/>
        </w:numPr>
        <w:ind w:left="1134" w:firstLine="0"/>
        <w:rPr>
          <w:szCs w:val="24"/>
        </w:rPr>
      </w:pPr>
      <w:r w:rsidRPr="00D86941">
        <w:rPr>
          <w:szCs w:val="24"/>
          <w:lang w:val="fr-FR"/>
        </w:rPr>
        <w:t>Il convient de préciser que le futur cadre de mise en œuvre n</w:t>
      </w:r>
      <w:r w:rsidR="009C022A" w:rsidRPr="00D86941">
        <w:rPr>
          <w:szCs w:val="24"/>
          <w:lang w:val="fr-FR"/>
        </w:rPr>
        <w:t>’</w:t>
      </w:r>
      <w:r w:rsidRPr="00D86941">
        <w:rPr>
          <w:szCs w:val="24"/>
          <w:lang w:val="fr-FR"/>
        </w:rPr>
        <w:t>est pas destiné à remplacer la Stratégie pour l</w:t>
      </w:r>
      <w:r w:rsidR="009C022A" w:rsidRPr="00D86941">
        <w:rPr>
          <w:szCs w:val="24"/>
          <w:lang w:val="fr-FR"/>
        </w:rPr>
        <w:t>’</w:t>
      </w:r>
      <w:r w:rsidRPr="00D86941">
        <w:rPr>
          <w:szCs w:val="24"/>
          <w:lang w:val="fr-FR"/>
        </w:rPr>
        <w:t>EDD. Celle-ci devrait perdurer, avec ses principaux objectifs, ses définitions et ses principes. Le nouveau cadre de mise en œuvre s</w:t>
      </w:r>
      <w:r w:rsidR="009C022A" w:rsidRPr="00D86941">
        <w:rPr>
          <w:szCs w:val="24"/>
          <w:lang w:val="fr-FR"/>
        </w:rPr>
        <w:t>’</w:t>
      </w:r>
      <w:r w:rsidRPr="00D86941">
        <w:rPr>
          <w:szCs w:val="24"/>
          <w:lang w:val="fr-FR"/>
        </w:rPr>
        <w:t>inscrira plutôt dans le prolongement de celui qui avait été adopté par les représentants des Ministères de l</w:t>
      </w:r>
      <w:r w:rsidR="009C022A" w:rsidRPr="00D86941">
        <w:rPr>
          <w:szCs w:val="24"/>
          <w:lang w:val="fr-FR"/>
        </w:rPr>
        <w:t>’</w:t>
      </w:r>
      <w:r w:rsidRPr="00D86941">
        <w:rPr>
          <w:szCs w:val="24"/>
          <w:lang w:val="fr-FR"/>
        </w:rPr>
        <w:t>environnement et de l</w:t>
      </w:r>
      <w:r w:rsidR="009C022A" w:rsidRPr="00D86941">
        <w:rPr>
          <w:szCs w:val="24"/>
          <w:lang w:val="fr-FR"/>
        </w:rPr>
        <w:t>’</w:t>
      </w:r>
      <w:r w:rsidRPr="00D86941">
        <w:rPr>
          <w:szCs w:val="24"/>
          <w:lang w:val="fr-FR"/>
        </w:rPr>
        <w:t>éducation des pays de la CEE à Vilnius en 2005, puis reconfirmé à la Conférence ministérielle « Un environnement pour l</w:t>
      </w:r>
      <w:r w:rsidR="009C022A" w:rsidRPr="00D86941">
        <w:rPr>
          <w:szCs w:val="24"/>
          <w:lang w:val="fr-FR"/>
        </w:rPr>
        <w:t>’</w:t>
      </w:r>
      <w:r w:rsidRPr="00D86941">
        <w:rPr>
          <w:szCs w:val="24"/>
          <w:lang w:val="fr-FR"/>
        </w:rPr>
        <w:t>Europe » à Belgrade en 2007, qui prévoyait trois phases de mise en œuvre (2005-2015). Le cadre de Vilnius a défini les modalités pratiques de la mise en œuvre de la Stratégie.</w:t>
      </w:r>
    </w:p>
    <w:p w:rsidR="002562D6" w:rsidRPr="00D86941" w:rsidRDefault="00787469" w:rsidP="00F515A8">
      <w:pPr>
        <w:pStyle w:val="SingleTxtG"/>
        <w:numPr>
          <w:ilvl w:val="0"/>
          <w:numId w:val="26"/>
        </w:numPr>
        <w:ind w:left="1134" w:firstLine="0"/>
        <w:rPr>
          <w:szCs w:val="22"/>
          <w:lang w:val="fr-FR"/>
        </w:rPr>
      </w:pPr>
      <w:r w:rsidRPr="00D86941">
        <w:rPr>
          <w:szCs w:val="22"/>
          <w:lang w:val="fr-FR"/>
        </w:rPr>
        <w:lastRenderedPageBreak/>
        <w:t>À sa neuvième réunion, le Comité directeur a décidé des éléments de base du nouveau cadre de mise en œuvre après examen des propositions faites à ce sujet par le Bureau. Le projet de cadre de mise en œuvre, qui figure à l</w:t>
      </w:r>
      <w:r w:rsidR="009C022A" w:rsidRPr="00D86941">
        <w:rPr>
          <w:szCs w:val="22"/>
          <w:lang w:val="fr-FR"/>
        </w:rPr>
        <w:t>’</w:t>
      </w:r>
      <w:r w:rsidRPr="00D86941">
        <w:rPr>
          <w:szCs w:val="22"/>
          <w:lang w:val="fr-FR"/>
        </w:rPr>
        <w:t>annexe I, reprend ces éléments en se fondant et en s</w:t>
      </w:r>
      <w:r w:rsidR="009C022A" w:rsidRPr="00D86941">
        <w:rPr>
          <w:szCs w:val="22"/>
          <w:lang w:val="fr-FR"/>
        </w:rPr>
        <w:t>’</w:t>
      </w:r>
      <w:r w:rsidRPr="00D86941">
        <w:rPr>
          <w:szCs w:val="22"/>
          <w:lang w:val="fr-FR"/>
        </w:rPr>
        <w:t>alignant sur le Programme d</w:t>
      </w:r>
      <w:r w:rsidR="009C022A" w:rsidRPr="00D86941">
        <w:rPr>
          <w:szCs w:val="22"/>
          <w:lang w:val="fr-FR"/>
        </w:rPr>
        <w:t>’</w:t>
      </w:r>
      <w:r w:rsidRPr="00D86941">
        <w:rPr>
          <w:szCs w:val="22"/>
          <w:lang w:val="fr-FR"/>
        </w:rPr>
        <w:t>action mondial pour l</w:t>
      </w:r>
      <w:r w:rsidR="009C022A" w:rsidRPr="00D86941">
        <w:rPr>
          <w:szCs w:val="22"/>
          <w:lang w:val="fr-FR"/>
        </w:rPr>
        <w:t>’</w:t>
      </w:r>
      <w:r w:rsidRPr="00D86941">
        <w:rPr>
          <w:szCs w:val="22"/>
          <w:lang w:val="fr-FR"/>
        </w:rPr>
        <w:t>éducation au service du développement durable, coordonné par l</w:t>
      </w:r>
      <w:r w:rsidR="009C022A" w:rsidRPr="00D86941">
        <w:rPr>
          <w:szCs w:val="22"/>
          <w:lang w:val="fr-FR"/>
        </w:rPr>
        <w:t>’</w:t>
      </w:r>
      <w:r w:rsidRPr="00D86941">
        <w:rPr>
          <w:szCs w:val="22"/>
          <w:lang w:val="fr-FR"/>
        </w:rPr>
        <w:t>Organisation des Nations Unies pour l</w:t>
      </w:r>
      <w:r w:rsidR="009C022A" w:rsidRPr="00D86941">
        <w:rPr>
          <w:szCs w:val="22"/>
          <w:lang w:val="fr-FR"/>
        </w:rPr>
        <w:t>’</w:t>
      </w:r>
      <w:r w:rsidRPr="00D86941">
        <w:rPr>
          <w:szCs w:val="22"/>
          <w:lang w:val="fr-FR"/>
        </w:rPr>
        <w:t>éducation, la science et la culture (UNESCO). Le projet de mandat du Comité directeur pour la période allant de 2016 à 2030 est présenté à l</w:t>
      </w:r>
      <w:r w:rsidR="009C022A" w:rsidRPr="00D86941">
        <w:rPr>
          <w:szCs w:val="22"/>
          <w:lang w:val="fr-FR"/>
        </w:rPr>
        <w:t>’</w:t>
      </w:r>
      <w:r w:rsidRPr="00D86941">
        <w:rPr>
          <w:szCs w:val="22"/>
          <w:lang w:val="fr-FR"/>
        </w:rPr>
        <w:t>annexe II.</w:t>
      </w:r>
    </w:p>
    <w:p w:rsidR="002562D6" w:rsidRPr="00D86941" w:rsidRDefault="00787469" w:rsidP="00F515A8">
      <w:pPr>
        <w:pStyle w:val="SingleTxtG"/>
        <w:numPr>
          <w:ilvl w:val="0"/>
          <w:numId w:val="26"/>
        </w:numPr>
        <w:ind w:left="1134" w:firstLine="0"/>
        <w:rPr>
          <w:szCs w:val="24"/>
        </w:rPr>
      </w:pPr>
      <w:r w:rsidRPr="00D86941">
        <w:rPr>
          <w:szCs w:val="24"/>
        </w:rPr>
        <w:t xml:space="preserve">Lors de la Conférence de Batumi, les </w:t>
      </w:r>
      <w:r w:rsidR="0067315C">
        <w:rPr>
          <w:szCs w:val="24"/>
        </w:rPr>
        <w:t>m</w:t>
      </w:r>
      <w:r w:rsidRPr="00D86941">
        <w:rPr>
          <w:szCs w:val="24"/>
        </w:rPr>
        <w:t>inistres devraient adopter le projet de cadre de mise en œuvre et reconduire le Comité directeur dans ses fonctions afin qu</w:t>
      </w:r>
      <w:r w:rsidR="009C022A" w:rsidRPr="00D86941">
        <w:rPr>
          <w:szCs w:val="24"/>
        </w:rPr>
        <w:t>’</w:t>
      </w:r>
      <w:r w:rsidRPr="00D86941">
        <w:rPr>
          <w:szCs w:val="24"/>
        </w:rPr>
        <w:t>il puisse encadrer l</w:t>
      </w:r>
      <w:r w:rsidR="009C022A" w:rsidRPr="00D86941">
        <w:rPr>
          <w:szCs w:val="24"/>
        </w:rPr>
        <w:t>’</w:t>
      </w:r>
      <w:r w:rsidRPr="00D86941">
        <w:rPr>
          <w:szCs w:val="24"/>
        </w:rPr>
        <w:t>application de la Stratégie, comme cela est énoncé dans son projet de mandat.</w:t>
      </w:r>
    </w:p>
    <w:p w:rsidR="002562D6" w:rsidRDefault="002562D6" w:rsidP="002562D6">
      <w:pPr>
        <w:suppressAutoHyphens w:val="0"/>
        <w:spacing w:line="240" w:lineRule="auto"/>
        <w:rPr>
          <w:spacing w:val="4"/>
          <w:w w:val="103"/>
          <w:kern w:val="14"/>
          <w:szCs w:val="24"/>
        </w:rPr>
      </w:pPr>
      <w:r>
        <w:rPr>
          <w:spacing w:val="4"/>
          <w:w w:val="103"/>
          <w:kern w:val="14"/>
          <w:szCs w:val="24"/>
        </w:rPr>
        <w:br w:type="page"/>
      </w:r>
    </w:p>
    <w:p w:rsidR="002562D6" w:rsidRPr="0068536F" w:rsidRDefault="002562D6" w:rsidP="00F515A8">
      <w:pPr>
        <w:pStyle w:val="HChG"/>
        <w:rPr>
          <w:w w:val="103"/>
        </w:rPr>
      </w:pPr>
      <w:r w:rsidRPr="0068536F">
        <w:rPr>
          <w:w w:val="103"/>
        </w:rPr>
        <w:lastRenderedPageBreak/>
        <w:t>Annexe I</w:t>
      </w:r>
    </w:p>
    <w:p w:rsidR="002562D6" w:rsidRPr="00B01220" w:rsidRDefault="00F515A8" w:rsidP="00F515A8">
      <w:pPr>
        <w:pStyle w:val="HChG"/>
        <w:rPr>
          <w:w w:val="103"/>
        </w:rPr>
      </w:pPr>
      <w:r>
        <w:rPr>
          <w:w w:val="103"/>
        </w:rPr>
        <w:tab/>
      </w:r>
      <w:r>
        <w:rPr>
          <w:w w:val="103"/>
        </w:rPr>
        <w:tab/>
      </w:r>
      <w:r w:rsidR="002562D6" w:rsidRPr="002241A2">
        <w:rPr>
          <w:w w:val="103"/>
        </w:rPr>
        <w:t>Projet de cadre de mise en œuvre de la Stratégie de la CEE en vue du développement durable (2016-</w:t>
      </w:r>
      <w:r w:rsidR="002562D6" w:rsidRPr="009D49E2">
        <w:rPr>
          <w:w w:val="103"/>
        </w:rPr>
        <w:t>2030</w:t>
      </w:r>
      <w:r w:rsidR="002562D6" w:rsidRPr="002241A2">
        <w:rPr>
          <w:w w:val="103"/>
        </w:rPr>
        <w:t>)</w:t>
      </w:r>
    </w:p>
    <w:p w:rsidR="002562D6" w:rsidRDefault="00F515A8" w:rsidP="009C022A">
      <w:pPr>
        <w:pStyle w:val="HChG"/>
        <w:rPr>
          <w:w w:val="103"/>
        </w:rPr>
      </w:pPr>
      <w:r>
        <w:rPr>
          <w:w w:val="103"/>
        </w:rPr>
        <w:tab/>
        <w:t>I</w:t>
      </w:r>
      <w:r w:rsidR="002562D6" w:rsidRPr="00394B02">
        <w:rPr>
          <w:w w:val="103"/>
        </w:rPr>
        <w:t>.</w:t>
      </w:r>
      <w:r w:rsidR="002562D6">
        <w:rPr>
          <w:w w:val="103"/>
        </w:rPr>
        <w:tab/>
      </w:r>
      <w:r w:rsidR="002562D6" w:rsidRPr="00394B02">
        <w:rPr>
          <w:w w:val="103"/>
        </w:rPr>
        <w:t xml:space="preserve">Progrès accomplis et difficultés rencontrées dans la mise </w:t>
      </w:r>
      <w:r w:rsidR="009C022A">
        <w:br/>
      </w:r>
      <w:r w:rsidR="002562D6" w:rsidRPr="00394B02">
        <w:rPr>
          <w:w w:val="103"/>
        </w:rPr>
        <w:t>en œuvre de la Stratégie</w:t>
      </w:r>
    </w:p>
    <w:p w:rsidR="00453B9A" w:rsidRPr="00D86941" w:rsidRDefault="00453B9A" w:rsidP="00453B9A">
      <w:pPr>
        <w:pStyle w:val="SingleTxtG"/>
        <w:numPr>
          <w:ilvl w:val="0"/>
          <w:numId w:val="33"/>
        </w:numPr>
        <w:ind w:left="1134" w:firstLine="0"/>
        <w:rPr>
          <w:szCs w:val="24"/>
          <w:lang w:val="fr-FR"/>
        </w:rPr>
      </w:pPr>
      <w:r w:rsidRPr="00D86941">
        <w:rPr>
          <w:szCs w:val="24"/>
          <w:lang w:val="fr-FR"/>
        </w:rPr>
        <w:t>Les progrès accomplis ces dix dernières années par les États membres de la Commission économique pour l</w:t>
      </w:r>
      <w:r w:rsidR="009C022A" w:rsidRPr="00D86941">
        <w:rPr>
          <w:szCs w:val="24"/>
          <w:lang w:val="fr-FR"/>
        </w:rPr>
        <w:t>’</w:t>
      </w:r>
      <w:r w:rsidRPr="00D86941">
        <w:rPr>
          <w:szCs w:val="24"/>
          <w:lang w:val="fr-FR"/>
        </w:rPr>
        <w:t>Europe (CEE) ont beaucoup contribué à la Décennie des Nations Unies pour l</w:t>
      </w:r>
      <w:r w:rsidR="009C022A" w:rsidRPr="00D86941">
        <w:rPr>
          <w:szCs w:val="24"/>
          <w:lang w:val="fr-FR"/>
        </w:rPr>
        <w:t>’</w:t>
      </w:r>
      <w:r w:rsidRPr="00D86941">
        <w:rPr>
          <w:szCs w:val="24"/>
          <w:lang w:val="fr-FR"/>
        </w:rPr>
        <w:t>éducation au service du développement durable (2005-2014) et ont fait gagner du terrain à l</w:t>
      </w:r>
      <w:r w:rsidR="009C022A" w:rsidRPr="00D86941">
        <w:rPr>
          <w:szCs w:val="24"/>
          <w:lang w:val="fr-FR"/>
        </w:rPr>
        <w:t>’</w:t>
      </w:r>
      <w:r w:rsidRPr="00D86941">
        <w:rPr>
          <w:szCs w:val="24"/>
          <w:lang w:val="fr-FR"/>
        </w:rPr>
        <w:t>idée que les systèmes éducatifs devaient répondre aux problèmes sociaux, environnementaux et économiques</w:t>
      </w:r>
      <w:r w:rsidR="004E668B" w:rsidRPr="00D86941">
        <w:rPr>
          <w:szCs w:val="24"/>
          <w:lang w:val="fr-FR"/>
        </w:rPr>
        <w:t xml:space="preserve"> </w:t>
      </w:r>
      <w:r w:rsidRPr="00D86941">
        <w:rPr>
          <w:szCs w:val="24"/>
          <w:lang w:val="fr-FR"/>
        </w:rPr>
        <w:t>dans les initiatives mondiales menées dans le domaine de l</w:t>
      </w:r>
      <w:r w:rsidR="009C022A" w:rsidRPr="00D86941">
        <w:rPr>
          <w:szCs w:val="24"/>
          <w:lang w:val="fr-FR"/>
        </w:rPr>
        <w:t>’</w:t>
      </w:r>
      <w:r w:rsidRPr="00D86941">
        <w:rPr>
          <w:szCs w:val="24"/>
          <w:lang w:val="fr-FR"/>
        </w:rPr>
        <w:t>éducation. Le troisième rapport d</w:t>
      </w:r>
      <w:r w:rsidR="009C022A" w:rsidRPr="00D86941">
        <w:rPr>
          <w:szCs w:val="24"/>
          <w:lang w:val="fr-FR"/>
        </w:rPr>
        <w:t>’</w:t>
      </w:r>
      <w:r w:rsidRPr="00D86941">
        <w:rPr>
          <w:szCs w:val="24"/>
          <w:lang w:val="fr-FR"/>
        </w:rPr>
        <w:t>évaluation de la Stratégie (ECE/CEP/AC.13/2016/3)</w:t>
      </w:r>
      <w:r w:rsidRPr="00D86941">
        <w:rPr>
          <w:rStyle w:val="Appelnotedebasdep"/>
        </w:rPr>
        <w:footnoteReference w:id="2"/>
      </w:r>
      <w:r w:rsidRPr="00D86941">
        <w:rPr>
          <w:szCs w:val="24"/>
          <w:lang w:val="fr-FR"/>
        </w:rPr>
        <w:t xml:space="preserve"> a abouti à cinq grandes conclusions :</w:t>
      </w:r>
    </w:p>
    <w:p w:rsidR="00453B9A" w:rsidRPr="00D86941" w:rsidRDefault="00453B9A" w:rsidP="00453B9A">
      <w:pPr>
        <w:pStyle w:val="SingleTxtG"/>
        <w:ind w:firstLine="567"/>
        <w:rPr>
          <w:lang w:val="fr-FR"/>
        </w:rPr>
      </w:pPr>
      <w:r w:rsidRPr="00D86941">
        <w:rPr>
          <w:lang w:val="fr-FR"/>
        </w:rPr>
        <w:t>a)</w:t>
      </w:r>
      <w:r w:rsidRPr="00D86941">
        <w:rPr>
          <w:lang w:val="fr-FR"/>
        </w:rPr>
        <w:tab/>
        <w:t>L</w:t>
      </w:r>
      <w:r w:rsidR="009C022A" w:rsidRPr="00D86941">
        <w:rPr>
          <w:lang w:val="fr-FR"/>
        </w:rPr>
        <w:t>’</w:t>
      </w:r>
      <w:r w:rsidRPr="00D86941">
        <w:rPr>
          <w:lang w:val="fr-FR"/>
        </w:rPr>
        <w:t>esprit d</w:t>
      </w:r>
      <w:r w:rsidR="009C022A" w:rsidRPr="00D86941">
        <w:rPr>
          <w:lang w:val="fr-FR"/>
        </w:rPr>
        <w:t>’</w:t>
      </w:r>
      <w:r w:rsidRPr="00D86941">
        <w:rPr>
          <w:lang w:val="fr-FR"/>
        </w:rPr>
        <w:t>initiative et la volonté politique ont joué un rôle déterminant dans la réussite de la Stratégie;</w:t>
      </w:r>
    </w:p>
    <w:p w:rsidR="00453B9A" w:rsidRPr="00D86941" w:rsidRDefault="00453B9A" w:rsidP="00453B9A">
      <w:pPr>
        <w:pStyle w:val="SingleTxtG"/>
        <w:ind w:firstLine="567"/>
        <w:rPr>
          <w:lang w:val="fr-FR"/>
        </w:rPr>
      </w:pPr>
      <w:r w:rsidRPr="00D86941">
        <w:rPr>
          <w:lang w:val="fr-FR"/>
        </w:rPr>
        <w:t>b)</w:t>
      </w:r>
      <w:r w:rsidRPr="00D86941">
        <w:rPr>
          <w:lang w:val="fr-FR"/>
        </w:rPr>
        <w:tab/>
        <w:t>Dans le cadre de la Stratégie, des avancées importantes ont été réalisées en ce qui concerne l</w:t>
      </w:r>
      <w:r w:rsidR="009C022A" w:rsidRPr="00D86941">
        <w:rPr>
          <w:lang w:val="fr-FR"/>
        </w:rPr>
        <w:t>’</w:t>
      </w:r>
      <w:r w:rsidRPr="00D86941">
        <w:rPr>
          <w:lang w:val="fr-FR"/>
        </w:rPr>
        <w:t>intégration des politiques, les programmes d</w:t>
      </w:r>
      <w:r w:rsidR="009C022A" w:rsidRPr="00D86941">
        <w:rPr>
          <w:lang w:val="fr-FR"/>
        </w:rPr>
        <w:t>’</w:t>
      </w:r>
      <w:r w:rsidRPr="00D86941">
        <w:rPr>
          <w:lang w:val="fr-FR"/>
        </w:rPr>
        <w:t>études, les outils et les ressources, et le réseautage ;</w:t>
      </w:r>
    </w:p>
    <w:p w:rsidR="00453B9A" w:rsidRPr="00D86941" w:rsidRDefault="00453B9A" w:rsidP="00453B9A">
      <w:pPr>
        <w:pStyle w:val="SingleTxtG"/>
        <w:ind w:firstLine="567"/>
        <w:rPr>
          <w:lang w:val="fr-FR"/>
        </w:rPr>
      </w:pPr>
      <w:r w:rsidRPr="00D86941">
        <w:rPr>
          <w:lang w:val="fr-FR"/>
        </w:rPr>
        <w:t>c)</w:t>
      </w:r>
      <w:r w:rsidRPr="00D86941">
        <w:rPr>
          <w:lang w:val="fr-FR"/>
        </w:rPr>
        <w:tab/>
        <w:t>Malgré de nets progrès, les connaissances, les compétences et les valeurs relatives au développement durable ne sont pas encore pleinement prises en considération à tous les niveaux et dans tous les types d</w:t>
      </w:r>
      <w:r w:rsidR="009C022A" w:rsidRPr="00D86941">
        <w:rPr>
          <w:lang w:val="fr-FR"/>
        </w:rPr>
        <w:t>’</w:t>
      </w:r>
      <w:r w:rsidRPr="00D86941">
        <w:rPr>
          <w:lang w:val="fr-FR"/>
        </w:rPr>
        <w:t>enseignement ;</w:t>
      </w:r>
    </w:p>
    <w:p w:rsidR="00453B9A" w:rsidRPr="00D86941" w:rsidRDefault="00453B9A" w:rsidP="00453B9A">
      <w:pPr>
        <w:pStyle w:val="SingleTxtG"/>
        <w:ind w:firstLine="567"/>
        <w:rPr>
          <w:lang w:val="fr-FR"/>
        </w:rPr>
      </w:pPr>
      <w:r w:rsidRPr="00D86941">
        <w:t>d)</w:t>
      </w:r>
      <w:r w:rsidRPr="00D86941">
        <w:tab/>
      </w:r>
      <w:r w:rsidRPr="00D86941">
        <w:rPr>
          <w:lang w:val="fr-FR"/>
        </w:rPr>
        <w:t>Les trois priorités de la troisième phase de mise en œuvre s</w:t>
      </w:r>
      <w:r w:rsidR="009C022A" w:rsidRPr="00D86941">
        <w:rPr>
          <w:lang w:val="fr-FR"/>
        </w:rPr>
        <w:t>’</w:t>
      </w:r>
      <w:r w:rsidRPr="00D86941">
        <w:rPr>
          <w:lang w:val="fr-FR"/>
        </w:rPr>
        <w:t>avèrent des passages délicats, mais obligés, pour transformer le système dans son ensemble ;</w:t>
      </w:r>
    </w:p>
    <w:p w:rsidR="00453B9A" w:rsidRPr="00D86941" w:rsidRDefault="00453B9A" w:rsidP="00453B9A">
      <w:pPr>
        <w:pStyle w:val="SingleTxtG"/>
        <w:ind w:firstLine="567"/>
        <w:rPr>
          <w:b/>
          <w:lang w:val="fr-FR"/>
        </w:rPr>
      </w:pPr>
      <w:r w:rsidRPr="00D86941">
        <w:rPr>
          <w:lang w:val="fr-FR"/>
        </w:rPr>
        <w:t>e)</w:t>
      </w:r>
      <w:r w:rsidRPr="00D86941">
        <w:rPr>
          <w:lang w:val="fr-FR"/>
        </w:rPr>
        <w:tab/>
        <w:t>L</w:t>
      </w:r>
      <w:r w:rsidR="009C022A" w:rsidRPr="00D86941">
        <w:rPr>
          <w:lang w:val="fr-FR"/>
        </w:rPr>
        <w:t>’</w:t>
      </w:r>
      <w:r w:rsidRPr="00D86941">
        <w:rPr>
          <w:lang w:val="fr-FR"/>
        </w:rPr>
        <w:t>idée que l</w:t>
      </w:r>
      <w:r w:rsidR="009C022A" w:rsidRPr="00D86941">
        <w:rPr>
          <w:lang w:val="fr-FR"/>
        </w:rPr>
        <w:t>’</w:t>
      </w:r>
      <w:r w:rsidRPr="00D86941">
        <w:rPr>
          <w:lang w:val="fr-FR"/>
        </w:rPr>
        <w:t>éducation au développement durable est au cœur du projet éducatif fait son chemin, mais elle doit encore s</w:t>
      </w:r>
      <w:r w:rsidR="009C022A" w:rsidRPr="00D86941">
        <w:rPr>
          <w:lang w:val="fr-FR"/>
        </w:rPr>
        <w:t>’</w:t>
      </w:r>
      <w:r w:rsidRPr="00D86941">
        <w:rPr>
          <w:lang w:val="fr-FR"/>
        </w:rPr>
        <w:t>enraciner pleinement dans tous les États membres.</w:t>
      </w:r>
    </w:p>
    <w:p w:rsidR="00453B9A" w:rsidRPr="002D3629" w:rsidRDefault="00453B9A" w:rsidP="00453B9A">
      <w:pPr>
        <w:pStyle w:val="H1G"/>
        <w:rPr>
          <w:w w:val="103"/>
        </w:rPr>
      </w:pPr>
      <w:r>
        <w:rPr>
          <w:w w:val="103"/>
        </w:rPr>
        <w:tab/>
      </w:r>
      <w:r w:rsidRPr="00417B43">
        <w:rPr>
          <w:w w:val="103"/>
        </w:rPr>
        <w:t>A.</w:t>
      </w:r>
      <w:r w:rsidRPr="00417B43">
        <w:rPr>
          <w:w w:val="103"/>
        </w:rPr>
        <w:tab/>
        <w:t>Il faut renforcer et maintenir l</w:t>
      </w:r>
      <w:r w:rsidR="009C022A">
        <w:rPr>
          <w:w w:val="103"/>
        </w:rPr>
        <w:t>’</w:t>
      </w:r>
      <w:r w:rsidRPr="00417B43">
        <w:rPr>
          <w:w w:val="103"/>
        </w:rPr>
        <w:t>esprit d</w:t>
      </w:r>
      <w:r w:rsidR="009C022A">
        <w:rPr>
          <w:w w:val="103"/>
        </w:rPr>
        <w:t>’</w:t>
      </w:r>
      <w:r w:rsidRPr="00417B43">
        <w:rPr>
          <w:w w:val="103"/>
        </w:rPr>
        <w:t xml:space="preserve">initiative </w:t>
      </w:r>
      <w:r w:rsidR="00147622">
        <w:rPr>
          <w:w w:val="103"/>
        </w:rPr>
        <w:br/>
      </w:r>
      <w:r w:rsidRPr="00417B43">
        <w:rPr>
          <w:w w:val="103"/>
        </w:rPr>
        <w:t>et la volonté politique</w:t>
      </w:r>
    </w:p>
    <w:p w:rsidR="00453B9A" w:rsidRPr="00D86941" w:rsidRDefault="00453B9A" w:rsidP="00CF4876">
      <w:pPr>
        <w:pStyle w:val="SingleTxtG"/>
        <w:numPr>
          <w:ilvl w:val="0"/>
          <w:numId w:val="33"/>
        </w:numPr>
        <w:ind w:left="1134" w:firstLine="0"/>
        <w:rPr>
          <w:szCs w:val="24"/>
          <w:lang w:val="fr-FR"/>
        </w:rPr>
      </w:pPr>
      <w:r w:rsidRPr="00D86941">
        <w:rPr>
          <w:szCs w:val="24"/>
          <w:lang w:val="fr-FR"/>
        </w:rPr>
        <w:t>Pendant la période de mise en</w:t>
      </w:r>
      <w:r w:rsidR="0067315C">
        <w:rPr>
          <w:szCs w:val="24"/>
          <w:lang w:val="fr-FR"/>
        </w:rPr>
        <w:t xml:space="preserve"> œuvre de la Stratégie allant de </w:t>
      </w:r>
      <w:r w:rsidRPr="00D86941">
        <w:rPr>
          <w:szCs w:val="24"/>
          <w:lang w:val="fr-FR"/>
        </w:rPr>
        <w:t>2005 à 2015, presque tous les États membres de la CEE ont contribué</w:t>
      </w:r>
      <w:r w:rsidR="0067315C">
        <w:rPr>
          <w:szCs w:val="24"/>
          <w:lang w:val="fr-FR"/>
        </w:rPr>
        <w:t>,</w:t>
      </w:r>
      <w:r w:rsidR="004E668B" w:rsidRPr="00D86941">
        <w:rPr>
          <w:szCs w:val="24"/>
          <w:lang w:val="fr-FR"/>
        </w:rPr>
        <w:t xml:space="preserve"> </w:t>
      </w:r>
      <w:r w:rsidRPr="00D86941">
        <w:rPr>
          <w:szCs w:val="24"/>
          <w:lang w:val="fr-FR"/>
        </w:rPr>
        <w:t>dans une plus ou moins large mesur</w:t>
      </w:r>
      <w:r w:rsidR="004E668B" w:rsidRPr="00D86941">
        <w:rPr>
          <w:szCs w:val="24"/>
          <w:lang w:val="fr-FR"/>
        </w:rPr>
        <w:t>e</w:t>
      </w:r>
      <w:r w:rsidR="0067315C">
        <w:rPr>
          <w:szCs w:val="24"/>
          <w:lang w:val="fr-FR"/>
        </w:rPr>
        <w:t>,</w:t>
      </w:r>
      <w:r w:rsidR="004E668B" w:rsidRPr="00D86941">
        <w:rPr>
          <w:szCs w:val="24"/>
          <w:lang w:val="fr-FR"/>
        </w:rPr>
        <w:t xml:space="preserve"> </w:t>
      </w:r>
      <w:r w:rsidRPr="00D86941">
        <w:rPr>
          <w:szCs w:val="24"/>
          <w:lang w:val="fr-FR"/>
        </w:rPr>
        <w:t>à faire progresser l</w:t>
      </w:r>
      <w:r w:rsidR="009C022A" w:rsidRPr="00D86941">
        <w:rPr>
          <w:szCs w:val="24"/>
          <w:lang w:val="fr-FR"/>
        </w:rPr>
        <w:t>’</w:t>
      </w:r>
      <w:r w:rsidRPr="00D86941">
        <w:rPr>
          <w:szCs w:val="24"/>
          <w:lang w:val="fr-FR"/>
        </w:rPr>
        <w:t>EDD, avec l</w:t>
      </w:r>
      <w:r w:rsidR="009C022A" w:rsidRPr="00D86941">
        <w:rPr>
          <w:szCs w:val="24"/>
          <w:lang w:val="fr-FR"/>
        </w:rPr>
        <w:t>’</w:t>
      </w:r>
      <w:r w:rsidRPr="00D86941">
        <w:rPr>
          <w:szCs w:val="24"/>
          <w:lang w:val="fr-FR"/>
        </w:rPr>
        <w:t>approbation et le soutien de leurs responsables politiques et administratifs. Plus de</w:t>
      </w:r>
      <w:r w:rsidR="004E668B" w:rsidRPr="00D86941">
        <w:rPr>
          <w:szCs w:val="24"/>
          <w:lang w:val="fr-FR"/>
        </w:rPr>
        <w:t xml:space="preserve"> </w:t>
      </w:r>
      <w:r w:rsidRPr="00D86941">
        <w:rPr>
          <w:szCs w:val="24"/>
          <w:lang w:val="fr-FR"/>
        </w:rPr>
        <w:t>91 % des</w:t>
      </w:r>
      <w:r w:rsidR="004E668B" w:rsidRPr="00D86941">
        <w:rPr>
          <w:szCs w:val="24"/>
          <w:lang w:val="fr-FR"/>
        </w:rPr>
        <w:t xml:space="preserve"> </w:t>
      </w:r>
      <w:r w:rsidRPr="00D86941">
        <w:rPr>
          <w:szCs w:val="24"/>
          <w:lang w:val="fr-FR"/>
        </w:rPr>
        <w:t>56 États membres ont rendu compte officiellement ou officieusement à la CEE et/ou à l</w:t>
      </w:r>
      <w:r w:rsidR="009C022A" w:rsidRPr="00D86941">
        <w:rPr>
          <w:szCs w:val="24"/>
          <w:lang w:val="fr-FR"/>
        </w:rPr>
        <w:t>’</w:t>
      </w:r>
      <w:r w:rsidRPr="00D86941">
        <w:rPr>
          <w:szCs w:val="24"/>
          <w:lang w:val="fr-FR"/>
        </w:rPr>
        <w:t>UNESCO de leurs activités visant à promouvoir le rôle de l</w:t>
      </w:r>
      <w:r w:rsidR="009C022A" w:rsidRPr="00D86941">
        <w:rPr>
          <w:szCs w:val="24"/>
          <w:lang w:val="fr-FR"/>
        </w:rPr>
        <w:t>’</w:t>
      </w:r>
      <w:r w:rsidRPr="00D86941">
        <w:rPr>
          <w:szCs w:val="24"/>
          <w:lang w:val="fr-FR"/>
        </w:rPr>
        <w:t>éducation dans une optique de durabilité. En outre, deux tiers des États membres ont indiqué leur intérêt et l</w:t>
      </w:r>
      <w:r w:rsidR="009C022A" w:rsidRPr="00D86941">
        <w:rPr>
          <w:szCs w:val="24"/>
          <w:lang w:val="fr-FR"/>
        </w:rPr>
        <w:t>’</w:t>
      </w:r>
      <w:r w:rsidRPr="00D86941">
        <w:rPr>
          <w:szCs w:val="24"/>
          <w:lang w:val="fr-FR"/>
        </w:rPr>
        <w:t>intention qui était la leur de continuer d</w:t>
      </w:r>
      <w:r w:rsidR="009C022A" w:rsidRPr="00D86941">
        <w:rPr>
          <w:szCs w:val="24"/>
          <w:lang w:val="fr-FR"/>
        </w:rPr>
        <w:t>’</w:t>
      </w:r>
      <w:r w:rsidRPr="00D86941">
        <w:rPr>
          <w:szCs w:val="24"/>
          <w:lang w:val="fr-FR"/>
        </w:rPr>
        <w:t>œuvrer pour la pleine application de l</w:t>
      </w:r>
      <w:r w:rsidR="009C022A" w:rsidRPr="00D86941">
        <w:rPr>
          <w:szCs w:val="24"/>
          <w:lang w:val="fr-FR"/>
        </w:rPr>
        <w:t>’</w:t>
      </w:r>
      <w:r w:rsidRPr="00D86941">
        <w:rPr>
          <w:szCs w:val="24"/>
          <w:lang w:val="fr-FR"/>
        </w:rPr>
        <w:t>EDD. Grâce à l</w:t>
      </w:r>
      <w:r w:rsidR="009C022A" w:rsidRPr="00D86941">
        <w:rPr>
          <w:szCs w:val="24"/>
          <w:lang w:val="fr-FR"/>
        </w:rPr>
        <w:t>’</w:t>
      </w:r>
      <w:r w:rsidRPr="00D86941">
        <w:rPr>
          <w:szCs w:val="24"/>
          <w:lang w:val="fr-FR"/>
        </w:rPr>
        <w:t>esprit d</w:t>
      </w:r>
      <w:r w:rsidR="009C022A" w:rsidRPr="00D86941">
        <w:rPr>
          <w:szCs w:val="24"/>
          <w:lang w:val="fr-FR"/>
        </w:rPr>
        <w:t>’</w:t>
      </w:r>
      <w:r w:rsidRPr="00D86941">
        <w:rPr>
          <w:szCs w:val="24"/>
          <w:lang w:val="fr-FR"/>
        </w:rPr>
        <w:t>initiative et à la volonté de leurs responsables politiques, les États membres ont été en mesure de tenir leurs engagements en faveur de l</w:t>
      </w:r>
      <w:r w:rsidR="009C022A" w:rsidRPr="00D86941">
        <w:rPr>
          <w:szCs w:val="24"/>
          <w:lang w:val="fr-FR"/>
        </w:rPr>
        <w:t>’</w:t>
      </w:r>
      <w:r w:rsidRPr="00D86941">
        <w:rPr>
          <w:szCs w:val="24"/>
          <w:lang w:val="fr-FR"/>
        </w:rPr>
        <w:t>EDD. Il faudrait veiller à ce que les changements touchant les gouvernements ne compromettent pas la continuité et le niveau de la mise en œuvre</w:t>
      </w:r>
      <w:r w:rsidR="004E668B" w:rsidRPr="00D86941">
        <w:rPr>
          <w:szCs w:val="24"/>
          <w:lang w:val="fr-FR"/>
        </w:rPr>
        <w:t>.</w:t>
      </w:r>
    </w:p>
    <w:p w:rsidR="00453B9A" w:rsidRPr="00A518E8" w:rsidRDefault="004E668B" w:rsidP="004E668B">
      <w:pPr>
        <w:pStyle w:val="H1G"/>
        <w:rPr>
          <w:w w:val="103"/>
          <w:lang w:val="fr-FR"/>
        </w:rPr>
      </w:pPr>
      <w:r>
        <w:rPr>
          <w:w w:val="103"/>
          <w:lang w:val="fr-FR"/>
        </w:rPr>
        <w:lastRenderedPageBreak/>
        <w:tab/>
      </w:r>
      <w:r w:rsidR="00453B9A" w:rsidRPr="00A518E8">
        <w:rPr>
          <w:w w:val="103"/>
          <w:lang w:val="fr-FR"/>
        </w:rPr>
        <w:t>B.</w:t>
      </w:r>
      <w:r w:rsidR="00453B9A" w:rsidRPr="00A518E8">
        <w:rPr>
          <w:w w:val="103"/>
          <w:lang w:val="fr-FR"/>
        </w:rPr>
        <w:tab/>
      </w:r>
      <w:r w:rsidR="00453B9A" w:rsidRPr="00D86941">
        <w:rPr>
          <w:rFonts w:ascii="Times New Roman Gras" w:hAnsi="Times New Roman Gras"/>
          <w:lang w:val="fr-FR"/>
        </w:rPr>
        <w:t>Des progrès ont été accomplis en ce qui concerne l</w:t>
      </w:r>
      <w:r w:rsidR="009C022A" w:rsidRPr="00D86941">
        <w:rPr>
          <w:rFonts w:ascii="Times New Roman Gras" w:hAnsi="Times New Roman Gras"/>
          <w:lang w:val="fr-FR"/>
        </w:rPr>
        <w:t>’</w:t>
      </w:r>
      <w:r w:rsidR="00453B9A" w:rsidRPr="00D86941">
        <w:rPr>
          <w:rFonts w:ascii="Times New Roman Gras" w:hAnsi="Times New Roman Gras"/>
          <w:lang w:val="fr-FR"/>
        </w:rPr>
        <w:t xml:space="preserve">intégration </w:t>
      </w:r>
      <w:r w:rsidRPr="00D86941">
        <w:rPr>
          <w:rFonts w:ascii="Times New Roman Gras" w:hAnsi="Times New Roman Gras"/>
          <w:lang w:val="fr-FR"/>
        </w:rPr>
        <w:br/>
      </w:r>
      <w:r w:rsidR="00453B9A" w:rsidRPr="00D86941">
        <w:rPr>
          <w:rFonts w:ascii="Times New Roman Gras" w:hAnsi="Times New Roman Gras"/>
          <w:lang w:val="fr-FR"/>
        </w:rPr>
        <w:t>des politiques, les programmes d</w:t>
      </w:r>
      <w:r w:rsidR="009C022A" w:rsidRPr="00D86941">
        <w:rPr>
          <w:rFonts w:ascii="Times New Roman Gras" w:hAnsi="Times New Roman Gras"/>
          <w:lang w:val="fr-FR"/>
        </w:rPr>
        <w:t>’</w:t>
      </w:r>
      <w:r w:rsidR="00453B9A" w:rsidRPr="00D86941">
        <w:rPr>
          <w:rFonts w:ascii="Times New Roman Gras" w:hAnsi="Times New Roman Gras"/>
          <w:lang w:val="fr-FR"/>
        </w:rPr>
        <w:t xml:space="preserve">études, les outils </w:t>
      </w:r>
      <w:r w:rsidRPr="00D86941">
        <w:rPr>
          <w:rFonts w:ascii="Times New Roman Gras" w:hAnsi="Times New Roman Gras"/>
          <w:lang w:val="fr-FR"/>
        </w:rPr>
        <w:br/>
      </w:r>
      <w:r w:rsidR="00453B9A" w:rsidRPr="00D86941">
        <w:rPr>
          <w:rFonts w:ascii="Times New Roman Gras" w:hAnsi="Times New Roman Gras"/>
          <w:lang w:val="fr-FR"/>
        </w:rPr>
        <w:t>et les ressources, et le réseautage</w:t>
      </w:r>
    </w:p>
    <w:p w:rsidR="00453B9A" w:rsidRPr="00D86941" w:rsidRDefault="00453B9A" w:rsidP="00CF4876">
      <w:pPr>
        <w:pStyle w:val="SingleTxtG"/>
        <w:numPr>
          <w:ilvl w:val="0"/>
          <w:numId w:val="33"/>
        </w:numPr>
        <w:ind w:left="1134" w:firstLine="0"/>
        <w:rPr>
          <w:szCs w:val="24"/>
        </w:rPr>
      </w:pPr>
      <w:r w:rsidRPr="00D86941">
        <w:rPr>
          <w:szCs w:val="24"/>
          <w:lang w:val="fr-FR"/>
        </w:rPr>
        <w:t>Aujourd</w:t>
      </w:r>
      <w:r w:rsidR="009C022A" w:rsidRPr="00D86941">
        <w:rPr>
          <w:szCs w:val="24"/>
          <w:lang w:val="fr-FR"/>
        </w:rPr>
        <w:t>’</w:t>
      </w:r>
      <w:r w:rsidRPr="00D86941">
        <w:rPr>
          <w:szCs w:val="24"/>
          <w:lang w:val="fr-FR"/>
        </w:rPr>
        <w:t>hui, plus de 90 % des États membres ayant présenté des rapports font figurer l</w:t>
      </w:r>
      <w:r w:rsidR="009C022A" w:rsidRPr="00D86941">
        <w:rPr>
          <w:szCs w:val="24"/>
          <w:lang w:val="fr-FR"/>
        </w:rPr>
        <w:t>’</w:t>
      </w:r>
      <w:r w:rsidRPr="00D86941">
        <w:rPr>
          <w:szCs w:val="24"/>
          <w:lang w:val="fr-FR"/>
        </w:rPr>
        <w:t>EDD dans leurs documents d</w:t>
      </w:r>
      <w:r w:rsidR="009C022A" w:rsidRPr="00D86941">
        <w:rPr>
          <w:szCs w:val="24"/>
          <w:lang w:val="fr-FR"/>
        </w:rPr>
        <w:t>’</w:t>
      </w:r>
      <w:r w:rsidRPr="00D86941">
        <w:rPr>
          <w:szCs w:val="24"/>
          <w:lang w:val="fr-FR"/>
        </w:rPr>
        <w:t>orientation de la politique d</w:t>
      </w:r>
      <w:r w:rsidR="009C022A" w:rsidRPr="00D86941">
        <w:rPr>
          <w:szCs w:val="24"/>
          <w:lang w:val="fr-FR"/>
        </w:rPr>
        <w:t>’</w:t>
      </w:r>
      <w:r w:rsidRPr="00D86941">
        <w:rPr>
          <w:szCs w:val="24"/>
          <w:lang w:val="fr-FR"/>
        </w:rPr>
        <w:t>éducation nationale, et 89 % considèrent que l</w:t>
      </w:r>
      <w:r w:rsidR="009C022A" w:rsidRPr="00D86941">
        <w:rPr>
          <w:szCs w:val="24"/>
          <w:lang w:val="fr-FR"/>
        </w:rPr>
        <w:t>’</w:t>
      </w:r>
      <w:r w:rsidRPr="00D86941">
        <w:rPr>
          <w:szCs w:val="24"/>
          <w:lang w:val="fr-FR"/>
        </w:rPr>
        <w:t>éducation s</w:t>
      </w:r>
      <w:r w:rsidR="009C022A" w:rsidRPr="00D86941">
        <w:rPr>
          <w:szCs w:val="24"/>
          <w:lang w:val="fr-FR"/>
        </w:rPr>
        <w:t>’</w:t>
      </w:r>
      <w:r w:rsidRPr="00D86941">
        <w:rPr>
          <w:szCs w:val="24"/>
          <w:lang w:val="fr-FR"/>
        </w:rPr>
        <w:t>inscrit dans leurs politiques et leurs plans en matière de développement durable. Dans 84 %</w:t>
      </w:r>
      <w:r w:rsidR="004E668B" w:rsidRPr="00D86941">
        <w:rPr>
          <w:szCs w:val="24"/>
          <w:lang w:val="fr-FR"/>
        </w:rPr>
        <w:t xml:space="preserve"> </w:t>
      </w:r>
      <w:r w:rsidRPr="00D86941">
        <w:rPr>
          <w:szCs w:val="24"/>
          <w:lang w:val="fr-FR"/>
        </w:rPr>
        <w:t>des États membres</w:t>
      </w:r>
      <w:r w:rsidR="004E668B" w:rsidRPr="00D86941">
        <w:rPr>
          <w:szCs w:val="24"/>
          <w:lang w:val="fr-FR"/>
        </w:rPr>
        <w:t xml:space="preserve"> </w:t>
      </w:r>
      <w:r w:rsidRPr="00D86941">
        <w:rPr>
          <w:szCs w:val="24"/>
          <w:lang w:val="fr-FR"/>
        </w:rPr>
        <w:t>l</w:t>
      </w:r>
      <w:r w:rsidR="009C022A" w:rsidRPr="00D86941">
        <w:rPr>
          <w:szCs w:val="24"/>
          <w:lang w:val="fr-FR"/>
        </w:rPr>
        <w:t>’</w:t>
      </w:r>
      <w:r w:rsidRPr="00D86941">
        <w:rPr>
          <w:szCs w:val="24"/>
          <w:lang w:val="fr-FR"/>
        </w:rPr>
        <w:t>EDD a été incorporée aux programmes d</w:t>
      </w:r>
      <w:r w:rsidR="009C022A" w:rsidRPr="00D86941">
        <w:rPr>
          <w:szCs w:val="24"/>
          <w:lang w:val="fr-FR"/>
        </w:rPr>
        <w:t>’</w:t>
      </w:r>
      <w:r w:rsidRPr="00D86941">
        <w:rPr>
          <w:szCs w:val="24"/>
          <w:lang w:val="fr-FR"/>
        </w:rPr>
        <w:t>études, principalement dans l</w:t>
      </w:r>
      <w:r w:rsidR="009C022A" w:rsidRPr="00D86941">
        <w:rPr>
          <w:szCs w:val="24"/>
          <w:lang w:val="fr-FR"/>
        </w:rPr>
        <w:t>’</w:t>
      </w:r>
      <w:r w:rsidRPr="00D86941">
        <w:rPr>
          <w:szCs w:val="24"/>
          <w:lang w:val="fr-FR"/>
        </w:rPr>
        <w:t>enseignement primaire et dans l</w:t>
      </w:r>
      <w:r w:rsidR="009C022A" w:rsidRPr="00D86941">
        <w:rPr>
          <w:szCs w:val="24"/>
          <w:lang w:val="fr-FR"/>
        </w:rPr>
        <w:t>’</w:t>
      </w:r>
      <w:r w:rsidRPr="00D86941">
        <w:rPr>
          <w:szCs w:val="24"/>
          <w:lang w:val="fr-FR"/>
        </w:rPr>
        <w:t>enseignement secondaire (premier et deuxième cycles). Si les questions environnementales restent celles qui retiennent le plus l</w:t>
      </w:r>
      <w:r w:rsidR="009C022A" w:rsidRPr="00D86941">
        <w:rPr>
          <w:szCs w:val="24"/>
          <w:lang w:val="fr-FR"/>
        </w:rPr>
        <w:t>’</w:t>
      </w:r>
      <w:r w:rsidRPr="00D86941">
        <w:rPr>
          <w:szCs w:val="24"/>
          <w:lang w:val="fr-FR"/>
        </w:rPr>
        <w:t>attention, il est encourageant de constater les efforts qui sont déployés pour prendre aussi en considération les questions sociales et économiques. Dans tous les États membres qui ont présenté des rapports, des représentants des pouvoirs publics, des milieux universitaires et de la société civile participent à l</w:t>
      </w:r>
      <w:r w:rsidR="009C022A" w:rsidRPr="00D86941">
        <w:rPr>
          <w:szCs w:val="24"/>
          <w:lang w:val="fr-FR"/>
        </w:rPr>
        <w:t>’</w:t>
      </w:r>
      <w:r w:rsidRPr="00D86941">
        <w:rPr>
          <w:szCs w:val="24"/>
          <w:lang w:val="fr-FR"/>
        </w:rPr>
        <w:t>élaboration et à la production de ressources pédagogiques sur le développement durable. Si, en la matière, l</w:t>
      </w:r>
      <w:r w:rsidR="009C022A" w:rsidRPr="00D86941">
        <w:rPr>
          <w:szCs w:val="24"/>
          <w:lang w:val="fr-FR"/>
        </w:rPr>
        <w:t>’</w:t>
      </w:r>
      <w:r w:rsidRPr="00D86941">
        <w:rPr>
          <w:szCs w:val="24"/>
          <w:lang w:val="fr-FR"/>
        </w:rPr>
        <w:t>offre semble augmenter, la demande croît dans des proportions difficilement appréciables, faute d</w:t>
      </w:r>
      <w:r w:rsidR="009C022A" w:rsidRPr="00D86941">
        <w:rPr>
          <w:szCs w:val="24"/>
          <w:lang w:val="fr-FR"/>
        </w:rPr>
        <w:t>’</w:t>
      </w:r>
      <w:r w:rsidRPr="00D86941">
        <w:rPr>
          <w:szCs w:val="24"/>
          <w:lang w:val="fr-FR"/>
        </w:rPr>
        <w:t>informations. De fait, les mécanismes de promotion et de diffusion des supports pédagogiques sont très différents entre les pays, et le degré d</w:t>
      </w:r>
      <w:r w:rsidR="009C022A" w:rsidRPr="00D86941">
        <w:rPr>
          <w:szCs w:val="24"/>
          <w:lang w:val="fr-FR"/>
        </w:rPr>
        <w:t>’</w:t>
      </w:r>
      <w:r w:rsidRPr="00D86941">
        <w:rPr>
          <w:szCs w:val="24"/>
          <w:lang w:val="fr-FR"/>
        </w:rPr>
        <w:t>utilisation de ces supports est difficile à évaluer. Les moyens d</w:t>
      </w:r>
      <w:r w:rsidR="009C022A" w:rsidRPr="00D86941">
        <w:rPr>
          <w:szCs w:val="24"/>
          <w:lang w:val="fr-FR"/>
        </w:rPr>
        <w:t>’</w:t>
      </w:r>
      <w:r w:rsidRPr="00D86941">
        <w:rPr>
          <w:szCs w:val="24"/>
          <w:lang w:val="fr-FR"/>
        </w:rPr>
        <w:t>apprécier leur qualité sont également limités.</w:t>
      </w:r>
    </w:p>
    <w:p w:rsidR="00453B9A" w:rsidRPr="00D86941" w:rsidRDefault="00453B9A" w:rsidP="00CF4876">
      <w:pPr>
        <w:pStyle w:val="SingleTxtG"/>
        <w:numPr>
          <w:ilvl w:val="0"/>
          <w:numId w:val="33"/>
        </w:numPr>
        <w:ind w:left="1134" w:firstLine="0"/>
        <w:rPr>
          <w:szCs w:val="24"/>
          <w:lang w:val="fr-FR"/>
        </w:rPr>
      </w:pPr>
      <w:r w:rsidRPr="00D86941">
        <w:rPr>
          <w:szCs w:val="24"/>
          <w:lang w:val="fr-FR"/>
        </w:rPr>
        <w:t>Dans leur rapport, 95 % des États membres indiquent que la mise en œuvre de l</w:t>
      </w:r>
      <w:r w:rsidR="009C022A" w:rsidRPr="00D86941">
        <w:rPr>
          <w:szCs w:val="24"/>
          <w:lang w:val="fr-FR"/>
        </w:rPr>
        <w:t>’</w:t>
      </w:r>
      <w:r w:rsidRPr="00D86941">
        <w:rPr>
          <w:szCs w:val="24"/>
          <w:lang w:val="fr-FR"/>
        </w:rPr>
        <w:t>EDD est un processus multipartite, qui fait intervenir différents groupes de travail, conseils, réseaux et partenariats. La coopération régionale est forte, et le rôle des différentes parties prenantes, en particulier des réseaux régionaux d</w:t>
      </w:r>
      <w:r w:rsidR="009C022A" w:rsidRPr="00D86941">
        <w:rPr>
          <w:szCs w:val="24"/>
          <w:lang w:val="fr-FR"/>
        </w:rPr>
        <w:t>’</w:t>
      </w:r>
      <w:r w:rsidRPr="00D86941">
        <w:rPr>
          <w:szCs w:val="24"/>
          <w:lang w:val="fr-FR"/>
        </w:rPr>
        <w:t>acteurs de la société civile, est reconnu et apprécié.</w:t>
      </w:r>
    </w:p>
    <w:p w:rsidR="00453B9A" w:rsidRPr="00D86941" w:rsidRDefault="004E668B" w:rsidP="004E668B">
      <w:pPr>
        <w:pStyle w:val="H1G"/>
      </w:pPr>
      <w:r w:rsidRPr="00D86941">
        <w:tab/>
        <w:t>C.</w:t>
      </w:r>
      <w:r w:rsidRPr="00D86941">
        <w:tab/>
      </w:r>
      <w:r w:rsidR="00453B9A" w:rsidRPr="00D86941">
        <w:t xml:space="preserve">Des </w:t>
      </w:r>
      <w:r w:rsidR="00453B9A" w:rsidRPr="00D86941">
        <w:rPr>
          <w:rFonts w:ascii="Times New Roman Gras" w:hAnsi="Times New Roman Gras"/>
        </w:rPr>
        <w:t>progrès</w:t>
      </w:r>
      <w:r w:rsidR="00453B9A" w:rsidRPr="00D86941">
        <w:t xml:space="preserve"> restent à faire pour prendre pleinement en considération les connaissances, les compétences et les valeurs relatives </w:t>
      </w:r>
      <w:r w:rsidRPr="00D86941">
        <w:br/>
      </w:r>
      <w:r w:rsidR="00453B9A" w:rsidRPr="00D86941">
        <w:t xml:space="preserve">au développement durable à tous les niveaux </w:t>
      </w:r>
      <w:r w:rsidRPr="00D86941">
        <w:br/>
      </w:r>
      <w:r w:rsidR="00453B9A" w:rsidRPr="00D86941">
        <w:t>et dans tous les types d</w:t>
      </w:r>
      <w:r w:rsidR="009C022A" w:rsidRPr="00D86941">
        <w:t>’</w:t>
      </w:r>
      <w:r w:rsidR="00453B9A" w:rsidRPr="00D86941">
        <w:t>enseignement</w:t>
      </w:r>
    </w:p>
    <w:p w:rsidR="00453B9A" w:rsidRPr="00D86941" w:rsidRDefault="00453B9A" w:rsidP="00CF4876">
      <w:pPr>
        <w:pStyle w:val="SingleTxtG"/>
        <w:numPr>
          <w:ilvl w:val="0"/>
          <w:numId w:val="33"/>
        </w:numPr>
        <w:ind w:left="1134" w:firstLine="0"/>
      </w:pPr>
      <w:r w:rsidRPr="00D86941">
        <w:rPr>
          <w:lang w:val="fr-FR"/>
        </w:rPr>
        <w:t>Divers acteurs de l</w:t>
      </w:r>
      <w:r w:rsidR="009C022A" w:rsidRPr="00D86941">
        <w:rPr>
          <w:lang w:val="fr-FR"/>
        </w:rPr>
        <w:t>’</w:t>
      </w:r>
      <w:r w:rsidRPr="00D86941">
        <w:rPr>
          <w:lang w:val="fr-FR"/>
        </w:rPr>
        <w:t>enseignement formel, non formel et informel de la région ont défini de bonnes pratiques sur les questions de fond. Dans bien des domaines, les résultats ont été atteints au regard des indicateurs définis par le Groupe d</w:t>
      </w:r>
      <w:r w:rsidR="009C022A" w:rsidRPr="00D86941">
        <w:rPr>
          <w:lang w:val="fr-FR"/>
        </w:rPr>
        <w:t>’</w:t>
      </w:r>
      <w:r w:rsidRPr="00D86941">
        <w:rPr>
          <w:lang w:val="fr-FR"/>
        </w:rPr>
        <w:t>experts des indicateurs pour mesurer le succès de la Stratégie, mais les États membres estiment avec prudence qu</w:t>
      </w:r>
      <w:r w:rsidR="009C022A" w:rsidRPr="00D86941">
        <w:rPr>
          <w:lang w:val="fr-FR"/>
        </w:rPr>
        <w:t>’</w:t>
      </w:r>
      <w:r w:rsidRPr="00D86941">
        <w:rPr>
          <w:lang w:val="fr-FR"/>
        </w:rPr>
        <w:t>ils sont simplement «</w:t>
      </w:r>
      <w:r w:rsidR="004E668B" w:rsidRPr="00D86941">
        <w:rPr>
          <w:lang w:val="fr-FR"/>
        </w:rPr>
        <w:t> </w:t>
      </w:r>
      <w:r w:rsidRPr="00D86941">
        <w:rPr>
          <w:lang w:val="fr-FR"/>
        </w:rPr>
        <w:t>en bonne voie</w:t>
      </w:r>
      <w:r w:rsidR="004E668B" w:rsidRPr="00D86941">
        <w:rPr>
          <w:lang w:val="fr-FR"/>
        </w:rPr>
        <w:t> </w:t>
      </w:r>
      <w:r w:rsidRPr="00D86941">
        <w:rPr>
          <w:lang w:val="fr-FR"/>
        </w:rPr>
        <w:t>» ou «</w:t>
      </w:r>
      <w:r w:rsidR="004E668B" w:rsidRPr="00D86941">
        <w:rPr>
          <w:lang w:val="fr-FR"/>
        </w:rPr>
        <w:t> </w:t>
      </w:r>
      <w:r w:rsidRPr="00D86941">
        <w:rPr>
          <w:lang w:val="fr-FR"/>
        </w:rPr>
        <w:t>en train</w:t>
      </w:r>
      <w:r w:rsidR="004E668B" w:rsidRPr="00D86941">
        <w:rPr>
          <w:lang w:val="fr-FR"/>
        </w:rPr>
        <w:t> </w:t>
      </w:r>
      <w:r w:rsidRPr="00D86941">
        <w:rPr>
          <w:lang w:val="fr-FR"/>
        </w:rPr>
        <w:t>» de mettre pleinement en œuvre l</w:t>
      </w:r>
      <w:r w:rsidR="009C022A" w:rsidRPr="00D86941">
        <w:rPr>
          <w:lang w:val="fr-FR"/>
        </w:rPr>
        <w:t>’</w:t>
      </w:r>
      <w:r w:rsidRPr="00D86941">
        <w:rPr>
          <w:lang w:val="fr-FR"/>
        </w:rPr>
        <w:t>EDD à tous les niveaux du système éducatif. Les progrès notifiés par les États membres ont surtout concerné le traitement explicite des questions relevant de l</w:t>
      </w:r>
      <w:r w:rsidR="009C022A" w:rsidRPr="00D86941">
        <w:rPr>
          <w:lang w:val="fr-FR"/>
        </w:rPr>
        <w:t>’</w:t>
      </w:r>
      <w:r w:rsidRPr="00D86941">
        <w:rPr>
          <w:lang w:val="fr-FR"/>
        </w:rPr>
        <w:t>EDD dans les programmes d</w:t>
      </w:r>
      <w:r w:rsidR="009C022A" w:rsidRPr="00D86941">
        <w:rPr>
          <w:lang w:val="fr-FR"/>
        </w:rPr>
        <w:t>’</w:t>
      </w:r>
      <w:r w:rsidRPr="00D86941">
        <w:rPr>
          <w:lang w:val="fr-FR"/>
        </w:rPr>
        <w:t>études (97 %), les compétences et les résultats de l</w:t>
      </w:r>
      <w:r w:rsidR="009C022A" w:rsidRPr="00D86941">
        <w:rPr>
          <w:lang w:val="fr-FR"/>
        </w:rPr>
        <w:t>’</w:t>
      </w:r>
      <w:r w:rsidRPr="00D86941">
        <w:rPr>
          <w:lang w:val="fr-FR"/>
        </w:rPr>
        <w:t>apprentissage (92 %), et les méthodes pédagogiques (95 %) aux premiers stades d</w:t>
      </w:r>
      <w:r w:rsidR="009C022A" w:rsidRPr="00D86941">
        <w:rPr>
          <w:lang w:val="fr-FR"/>
        </w:rPr>
        <w:t>’</w:t>
      </w:r>
      <w:r w:rsidRPr="00D86941">
        <w:rPr>
          <w:lang w:val="fr-FR"/>
        </w:rPr>
        <w:t>apprentissage de la petite enfance et aux niveaux primaire et secondaire de l</w:t>
      </w:r>
      <w:r w:rsidR="009C022A" w:rsidRPr="00D86941">
        <w:rPr>
          <w:lang w:val="fr-FR"/>
        </w:rPr>
        <w:t>’</w:t>
      </w:r>
      <w:r w:rsidRPr="00D86941">
        <w:rPr>
          <w:lang w:val="fr-FR"/>
        </w:rPr>
        <w:t>enseignement formel</w:t>
      </w:r>
      <w:r w:rsidR="004E668B" w:rsidRPr="00D86941">
        <w:rPr>
          <w:lang w:val="fr-FR"/>
        </w:rPr>
        <w:t>.</w:t>
      </w:r>
      <w:r w:rsidRPr="00D86941">
        <w:rPr>
          <w:lang w:val="fr-FR"/>
        </w:rPr>
        <w:t xml:space="preserve"> Moins d</w:t>
      </w:r>
      <w:r w:rsidR="009C022A" w:rsidRPr="00D86941">
        <w:rPr>
          <w:lang w:val="fr-FR"/>
        </w:rPr>
        <w:t>’</w:t>
      </w:r>
      <w:r w:rsidRPr="00D86941">
        <w:rPr>
          <w:lang w:val="fr-FR"/>
        </w:rPr>
        <w:t>informations ont été fournies sur l</w:t>
      </w:r>
      <w:r w:rsidR="009C022A" w:rsidRPr="00D86941">
        <w:rPr>
          <w:lang w:val="fr-FR"/>
        </w:rPr>
        <w:t>’</w:t>
      </w:r>
      <w:r w:rsidRPr="00D86941">
        <w:rPr>
          <w:lang w:val="fr-FR"/>
        </w:rPr>
        <w:t>EDD dans l</w:t>
      </w:r>
      <w:r w:rsidR="009C022A" w:rsidRPr="00D86941">
        <w:rPr>
          <w:lang w:val="fr-FR"/>
        </w:rPr>
        <w:t>’</w:t>
      </w:r>
      <w:r w:rsidRPr="00D86941">
        <w:rPr>
          <w:lang w:val="fr-FR"/>
        </w:rPr>
        <w:t>enseignement supérieur. L</w:t>
      </w:r>
      <w:r w:rsidRPr="00D86941">
        <w:t>es États membres ont toutefois indiqué que les établissements d</w:t>
      </w:r>
      <w:r w:rsidR="009C022A" w:rsidRPr="00D86941">
        <w:t>’</w:t>
      </w:r>
      <w:r w:rsidRPr="00D86941">
        <w:t>enseignement supérieur de la région s</w:t>
      </w:r>
      <w:r w:rsidR="009C022A" w:rsidRPr="00D86941">
        <w:t>’</w:t>
      </w:r>
      <w:r w:rsidRPr="00D86941">
        <w:t>engageaient de plus en plus dans l</w:t>
      </w:r>
      <w:r w:rsidR="009C022A" w:rsidRPr="00D86941">
        <w:t>’</w:t>
      </w:r>
      <w:r w:rsidRPr="00D86941">
        <w:t>EDD, comme il ressortait notamment des déclarations de haut niveau prononcées par des responsables d</w:t>
      </w:r>
      <w:r w:rsidR="009C022A" w:rsidRPr="00D86941">
        <w:t>’</w:t>
      </w:r>
      <w:r w:rsidRPr="00D86941">
        <w:t>université et des réseaux d</w:t>
      </w:r>
      <w:r w:rsidR="009C022A" w:rsidRPr="00D86941">
        <w:t>’</w:t>
      </w:r>
      <w:r w:rsidRPr="00D86941">
        <w:t>instituts associés à cette action</w:t>
      </w:r>
      <w:r w:rsidR="004E668B" w:rsidRPr="00D86941">
        <w:t>.</w:t>
      </w:r>
    </w:p>
    <w:p w:rsidR="00453B9A" w:rsidRPr="00D86941" w:rsidRDefault="00453B9A" w:rsidP="00CF4876">
      <w:pPr>
        <w:pStyle w:val="SingleTxtG"/>
        <w:numPr>
          <w:ilvl w:val="0"/>
          <w:numId w:val="33"/>
        </w:numPr>
        <w:ind w:left="1134" w:firstLine="0"/>
        <w:rPr>
          <w:lang w:val="fr-FR"/>
        </w:rPr>
      </w:pPr>
      <w:r w:rsidRPr="00D86941">
        <w:rPr>
          <w:lang w:val="fr-FR"/>
        </w:rPr>
        <w:t>Près de 90 % des États membres disent avoir mis en place de méthodes et d</w:t>
      </w:r>
      <w:r w:rsidR="009C022A" w:rsidRPr="00D86941">
        <w:rPr>
          <w:lang w:val="fr-FR"/>
        </w:rPr>
        <w:t>’</w:t>
      </w:r>
      <w:r w:rsidRPr="00D86941">
        <w:rPr>
          <w:lang w:val="fr-FR"/>
        </w:rPr>
        <w:t>instruments pour un apprentissage non formel et informel du développement durable. Les États membres ont présenté</w:t>
      </w:r>
      <w:r w:rsidR="00044A95" w:rsidRPr="00D86941">
        <w:rPr>
          <w:lang w:val="fr-FR"/>
        </w:rPr>
        <w:t xml:space="preserve"> </w:t>
      </w:r>
      <w:r w:rsidRPr="00D86941">
        <w:rPr>
          <w:lang w:val="fr-FR"/>
        </w:rPr>
        <w:t>un large éventail initiatives en la matière, mais ont admis que bon nombre d</w:t>
      </w:r>
      <w:r w:rsidR="009C022A" w:rsidRPr="00D86941">
        <w:rPr>
          <w:lang w:val="fr-FR"/>
        </w:rPr>
        <w:t>’</w:t>
      </w:r>
      <w:r w:rsidRPr="00D86941">
        <w:rPr>
          <w:lang w:val="fr-FR"/>
        </w:rPr>
        <w:t>entre elles avaient été engagées sans la participation du secteur public ou simplement en partenariat avec lui. Les organisations non gouvernementales jouent un rôle moteur dans la promotion de l</w:t>
      </w:r>
      <w:r w:rsidR="009C022A" w:rsidRPr="00D86941">
        <w:rPr>
          <w:lang w:val="fr-FR"/>
        </w:rPr>
        <w:t>’</w:t>
      </w:r>
      <w:r w:rsidRPr="00D86941">
        <w:rPr>
          <w:lang w:val="fr-FR"/>
        </w:rPr>
        <w:t xml:space="preserve">éducation non formelle et informelle au développement </w:t>
      </w:r>
      <w:r w:rsidRPr="00D86941">
        <w:rPr>
          <w:lang w:val="fr-FR"/>
        </w:rPr>
        <w:lastRenderedPageBreak/>
        <w:t>durable. La portée et l</w:t>
      </w:r>
      <w:r w:rsidR="009C022A" w:rsidRPr="00D86941">
        <w:rPr>
          <w:lang w:val="fr-FR"/>
        </w:rPr>
        <w:t>’</w:t>
      </w:r>
      <w:r w:rsidRPr="00D86941">
        <w:rPr>
          <w:lang w:val="fr-FR"/>
        </w:rPr>
        <w:t>efficacité de toutes ces mesures sont cependant moins connues, parce qu</w:t>
      </w:r>
      <w:r w:rsidR="009C022A" w:rsidRPr="00D86941">
        <w:rPr>
          <w:lang w:val="fr-FR"/>
        </w:rPr>
        <w:t>’</w:t>
      </w:r>
      <w:r w:rsidRPr="00D86941">
        <w:rPr>
          <w:lang w:val="fr-FR"/>
        </w:rPr>
        <w:t>il n</w:t>
      </w:r>
      <w:r w:rsidR="009C022A" w:rsidRPr="00D86941">
        <w:rPr>
          <w:lang w:val="fr-FR"/>
        </w:rPr>
        <w:t>’</w:t>
      </w:r>
      <w:r w:rsidRPr="00D86941">
        <w:rPr>
          <w:lang w:val="fr-FR"/>
        </w:rPr>
        <w:t>existe pas de système centralisé de notification et de documentation et que les évaluations sont rares.</w:t>
      </w:r>
    </w:p>
    <w:p w:rsidR="00453B9A" w:rsidRPr="00D86941" w:rsidRDefault="0061778D" w:rsidP="0061778D">
      <w:pPr>
        <w:pStyle w:val="H1G"/>
        <w:rPr>
          <w:lang w:val="fr-FR"/>
        </w:rPr>
      </w:pPr>
      <w:r w:rsidRPr="00D86941">
        <w:tab/>
        <w:t>D.</w:t>
      </w:r>
      <w:r w:rsidRPr="00D86941">
        <w:tab/>
      </w:r>
      <w:r w:rsidR="00453B9A" w:rsidRPr="00D86941">
        <w:t xml:space="preserve">Les trois priorités de la phase III </w:t>
      </w:r>
      <w:r w:rsidR="00453B9A" w:rsidRPr="00D86941">
        <w:rPr>
          <w:lang w:val="fr-FR"/>
        </w:rPr>
        <w:t>s</w:t>
      </w:r>
      <w:r w:rsidR="009C022A" w:rsidRPr="00D86941">
        <w:rPr>
          <w:lang w:val="fr-FR"/>
        </w:rPr>
        <w:t>’</w:t>
      </w:r>
      <w:r w:rsidR="00453B9A" w:rsidRPr="00D86941">
        <w:rPr>
          <w:lang w:val="fr-FR"/>
        </w:rPr>
        <w:t xml:space="preserve">avèrent des étapes délicates, </w:t>
      </w:r>
      <w:r w:rsidRPr="00D86941">
        <w:rPr>
          <w:lang w:val="fr-FR"/>
        </w:rPr>
        <w:br/>
      </w:r>
      <w:r w:rsidR="00453B9A" w:rsidRPr="00D86941">
        <w:rPr>
          <w:lang w:val="fr-FR"/>
        </w:rPr>
        <w:t>mais nécessaires, pour transformer le système dans son ensemble</w:t>
      </w:r>
    </w:p>
    <w:p w:rsidR="00453B9A" w:rsidRPr="00D86941" w:rsidRDefault="00453B9A" w:rsidP="00CF4876">
      <w:pPr>
        <w:pStyle w:val="SingleTxtG"/>
        <w:numPr>
          <w:ilvl w:val="0"/>
          <w:numId w:val="33"/>
        </w:numPr>
        <w:ind w:left="1134" w:firstLine="0"/>
        <w:rPr>
          <w:szCs w:val="24"/>
        </w:rPr>
      </w:pPr>
      <w:r w:rsidRPr="00D86941">
        <w:rPr>
          <w:szCs w:val="24"/>
          <w:lang w:val="fr-FR"/>
        </w:rPr>
        <w:t>Près des trois quarts (71 %) des États membres favorisent les approches institutionnelles globales. La plupart continuent de mettre l</w:t>
      </w:r>
      <w:r w:rsidR="009C022A" w:rsidRPr="00D86941">
        <w:rPr>
          <w:szCs w:val="24"/>
          <w:lang w:val="fr-FR"/>
        </w:rPr>
        <w:t>’</w:t>
      </w:r>
      <w:r w:rsidRPr="00D86941">
        <w:rPr>
          <w:szCs w:val="24"/>
          <w:lang w:val="fr-FR"/>
        </w:rPr>
        <w:t>accent sur la valorisation du développement durable dans les programmes d</w:t>
      </w:r>
      <w:r w:rsidR="009C022A" w:rsidRPr="00D86941">
        <w:rPr>
          <w:szCs w:val="24"/>
          <w:lang w:val="fr-FR"/>
        </w:rPr>
        <w:t>’</w:t>
      </w:r>
      <w:r w:rsidRPr="00D86941">
        <w:rPr>
          <w:szCs w:val="24"/>
          <w:lang w:val="fr-FR"/>
        </w:rPr>
        <w:t>études et les pratiques de classe, par le biais de projets, et/ou encouragent les établissements scolaires à devenir des établissements reconnus et agréés d</w:t>
      </w:r>
      <w:r w:rsidR="009C022A" w:rsidRPr="00D86941">
        <w:rPr>
          <w:szCs w:val="24"/>
          <w:lang w:val="fr-FR"/>
        </w:rPr>
        <w:t>’</w:t>
      </w:r>
      <w:r w:rsidRPr="00D86941">
        <w:rPr>
          <w:szCs w:val="24"/>
          <w:lang w:val="fr-FR"/>
        </w:rPr>
        <w:t>EDD. En ce qui concerne les enseignants, près de 90 % des États membres indiquent que l</w:t>
      </w:r>
      <w:r w:rsidR="009C022A" w:rsidRPr="00D86941">
        <w:rPr>
          <w:szCs w:val="24"/>
          <w:lang w:val="fr-FR"/>
        </w:rPr>
        <w:t>’</w:t>
      </w:r>
      <w:r w:rsidRPr="00D86941">
        <w:rPr>
          <w:szCs w:val="24"/>
          <w:lang w:val="fr-FR"/>
        </w:rPr>
        <w:t>EDD fait maintenant partie de leur formation initiale et continue. Toutefois, selon les observations qualitatives qui ont été fournies, bon nombre d</w:t>
      </w:r>
      <w:r w:rsidR="009C022A" w:rsidRPr="00D86941">
        <w:rPr>
          <w:szCs w:val="24"/>
          <w:lang w:val="fr-FR"/>
        </w:rPr>
        <w:t>’</w:t>
      </w:r>
      <w:r w:rsidRPr="00D86941">
        <w:rPr>
          <w:szCs w:val="24"/>
          <w:lang w:val="fr-FR"/>
        </w:rPr>
        <w:t>entre eux semblent prudents quant à l</w:t>
      </w:r>
      <w:r w:rsidR="009C022A" w:rsidRPr="00D86941">
        <w:rPr>
          <w:szCs w:val="24"/>
          <w:lang w:val="fr-FR"/>
        </w:rPr>
        <w:t>’</w:t>
      </w:r>
      <w:r w:rsidRPr="00D86941">
        <w:rPr>
          <w:szCs w:val="24"/>
          <w:lang w:val="fr-FR"/>
        </w:rPr>
        <w:t>adhésion à l</w:t>
      </w:r>
      <w:r w:rsidR="009C022A" w:rsidRPr="00D86941">
        <w:rPr>
          <w:szCs w:val="24"/>
          <w:lang w:val="fr-FR"/>
        </w:rPr>
        <w:t>’</w:t>
      </w:r>
      <w:r w:rsidRPr="00D86941">
        <w:rPr>
          <w:szCs w:val="24"/>
          <w:lang w:val="fr-FR"/>
        </w:rPr>
        <w:t>EDD et à ses effets transformateurs, compte tenu de l</w:t>
      </w:r>
      <w:r w:rsidR="009C022A" w:rsidRPr="00D86941">
        <w:rPr>
          <w:szCs w:val="24"/>
          <w:lang w:val="fr-FR"/>
        </w:rPr>
        <w:t>’</w:t>
      </w:r>
      <w:r w:rsidRPr="00D86941">
        <w:rPr>
          <w:szCs w:val="24"/>
          <w:lang w:val="fr-FR"/>
        </w:rPr>
        <w:t>autonomie dont jouissent les instituts de formation des enseignants dans de nombreux pays. On ne sait pas non plus avec certitude si l</w:t>
      </w:r>
      <w:r w:rsidR="009C022A" w:rsidRPr="00D86941">
        <w:rPr>
          <w:szCs w:val="24"/>
          <w:lang w:val="fr-FR"/>
        </w:rPr>
        <w:t>’</w:t>
      </w:r>
      <w:r w:rsidRPr="00D86941">
        <w:rPr>
          <w:szCs w:val="24"/>
          <w:lang w:val="fr-FR"/>
        </w:rPr>
        <w:t>effectif d</w:t>
      </w:r>
      <w:r w:rsidR="009C022A" w:rsidRPr="00D86941">
        <w:rPr>
          <w:szCs w:val="24"/>
          <w:lang w:val="fr-FR"/>
        </w:rPr>
        <w:t>’</w:t>
      </w:r>
      <w:r w:rsidRPr="00D86941">
        <w:rPr>
          <w:szCs w:val="24"/>
          <w:lang w:val="fr-FR"/>
        </w:rPr>
        <w:t>enseignants ayant reçu une formation est important, ni quels sont le niveau et la qualité de cette formation.</w:t>
      </w:r>
    </w:p>
    <w:p w:rsidR="00453B9A" w:rsidRPr="00D86941" w:rsidRDefault="00453B9A" w:rsidP="00CF4876">
      <w:pPr>
        <w:pStyle w:val="SingleTxtG"/>
        <w:numPr>
          <w:ilvl w:val="0"/>
          <w:numId w:val="33"/>
        </w:numPr>
        <w:ind w:left="1134" w:firstLine="0"/>
        <w:rPr>
          <w:szCs w:val="24"/>
          <w:lang w:val="fr-FR"/>
        </w:rPr>
      </w:pPr>
      <w:r w:rsidRPr="00D86941">
        <w:rPr>
          <w:szCs w:val="24"/>
          <w:lang w:val="fr-FR"/>
        </w:rPr>
        <w:t>De 2012 à 2015, certains États membres ont dépassé le stade des discussions sur la définition de l</w:t>
      </w:r>
      <w:r w:rsidR="009C022A" w:rsidRPr="00D86941">
        <w:rPr>
          <w:szCs w:val="24"/>
          <w:lang w:val="fr-FR"/>
        </w:rPr>
        <w:t>’</w:t>
      </w:r>
      <w:r w:rsidRPr="00D86941">
        <w:rPr>
          <w:szCs w:val="24"/>
          <w:lang w:val="fr-FR"/>
        </w:rPr>
        <w:t>économie verte et des emplois verts pour s</w:t>
      </w:r>
      <w:r w:rsidR="009C022A" w:rsidRPr="00D86941">
        <w:rPr>
          <w:szCs w:val="24"/>
          <w:lang w:val="fr-FR"/>
        </w:rPr>
        <w:t>’</w:t>
      </w:r>
      <w:r w:rsidRPr="00D86941">
        <w:rPr>
          <w:szCs w:val="24"/>
          <w:lang w:val="fr-FR"/>
        </w:rPr>
        <w:t>engager dans des efforts concertés en vue de réformer la formation et l</w:t>
      </w:r>
      <w:r w:rsidR="009C022A" w:rsidRPr="00D86941">
        <w:rPr>
          <w:szCs w:val="24"/>
          <w:lang w:val="fr-FR"/>
        </w:rPr>
        <w:t>’</w:t>
      </w:r>
      <w:r w:rsidRPr="00D86941">
        <w:rPr>
          <w:szCs w:val="24"/>
          <w:lang w:val="fr-FR"/>
        </w:rPr>
        <w:t>enseignement techniques et professionnels dans le sens de la durabilité, en consultation et en partenariat avec les branches d</w:t>
      </w:r>
      <w:r w:rsidR="009C022A" w:rsidRPr="00D86941">
        <w:rPr>
          <w:szCs w:val="24"/>
          <w:lang w:val="fr-FR"/>
        </w:rPr>
        <w:t>’</w:t>
      </w:r>
      <w:r w:rsidRPr="00D86941">
        <w:rPr>
          <w:szCs w:val="24"/>
          <w:lang w:val="fr-FR"/>
        </w:rPr>
        <w:t>activité et avec les instituts de formation et d</w:t>
      </w:r>
      <w:r w:rsidR="009C022A" w:rsidRPr="00D86941">
        <w:rPr>
          <w:szCs w:val="24"/>
          <w:lang w:val="fr-FR"/>
        </w:rPr>
        <w:t>’</w:t>
      </w:r>
      <w:r w:rsidRPr="00D86941">
        <w:rPr>
          <w:szCs w:val="24"/>
          <w:lang w:val="fr-FR"/>
        </w:rPr>
        <w:t>enseignement techniques et professionnels. Cependant, alors que certains États définissent des compétences et des qualifications nouvelles, élaborent de de nouveaux cours et révisent les programmes de formation et d</w:t>
      </w:r>
      <w:r w:rsidR="009C022A" w:rsidRPr="00D86941">
        <w:rPr>
          <w:szCs w:val="24"/>
          <w:lang w:val="fr-FR"/>
        </w:rPr>
        <w:t>’</w:t>
      </w:r>
      <w:r w:rsidRPr="00D86941">
        <w:rPr>
          <w:szCs w:val="24"/>
          <w:lang w:val="fr-FR"/>
        </w:rPr>
        <w:t>enseignement techniques et professionnels, moins de 50 % des États membres de la CEE font état de progrès significatifs.</w:t>
      </w:r>
    </w:p>
    <w:p w:rsidR="00453B9A" w:rsidRPr="00D86941" w:rsidRDefault="0061778D" w:rsidP="0061778D">
      <w:pPr>
        <w:pStyle w:val="H1G"/>
        <w:rPr>
          <w:lang w:val="fr-FR"/>
        </w:rPr>
      </w:pPr>
      <w:r w:rsidRPr="00D86941">
        <w:rPr>
          <w:lang w:val="fr-FR"/>
        </w:rPr>
        <w:tab/>
      </w:r>
      <w:r w:rsidR="00CF4876" w:rsidRPr="00D86941">
        <w:rPr>
          <w:lang w:val="fr-FR"/>
        </w:rPr>
        <w:t>E</w:t>
      </w:r>
      <w:r w:rsidRPr="00D86941">
        <w:rPr>
          <w:lang w:val="fr-FR"/>
        </w:rPr>
        <w:t>.</w:t>
      </w:r>
      <w:r w:rsidRPr="00D86941">
        <w:rPr>
          <w:lang w:val="fr-FR"/>
        </w:rPr>
        <w:tab/>
      </w:r>
      <w:r w:rsidR="00453B9A" w:rsidRPr="00D86941">
        <w:rPr>
          <w:lang w:val="fr-FR"/>
        </w:rPr>
        <w:t>L</w:t>
      </w:r>
      <w:r w:rsidR="009C022A" w:rsidRPr="00D86941">
        <w:rPr>
          <w:lang w:val="fr-FR"/>
        </w:rPr>
        <w:t>’</w:t>
      </w:r>
      <w:r w:rsidR="00453B9A" w:rsidRPr="00D86941">
        <w:rPr>
          <w:lang w:val="fr-FR"/>
        </w:rPr>
        <w:t>idée que l</w:t>
      </w:r>
      <w:r w:rsidR="009C022A" w:rsidRPr="00D86941">
        <w:rPr>
          <w:lang w:val="fr-FR"/>
        </w:rPr>
        <w:t>’</w:t>
      </w:r>
      <w:r w:rsidR="00453B9A" w:rsidRPr="00D86941">
        <w:rPr>
          <w:lang w:val="fr-FR"/>
        </w:rPr>
        <w:t xml:space="preserve">éducation au développement durable est au cœur </w:t>
      </w:r>
      <w:r w:rsidRPr="00D86941">
        <w:rPr>
          <w:lang w:val="fr-FR"/>
        </w:rPr>
        <w:br/>
      </w:r>
      <w:r w:rsidR="00453B9A" w:rsidRPr="00D86941">
        <w:rPr>
          <w:lang w:val="fr-FR"/>
        </w:rPr>
        <w:t xml:space="preserve">du projet éducatif fait son chemin, mais elle doit encore </w:t>
      </w:r>
      <w:r w:rsidRPr="00D86941">
        <w:rPr>
          <w:lang w:val="fr-FR"/>
        </w:rPr>
        <w:br/>
      </w:r>
      <w:r w:rsidR="00453B9A" w:rsidRPr="00D86941">
        <w:rPr>
          <w:lang w:val="fr-FR"/>
        </w:rPr>
        <w:t>s</w:t>
      </w:r>
      <w:r w:rsidR="009C022A" w:rsidRPr="00D86941">
        <w:rPr>
          <w:lang w:val="fr-FR"/>
        </w:rPr>
        <w:t>’</w:t>
      </w:r>
      <w:r w:rsidR="00453B9A" w:rsidRPr="00D86941">
        <w:rPr>
          <w:lang w:val="fr-FR"/>
        </w:rPr>
        <w:t>enraciner pleinement dans tous les États membres</w:t>
      </w:r>
    </w:p>
    <w:p w:rsidR="00453B9A" w:rsidRPr="0067315C" w:rsidRDefault="00453B9A" w:rsidP="00CF4876">
      <w:pPr>
        <w:pStyle w:val="SingleTxtG"/>
        <w:numPr>
          <w:ilvl w:val="0"/>
          <w:numId w:val="33"/>
        </w:numPr>
        <w:ind w:left="1134" w:firstLine="0"/>
        <w:rPr>
          <w:szCs w:val="24"/>
        </w:rPr>
      </w:pPr>
      <w:r w:rsidRPr="0067315C">
        <w:rPr>
          <w:szCs w:val="24"/>
          <w:lang w:val="fr-FR"/>
        </w:rPr>
        <w:t>Pour que l</w:t>
      </w:r>
      <w:r w:rsidR="009C022A" w:rsidRPr="0067315C">
        <w:rPr>
          <w:szCs w:val="24"/>
          <w:lang w:val="fr-FR"/>
        </w:rPr>
        <w:t>’</w:t>
      </w:r>
      <w:r w:rsidRPr="0067315C">
        <w:rPr>
          <w:szCs w:val="24"/>
          <w:lang w:val="fr-FR"/>
        </w:rPr>
        <w:t>idée que l</w:t>
      </w:r>
      <w:r w:rsidR="009C022A" w:rsidRPr="0067315C">
        <w:rPr>
          <w:szCs w:val="24"/>
          <w:lang w:val="fr-FR"/>
        </w:rPr>
        <w:t>’</w:t>
      </w:r>
      <w:r w:rsidRPr="0067315C">
        <w:rPr>
          <w:szCs w:val="24"/>
          <w:lang w:val="fr-FR"/>
        </w:rPr>
        <w:t>EDD est au cœur du projet éducatif soit admise, il faudra surmonter les difficultés et les obstacles qui ont persisté tout au long des trois phases de la mise en œuvre de la Stratégie. Cela passera notamment par un esprit d</w:t>
      </w:r>
      <w:r w:rsidR="009C022A" w:rsidRPr="0067315C">
        <w:rPr>
          <w:szCs w:val="24"/>
          <w:lang w:val="fr-FR"/>
        </w:rPr>
        <w:t>’</w:t>
      </w:r>
      <w:r w:rsidRPr="0067315C">
        <w:rPr>
          <w:szCs w:val="24"/>
          <w:lang w:val="fr-FR"/>
        </w:rPr>
        <w:t>initiative et une volonté politique sans faille de la part des principaux décideurs; la réforme structurelle des systèmes éducatifs, comprenant l</w:t>
      </w:r>
      <w:r w:rsidR="009C022A" w:rsidRPr="0067315C">
        <w:rPr>
          <w:szCs w:val="24"/>
          <w:lang w:val="fr-FR"/>
        </w:rPr>
        <w:t>’</w:t>
      </w:r>
      <w:r w:rsidRPr="0067315C">
        <w:rPr>
          <w:szCs w:val="24"/>
          <w:lang w:val="fr-FR"/>
        </w:rPr>
        <w:t xml:space="preserve">inscription </w:t>
      </w:r>
      <w:r w:rsidR="0067315C">
        <w:rPr>
          <w:szCs w:val="24"/>
          <w:lang w:val="fr-FR"/>
        </w:rPr>
        <w:t xml:space="preserve">de </w:t>
      </w:r>
      <w:r w:rsidRPr="0067315C">
        <w:rPr>
          <w:szCs w:val="24"/>
          <w:lang w:val="fr-FR"/>
        </w:rPr>
        <w:t>l</w:t>
      </w:r>
      <w:r w:rsidR="009C022A" w:rsidRPr="0067315C">
        <w:rPr>
          <w:szCs w:val="24"/>
          <w:lang w:val="fr-FR"/>
        </w:rPr>
        <w:t>’</w:t>
      </w:r>
      <w:r w:rsidRPr="0067315C">
        <w:rPr>
          <w:szCs w:val="24"/>
          <w:lang w:val="fr-FR"/>
        </w:rPr>
        <w:t>EDD dans les budgets ordinaires</w:t>
      </w:r>
      <w:r w:rsidR="0067315C">
        <w:rPr>
          <w:szCs w:val="24"/>
          <w:lang w:val="fr-FR"/>
        </w:rPr>
        <w:t> </w:t>
      </w:r>
      <w:r w:rsidRPr="0067315C">
        <w:rPr>
          <w:szCs w:val="24"/>
          <w:lang w:val="fr-FR"/>
        </w:rPr>
        <w:t>; la formation des enseignants</w:t>
      </w:r>
      <w:r w:rsidR="0067315C">
        <w:rPr>
          <w:szCs w:val="24"/>
          <w:lang w:val="fr-FR"/>
        </w:rPr>
        <w:t> </w:t>
      </w:r>
      <w:r w:rsidRPr="0067315C">
        <w:rPr>
          <w:szCs w:val="24"/>
          <w:lang w:val="fr-FR"/>
        </w:rPr>
        <w:t>; le renforcement des mécanismes de coopération et de participation, par la mobilisation d</w:t>
      </w:r>
      <w:r w:rsidR="009C022A" w:rsidRPr="0067315C">
        <w:rPr>
          <w:szCs w:val="24"/>
          <w:lang w:val="fr-FR"/>
        </w:rPr>
        <w:t>’</w:t>
      </w:r>
      <w:r w:rsidRPr="0067315C">
        <w:rPr>
          <w:szCs w:val="24"/>
          <w:lang w:val="fr-FR"/>
        </w:rPr>
        <w:t>un plus large éventail de parties prenantes</w:t>
      </w:r>
      <w:r w:rsidR="0067315C">
        <w:rPr>
          <w:szCs w:val="24"/>
          <w:lang w:val="fr-FR"/>
        </w:rPr>
        <w:t> </w:t>
      </w:r>
      <w:r w:rsidRPr="0067315C">
        <w:rPr>
          <w:szCs w:val="24"/>
          <w:lang w:val="fr-FR"/>
        </w:rPr>
        <w:t>; et l</w:t>
      </w:r>
      <w:r w:rsidR="009C022A" w:rsidRPr="0067315C">
        <w:rPr>
          <w:szCs w:val="24"/>
          <w:lang w:val="fr-FR"/>
        </w:rPr>
        <w:t>’</w:t>
      </w:r>
      <w:r w:rsidRPr="0067315C">
        <w:rPr>
          <w:szCs w:val="24"/>
          <w:lang w:val="fr-FR"/>
        </w:rPr>
        <w:t>intensification des activités de recherche, de suivi et d</w:t>
      </w:r>
      <w:r w:rsidR="009C022A" w:rsidRPr="0067315C">
        <w:rPr>
          <w:szCs w:val="24"/>
          <w:lang w:val="fr-FR"/>
        </w:rPr>
        <w:t>’</w:t>
      </w:r>
      <w:r w:rsidRPr="0067315C">
        <w:rPr>
          <w:szCs w:val="24"/>
          <w:lang w:val="fr-FR"/>
        </w:rPr>
        <w:t>évaluation en matière d</w:t>
      </w:r>
      <w:r w:rsidR="009C022A" w:rsidRPr="0067315C">
        <w:rPr>
          <w:szCs w:val="24"/>
          <w:lang w:val="fr-FR"/>
        </w:rPr>
        <w:t>’</w:t>
      </w:r>
      <w:r w:rsidRPr="0067315C">
        <w:rPr>
          <w:szCs w:val="24"/>
          <w:lang w:val="fr-FR"/>
        </w:rPr>
        <w:t>EDD.</w:t>
      </w:r>
    </w:p>
    <w:p w:rsidR="00453B9A" w:rsidRPr="00D86941" w:rsidRDefault="00CF4876" w:rsidP="00CF4876">
      <w:pPr>
        <w:pStyle w:val="HChG"/>
        <w:rPr>
          <w:lang w:val="fr-FR"/>
        </w:rPr>
      </w:pPr>
      <w:r w:rsidRPr="00D86941">
        <w:rPr>
          <w:rFonts w:ascii="Times New Roman Gras" w:hAnsi="Times New Roman Gras"/>
          <w:sz w:val="26"/>
          <w:szCs w:val="24"/>
        </w:rPr>
        <w:tab/>
      </w:r>
      <w:r w:rsidR="00453B9A" w:rsidRPr="00D86941">
        <w:rPr>
          <w:rFonts w:ascii="Times New Roman Gras" w:hAnsi="Times New Roman Gras"/>
          <w:sz w:val="26"/>
          <w:szCs w:val="24"/>
        </w:rPr>
        <w:t>II.</w:t>
      </w:r>
      <w:r w:rsidR="00453B9A" w:rsidRPr="00D86941">
        <w:rPr>
          <w:rFonts w:ascii="Times New Roman Gras" w:hAnsi="Times New Roman Gras"/>
          <w:sz w:val="26"/>
          <w:szCs w:val="24"/>
        </w:rPr>
        <w:tab/>
      </w:r>
      <w:r w:rsidR="00453B9A" w:rsidRPr="00D86941">
        <w:rPr>
          <w:lang w:val="fr-FR"/>
        </w:rPr>
        <w:t>Ambition commune de la Réunion de haut niveau des Ministères de l</w:t>
      </w:r>
      <w:r w:rsidR="009C022A" w:rsidRPr="00D86941">
        <w:rPr>
          <w:lang w:val="fr-FR"/>
        </w:rPr>
        <w:t>’</w:t>
      </w:r>
      <w:r w:rsidR="00453B9A" w:rsidRPr="00D86941">
        <w:rPr>
          <w:lang w:val="fr-FR"/>
        </w:rPr>
        <w:t>éducation et de l</w:t>
      </w:r>
      <w:r w:rsidR="009C022A" w:rsidRPr="00D86941">
        <w:rPr>
          <w:lang w:val="fr-FR"/>
        </w:rPr>
        <w:t>’</w:t>
      </w:r>
      <w:r w:rsidR="00453B9A" w:rsidRPr="00D86941">
        <w:rPr>
          <w:lang w:val="fr-FR"/>
        </w:rPr>
        <w:t>environnement</w:t>
      </w:r>
    </w:p>
    <w:p w:rsidR="00453B9A" w:rsidRPr="0067315C" w:rsidRDefault="00453B9A" w:rsidP="00CF4876">
      <w:pPr>
        <w:pStyle w:val="SingleTxtG"/>
        <w:numPr>
          <w:ilvl w:val="0"/>
          <w:numId w:val="33"/>
        </w:numPr>
        <w:ind w:left="1134" w:firstLine="0"/>
        <w:rPr>
          <w:rFonts w:ascii="Times New Roman Gras" w:hAnsi="Times New Roman Gras"/>
          <w:szCs w:val="24"/>
        </w:rPr>
      </w:pPr>
      <w:r w:rsidRPr="0067315C">
        <w:rPr>
          <w:szCs w:val="24"/>
          <w:lang w:val="fr-FR"/>
        </w:rPr>
        <w:t>Parmi les diverses initiatives mises au point dans le cadre de la Décennie des Nations Unies pour l</w:t>
      </w:r>
      <w:r w:rsidR="009C022A" w:rsidRPr="0067315C">
        <w:rPr>
          <w:szCs w:val="24"/>
          <w:lang w:val="fr-FR"/>
        </w:rPr>
        <w:t>’</w:t>
      </w:r>
      <w:r w:rsidRPr="0067315C">
        <w:rPr>
          <w:szCs w:val="24"/>
          <w:lang w:val="fr-FR"/>
        </w:rPr>
        <w:t>éducation au service du développement durable, le Comité directeur pour l</w:t>
      </w:r>
      <w:r w:rsidR="009C022A" w:rsidRPr="0067315C">
        <w:rPr>
          <w:szCs w:val="24"/>
          <w:lang w:val="fr-FR"/>
        </w:rPr>
        <w:t>’</w:t>
      </w:r>
      <w:r w:rsidRPr="0067315C">
        <w:rPr>
          <w:szCs w:val="24"/>
          <w:lang w:val="fr-FR"/>
        </w:rPr>
        <w:t>éducation au développement durable, créé à la Réunion de haut niveau des Ministères de l</w:t>
      </w:r>
      <w:r w:rsidR="009C022A" w:rsidRPr="0067315C">
        <w:rPr>
          <w:szCs w:val="24"/>
          <w:lang w:val="fr-FR"/>
        </w:rPr>
        <w:t>’</w:t>
      </w:r>
      <w:r w:rsidRPr="0067315C">
        <w:rPr>
          <w:szCs w:val="24"/>
          <w:lang w:val="fr-FR"/>
        </w:rPr>
        <w:t>éducation et de l</w:t>
      </w:r>
      <w:r w:rsidR="009C022A" w:rsidRPr="0067315C">
        <w:rPr>
          <w:szCs w:val="24"/>
          <w:lang w:val="fr-FR"/>
        </w:rPr>
        <w:t>’</w:t>
      </w:r>
      <w:r w:rsidRPr="0067315C">
        <w:rPr>
          <w:szCs w:val="24"/>
          <w:lang w:val="fr-FR"/>
        </w:rPr>
        <w:t xml:space="preserve">environnement, à Vilnius en 2005, est un exemple </w:t>
      </w:r>
      <w:r w:rsidRPr="0067315C">
        <w:rPr>
          <w:szCs w:val="24"/>
          <w:lang w:val="fr-FR"/>
        </w:rPr>
        <w:lastRenderedPageBreak/>
        <w:t>remarquable de mise en application de l</w:t>
      </w:r>
      <w:r w:rsidR="009C022A" w:rsidRPr="0067315C">
        <w:rPr>
          <w:szCs w:val="24"/>
          <w:lang w:val="fr-FR"/>
        </w:rPr>
        <w:t>’</w:t>
      </w:r>
      <w:r w:rsidRPr="0067315C">
        <w:rPr>
          <w:szCs w:val="24"/>
          <w:lang w:val="fr-FR"/>
        </w:rPr>
        <w:t>EDD au niveau régional et a servi de modèle à d</w:t>
      </w:r>
      <w:r w:rsidR="009C022A" w:rsidRPr="0067315C">
        <w:rPr>
          <w:szCs w:val="24"/>
          <w:lang w:val="fr-FR"/>
        </w:rPr>
        <w:t>’</w:t>
      </w:r>
      <w:r w:rsidRPr="0067315C">
        <w:rPr>
          <w:szCs w:val="24"/>
          <w:lang w:val="fr-FR"/>
        </w:rPr>
        <w:t>autres régions</w:t>
      </w:r>
      <w:r w:rsidRPr="0067315C">
        <w:rPr>
          <w:rStyle w:val="Appelnotedebasdep"/>
        </w:rPr>
        <w:footnoteReference w:id="3"/>
      </w:r>
      <w:r w:rsidRPr="0067315C">
        <w:rPr>
          <w:rFonts w:ascii="Times New Roman Gras" w:hAnsi="Times New Roman Gras"/>
          <w:szCs w:val="24"/>
          <w:lang w:val="fr-FR"/>
        </w:rPr>
        <w:t>.</w:t>
      </w:r>
    </w:p>
    <w:p w:rsidR="00453B9A" w:rsidRPr="0067315C" w:rsidRDefault="00453B9A" w:rsidP="00CF4876">
      <w:pPr>
        <w:pStyle w:val="SingleTxtG"/>
        <w:numPr>
          <w:ilvl w:val="0"/>
          <w:numId w:val="33"/>
        </w:numPr>
        <w:ind w:left="1134" w:firstLine="0"/>
        <w:rPr>
          <w:rFonts w:ascii="Times New Roman Gras" w:hAnsi="Times New Roman Gras"/>
          <w:szCs w:val="24"/>
        </w:rPr>
      </w:pPr>
      <w:r w:rsidRPr="0067315C">
        <w:rPr>
          <w:szCs w:val="24"/>
          <w:lang w:val="fr-FR"/>
        </w:rPr>
        <w:t>L</w:t>
      </w:r>
      <w:r w:rsidR="009C022A" w:rsidRPr="0067315C">
        <w:rPr>
          <w:szCs w:val="24"/>
          <w:lang w:val="fr-FR"/>
        </w:rPr>
        <w:t>’</w:t>
      </w:r>
      <w:r w:rsidRPr="0067315C">
        <w:rPr>
          <w:szCs w:val="24"/>
          <w:lang w:val="fr-FR"/>
        </w:rPr>
        <w:t>EDD relève de l</w:t>
      </w:r>
      <w:r w:rsidR="009C022A" w:rsidRPr="0067315C">
        <w:rPr>
          <w:szCs w:val="24"/>
          <w:lang w:val="fr-FR"/>
        </w:rPr>
        <w:t>’</w:t>
      </w:r>
      <w:r w:rsidRPr="0067315C">
        <w:rPr>
          <w:szCs w:val="24"/>
          <w:lang w:val="fr-FR"/>
        </w:rPr>
        <w:t xml:space="preserve">objectif de développement durable (ODD) </w:t>
      </w:r>
      <w:r w:rsidR="00CF4876" w:rsidRPr="0067315C">
        <w:rPr>
          <w:szCs w:val="24"/>
          <w:lang w:val="fr-FR"/>
        </w:rPr>
        <w:t>no </w:t>
      </w:r>
      <w:r w:rsidRPr="0067315C">
        <w:rPr>
          <w:szCs w:val="24"/>
          <w:lang w:val="fr-FR"/>
        </w:rPr>
        <w:t>4 relatif à l</w:t>
      </w:r>
      <w:r w:rsidR="009C022A" w:rsidRPr="0067315C">
        <w:rPr>
          <w:szCs w:val="24"/>
          <w:lang w:val="fr-FR"/>
        </w:rPr>
        <w:t>’</w:t>
      </w:r>
      <w:r w:rsidRPr="0067315C">
        <w:rPr>
          <w:szCs w:val="24"/>
          <w:lang w:val="fr-FR"/>
        </w:rPr>
        <w:t>éducation, dont la cible 4.7 donne pour tâche aux pays de faire en sorte que, d</w:t>
      </w:r>
      <w:r w:rsidR="009C022A" w:rsidRPr="0067315C">
        <w:rPr>
          <w:szCs w:val="24"/>
          <w:lang w:val="fr-FR"/>
        </w:rPr>
        <w:t>’</w:t>
      </w:r>
      <w:r w:rsidRPr="0067315C">
        <w:rPr>
          <w:szCs w:val="24"/>
          <w:lang w:val="fr-FR"/>
        </w:rPr>
        <w:t xml:space="preserve">ici à 2030, tous les élèves acquièrent les connaissances et compétences nécessaires pour promouvoir le </w:t>
      </w:r>
      <w:hyperlink r:id="rId11" w:tooltip="Développement durable" w:history="1">
        <w:r w:rsidRPr="0067315C">
          <w:rPr>
            <w:lang w:val="fr-FR"/>
          </w:rPr>
          <w:t>développement durable</w:t>
        </w:r>
      </w:hyperlink>
      <w:r w:rsidRPr="0067315C">
        <w:rPr>
          <w:szCs w:val="24"/>
          <w:lang w:val="fr-FR"/>
        </w:rPr>
        <w:t>. Cependant, la mise en œuvre de la Stratégie de la CEE pour l</w:t>
      </w:r>
      <w:r w:rsidR="009C022A" w:rsidRPr="0067315C">
        <w:rPr>
          <w:szCs w:val="24"/>
          <w:lang w:val="fr-FR"/>
        </w:rPr>
        <w:t>’</w:t>
      </w:r>
      <w:r w:rsidRPr="0067315C">
        <w:rPr>
          <w:szCs w:val="24"/>
          <w:lang w:val="fr-FR"/>
        </w:rPr>
        <w:t>EDD au-delà de 2015 aidera à atteindre non seulement l</w:t>
      </w:r>
      <w:r w:rsidR="009C022A" w:rsidRPr="0067315C">
        <w:rPr>
          <w:szCs w:val="24"/>
          <w:lang w:val="fr-FR"/>
        </w:rPr>
        <w:t>’</w:t>
      </w:r>
      <w:r w:rsidRPr="0067315C">
        <w:rPr>
          <w:szCs w:val="24"/>
          <w:lang w:val="fr-FR"/>
        </w:rPr>
        <w:t>objectif 4 et la cible 4.7, mais aussi l</w:t>
      </w:r>
      <w:r w:rsidR="009C022A" w:rsidRPr="0067315C">
        <w:rPr>
          <w:szCs w:val="24"/>
          <w:lang w:val="fr-FR"/>
        </w:rPr>
        <w:t>’</w:t>
      </w:r>
      <w:r w:rsidRPr="0067315C">
        <w:rPr>
          <w:szCs w:val="24"/>
          <w:lang w:val="fr-FR"/>
        </w:rPr>
        <w:t>ensemble des ODD. L</w:t>
      </w:r>
      <w:r w:rsidR="009C022A" w:rsidRPr="0067315C">
        <w:rPr>
          <w:szCs w:val="24"/>
          <w:lang w:val="fr-FR"/>
        </w:rPr>
        <w:t>’</w:t>
      </w:r>
      <w:r w:rsidRPr="0067315C">
        <w:rPr>
          <w:szCs w:val="24"/>
          <w:lang w:val="fr-FR"/>
        </w:rPr>
        <w:t>EDD est un processus transversal, qui permettra d</w:t>
      </w:r>
      <w:r w:rsidR="009C022A" w:rsidRPr="0067315C">
        <w:rPr>
          <w:szCs w:val="24"/>
          <w:lang w:val="fr-FR"/>
        </w:rPr>
        <w:t>’</w:t>
      </w:r>
      <w:r w:rsidRPr="0067315C">
        <w:rPr>
          <w:szCs w:val="24"/>
          <w:lang w:val="fr-FR"/>
        </w:rPr>
        <w:t>acquérir une meilleure compréhension et de meilleures</w:t>
      </w:r>
      <w:r w:rsidR="00CF4876" w:rsidRPr="0067315C">
        <w:rPr>
          <w:szCs w:val="24"/>
          <w:lang w:val="fr-FR"/>
        </w:rPr>
        <w:t xml:space="preserve"> </w:t>
      </w:r>
      <w:r w:rsidRPr="0067315C">
        <w:rPr>
          <w:szCs w:val="24"/>
          <w:lang w:val="fr-FR"/>
        </w:rPr>
        <w:t>compétences en ce qui concerne tous les aspects du développement durable</w:t>
      </w:r>
      <w:r w:rsidRPr="0067315C">
        <w:rPr>
          <w:rStyle w:val="Appelnotedebasdep"/>
        </w:rPr>
        <w:footnoteReference w:id="4"/>
      </w:r>
      <w:r w:rsidR="00CF4876" w:rsidRPr="0067315C">
        <w:rPr>
          <w:rFonts w:ascii="Times New Roman Gras" w:hAnsi="Times New Roman Gras"/>
          <w:szCs w:val="24"/>
          <w:lang w:val="fr-FR"/>
        </w:rPr>
        <w:t>.</w:t>
      </w:r>
    </w:p>
    <w:p w:rsidR="00453B9A" w:rsidRPr="0067315C" w:rsidRDefault="00453B9A" w:rsidP="00CF4876">
      <w:pPr>
        <w:pStyle w:val="SingleTxtG"/>
        <w:numPr>
          <w:ilvl w:val="0"/>
          <w:numId w:val="33"/>
        </w:numPr>
        <w:ind w:left="1134" w:firstLine="0"/>
        <w:rPr>
          <w:rFonts w:ascii="Times New Roman Gras" w:hAnsi="Times New Roman Gras"/>
          <w:szCs w:val="24"/>
        </w:rPr>
      </w:pPr>
      <w:r w:rsidRPr="0067315C">
        <w:rPr>
          <w:szCs w:val="24"/>
          <w:lang w:val="fr-FR"/>
        </w:rPr>
        <w:t>La région de la CEE continuera d</w:t>
      </w:r>
      <w:r w:rsidR="009C022A" w:rsidRPr="0067315C">
        <w:rPr>
          <w:szCs w:val="24"/>
          <w:lang w:val="fr-FR"/>
        </w:rPr>
        <w:t>’</w:t>
      </w:r>
      <w:r w:rsidRPr="0067315C">
        <w:rPr>
          <w:szCs w:val="24"/>
          <w:lang w:val="fr-FR"/>
        </w:rPr>
        <w:t>appliquer la Stratégie pour l</w:t>
      </w:r>
      <w:r w:rsidR="009C022A" w:rsidRPr="0067315C">
        <w:rPr>
          <w:szCs w:val="24"/>
          <w:lang w:val="fr-FR"/>
        </w:rPr>
        <w:t>’</w:t>
      </w:r>
      <w:r w:rsidRPr="0067315C">
        <w:rPr>
          <w:szCs w:val="24"/>
          <w:lang w:val="fr-FR"/>
        </w:rPr>
        <w:t>EDD et, ce faisant, apportera une contribution tangible au Programme d</w:t>
      </w:r>
      <w:r w:rsidR="009C022A" w:rsidRPr="0067315C">
        <w:rPr>
          <w:szCs w:val="24"/>
          <w:lang w:val="fr-FR"/>
        </w:rPr>
        <w:t>’</w:t>
      </w:r>
      <w:r w:rsidRPr="0067315C">
        <w:rPr>
          <w:szCs w:val="24"/>
          <w:lang w:val="fr-FR"/>
        </w:rPr>
        <w:t>action mondial pour l</w:t>
      </w:r>
      <w:r w:rsidR="009C022A" w:rsidRPr="0067315C">
        <w:rPr>
          <w:szCs w:val="24"/>
          <w:lang w:val="fr-FR"/>
        </w:rPr>
        <w:t>’</w:t>
      </w:r>
      <w:r w:rsidRPr="0067315C">
        <w:rPr>
          <w:szCs w:val="24"/>
          <w:lang w:val="fr-FR"/>
        </w:rPr>
        <w:t>éducation au service du développement durable, adopté par la Conférence générale de UNESCO à sa trente-septième session (UNESCO, 37 C/Résolution 12). Dans sa résolution 69/211, l</w:t>
      </w:r>
      <w:r w:rsidR="009C022A" w:rsidRPr="0067315C">
        <w:rPr>
          <w:szCs w:val="24"/>
          <w:lang w:val="fr-FR"/>
        </w:rPr>
        <w:t>’</w:t>
      </w:r>
      <w:r w:rsidRPr="0067315C">
        <w:rPr>
          <w:szCs w:val="24"/>
          <w:lang w:val="fr-FR"/>
        </w:rPr>
        <w:t>Assemblée générale des Nations Unies prend note du Programme d</w:t>
      </w:r>
      <w:r w:rsidR="009C022A" w:rsidRPr="0067315C">
        <w:rPr>
          <w:szCs w:val="24"/>
          <w:lang w:val="fr-FR"/>
        </w:rPr>
        <w:t>’</w:t>
      </w:r>
      <w:r w:rsidRPr="0067315C">
        <w:rPr>
          <w:szCs w:val="24"/>
          <w:lang w:val="fr-FR"/>
        </w:rPr>
        <w:t>action mondial comme moyen d</w:t>
      </w:r>
      <w:r w:rsidR="009C022A" w:rsidRPr="0067315C">
        <w:rPr>
          <w:szCs w:val="24"/>
          <w:lang w:val="fr-FR"/>
        </w:rPr>
        <w:t>’</w:t>
      </w:r>
      <w:r w:rsidRPr="0067315C">
        <w:rPr>
          <w:szCs w:val="24"/>
          <w:lang w:val="fr-FR"/>
        </w:rPr>
        <w:t>assurer le suivi de la Décennie des Nations Unies pour l</w:t>
      </w:r>
      <w:r w:rsidR="009C022A" w:rsidRPr="0067315C">
        <w:rPr>
          <w:szCs w:val="24"/>
          <w:lang w:val="fr-FR"/>
        </w:rPr>
        <w:t>’</w:t>
      </w:r>
      <w:r w:rsidRPr="0067315C">
        <w:rPr>
          <w:szCs w:val="24"/>
          <w:lang w:val="fr-FR"/>
        </w:rPr>
        <w:t>éducation au service du développement durable et invite l</w:t>
      </w:r>
      <w:r w:rsidR="009C022A" w:rsidRPr="0067315C">
        <w:rPr>
          <w:szCs w:val="24"/>
          <w:lang w:val="fr-FR"/>
        </w:rPr>
        <w:t>’</w:t>
      </w:r>
      <w:r w:rsidRPr="0067315C">
        <w:rPr>
          <w:szCs w:val="24"/>
          <w:lang w:val="fr-FR"/>
        </w:rPr>
        <w:t>UNESCO à continuer de coordonner sa mise en œuvre. En outre, dans sa résolution</w:t>
      </w:r>
      <w:r w:rsidR="00E36A49">
        <w:rPr>
          <w:szCs w:val="24"/>
          <w:lang w:val="fr-FR"/>
        </w:rPr>
        <w:t> </w:t>
      </w:r>
      <w:r w:rsidRPr="0067315C">
        <w:rPr>
          <w:szCs w:val="24"/>
          <w:lang w:val="fr-FR"/>
        </w:rPr>
        <w:t>70/209, l</w:t>
      </w:r>
      <w:r w:rsidR="009C022A" w:rsidRPr="0067315C">
        <w:rPr>
          <w:szCs w:val="24"/>
          <w:lang w:val="fr-FR"/>
        </w:rPr>
        <w:t>’</w:t>
      </w:r>
      <w:r w:rsidRPr="0067315C">
        <w:rPr>
          <w:szCs w:val="24"/>
          <w:lang w:val="fr-FR"/>
        </w:rPr>
        <w:t>Assemblée générale réaffirme que l</w:t>
      </w:r>
      <w:r w:rsidR="009C022A" w:rsidRPr="0067315C">
        <w:rPr>
          <w:szCs w:val="24"/>
          <w:lang w:val="fr-FR"/>
        </w:rPr>
        <w:t>’</w:t>
      </w:r>
      <w:r w:rsidRPr="0067315C">
        <w:rPr>
          <w:szCs w:val="24"/>
          <w:lang w:val="fr-FR"/>
        </w:rPr>
        <w:t>éducation au service du développement durable est un pilier de la réalisation du développement durable.</w:t>
      </w:r>
    </w:p>
    <w:p w:rsidR="00453B9A" w:rsidRPr="0067315C" w:rsidRDefault="00453B9A" w:rsidP="00CF4876">
      <w:pPr>
        <w:pStyle w:val="SingleTxtG"/>
        <w:numPr>
          <w:ilvl w:val="0"/>
          <w:numId w:val="33"/>
        </w:numPr>
        <w:ind w:left="1134" w:firstLine="0"/>
        <w:rPr>
          <w:szCs w:val="24"/>
          <w:lang w:val="fr-FR"/>
        </w:rPr>
      </w:pPr>
      <w:r w:rsidRPr="0067315C">
        <w:rPr>
          <w:szCs w:val="24"/>
          <w:lang w:val="fr-FR"/>
        </w:rPr>
        <w:t>Le Programme d</w:t>
      </w:r>
      <w:r w:rsidR="009C022A" w:rsidRPr="0067315C">
        <w:rPr>
          <w:szCs w:val="24"/>
          <w:lang w:val="fr-FR"/>
        </w:rPr>
        <w:t>’</w:t>
      </w:r>
      <w:r w:rsidRPr="0067315C">
        <w:rPr>
          <w:szCs w:val="24"/>
          <w:lang w:val="fr-FR"/>
        </w:rPr>
        <w:t>action mondial pour l</w:t>
      </w:r>
      <w:r w:rsidR="009C022A" w:rsidRPr="0067315C">
        <w:rPr>
          <w:szCs w:val="24"/>
          <w:lang w:val="fr-FR"/>
        </w:rPr>
        <w:t>’</w:t>
      </w:r>
      <w:r w:rsidRPr="0067315C">
        <w:rPr>
          <w:szCs w:val="24"/>
          <w:lang w:val="fr-FR"/>
        </w:rPr>
        <w:t>éducation au service du développement durable s</w:t>
      </w:r>
      <w:r w:rsidR="009C022A" w:rsidRPr="0067315C">
        <w:rPr>
          <w:szCs w:val="24"/>
          <w:lang w:val="fr-FR"/>
        </w:rPr>
        <w:t>’</w:t>
      </w:r>
      <w:r w:rsidRPr="0067315C">
        <w:rPr>
          <w:szCs w:val="24"/>
          <w:lang w:val="fr-FR"/>
        </w:rPr>
        <w:t>articule autour de cinq domaines d</w:t>
      </w:r>
      <w:r w:rsidR="009C022A" w:rsidRPr="0067315C">
        <w:rPr>
          <w:szCs w:val="24"/>
          <w:lang w:val="fr-FR"/>
        </w:rPr>
        <w:t>’</w:t>
      </w:r>
      <w:r w:rsidRPr="0067315C">
        <w:rPr>
          <w:szCs w:val="24"/>
          <w:lang w:val="fr-FR"/>
        </w:rPr>
        <w:t>action prioritaires, énumérés ci-après, qui fournissent des axes stratégiqu</w:t>
      </w:r>
      <w:r w:rsidR="00CF4876" w:rsidRPr="0067315C">
        <w:rPr>
          <w:szCs w:val="24"/>
          <w:lang w:val="fr-FR"/>
        </w:rPr>
        <w:t xml:space="preserve">es </w:t>
      </w:r>
      <w:r w:rsidRPr="0067315C">
        <w:rPr>
          <w:szCs w:val="24"/>
          <w:lang w:val="fr-FR"/>
        </w:rPr>
        <w:t>et facilitent l</w:t>
      </w:r>
      <w:r w:rsidR="009C022A" w:rsidRPr="0067315C">
        <w:rPr>
          <w:szCs w:val="24"/>
          <w:lang w:val="fr-FR"/>
        </w:rPr>
        <w:t>’</w:t>
      </w:r>
      <w:r w:rsidRPr="0067315C">
        <w:rPr>
          <w:szCs w:val="24"/>
          <w:lang w:val="fr-FR"/>
        </w:rPr>
        <w:t>engagement des parties prenantes</w:t>
      </w:r>
      <w:r w:rsidR="00CF4876" w:rsidRPr="0067315C">
        <w:rPr>
          <w:szCs w:val="24"/>
          <w:lang w:val="fr-FR"/>
        </w:rPr>
        <w:t> </w:t>
      </w:r>
      <w:r w:rsidRPr="0067315C">
        <w:rPr>
          <w:szCs w:val="24"/>
          <w:lang w:val="fr-FR"/>
        </w:rPr>
        <w:t>: a) politiques d</w:t>
      </w:r>
      <w:r w:rsidR="009C022A" w:rsidRPr="0067315C">
        <w:rPr>
          <w:szCs w:val="24"/>
          <w:lang w:val="fr-FR"/>
        </w:rPr>
        <w:t>’</w:t>
      </w:r>
      <w:r w:rsidRPr="0067315C">
        <w:rPr>
          <w:szCs w:val="24"/>
          <w:lang w:val="fr-FR"/>
        </w:rPr>
        <w:t>appui</w:t>
      </w:r>
      <w:r w:rsidR="00E36A49">
        <w:rPr>
          <w:szCs w:val="24"/>
          <w:lang w:val="fr-FR"/>
        </w:rPr>
        <w:t> </w:t>
      </w:r>
      <w:r w:rsidRPr="0067315C">
        <w:rPr>
          <w:szCs w:val="24"/>
          <w:lang w:val="fr-FR"/>
        </w:rPr>
        <w:t>; b) approches institutionnelles globales</w:t>
      </w:r>
      <w:r w:rsidR="00CF4876" w:rsidRPr="0067315C">
        <w:rPr>
          <w:szCs w:val="24"/>
          <w:lang w:val="fr-FR"/>
        </w:rPr>
        <w:t> </w:t>
      </w:r>
      <w:r w:rsidRPr="0067315C">
        <w:rPr>
          <w:szCs w:val="24"/>
          <w:lang w:val="fr-FR"/>
        </w:rPr>
        <w:t>; c) éducateurs</w:t>
      </w:r>
      <w:r w:rsidR="00CF4876" w:rsidRPr="0067315C">
        <w:rPr>
          <w:szCs w:val="24"/>
          <w:lang w:val="fr-FR"/>
        </w:rPr>
        <w:t> </w:t>
      </w:r>
      <w:r w:rsidRPr="0067315C">
        <w:rPr>
          <w:szCs w:val="24"/>
          <w:lang w:val="fr-FR"/>
        </w:rPr>
        <w:t>; d) jeunes</w:t>
      </w:r>
      <w:r w:rsidR="00CF4876" w:rsidRPr="0067315C">
        <w:rPr>
          <w:szCs w:val="24"/>
          <w:lang w:val="fr-FR"/>
        </w:rPr>
        <w:t> </w:t>
      </w:r>
      <w:r w:rsidRPr="0067315C">
        <w:rPr>
          <w:szCs w:val="24"/>
          <w:lang w:val="fr-FR"/>
        </w:rPr>
        <w:t>; e) collectivités locales. Le cadre de mise en œuvre de la Stratégie pour l</w:t>
      </w:r>
      <w:r w:rsidR="009C022A" w:rsidRPr="0067315C">
        <w:rPr>
          <w:szCs w:val="24"/>
          <w:lang w:val="fr-FR"/>
        </w:rPr>
        <w:t>’</w:t>
      </w:r>
      <w:r w:rsidRPr="0067315C">
        <w:rPr>
          <w:szCs w:val="24"/>
          <w:lang w:val="fr-FR"/>
        </w:rPr>
        <w:t>EDD s</w:t>
      </w:r>
      <w:r w:rsidR="009C022A" w:rsidRPr="0067315C">
        <w:rPr>
          <w:szCs w:val="24"/>
          <w:lang w:val="fr-FR"/>
        </w:rPr>
        <w:t>’</w:t>
      </w:r>
      <w:r w:rsidRPr="0067315C">
        <w:rPr>
          <w:szCs w:val="24"/>
          <w:lang w:val="fr-FR"/>
        </w:rPr>
        <w:t>inspire du Programme d</w:t>
      </w:r>
      <w:r w:rsidR="009C022A" w:rsidRPr="0067315C">
        <w:rPr>
          <w:szCs w:val="24"/>
          <w:lang w:val="fr-FR"/>
        </w:rPr>
        <w:t>’</w:t>
      </w:r>
      <w:r w:rsidRPr="0067315C">
        <w:rPr>
          <w:szCs w:val="24"/>
          <w:lang w:val="fr-FR"/>
        </w:rPr>
        <w:t>action mondial, comme il ressort de ses domaines d</w:t>
      </w:r>
      <w:r w:rsidR="009C022A" w:rsidRPr="0067315C">
        <w:rPr>
          <w:szCs w:val="24"/>
          <w:lang w:val="fr-FR"/>
        </w:rPr>
        <w:t>’</w:t>
      </w:r>
      <w:r w:rsidRPr="0067315C">
        <w:rPr>
          <w:szCs w:val="24"/>
          <w:lang w:val="fr-FR"/>
        </w:rPr>
        <w:t>action prioritaires «</w:t>
      </w:r>
      <w:r w:rsidR="00CF4876" w:rsidRPr="0067315C">
        <w:rPr>
          <w:szCs w:val="24"/>
          <w:lang w:val="fr-FR"/>
        </w:rPr>
        <w:t> </w:t>
      </w:r>
      <w:r w:rsidRPr="0067315C">
        <w:rPr>
          <w:szCs w:val="24"/>
          <w:lang w:val="fr-FR"/>
        </w:rPr>
        <w:t>verticaux</w:t>
      </w:r>
      <w:r w:rsidR="00CF4876" w:rsidRPr="0067315C">
        <w:rPr>
          <w:szCs w:val="24"/>
          <w:lang w:val="fr-FR"/>
        </w:rPr>
        <w:t> </w:t>
      </w:r>
      <w:r w:rsidRPr="0067315C">
        <w:rPr>
          <w:szCs w:val="24"/>
          <w:lang w:val="fr-FR"/>
        </w:rPr>
        <w:t>» et «</w:t>
      </w:r>
      <w:r w:rsidR="00CF4876" w:rsidRPr="0067315C">
        <w:rPr>
          <w:szCs w:val="24"/>
          <w:lang w:val="fr-FR"/>
        </w:rPr>
        <w:t> </w:t>
      </w:r>
      <w:r w:rsidRPr="0067315C">
        <w:rPr>
          <w:szCs w:val="24"/>
          <w:lang w:val="fr-FR"/>
        </w:rPr>
        <w:t>horizontaux</w:t>
      </w:r>
      <w:r w:rsidR="00CF4876" w:rsidRPr="0067315C">
        <w:rPr>
          <w:szCs w:val="24"/>
          <w:lang w:val="fr-FR"/>
        </w:rPr>
        <w:t> </w:t>
      </w:r>
      <w:r w:rsidRPr="0067315C">
        <w:rPr>
          <w:szCs w:val="24"/>
          <w:lang w:val="fr-FR"/>
        </w:rPr>
        <w:t>» (voir la section</w:t>
      </w:r>
      <w:r w:rsidR="00CF4876" w:rsidRPr="0067315C">
        <w:rPr>
          <w:szCs w:val="24"/>
          <w:lang w:val="fr-FR"/>
        </w:rPr>
        <w:t> </w:t>
      </w:r>
      <w:r w:rsidRPr="0067315C">
        <w:rPr>
          <w:szCs w:val="24"/>
          <w:lang w:val="fr-FR"/>
        </w:rPr>
        <w:t>IV c</w:t>
      </w:r>
      <w:r w:rsidR="00CF4876" w:rsidRPr="0067315C">
        <w:rPr>
          <w:szCs w:val="24"/>
          <w:lang w:val="fr-FR"/>
        </w:rPr>
        <w:t>i-</w:t>
      </w:r>
      <w:r w:rsidRPr="0067315C">
        <w:rPr>
          <w:szCs w:val="24"/>
          <w:lang w:val="fr-FR"/>
        </w:rPr>
        <w:t>après</w:t>
      </w:r>
      <w:r w:rsidR="00CF4876" w:rsidRPr="0067315C">
        <w:rPr>
          <w:szCs w:val="24"/>
          <w:lang w:val="fr-FR"/>
        </w:rPr>
        <w:t>).</w:t>
      </w:r>
    </w:p>
    <w:p w:rsidR="00453B9A" w:rsidRPr="0067315C" w:rsidRDefault="00453B9A" w:rsidP="009863EA">
      <w:pPr>
        <w:pStyle w:val="SingleTxtG"/>
        <w:numPr>
          <w:ilvl w:val="0"/>
          <w:numId w:val="33"/>
        </w:numPr>
        <w:ind w:left="1134" w:firstLine="0"/>
        <w:rPr>
          <w:szCs w:val="24"/>
          <w:lang w:val="fr-FR"/>
        </w:rPr>
      </w:pPr>
      <w:r w:rsidRPr="0067315C">
        <w:rPr>
          <w:szCs w:val="24"/>
          <w:lang w:val="fr-FR"/>
        </w:rPr>
        <w:t>Les représentants des Ministères de l</w:t>
      </w:r>
      <w:r w:rsidR="009C022A" w:rsidRPr="0067315C">
        <w:rPr>
          <w:szCs w:val="24"/>
          <w:lang w:val="fr-FR"/>
        </w:rPr>
        <w:t>’</w:t>
      </w:r>
      <w:r w:rsidRPr="0067315C">
        <w:rPr>
          <w:szCs w:val="24"/>
          <w:lang w:val="fr-FR"/>
        </w:rPr>
        <w:t>éducation et de l</w:t>
      </w:r>
      <w:r w:rsidR="009C022A" w:rsidRPr="0067315C">
        <w:rPr>
          <w:szCs w:val="24"/>
          <w:lang w:val="fr-FR"/>
        </w:rPr>
        <w:t>’</w:t>
      </w:r>
      <w:r w:rsidRPr="0067315C">
        <w:rPr>
          <w:szCs w:val="24"/>
          <w:lang w:val="fr-FR"/>
        </w:rPr>
        <w:t>environnement des pays de la CEE présents à la Réunion de haut niveau de Batumi (Géorgie) réaffirment l</w:t>
      </w:r>
      <w:r w:rsidR="009C022A" w:rsidRPr="0067315C">
        <w:rPr>
          <w:szCs w:val="24"/>
          <w:lang w:val="fr-FR"/>
        </w:rPr>
        <w:t>’</w:t>
      </w:r>
      <w:r w:rsidRPr="0067315C">
        <w:rPr>
          <w:szCs w:val="24"/>
          <w:lang w:val="fr-FR"/>
        </w:rPr>
        <w:t>ambition commune énoncée dans la Stratégie pour l</w:t>
      </w:r>
      <w:r w:rsidR="009C022A" w:rsidRPr="0067315C">
        <w:rPr>
          <w:szCs w:val="24"/>
          <w:lang w:val="fr-FR"/>
        </w:rPr>
        <w:t>’</w:t>
      </w:r>
      <w:r w:rsidRPr="0067315C">
        <w:rPr>
          <w:szCs w:val="24"/>
          <w:lang w:val="fr-FR"/>
        </w:rPr>
        <w:t>EDD (voir encadré).</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1D42D9" w:rsidRPr="0067315C" w:rsidTr="00E34712">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1D42D9" w:rsidRPr="0067315C" w:rsidRDefault="001D42D9" w:rsidP="00E34712"/>
        </w:tc>
      </w:tr>
      <w:tr w:rsidR="001D42D9" w:rsidRPr="0067315C" w:rsidTr="00E34712">
        <w:trPr>
          <w:jc w:val="center"/>
        </w:trPr>
        <w:tc>
          <w:tcPr>
            <w:tcW w:w="7653" w:type="dxa"/>
            <w:tcBorders>
              <w:left w:val="single" w:sz="4" w:space="0" w:color="auto"/>
              <w:bottom w:val="nil"/>
              <w:right w:val="single" w:sz="4" w:space="0" w:color="auto"/>
            </w:tcBorders>
            <w:shd w:val="clear" w:color="auto" w:fill="auto"/>
          </w:tcPr>
          <w:p w:rsidR="001D42D9" w:rsidRPr="0067315C" w:rsidRDefault="001D42D9" w:rsidP="00E34712">
            <w:pPr>
              <w:spacing w:after="120"/>
              <w:jc w:val="both"/>
            </w:pPr>
            <w:r w:rsidRPr="0067315C">
              <w:rPr>
                <w:rFonts w:ascii="Times New Roman Gras" w:hAnsi="Times New Roman Gras"/>
                <w:szCs w:val="24"/>
                <w:lang w:val="fr-FR"/>
              </w:rPr>
              <w:t>Principes de la Stratégie de la CEE pour l</w:t>
            </w:r>
            <w:r w:rsidR="009C022A" w:rsidRPr="0067315C">
              <w:rPr>
                <w:rFonts w:ascii="Times New Roman Gras" w:hAnsi="Times New Roman Gras"/>
                <w:szCs w:val="24"/>
                <w:lang w:val="fr-FR"/>
              </w:rPr>
              <w:t>’</w:t>
            </w:r>
            <w:r w:rsidRPr="0067315C">
              <w:rPr>
                <w:rFonts w:ascii="Times New Roman Gras" w:hAnsi="Times New Roman Gras"/>
                <w:szCs w:val="24"/>
                <w:lang w:val="fr-FR"/>
              </w:rPr>
              <w:t>éducation en vue du développement durable</w:t>
            </w:r>
          </w:p>
        </w:tc>
      </w:tr>
      <w:tr w:rsidR="001D42D9" w:rsidRPr="0067315C" w:rsidTr="00841D36">
        <w:trPr>
          <w:cantSplit/>
          <w:jc w:val="center"/>
        </w:trPr>
        <w:tc>
          <w:tcPr>
            <w:tcW w:w="7653" w:type="dxa"/>
            <w:tcBorders>
              <w:left w:val="single" w:sz="4" w:space="0" w:color="auto"/>
              <w:bottom w:val="nil"/>
              <w:right w:val="single" w:sz="4" w:space="0" w:color="auto"/>
            </w:tcBorders>
            <w:shd w:val="clear" w:color="auto" w:fill="auto"/>
          </w:tcPr>
          <w:p w:rsidR="001D42D9" w:rsidRPr="0067315C" w:rsidRDefault="001D42D9" w:rsidP="00841D36">
            <w:pPr>
              <w:spacing w:after="120"/>
              <w:ind w:firstLine="567"/>
              <w:jc w:val="both"/>
              <w:rPr>
                <w:szCs w:val="24"/>
                <w:lang w:val="fr-FR"/>
              </w:rPr>
            </w:pPr>
            <w:r w:rsidRPr="0067315C">
              <w:rPr>
                <w:szCs w:val="24"/>
                <w:lang w:val="fr-FR"/>
              </w:rPr>
              <w:t>Solidarité, égalité et respect mutuel entre les peuples, les pays et les générations, telles sont les valeurs communes qui inspirent notre ambition pour l</w:t>
            </w:r>
            <w:r w:rsidR="009C022A" w:rsidRPr="0067315C">
              <w:rPr>
                <w:szCs w:val="24"/>
                <w:lang w:val="fr-FR"/>
              </w:rPr>
              <w:t>’</w:t>
            </w:r>
            <w:r w:rsidRPr="0067315C">
              <w:rPr>
                <w:szCs w:val="24"/>
                <w:lang w:val="fr-FR"/>
              </w:rPr>
              <w:t>avenir de la région. Celle-ci se caractérise par un développement durable, notamment par la vitalité de l</w:t>
            </w:r>
            <w:r w:rsidR="009C022A" w:rsidRPr="0067315C">
              <w:rPr>
                <w:szCs w:val="24"/>
                <w:lang w:val="fr-FR"/>
              </w:rPr>
              <w:t>’</w:t>
            </w:r>
            <w:r w:rsidRPr="0067315C">
              <w:rPr>
                <w:szCs w:val="24"/>
                <w:lang w:val="fr-FR"/>
              </w:rPr>
              <w:t>économie, la justice, la cohésion sociale, la protection de l</w:t>
            </w:r>
            <w:r w:rsidR="009C022A" w:rsidRPr="0067315C">
              <w:rPr>
                <w:szCs w:val="24"/>
                <w:lang w:val="fr-FR"/>
              </w:rPr>
              <w:t>’</w:t>
            </w:r>
            <w:r w:rsidRPr="0067315C">
              <w:rPr>
                <w:szCs w:val="24"/>
                <w:lang w:val="fr-FR"/>
              </w:rPr>
              <w:t>environnement et la gestion durable des ressources naturelles.</w:t>
            </w:r>
          </w:p>
        </w:tc>
      </w:tr>
      <w:tr w:rsidR="001D42D9" w:rsidRPr="0067315C" w:rsidTr="00841D36">
        <w:trPr>
          <w:cantSplit/>
          <w:jc w:val="center"/>
        </w:trPr>
        <w:tc>
          <w:tcPr>
            <w:tcW w:w="7653" w:type="dxa"/>
            <w:tcBorders>
              <w:left w:val="single" w:sz="4" w:space="0" w:color="auto"/>
              <w:bottom w:val="nil"/>
              <w:right w:val="single" w:sz="4" w:space="0" w:color="auto"/>
            </w:tcBorders>
            <w:shd w:val="clear" w:color="auto" w:fill="auto"/>
          </w:tcPr>
          <w:p w:rsidR="001D42D9" w:rsidRPr="0067315C" w:rsidRDefault="001D42D9" w:rsidP="001D42D9">
            <w:pPr>
              <w:spacing w:after="120"/>
              <w:ind w:firstLine="567"/>
              <w:jc w:val="both"/>
              <w:rPr>
                <w:rFonts w:ascii="Times New Roman Gras" w:hAnsi="Times New Roman Gras"/>
                <w:szCs w:val="24"/>
                <w:lang w:val="fr-FR"/>
              </w:rPr>
            </w:pPr>
            <w:r w:rsidRPr="0067315C">
              <w:rPr>
                <w:szCs w:val="24"/>
                <w:lang w:val="fr-FR"/>
              </w:rPr>
              <w:lastRenderedPageBreak/>
              <w:t>Pour que l</w:t>
            </w:r>
            <w:r w:rsidR="009C022A" w:rsidRPr="0067315C">
              <w:rPr>
                <w:szCs w:val="24"/>
                <w:lang w:val="fr-FR"/>
              </w:rPr>
              <w:t>’</w:t>
            </w:r>
            <w:r w:rsidRPr="0067315C">
              <w:rPr>
                <w:szCs w:val="24"/>
                <w:lang w:val="fr-FR"/>
              </w:rPr>
              <w:t>ambition d</w:t>
            </w:r>
            <w:r w:rsidR="009C022A" w:rsidRPr="0067315C">
              <w:rPr>
                <w:szCs w:val="24"/>
                <w:lang w:val="fr-FR"/>
              </w:rPr>
              <w:t>’</w:t>
            </w:r>
            <w:r w:rsidRPr="0067315C">
              <w:rPr>
                <w:szCs w:val="24"/>
                <w:lang w:val="fr-FR"/>
              </w:rPr>
              <w:t>un avenir durable devienne réalité, un changement de mentalité s</w:t>
            </w:r>
            <w:r w:rsidR="009C022A" w:rsidRPr="0067315C">
              <w:rPr>
                <w:szCs w:val="24"/>
                <w:lang w:val="fr-FR"/>
              </w:rPr>
              <w:t>’</w:t>
            </w:r>
            <w:r w:rsidRPr="0067315C">
              <w:rPr>
                <w:szCs w:val="24"/>
                <w:lang w:val="fr-FR"/>
              </w:rPr>
              <w:t>impose dans nos relations avec nos semblables et dans nos interactions avec les écosystèmes dont dépend la vie sur cette planète. C</w:t>
            </w:r>
            <w:r w:rsidR="009C022A" w:rsidRPr="0067315C">
              <w:rPr>
                <w:szCs w:val="24"/>
                <w:lang w:val="fr-FR"/>
              </w:rPr>
              <w:t>’</w:t>
            </w:r>
            <w:r w:rsidRPr="0067315C">
              <w:rPr>
                <w:szCs w:val="24"/>
                <w:lang w:val="fr-FR"/>
              </w:rPr>
              <w:t>est pourquoi il faut repenser les systèmes éducatifs d</w:t>
            </w:r>
            <w:r w:rsidR="009C022A" w:rsidRPr="0067315C">
              <w:rPr>
                <w:szCs w:val="24"/>
                <w:lang w:val="fr-FR"/>
              </w:rPr>
              <w:t>’</w:t>
            </w:r>
            <w:r w:rsidRPr="0067315C">
              <w:rPr>
                <w:szCs w:val="24"/>
                <w:lang w:val="fr-FR"/>
              </w:rPr>
              <w:t>une manière qui favorise le développement durable. L</w:t>
            </w:r>
            <w:r w:rsidR="009C022A" w:rsidRPr="0067315C">
              <w:rPr>
                <w:szCs w:val="24"/>
                <w:lang w:val="fr-FR"/>
              </w:rPr>
              <w:t>’</w:t>
            </w:r>
            <w:r w:rsidRPr="0067315C">
              <w:rPr>
                <w:szCs w:val="24"/>
                <w:lang w:val="fr-FR"/>
              </w:rPr>
              <w:t>éducation au service du développement durable est un outil essentiel de bonne gouvernance, de prise de décisions éclairée et de promotion de la démocratie. Elle développe et renforce la capacité des individus, des groupes, des collectivités, des organisations et des pays de former des jugements et à de faire des choix qui amélioreront la qualité de vie en faisant de notre monde un lieu sûr, durable, sain et prospère.</w:t>
            </w:r>
          </w:p>
        </w:tc>
      </w:tr>
      <w:tr w:rsidR="001D42D9" w:rsidRPr="0067315C" w:rsidTr="00E34712">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1D42D9" w:rsidRPr="0067315C" w:rsidRDefault="001D42D9" w:rsidP="00E34712"/>
        </w:tc>
      </w:tr>
    </w:tbl>
    <w:p w:rsidR="00453B9A" w:rsidRPr="0067315C" w:rsidRDefault="001D42D9" w:rsidP="0067315C">
      <w:pPr>
        <w:pStyle w:val="HChG"/>
        <w:rPr>
          <w:lang w:val="fr-FR"/>
        </w:rPr>
      </w:pPr>
      <w:r w:rsidRPr="0067315C">
        <w:rPr>
          <w:lang w:val="fr-FR"/>
        </w:rPr>
        <w:tab/>
      </w:r>
      <w:r w:rsidR="00453B9A" w:rsidRPr="0067315C">
        <w:rPr>
          <w:lang w:val="fr-FR"/>
        </w:rPr>
        <w:t>III.</w:t>
      </w:r>
      <w:r w:rsidR="00453B9A" w:rsidRPr="0067315C">
        <w:rPr>
          <w:lang w:val="fr-FR"/>
        </w:rPr>
        <w:tab/>
      </w:r>
      <w:r w:rsidR="00453B9A" w:rsidRPr="0067315C">
        <w:t>Organe</w:t>
      </w:r>
      <w:r w:rsidR="00453B9A" w:rsidRPr="0067315C">
        <w:rPr>
          <w:lang w:val="fr-FR"/>
        </w:rPr>
        <w:t xml:space="preserve"> de gouvernance de la Stratégie de la CEE </w:t>
      </w:r>
      <w:r w:rsidRPr="0067315C">
        <w:rPr>
          <w:lang w:val="fr-FR"/>
        </w:rPr>
        <w:br/>
      </w:r>
      <w:r w:rsidR="00453B9A" w:rsidRPr="0067315C">
        <w:rPr>
          <w:lang w:val="fr-FR"/>
        </w:rPr>
        <w:t>pour l</w:t>
      </w:r>
      <w:r w:rsidR="009C022A" w:rsidRPr="0067315C">
        <w:rPr>
          <w:lang w:val="fr-FR"/>
        </w:rPr>
        <w:t>’</w:t>
      </w:r>
      <w:r w:rsidR="00453B9A" w:rsidRPr="0067315C">
        <w:rPr>
          <w:lang w:val="fr-FR"/>
        </w:rPr>
        <w:t>éducation en vue du développement durable</w:t>
      </w:r>
    </w:p>
    <w:p w:rsidR="00453B9A" w:rsidRPr="0067315C" w:rsidRDefault="00453B9A" w:rsidP="001D42D9">
      <w:pPr>
        <w:pStyle w:val="SingleTxtG"/>
        <w:numPr>
          <w:ilvl w:val="0"/>
          <w:numId w:val="33"/>
        </w:numPr>
        <w:ind w:left="1134" w:firstLine="0"/>
        <w:rPr>
          <w:szCs w:val="24"/>
          <w:lang w:val="fr-FR"/>
        </w:rPr>
      </w:pPr>
      <w:r w:rsidRPr="0067315C">
        <w:rPr>
          <w:szCs w:val="24"/>
          <w:lang w:val="fr-FR"/>
        </w:rPr>
        <w:t>À l</w:t>
      </w:r>
      <w:r w:rsidR="009C022A" w:rsidRPr="0067315C">
        <w:rPr>
          <w:szCs w:val="24"/>
          <w:lang w:val="fr-FR"/>
        </w:rPr>
        <w:t>’</w:t>
      </w:r>
      <w:r w:rsidRPr="0067315C">
        <w:rPr>
          <w:szCs w:val="24"/>
          <w:lang w:val="fr-FR"/>
        </w:rPr>
        <w:t>occasion de la Réunion de haut niveau, les Ministères de l</w:t>
      </w:r>
      <w:r w:rsidR="009C022A" w:rsidRPr="0067315C">
        <w:rPr>
          <w:szCs w:val="24"/>
          <w:lang w:val="fr-FR"/>
        </w:rPr>
        <w:t>’</w:t>
      </w:r>
      <w:r w:rsidRPr="0067315C">
        <w:rPr>
          <w:szCs w:val="24"/>
          <w:lang w:val="fr-FR"/>
        </w:rPr>
        <w:t>éducation et de l</w:t>
      </w:r>
      <w:r w:rsidR="009C022A" w:rsidRPr="0067315C">
        <w:rPr>
          <w:szCs w:val="24"/>
          <w:lang w:val="fr-FR"/>
        </w:rPr>
        <w:t>’</w:t>
      </w:r>
      <w:r w:rsidRPr="0067315C">
        <w:rPr>
          <w:szCs w:val="24"/>
          <w:lang w:val="fr-FR"/>
        </w:rPr>
        <w:t>environnement des pays de la CEE reconfirment également que le Comité directeur est chargé de décider de la mise en œuvre de la Stratégie et d</w:t>
      </w:r>
      <w:r w:rsidR="009C022A" w:rsidRPr="0067315C">
        <w:rPr>
          <w:szCs w:val="24"/>
          <w:lang w:val="fr-FR"/>
        </w:rPr>
        <w:t>’</w:t>
      </w:r>
      <w:r w:rsidRPr="0067315C">
        <w:rPr>
          <w:szCs w:val="24"/>
          <w:lang w:val="fr-FR"/>
        </w:rPr>
        <w:t>en évaluer les progrès. Les représentants des Ministères de l</w:t>
      </w:r>
      <w:r w:rsidR="009C022A" w:rsidRPr="0067315C">
        <w:rPr>
          <w:szCs w:val="24"/>
          <w:lang w:val="fr-FR"/>
        </w:rPr>
        <w:t>’</w:t>
      </w:r>
      <w:r w:rsidRPr="0067315C">
        <w:rPr>
          <w:szCs w:val="24"/>
          <w:lang w:val="fr-FR"/>
        </w:rPr>
        <w:t>environnement et de l</w:t>
      </w:r>
      <w:r w:rsidR="009C022A" w:rsidRPr="0067315C">
        <w:rPr>
          <w:szCs w:val="24"/>
          <w:lang w:val="fr-FR"/>
        </w:rPr>
        <w:t>’</w:t>
      </w:r>
      <w:r w:rsidRPr="0067315C">
        <w:rPr>
          <w:szCs w:val="24"/>
          <w:lang w:val="fr-FR"/>
        </w:rPr>
        <w:t>éducation doivent continuer d</w:t>
      </w:r>
      <w:r w:rsidR="009C022A" w:rsidRPr="0067315C">
        <w:rPr>
          <w:szCs w:val="24"/>
          <w:lang w:val="fr-FR"/>
        </w:rPr>
        <w:t>’</w:t>
      </w:r>
      <w:r w:rsidRPr="0067315C">
        <w:rPr>
          <w:szCs w:val="24"/>
          <w:lang w:val="fr-FR"/>
        </w:rPr>
        <w:t>occuper une place centrale au sein du Comité directeur. Toutefois, en fonction de leur situation particulière, les pays sont invités à associer d</w:t>
      </w:r>
      <w:r w:rsidR="009C022A" w:rsidRPr="0067315C">
        <w:rPr>
          <w:szCs w:val="24"/>
          <w:lang w:val="fr-FR"/>
        </w:rPr>
        <w:t>’</w:t>
      </w:r>
      <w:r w:rsidRPr="0067315C">
        <w:rPr>
          <w:szCs w:val="24"/>
          <w:lang w:val="fr-FR"/>
        </w:rPr>
        <w:t>autres ministères à leurs délégations</w:t>
      </w:r>
      <w:r w:rsidR="001D42D9" w:rsidRPr="0067315C">
        <w:rPr>
          <w:szCs w:val="24"/>
          <w:lang w:val="fr-FR"/>
        </w:rPr>
        <w:t>.</w:t>
      </w:r>
      <w:r w:rsidRPr="0067315C">
        <w:rPr>
          <w:szCs w:val="24"/>
          <w:lang w:val="fr-FR"/>
        </w:rPr>
        <w:t xml:space="preserve"> Ils sont aussi invités à étudier la possibilité d</w:t>
      </w:r>
      <w:r w:rsidR="009C022A" w:rsidRPr="0067315C">
        <w:rPr>
          <w:szCs w:val="24"/>
          <w:lang w:val="fr-FR"/>
        </w:rPr>
        <w:t>’</w:t>
      </w:r>
      <w:r w:rsidRPr="0067315C">
        <w:rPr>
          <w:szCs w:val="24"/>
          <w:lang w:val="fr-FR"/>
        </w:rPr>
        <w:t>associer à leurs délégations nationales des représentants des commissions nationales de l</w:t>
      </w:r>
      <w:r w:rsidR="009C022A" w:rsidRPr="0067315C">
        <w:rPr>
          <w:szCs w:val="24"/>
          <w:lang w:val="fr-FR"/>
        </w:rPr>
        <w:t>’</w:t>
      </w:r>
      <w:r w:rsidRPr="0067315C">
        <w:rPr>
          <w:szCs w:val="24"/>
          <w:lang w:val="fr-FR"/>
        </w:rPr>
        <w:t>UNESCO et d</w:t>
      </w:r>
      <w:r w:rsidR="009C022A" w:rsidRPr="0067315C">
        <w:rPr>
          <w:szCs w:val="24"/>
          <w:lang w:val="fr-FR"/>
        </w:rPr>
        <w:t>’</w:t>
      </w:r>
      <w:r w:rsidRPr="0067315C">
        <w:rPr>
          <w:szCs w:val="24"/>
          <w:lang w:val="fr-FR"/>
        </w:rPr>
        <w:t>autres parties prenantes pour garantir une coordination étroite avec le processus mondial d</w:t>
      </w:r>
      <w:r w:rsidR="009C022A" w:rsidRPr="0067315C">
        <w:rPr>
          <w:szCs w:val="24"/>
          <w:lang w:val="fr-FR"/>
        </w:rPr>
        <w:t>’</w:t>
      </w:r>
      <w:r w:rsidRPr="0067315C">
        <w:rPr>
          <w:szCs w:val="24"/>
          <w:lang w:val="fr-FR"/>
        </w:rPr>
        <w:t>EDD.</w:t>
      </w:r>
    </w:p>
    <w:p w:rsidR="00453B9A" w:rsidRPr="0067315C" w:rsidRDefault="00453B9A" w:rsidP="001D42D9">
      <w:pPr>
        <w:pStyle w:val="SingleTxtG"/>
        <w:numPr>
          <w:ilvl w:val="0"/>
          <w:numId w:val="33"/>
        </w:numPr>
        <w:ind w:left="1134" w:firstLine="0"/>
        <w:rPr>
          <w:szCs w:val="24"/>
          <w:lang w:val="fr-FR"/>
        </w:rPr>
      </w:pPr>
      <w:r w:rsidRPr="0067315C">
        <w:rPr>
          <w:szCs w:val="24"/>
          <w:lang w:val="fr-FR"/>
        </w:rPr>
        <w:t>Afin de garantir une gouvernance et une communication efficaces au niveau régional, les États membres sont priés de confirmer dans leurs fonctions ou de nommer les coordonnateurs de l</w:t>
      </w:r>
      <w:r w:rsidR="009C022A" w:rsidRPr="0067315C">
        <w:rPr>
          <w:szCs w:val="24"/>
          <w:lang w:val="fr-FR"/>
        </w:rPr>
        <w:t>’</w:t>
      </w:r>
      <w:r w:rsidRPr="0067315C">
        <w:rPr>
          <w:szCs w:val="24"/>
          <w:lang w:val="fr-FR"/>
        </w:rPr>
        <w:t>EDD au sein des ministères de l</w:t>
      </w:r>
      <w:r w:rsidR="009C022A" w:rsidRPr="0067315C">
        <w:rPr>
          <w:szCs w:val="24"/>
          <w:lang w:val="fr-FR"/>
        </w:rPr>
        <w:t>’</w:t>
      </w:r>
      <w:r w:rsidRPr="0067315C">
        <w:rPr>
          <w:szCs w:val="24"/>
          <w:lang w:val="fr-FR"/>
        </w:rPr>
        <w:t>éducation et de l</w:t>
      </w:r>
      <w:r w:rsidR="009C022A" w:rsidRPr="0067315C">
        <w:rPr>
          <w:szCs w:val="24"/>
          <w:lang w:val="fr-FR"/>
        </w:rPr>
        <w:t>’</w:t>
      </w:r>
      <w:r w:rsidRPr="0067315C">
        <w:rPr>
          <w:szCs w:val="24"/>
          <w:lang w:val="fr-FR"/>
        </w:rPr>
        <w:t>environnement. Ils peuvent aussi nommer des coordonnateurs dans d</w:t>
      </w:r>
      <w:r w:rsidR="009C022A" w:rsidRPr="0067315C">
        <w:rPr>
          <w:szCs w:val="24"/>
          <w:lang w:val="fr-FR"/>
        </w:rPr>
        <w:t>’</w:t>
      </w:r>
      <w:r w:rsidRPr="0067315C">
        <w:rPr>
          <w:szCs w:val="24"/>
          <w:lang w:val="fr-FR"/>
        </w:rPr>
        <w:t>autres départements ou ministères, selon qu</w:t>
      </w:r>
      <w:r w:rsidR="009C022A" w:rsidRPr="0067315C">
        <w:rPr>
          <w:szCs w:val="24"/>
          <w:lang w:val="fr-FR"/>
        </w:rPr>
        <w:t>’</w:t>
      </w:r>
      <w:r w:rsidRPr="0067315C">
        <w:rPr>
          <w:szCs w:val="24"/>
          <w:lang w:val="fr-FR"/>
        </w:rPr>
        <w:t>il convient, pour participer au processus de l</w:t>
      </w:r>
      <w:r w:rsidR="009C022A" w:rsidRPr="0067315C">
        <w:rPr>
          <w:szCs w:val="24"/>
          <w:lang w:val="fr-FR"/>
        </w:rPr>
        <w:t>’</w:t>
      </w:r>
      <w:r w:rsidRPr="0067315C">
        <w:rPr>
          <w:szCs w:val="24"/>
          <w:lang w:val="fr-FR"/>
        </w:rPr>
        <w:t>EDD.</w:t>
      </w:r>
    </w:p>
    <w:p w:rsidR="00453B9A" w:rsidRPr="0067315C" w:rsidRDefault="00453B9A" w:rsidP="001D42D9">
      <w:pPr>
        <w:pStyle w:val="SingleTxtG"/>
        <w:numPr>
          <w:ilvl w:val="0"/>
          <w:numId w:val="33"/>
        </w:numPr>
        <w:ind w:left="1134" w:firstLine="0"/>
        <w:rPr>
          <w:szCs w:val="24"/>
          <w:lang w:val="fr-FR"/>
        </w:rPr>
      </w:pPr>
      <w:r w:rsidRPr="0067315C">
        <w:rPr>
          <w:szCs w:val="24"/>
          <w:lang w:val="fr-FR"/>
        </w:rPr>
        <w:t>Le Comité directeur devrait se réunir chaque année, de préférence physiquement. Sous réserve de la disponibilité des ressources, chaque pays répondant aux conditions requises peut bénéficier d</w:t>
      </w:r>
      <w:r w:rsidR="009C022A" w:rsidRPr="0067315C">
        <w:rPr>
          <w:szCs w:val="24"/>
          <w:lang w:val="fr-FR"/>
        </w:rPr>
        <w:t>’</w:t>
      </w:r>
      <w:r w:rsidRPr="0067315C">
        <w:rPr>
          <w:szCs w:val="24"/>
          <w:lang w:val="fr-FR"/>
        </w:rPr>
        <w:t>un financement pour la participation d</w:t>
      </w:r>
      <w:r w:rsidR="009C022A" w:rsidRPr="0067315C">
        <w:rPr>
          <w:szCs w:val="24"/>
          <w:lang w:val="fr-FR"/>
        </w:rPr>
        <w:t>’</w:t>
      </w:r>
      <w:r w:rsidRPr="0067315C">
        <w:rPr>
          <w:szCs w:val="24"/>
          <w:lang w:val="fr-FR"/>
        </w:rPr>
        <w:t>une personne à ces réunions, conformément aux règles établies par le Comité des politiques de l</w:t>
      </w:r>
      <w:r w:rsidR="009C022A" w:rsidRPr="0067315C">
        <w:rPr>
          <w:szCs w:val="24"/>
          <w:lang w:val="fr-FR"/>
        </w:rPr>
        <w:t>’</w:t>
      </w:r>
      <w:r w:rsidRPr="0067315C">
        <w:rPr>
          <w:szCs w:val="24"/>
          <w:lang w:val="fr-FR"/>
        </w:rPr>
        <w:t>environnement. Toutefois, pour des raisons à la fois écologiques et financières, le Comité peut envisager de réunir le Comité directeur par voie électronique une année sur deux (voir le mandat du Comité à l</w:t>
      </w:r>
      <w:r w:rsidR="009C022A" w:rsidRPr="0067315C">
        <w:rPr>
          <w:szCs w:val="24"/>
          <w:lang w:val="fr-FR"/>
        </w:rPr>
        <w:t>’</w:t>
      </w:r>
      <w:r w:rsidRPr="0067315C">
        <w:rPr>
          <w:szCs w:val="24"/>
          <w:lang w:val="fr-FR"/>
        </w:rPr>
        <w:t xml:space="preserve">annexe II). </w:t>
      </w:r>
    </w:p>
    <w:p w:rsidR="00453B9A" w:rsidRPr="0067315C" w:rsidRDefault="00453B9A" w:rsidP="001D42D9">
      <w:pPr>
        <w:pStyle w:val="SingleTxtG"/>
        <w:numPr>
          <w:ilvl w:val="0"/>
          <w:numId w:val="33"/>
        </w:numPr>
        <w:ind w:left="1134" w:firstLine="0"/>
        <w:rPr>
          <w:szCs w:val="24"/>
          <w:lang w:val="fr-FR"/>
        </w:rPr>
      </w:pPr>
      <w:r w:rsidRPr="0067315C">
        <w:rPr>
          <w:szCs w:val="24"/>
          <w:lang w:val="fr-FR"/>
        </w:rPr>
        <w:t>Le processus «</w:t>
      </w:r>
      <w:r w:rsidR="001D42D9" w:rsidRPr="0067315C">
        <w:rPr>
          <w:szCs w:val="24"/>
          <w:lang w:val="fr-FR"/>
        </w:rPr>
        <w:t> </w:t>
      </w:r>
      <w:r w:rsidRPr="0067315C">
        <w:rPr>
          <w:szCs w:val="24"/>
          <w:lang w:val="fr-FR"/>
        </w:rPr>
        <w:t>Un environnement pour l</w:t>
      </w:r>
      <w:r w:rsidR="009C022A" w:rsidRPr="0067315C">
        <w:rPr>
          <w:szCs w:val="24"/>
          <w:lang w:val="fr-FR"/>
        </w:rPr>
        <w:t>’</w:t>
      </w:r>
      <w:r w:rsidRPr="0067315C">
        <w:rPr>
          <w:szCs w:val="24"/>
          <w:lang w:val="fr-FR"/>
        </w:rPr>
        <w:t>Europe</w:t>
      </w:r>
      <w:r w:rsidR="001D42D9" w:rsidRPr="0067315C">
        <w:rPr>
          <w:szCs w:val="24"/>
          <w:lang w:val="fr-FR"/>
        </w:rPr>
        <w:t> </w:t>
      </w:r>
      <w:r w:rsidRPr="0067315C">
        <w:rPr>
          <w:szCs w:val="24"/>
          <w:lang w:val="fr-FR"/>
        </w:rPr>
        <w:t>» devrait continuer de servir de cadre à la coordination régionale de haut niveau de</w:t>
      </w:r>
      <w:r w:rsidR="001D42D9" w:rsidRPr="0067315C">
        <w:rPr>
          <w:szCs w:val="24"/>
          <w:lang w:val="fr-FR"/>
        </w:rPr>
        <w:t xml:space="preserve"> l</w:t>
      </w:r>
      <w:r w:rsidR="009C022A" w:rsidRPr="0067315C">
        <w:rPr>
          <w:szCs w:val="24"/>
          <w:lang w:val="fr-FR"/>
        </w:rPr>
        <w:t>’</w:t>
      </w:r>
      <w:r w:rsidR="001D42D9" w:rsidRPr="0067315C">
        <w:rPr>
          <w:szCs w:val="24"/>
          <w:lang w:val="fr-FR"/>
        </w:rPr>
        <w:t>application de la Stratégie.</w:t>
      </w:r>
    </w:p>
    <w:p w:rsidR="00453B9A" w:rsidRPr="0067315C" w:rsidRDefault="00453B9A" w:rsidP="001D42D9">
      <w:pPr>
        <w:pStyle w:val="SingleTxtG"/>
        <w:numPr>
          <w:ilvl w:val="0"/>
          <w:numId w:val="33"/>
        </w:numPr>
        <w:ind w:left="1134" w:firstLine="0"/>
        <w:rPr>
          <w:szCs w:val="24"/>
          <w:lang w:val="fr-FR"/>
        </w:rPr>
      </w:pPr>
      <w:r w:rsidRPr="0067315C">
        <w:rPr>
          <w:szCs w:val="24"/>
          <w:lang w:val="fr-FR"/>
        </w:rPr>
        <w:t>À sa neuvième réunion (Genève, 3</w:t>
      </w:r>
      <w:r w:rsidR="001D42D9" w:rsidRPr="0067315C">
        <w:rPr>
          <w:szCs w:val="24"/>
          <w:lang w:val="fr-FR"/>
        </w:rPr>
        <w:t xml:space="preserve"> </w:t>
      </w:r>
      <w:r w:rsidRPr="0067315C">
        <w:rPr>
          <w:szCs w:val="24"/>
          <w:lang w:val="fr-FR"/>
        </w:rPr>
        <w:t>et 4 avril 2014), le Comité directeur a prolongé la phase III de la mise en œuvre jusqu</w:t>
      </w:r>
      <w:r w:rsidR="009C022A" w:rsidRPr="0067315C">
        <w:rPr>
          <w:szCs w:val="24"/>
          <w:lang w:val="fr-FR"/>
        </w:rPr>
        <w:t>’</w:t>
      </w:r>
      <w:r w:rsidRPr="0067315C">
        <w:rPr>
          <w:szCs w:val="24"/>
          <w:lang w:val="fr-FR"/>
        </w:rPr>
        <w:t>à la Réunion de haut niveau des Ministères de l</w:t>
      </w:r>
      <w:r w:rsidR="009C022A" w:rsidRPr="0067315C">
        <w:rPr>
          <w:szCs w:val="24"/>
          <w:lang w:val="fr-FR"/>
        </w:rPr>
        <w:t>’</w:t>
      </w:r>
      <w:r w:rsidRPr="0067315C">
        <w:rPr>
          <w:szCs w:val="24"/>
          <w:lang w:val="fr-FR"/>
        </w:rPr>
        <w:t>éducation et de l</w:t>
      </w:r>
      <w:r w:rsidR="009C022A" w:rsidRPr="0067315C">
        <w:rPr>
          <w:szCs w:val="24"/>
          <w:lang w:val="fr-FR"/>
        </w:rPr>
        <w:t>’</w:t>
      </w:r>
      <w:r w:rsidRPr="0067315C">
        <w:rPr>
          <w:szCs w:val="24"/>
          <w:lang w:val="fr-FR"/>
        </w:rPr>
        <w:t>environnement, à Batumi. À sa dixième réunion (Genève, 8 et 9 juin</w:t>
      </w:r>
      <w:r w:rsidR="001D42D9" w:rsidRPr="0067315C">
        <w:rPr>
          <w:szCs w:val="24"/>
          <w:lang w:val="fr-FR"/>
        </w:rPr>
        <w:t xml:space="preserve"> </w:t>
      </w:r>
      <w:r w:rsidRPr="0067315C">
        <w:rPr>
          <w:szCs w:val="24"/>
          <w:lang w:val="fr-FR"/>
        </w:rPr>
        <w:t>2015), le Comité directeur a proposé que la prochaine phase couvre la période de 2016 à 2019.</w:t>
      </w:r>
    </w:p>
    <w:p w:rsidR="00453B9A" w:rsidRPr="00D86941" w:rsidRDefault="001D42D9" w:rsidP="001D42D9">
      <w:pPr>
        <w:pStyle w:val="HChG"/>
        <w:rPr>
          <w:lang w:val="fr-FR"/>
        </w:rPr>
      </w:pPr>
      <w:r w:rsidRPr="00D86941">
        <w:rPr>
          <w:rFonts w:ascii="Times New Roman Gras" w:hAnsi="Times New Roman Gras"/>
          <w:sz w:val="26"/>
          <w:szCs w:val="24"/>
          <w:lang w:val="fr-FR"/>
        </w:rPr>
        <w:tab/>
      </w:r>
      <w:r w:rsidR="00453B9A" w:rsidRPr="00D86941">
        <w:rPr>
          <w:rFonts w:ascii="Times New Roman Gras" w:hAnsi="Times New Roman Gras"/>
          <w:sz w:val="26"/>
          <w:szCs w:val="24"/>
          <w:lang w:val="fr-FR"/>
        </w:rPr>
        <w:t>IV.</w:t>
      </w:r>
      <w:r w:rsidR="00453B9A" w:rsidRPr="00D86941">
        <w:rPr>
          <w:rFonts w:ascii="Times New Roman Gras" w:hAnsi="Times New Roman Gras"/>
          <w:sz w:val="26"/>
          <w:szCs w:val="24"/>
          <w:lang w:val="fr-FR"/>
        </w:rPr>
        <w:tab/>
      </w:r>
      <w:r w:rsidR="00453B9A" w:rsidRPr="00D86941">
        <w:rPr>
          <w:lang w:val="fr-FR"/>
        </w:rPr>
        <w:t>Domaines d</w:t>
      </w:r>
      <w:r w:rsidR="009C022A" w:rsidRPr="00D86941">
        <w:rPr>
          <w:lang w:val="fr-FR"/>
        </w:rPr>
        <w:t>’</w:t>
      </w:r>
      <w:r w:rsidR="00453B9A" w:rsidRPr="00D86941">
        <w:rPr>
          <w:lang w:val="fr-FR"/>
        </w:rPr>
        <w:t>action prioritaires</w:t>
      </w:r>
    </w:p>
    <w:p w:rsidR="00453B9A" w:rsidRPr="0067315C" w:rsidRDefault="00453B9A" w:rsidP="001D42D9">
      <w:pPr>
        <w:pStyle w:val="SingleTxtG"/>
        <w:numPr>
          <w:ilvl w:val="0"/>
          <w:numId w:val="33"/>
        </w:numPr>
        <w:ind w:left="1134" w:firstLine="0"/>
        <w:rPr>
          <w:szCs w:val="24"/>
          <w:lang w:val="fr-FR"/>
        </w:rPr>
      </w:pPr>
      <w:r w:rsidRPr="0067315C">
        <w:rPr>
          <w:szCs w:val="24"/>
          <w:lang w:val="fr-FR"/>
        </w:rPr>
        <w:t>Si les États membres estiment qu</w:t>
      </w:r>
      <w:r w:rsidR="009C022A" w:rsidRPr="0067315C">
        <w:rPr>
          <w:szCs w:val="24"/>
          <w:lang w:val="fr-FR"/>
        </w:rPr>
        <w:t>’</w:t>
      </w:r>
      <w:r w:rsidRPr="0067315C">
        <w:rPr>
          <w:szCs w:val="24"/>
          <w:lang w:val="fr-FR"/>
        </w:rPr>
        <w:t>il est important de poursuivre la mise en œuvre de tous les objectifs de la Stratégie pour l</w:t>
      </w:r>
      <w:r w:rsidR="009C022A" w:rsidRPr="0067315C">
        <w:rPr>
          <w:szCs w:val="24"/>
          <w:lang w:val="fr-FR"/>
        </w:rPr>
        <w:t>’</w:t>
      </w:r>
      <w:r w:rsidRPr="0067315C">
        <w:rPr>
          <w:szCs w:val="24"/>
          <w:lang w:val="fr-FR"/>
        </w:rPr>
        <w:t>EDD, les représentants des Ministères de l</w:t>
      </w:r>
      <w:r w:rsidR="009C022A" w:rsidRPr="0067315C">
        <w:rPr>
          <w:szCs w:val="24"/>
          <w:lang w:val="fr-FR"/>
        </w:rPr>
        <w:t>’</w:t>
      </w:r>
      <w:r w:rsidRPr="0067315C">
        <w:rPr>
          <w:szCs w:val="24"/>
          <w:lang w:val="fr-FR"/>
        </w:rPr>
        <w:t>éducation et de l</w:t>
      </w:r>
      <w:r w:rsidR="009C022A" w:rsidRPr="0067315C">
        <w:rPr>
          <w:szCs w:val="24"/>
          <w:lang w:val="fr-FR"/>
        </w:rPr>
        <w:t>’</w:t>
      </w:r>
      <w:r w:rsidRPr="0067315C">
        <w:rPr>
          <w:szCs w:val="24"/>
          <w:lang w:val="fr-FR"/>
        </w:rPr>
        <w:t>environnement présents à la Réunion de haut niveau mettent plus particulièrement l</w:t>
      </w:r>
      <w:r w:rsidR="009C022A" w:rsidRPr="0067315C">
        <w:rPr>
          <w:szCs w:val="24"/>
          <w:lang w:val="fr-FR"/>
        </w:rPr>
        <w:t>’</w:t>
      </w:r>
      <w:r w:rsidRPr="0067315C">
        <w:rPr>
          <w:szCs w:val="24"/>
          <w:lang w:val="fr-FR"/>
        </w:rPr>
        <w:t>accent sur trois domaines d</w:t>
      </w:r>
      <w:r w:rsidR="009C022A" w:rsidRPr="0067315C">
        <w:rPr>
          <w:szCs w:val="24"/>
          <w:lang w:val="fr-FR"/>
        </w:rPr>
        <w:t>’</w:t>
      </w:r>
      <w:r w:rsidRPr="0067315C">
        <w:rPr>
          <w:szCs w:val="24"/>
          <w:lang w:val="fr-FR"/>
        </w:rPr>
        <w:t>action prioritaires «</w:t>
      </w:r>
      <w:r w:rsidR="00582665" w:rsidRPr="0067315C">
        <w:rPr>
          <w:szCs w:val="24"/>
          <w:lang w:val="fr-FR"/>
        </w:rPr>
        <w:t> </w:t>
      </w:r>
      <w:r w:rsidRPr="0067315C">
        <w:rPr>
          <w:szCs w:val="24"/>
          <w:lang w:val="fr-FR"/>
        </w:rPr>
        <w:t>verticaux</w:t>
      </w:r>
      <w:r w:rsidR="00582665" w:rsidRPr="0067315C">
        <w:rPr>
          <w:szCs w:val="24"/>
          <w:lang w:val="fr-FR"/>
        </w:rPr>
        <w:t> </w:t>
      </w:r>
      <w:r w:rsidRPr="0067315C">
        <w:rPr>
          <w:szCs w:val="24"/>
          <w:lang w:val="fr-FR"/>
        </w:rPr>
        <w:t>» (al.</w:t>
      </w:r>
      <w:r w:rsidR="001D42D9" w:rsidRPr="0067315C">
        <w:rPr>
          <w:szCs w:val="24"/>
          <w:lang w:val="fr-FR"/>
        </w:rPr>
        <w:t> </w:t>
      </w:r>
      <w:r w:rsidRPr="0067315C">
        <w:rPr>
          <w:szCs w:val="24"/>
          <w:lang w:val="fr-FR"/>
        </w:rPr>
        <w:t xml:space="preserve">a) à c) ci-après), qui sont centrés sur les objectifs, compte tenu des politiques et des systèmes éducatifs nationaux ou </w:t>
      </w:r>
      <w:r w:rsidRPr="0067315C">
        <w:rPr>
          <w:szCs w:val="24"/>
          <w:lang w:val="fr-FR"/>
        </w:rPr>
        <w:lastRenderedPageBreak/>
        <w:t>régionaux, et sur trois domaines d</w:t>
      </w:r>
      <w:r w:rsidR="009C022A" w:rsidRPr="0067315C">
        <w:rPr>
          <w:szCs w:val="24"/>
          <w:lang w:val="fr-FR"/>
        </w:rPr>
        <w:t>’</w:t>
      </w:r>
      <w:r w:rsidRPr="0067315C">
        <w:rPr>
          <w:szCs w:val="24"/>
          <w:lang w:val="fr-FR"/>
        </w:rPr>
        <w:t>action prioritaires «</w:t>
      </w:r>
      <w:r w:rsidR="001D42D9" w:rsidRPr="0067315C">
        <w:rPr>
          <w:szCs w:val="24"/>
          <w:lang w:val="fr-FR"/>
        </w:rPr>
        <w:t> </w:t>
      </w:r>
      <w:r w:rsidRPr="0067315C">
        <w:rPr>
          <w:szCs w:val="24"/>
          <w:lang w:val="fr-FR"/>
        </w:rPr>
        <w:t>horizontaux</w:t>
      </w:r>
      <w:r w:rsidR="001D42D9" w:rsidRPr="0067315C">
        <w:rPr>
          <w:szCs w:val="24"/>
          <w:lang w:val="fr-FR"/>
        </w:rPr>
        <w:t> </w:t>
      </w:r>
      <w:r w:rsidRPr="0067315C">
        <w:rPr>
          <w:szCs w:val="24"/>
          <w:lang w:val="fr-FR"/>
        </w:rPr>
        <w:t>» (al.</w:t>
      </w:r>
      <w:r w:rsidR="001D42D9" w:rsidRPr="0067315C">
        <w:rPr>
          <w:szCs w:val="24"/>
          <w:lang w:val="fr-FR"/>
        </w:rPr>
        <w:t> d) à f) ci-</w:t>
      </w:r>
      <w:r w:rsidRPr="0067315C">
        <w:rPr>
          <w:szCs w:val="24"/>
          <w:lang w:val="fr-FR"/>
        </w:rPr>
        <w:t>après), qui sont centrés sur les moyens d</w:t>
      </w:r>
      <w:r w:rsidR="009C022A" w:rsidRPr="0067315C">
        <w:rPr>
          <w:szCs w:val="24"/>
          <w:lang w:val="fr-FR"/>
        </w:rPr>
        <w:t>’</w:t>
      </w:r>
      <w:r w:rsidRPr="0067315C">
        <w:rPr>
          <w:szCs w:val="24"/>
          <w:lang w:val="fr-FR"/>
        </w:rPr>
        <w:t>action</w:t>
      </w:r>
      <w:r w:rsidR="007156EE">
        <w:rPr>
          <w:szCs w:val="24"/>
          <w:lang w:val="fr-FR"/>
        </w:rPr>
        <w:t> :</w:t>
      </w:r>
    </w:p>
    <w:p w:rsidR="00453B9A" w:rsidRPr="0067315C" w:rsidRDefault="00453B9A" w:rsidP="00582665">
      <w:pPr>
        <w:pStyle w:val="SingleTxtG"/>
        <w:ind w:firstLine="567"/>
        <w:rPr>
          <w:szCs w:val="24"/>
          <w:lang w:val="fr-FR"/>
        </w:rPr>
      </w:pPr>
      <w:r w:rsidRPr="007156EE">
        <w:rPr>
          <w:lang w:val="fr-FR"/>
        </w:rPr>
        <w:t>a)</w:t>
      </w:r>
      <w:r w:rsidRPr="007156EE">
        <w:rPr>
          <w:lang w:val="fr-FR"/>
        </w:rPr>
        <w:tab/>
      </w:r>
      <w:r w:rsidRPr="007156EE">
        <w:rPr>
          <w:b/>
          <w:szCs w:val="24"/>
          <w:lang w:val="fr-FR"/>
        </w:rPr>
        <w:t>Encourager les approches institutionnelles globales afin que, d</w:t>
      </w:r>
      <w:r w:rsidR="009C022A" w:rsidRPr="007156EE">
        <w:rPr>
          <w:b/>
          <w:szCs w:val="24"/>
          <w:lang w:val="fr-FR"/>
        </w:rPr>
        <w:t>’</w:t>
      </w:r>
      <w:r w:rsidRPr="007156EE">
        <w:rPr>
          <w:b/>
          <w:szCs w:val="24"/>
          <w:lang w:val="fr-FR"/>
        </w:rPr>
        <w:t>ici à 2019, chaque établissement scolaire ait mis en place des programmes d</w:t>
      </w:r>
      <w:r w:rsidR="009C022A" w:rsidRPr="007156EE">
        <w:rPr>
          <w:b/>
          <w:szCs w:val="24"/>
          <w:lang w:val="fr-FR"/>
        </w:rPr>
        <w:t>’</w:t>
      </w:r>
      <w:r w:rsidRPr="007156EE">
        <w:rPr>
          <w:b/>
          <w:szCs w:val="24"/>
          <w:lang w:val="fr-FR"/>
        </w:rPr>
        <w:t>EDD ou ait intégré l</w:t>
      </w:r>
      <w:r w:rsidR="009C022A" w:rsidRPr="007156EE">
        <w:rPr>
          <w:b/>
          <w:szCs w:val="24"/>
          <w:lang w:val="fr-FR"/>
        </w:rPr>
        <w:t>’</w:t>
      </w:r>
      <w:r w:rsidRPr="007156EE">
        <w:rPr>
          <w:b/>
          <w:szCs w:val="24"/>
          <w:lang w:val="fr-FR"/>
        </w:rPr>
        <w:t>EDD dans les programmes existants</w:t>
      </w:r>
      <w:r w:rsidR="007156EE">
        <w:rPr>
          <w:b/>
          <w:szCs w:val="24"/>
          <w:lang w:val="fr-FR"/>
        </w:rPr>
        <w:t> </w:t>
      </w:r>
      <w:r w:rsidR="007156EE" w:rsidRPr="00371819">
        <w:rPr>
          <w:szCs w:val="24"/>
          <w:lang w:val="fr-FR"/>
        </w:rPr>
        <w:t>:</w:t>
      </w:r>
      <w:r w:rsidRPr="007156EE">
        <w:rPr>
          <w:szCs w:val="24"/>
          <w:lang w:val="fr-FR"/>
        </w:rPr>
        <w:t xml:space="preserve"> </w:t>
      </w:r>
      <w:r w:rsidRPr="0067315C">
        <w:rPr>
          <w:szCs w:val="24"/>
          <w:lang w:val="fr-FR"/>
        </w:rPr>
        <w:t>Les programmes scolaires d</w:t>
      </w:r>
      <w:r w:rsidR="009C022A" w:rsidRPr="0067315C">
        <w:rPr>
          <w:szCs w:val="24"/>
          <w:lang w:val="fr-FR"/>
        </w:rPr>
        <w:t>’</w:t>
      </w:r>
      <w:r w:rsidRPr="0067315C">
        <w:rPr>
          <w:szCs w:val="24"/>
          <w:lang w:val="fr-FR"/>
        </w:rPr>
        <w:t>EDD sont une composante essentielle de l</w:t>
      </w:r>
      <w:r w:rsidR="009C022A" w:rsidRPr="0067315C">
        <w:rPr>
          <w:szCs w:val="24"/>
          <w:lang w:val="fr-FR"/>
        </w:rPr>
        <w:t>’</w:t>
      </w:r>
      <w:r w:rsidRPr="0067315C">
        <w:rPr>
          <w:szCs w:val="24"/>
          <w:lang w:val="fr-FR"/>
        </w:rPr>
        <w:t>approche institutionnelle globale et s</w:t>
      </w:r>
      <w:r w:rsidR="009C022A" w:rsidRPr="0067315C">
        <w:rPr>
          <w:szCs w:val="24"/>
          <w:lang w:val="fr-FR"/>
        </w:rPr>
        <w:t>’</w:t>
      </w:r>
      <w:r w:rsidRPr="0067315C">
        <w:rPr>
          <w:szCs w:val="24"/>
          <w:lang w:val="fr-FR"/>
        </w:rPr>
        <w:t>inscrivent dans le processus actuel de mise en œuvre de la Stratégie. La promotion d</w:t>
      </w:r>
      <w:r w:rsidR="009C022A" w:rsidRPr="0067315C">
        <w:rPr>
          <w:szCs w:val="24"/>
          <w:lang w:val="fr-FR"/>
        </w:rPr>
        <w:t>’</w:t>
      </w:r>
      <w:r w:rsidRPr="0067315C">
        <w:rPr>
          <w:szCs w:val="24"/>
          <w:lang w:val="fr-FR"/>
        </w:rPr>
        <w:t>approches institutionnelles globales par l</w:t>
      </w:r>
      <w:r w:rsidR="009C022A" w:rsidRPr="0067315C">
        <w:rPr>
          <w:szCs w:val="24"/>
          <w:lang w:val="fr-FR"/>
        </w:rPr>
        <w:t>’</w:t>
      </w:r>
      <w:r w:rsidRPr="0067315C">
        <w:rPr>
          <w:szCs w:val="24"/>
          <w:lang w:val="fr-FR"/>
        </w:rPr>
        <w:t>intégration de l</w:t>
      </w:r>
      <w:r w:rsidR="009C022A" w:rsidRPr="0067315C">
        <w:rPr>
          <w:szCs w:val="24"/>
          <w:lang w:val="fr-FR"/>
        </w:rPr>
        <w:t>’</w:t>
      </w:r>
      <w:r w:rsidRPr="0067315C">
        <w:rPr>
          <w:szCs w:val="24"/>
          <w:lang w:val="fr-FR"/>
        </w:rPr>
        <w:t>EDD dans le renforcement de capacités, la gouvernance, les programmes, l</w:t>
      </w:r>
      <w:r w:rsidR="009C022A" w:rsidRPr="0067315C">
        <w:rPr>
          <w:szCs w:val="24"/>
          <w:lang w:val="fr-FR"/>
        </w:rPr>
        <w:t>’</w:t>
      </w:r>
      <w:r w:rsidRPr="0067315C">
        <w:rPr>
          <w:szCs w:val="24"/>
          <w:lang w:val="fr-FR"/>
        </w:rPr>
        <w:t>enseignement et l</w:t>
      </w:r>
      <w:r w:rsidR="009C022A" w:rsidRPr="0067315C">
        <w:rPr>
          <w:szCs w:val="24"/>
          <w:lang w:val="fr-FR"/>
        </w:rPr>
        <w:t>’</w:t>
      </w:r>
      <w:r w:rsidRPr="0067315C">
        <w:rPr>
          <w:szCs w:val="24"/>
          <w:lang w:val="fr-FR"/>
        </w:rPr>
        <w:t>apprentissage, les équipements des campus et leur fonctionnement, et dans la communauté au sens large, est importante pour assurer l</w:t>
      </w:r>
      <w:r w:rsidR="009C022A" w:rsidRPr="0067315C">
        <w:rPr>
          <w:szCs w:val="24"/>
          <w:lang w:val="fr-FR"/>
        </w:rPr>
        <w:t>’</w:t>
      </w:r>
      <w:r w:rsidRPr="0067315C">
        <w:rPr>
          <w:szCs w:val="24"/>
          <w:lang w:val="fr-FR"/>
        </w:rPr>
        <w:t>application intégrée et structurelle de l</w:t>
      </w:r>
      <w:r w:rsidR="009C022A" w:rsidRPr="0067315C">
        <w:rPr>
          <w:szCs w:val="24"/>
          <w:lang w:val="fr-FR"/>
        </w:rPr>
        <w:t>’</w:t>
      </w:r>
      <w:r w:rsidRPr="0067315C">
        <w:rPr>
          <w:szCs w:val="24"/>
          <w:lang w:val="fr-FR"/>
        </w:rPr>
        <w:t>EDD dans l</w:t>
      </w:r>
      <w:r w:rsidR="009C022A" w:rsidRPr="0067315C">
        <w:rPr>
          <w:szCs w:val="24"/>
          <w:lang w:val="fr-FR"/>
        </w:rPr>
        <w:t>’</w:t>
      </w:r>
      <w:r w:rsidRPr="0067315C">
        <w:rPr>
          <w:szCs w:val="24"/>
          <w:lang w:val="fr-FR"/>
        </w:rPr>
        <w:t>enseignement formel (primaire et secondaire), professionnel et supérieur, et favoriser un rapprochement entre l</w:t>
      </w:r>
      <w:r w:rsidR="009C022A" w:rsidRPr="0067315C">
        <w:rPr>
          <w:szCs w:val="24"/>
          <w:lang w:val="fr-FR"/>
        </w:rPr>
        <w:t>’</w:t>
      </w:r>
      <w:r w:rsidRPr="0067315C">
        <w:rPr>
          <w:szCs w:val="24"/>
          <w:lang w:val="fr-FR"/>
        </w:rPr>
        <w:t>enseignement formel et l</w:t>
      </w:r>
      <w:r w:rsidR="009C022A" w:rsidRPr="0067315C">
        <w:rPr>
          <w:szCs w:val="24"/>
          <w:lang w:val="fr-FR"/>
        </w:rPr>
        <w:t>’</w:t>
      </w:r>
      <w:r w:rsidRPr="0067315C">
        <w:rPr>
          <w:szCs w:val="24"/>
          <w:lang w:val="fr-FR"/>
        </w:rPr>
        <w:t>enseignement non formel. La création de programmes scolaires d</w:t>
      </w:r>
      <w:r w:rsidR="009C022A" w:rsidRPr="0067315C">
        <w:rPr>
          <w:szCs w:val="24"/>
          <w:lang w:val="fr-FR"/>
        </w:rPr>
        <w:t>’</w:t>
      </w:r>
      <w:r w:rsidRPr="0067315C">
        <w:rPr>
          <w:szCs w:val="24"/>
          <w:lang w:val="fr-FR"/>
        </w:rPr>
        <w:t>EDD ou l</w:t>
      </w:r>
      <w:r w:rsidR="009C022A" w:rsidRPr="0067315C">
        <w:rPr>
          <w:szCs w:val="24"/>
          <w:lang w:val="fr-FR"/>
        </w:rPr>
        <w:t>’</w:t>
      </w:r>
      <w:r w:rsidRPr="0067315C">
        <w:rPr>
          <w:szCs w:val="24"/>
          <w:lang w:val="fr-FR"/>
        </w:rPr>
        <w:t>intégration de l</w:t>
      </w:r>
      <w:r w:rsidR="009C022A" w:rsidRPr="0067315C">
        <w:rPr>
          <w:szCs w:val="24"/>
          <w:lang w:val="fr-FR"/>
        </w:rPr>
        <w:t>’</w:t>
      </w:r>
      <w:r w:rsidRPr="0067315C">
        <w:rPr>
          <w:szCs w:val="24"/>
          <w:lang w:val="fr-FR"/>
        </w:rPr>
        <w:t>EDD dans les programmes scolaires existants est donc vivement encouragée. L</w:t>
      </w:r>
      <w:r w:rsidR="009C022A" w:rsidRPr="0067315C">
        <w:rPr>
          <w:szCs w:val="24"/>
          <w:lang w:val="fr-FR"/>
        </w:rPr>
        <w:t>’</w:t>
      </w:r>
      <w:r w:rsidRPr="0067315C">
        <w:rPr>
          <w:szCs w:val="24"/>
          <w:lang w:val="fr-FR"/>
        </w:rPr>
        <w:t>adoption d</w:t>
      </w:r>
      <w:r w:rsidR="009C022A" w:rsidRPr="0067315C">
        <w:rPr>
          <w:szCs w:val="24"/>
          <w:lang w:val="fr-FR"/>
        </w:rPr>
        <w:t>’</w:t>
      </w:r>
      <w:r w:rsidRPr="0067315C">
        <w:rPr>
          <w:szCs w:val="24"/>
          <w:lang w:val="fr-FR"/>
        </w:rPr>
        <w:t>approches globales au niveau préscolaire peut aussi être bénéfique</w:t>
      </w:r>
      <w:r w:rsidR="009A7345" w:rsidRPr="0067315C">
        <w:rPr>
          <w:szCs w:val="24"/>
          <w:lang w:val="fr-FR"/>
        </w:rPr>
        <w:t> </w:t>
      </w:r>
      <w:r w:rsidRPr="0067315C">
        <w:rPr>
          <w:szCs w:val="24"/>
          <w:lang w:val="fr-FR"/>
        </w:rPr>
        <w:t>;</w:t>
      </w:r>
    </w:p>
    <w:p w:rsidR="00453B9A" w:rsidRPr="0067315C" w:rsidRDefault="00453B9A" w:rsidP="009A7345">
      <w:pPr>
        <w:pStyle w:val="SingleTxtG"/>
        <w:ind w:firstLine="567"/>
        <w:rPr>
          <w:szCs w:val="24"/>
          <w:lang w:val="fr-FR"/>
        </w:rPr>
      </w:pPr>
      <w:r w:rsidRPr="0067315C">
        <w:rPr>
          <w:szCs w:val="24"/>
          <w:lang w:val="fr-FR"/>
        </w:rPr>
        <w:t>b)</w:t>
      </w:r>
      <w:r w:rsidRPr="0067315C">
        <w:rPr>
          <w:szCs w:val="24"/>
          <w:lang w:val="fr-FR"/>
        </w:rPr>
        <w:tab/>
      </w:r>
      <w:r w:rsidRPr="0003582F">
        <w:rPr>
          <w:b/>
          <w:szCs w:val="24"/>
          <w:lang w:val="fr-FR"/>
        </w:rPr>
        <w:t>Développer l</w:t>
      </w:r>
      <w:r w:rsidR="009C022A" w:rsidRPr="0003582F">
        <w:rPr>
          <w:b/>
          <w:szCs w:val="24"/>
          <w:lang w:val="fr-FR"/>
        </w:rPr>
        <w:t>’</w:t>
      </w:r>
      <w:r w:rsidRPr="0003582F">
        <w:rPr>
          <w:b/>
          <w:szCs w:val="24"/>
          <w:lang w:val="fr-FR"/>
        </w:rPr>
        <w:t>éducation au développement durable dans la formation des enseignants et de tous les éducateurs</w:t>
      </w:r>
      <w:r w:rsidR="009A7345" w:rsidRPr="0003582F">
        <w:rPr>
          <w:b/>
          <w:szCs w:val="24"/>
          <w:lang w:val="fr-FR"/>
        </w:rPr>
        <w:t> </w:t>
      </w:r>
      <w:r w:rsidRPr="004F3C3E">
        <w:rPr>
          <w:szCs w:val="24"/>
          <w:lang w:val="fr-FR"/>
        </w:rPr>
        <w:t>:</w:t>
      </w:r>
      <w:r w:rsidRPr="0067315C">
        <w:rPr>
          <w:szCs w:val="24"/>
          <w:lang w:val="fr-FR"/>
        </w:rPr>
        <w:t xml:space="preserve"> Les enseignants et, plus généralement, les éducateurs, jouent un rôle moteur</w:t>
      </w:r>
      <w:r w:rsidR="009A7345" w:rsidRPr="0067315C">
        <w:rPr>
          <w:szCs w:val="24"/>
          <w:lang w:val="fr-FR"/>
        </w:rPr>
        <w:t xml:space="preserve"> </w:t>
      </w:r>
      <w:r w:rsidRPr="0067315C">
        <w:rPr>
          <w:szCs w:val="24"/>
          <w:lang w:val="fr-FR"/>
        </w:rPr>
        <w:t>dans l</w:t>
      </w:r>
      <w:r w:rsidR="009C022A" w:rsidRPr="0067315C">
        <w:rPr>
          <w:szCs w:val="24"/>
          <w:lang w:val="fr-FR"/>
        </w:rPr>
        <w:t>’</w:t>
      </w:r>
      <w:r w:rsidRPr="0067315C">
        <w:rPr>
          <w:szCs w:val="24"/>
          <w:lang w:val="fr-FR"/>
        </w:rPr>
        <w:t>intégration de l</w:t>
      </w:r>
      <w:r w:rsidR="009C022A" w:rsidRPr="0067315C">
        <w:rPr>
          <w:szCs w:val="24"/>
          <w:lang w:val="fr-FR"/>
        </w:rPr>
        <w:t>’</w:t>
      </w:r>
      <w:r w:rsidRPr="0067315C">
        <w:rPr>
          <w:szCs w:val="24"/>
          <w:lang w:val="fr-FR"/>
        </w:rPr>
        <w:t>EDD dans l</w:t>
      </w:r>
      <w:r w:rsidR="009C022A" w:rsidRPr="0067315C">
        <w:rPr>
          <w:szCs w:val="24"/>
          <w:lang w:val="fr-FR"/>
        </w:rPr>
        <w:t>’</w:t>
      </w:r>
      <w:r w:rsidRPr="0067315C">
        <w:rPr>
          <w:szCs w:val="24"/>
          <w:lang w:val="fr-FR"/>
        </w:rPr>
        <w:t>enseignement. Leurs compétences dans ce domaine doivent être renforcées, dans le cadre de la formation initiale et continue pour les enseignants, et du perfectionnement professionnel pour les éducateurs non formels et informels. En conséquence, les représentants des Ministères de l</w:t>
      </w:r>
      <w:r w:rsidR="009C022A" w:rsidRPr="0067315C">
        <w:rPr>
          <w:szCs w:val="24"/>
          <w:lang w:val="fr-FR"/>
        </w:rPr>
        <w:t>’</w:t>
      </w:r>
      <w:r w:rsidRPr="0067315C">
        <w:rPr>
          <w:szCs w:val="24"/>
          <w:lang w:val="fr-FR"/>
        </w:rPr>
        <w:t>éducation et de l</w:t>
      </w:r>
      <w:r w:rsidR="009C022A" w:rsidRPr="0067315C">
        <w:rPr>
          <w:szCs w:val="24"/>
          <w:lang w:val="fr-FR"/>
        </w:rPr>
        <w:t>’</w:t>
      </w:r>
      <w:r w:rsidRPr="0067315C">
        <w:rPr>
          <w:szCs w:val="24"/>
          <w:lang w:val="fr-FR"/>
        </w:rPr>
        <w:t>environnement présents à la Réunion de haut niveau sont résolument favorables à ce que l</w:t>
      </w:r>
      <w:r w:rsidR="009C022A" w:rsidRPr="0067315C">
        <w:rPr>
          <w:szCs w:val="24"/>
          <w:lang w:val="fr-FR"/>
        </w:rPr>
        <w:t>’</w:t>
      </w:r>
      <w:r w:rsidRPr="0067315C">
        <w:rPr>
          <w:szCs w:val="24"/>
          <w:lang w:val="fr-FR"/>
        </w:rPr>
        <w:t>EDD soit encore mieux et plus largement prise en considération dans la formation des enseignants</w:t>
      </w:r>
      <w:r w:rsidR="0003582F">
        <w:rPr>
          <w:szCs w:val="24"/>
          <w:lang w:val="fr-FR"/>
        </w:rPr>
        <w:t> </w:t>
      </w:r>
      <w:r w:rsidRPr="0067315C">
        <w:rPr>
          <w:szCs w:val="24"/>
          <w:lang w:val="fr-FR"/>
        </w:rPr>
        <w:t>;</w:t>
      </w:r>
    </w:p>
    <w:p w:rsidR="00453B9A" w:rsidRPr="0067315C" w:rsidRDefault="00453B9A" w:rsidP="009A7345">
      <w:pPr>
        <w:pStyle w:val="SingleTxtG"/>
        <w:ind w:firstLine="567"/>
        <w:rPr>
          <w:szCs w:val="24"/>
          <w:lang w:val="fr-FR"/>
        </w:rPr>
      </w:pPr>
      <w:r w:rsidRPr="0067315C">
        <w:rPr>
          <w:szCs w:val="24"/>
          <w:lang w:val="fr-FR"/>
        </w:rPr>
        <w:t>c)</w:t>
      </w:r>
      <w:r w:rsidRPr="0067315C">
        <w:rPr>
          <w:szCs w:val="24"/>
          <w:lang w:val="fr-FR"/>
        </w:rPr>
        <w:tab/>
      </w:r>
      <w:r w:rsidRPr="0003582F">
        <w:rPr>
          <w:b/>
          <w:szCs w:val="24"/>
          <w:lang w:val="fr-FR"/>
        </w:rPr>
        <w:t>Mettre l</w:t>
      </w:r>
      <w:r w:rsidR="009C022A" w:rsidRPr="0003582F">
        <w:rPr>
          <w:b/>
          <w:szCs w:val="24"/>
          <w:lang w:val="fr-FR"/>
        </w:rPr>
        <w:t>’</w:t>
      </w:r>
      <w:r w:rsidRPr="0003582F">
        <w:rPr>
          <w:b/>
          <w:szCs w:val="24"/>
          <w:lang w:val="fr-FR"/>
        </w:rPr>
        <w:t>enseignement et la formation techniques et professionnels davantage au service du développement durable et de la transition vers une économie verte</w:t>
      </w:r>
      <w:r w:rsidR="0003582F">
        <w:rPr>
          <w:szCs w:val="24"/>
          <w:lang w:val="fr-FR"/>
        </w:rPr>
        <w:t> </w:t>
      </w:r>
      <w:r w:rsidRPr="00371819">
        <w:rPr>
          <w:szCs w:val="24"/>
          <w:lang w:val="fr-FR"/>
        </w:rPr>
        <w:t>:</w:t>
      </w:r>
      <w:r w:rsidRPr="0067315C">
        <w:rPr>
          <w:szCs w:val="24"/>
          <w:lang w:val="fr-FR"/>
        </w:rPr>
        <w:t xml:space="preserve"> L</w:t>
      </w:r>
      <w:r w:rsidR="009C022A" w:rsidRPr="0067315C">
        <w:rPr>
          <w:szCs w:val="24"/>
          <w:lang w:val="fr-FR"/>
        </w:rPr>
        <w:t>’</w:t>
      </w:r>
      <w:r w:rsidRPr="0067315C">
        <w:rPr>
          <w:szCs w:val="24"/>
          <w:lang w:val="fr-FR"/>
        </w:rPr>
        <w:t>enseignement et la formation techniques et professionnels ouvrent des possibilités prometteuses d</w:t>
      </w:r>
      <w:r w:rsidR="009C022A" w:rsidRPr="0067315C">
        <w:rPr>
          <w:szCs w:val="24"/>
          <w:lang w:val="fr-FR"/>
        </w:rPr>
        <w:t>’</w:t>
      </w:r>
      <w:r w:rsidRPr="0067315C">
        <w:rPr>
          <w:szCs w:val="24"/>
          <w:lang w:val="fr-FR"/>
        </w:rPr>
        <w:t>amorcer et de faciliter la transition vers une économie verte, durable et fondée sur l</w:t>
      </w:r>
      <w:r w:rsidR="009C022A" w:rsidRPr="0067315C">
        <w:rPr>
          <w:szCs w:val="24"/>
          <w:lang w:val="fr-FR"/>
        </w:rPr>
        <w:t>’</w:t>
      </w:r>
      <w:r w:rsidRPr="0067315C">
        <w:rPr>
          <w:szCs w:val="24"/>
          <w:lang w:val="fr-FR"/>
        </w:rPr>
        <w:t>esprit d</w:t>
      </w:r>
      <w:r w:rsidR="009C022A" w:rsidRPr="0067315C">
        <w:rPr>
          <w:szCs w:val="24"/>
          <w:lang w:val="fr-FR"/>
        </w:rPr>
        <w:t>’</w:t>
      </w:r>
      <w:r w:rsidRPr="0067315C">
        <w:rPr>
          <w:szCs w:val="24"/>
          <w:lang w:val="fr-FR"/>
        </w:rPr>
        <w:t>entreprise. Plusieurs mesures concrètes pourraient être envisagées en priorité</w:t>
      </w:r>
      <w:r w:rsidR="009A7345" w:rsidRPr="0067315C">
        <w:rPr>
          <w:szCs w:val="24"/>
          <w:lang w:val="fr-FR"/>
        </w:rPr>
        <w:t xml:space="preserve"> − </w:t>
      </w:r>
      <w:r w:rsidRPr="0067315C">
        <w:rPr>
          <w:szCs w:val="24"/>
          <w:lang w:val="fr-FR"/>
        </w:rPr>
        <w:t>par exemple, démontrer aux étudiants l</w:t>
      </w:r>
      <w:r w:rsidR="009C022A" w:rsidRPr="0067315C">
        <w:rPr>
          <w:szCs w:val="24"/>
          <w:lang w:val="fr-FR"/>
        </w:rPr>
        <w:t>’</w:t>
      </w:r>
      <w:r w:rsidRPr="0067315C">
        <w:rPr>
          <w:szCs w:val="24"/>
          <w:lang w:val="fr-FR"/>
        </w:rPr>
        <w:t>importance de passer à une économie verte et les initier à l</w:t>
      </w:r>
      <w:r w:rsidR="009C022A" w:rsidRPr="0067315C">
        <w:rPr>
          <w:szCs w:val="24"/>
          <w:lang w:val="fr-FR"/>
        </w:rPr>
        <w:t>’</w:t>
      </w:r>
      <w:r w:rsidRPr="0067315C">
        <w:rPr>
          <w:szCs w:val="24"/>
          <w:lang w:val="fr-FR"/>
        </w:rPr>
        <w:t>écologie</w:t>
      </w:r>
      <w:r w:rsidR="0003582F">
        <w:rPr>
          <w:szCs w:val="24"/>
          <w:lang w:val="fr-FR"/>
        </w:rPr>
        <w:t> </w:t>
      </w:r>
      <w:r w:rsidRPr="0067315C">
        <w:rPr>
          <w:szCs w:val="24"/>
          <w:lang w:val="fr-FR"/>
        </w:rPr>
        <w:t>; comprendre les besoins de l</w:t>
      </w:r>
      <w:r w:rsidR="009C022A" w:rsidRPr="0067315C">
        <w:rPr>
          <w:szCs w:val="24"/>
          <w:lang w:val="fr-FR"/>
        </w:rPr>
        <w:t>’</w:t>
      </w:r>
      <w:r w:rsidRPr="0067315C">
        <w:rPr>
          <w:szCs w:val="24"/>
          <w:lang w:val="fr-FR"/>
        </w:rPr>
        <w:t>industrie pour opérer la transition vers l</w:t>
      </w:r>
      <w:r w:rsidR="009C022A" w:rsidRPr="0067315C">
        <w:rPr>
          <w:szCs w:val="24"/>
          <w:lang w:val="fr-FR"/>
        </w:rPr>
        <w:t>’</w:t>
      </w:r>
      <w:r w:rsidRPr="0067315C">
        <w:rPr>
          <w:szCs w:val="24"/>
          <w:lang w:val="fr-FR"/>
        </w:rPr>
        <w:t>économie verte, en mettant l</w:t>
      </w:r>
      <w:r w:rsidR="009C022A" w:rsidRPr="0067315C">
        <w:rPr>
          <w:szCs w:val="24"/>
          <w:lang w:val="fr-FR"/>
        </w:rPr>
        <w:t>’</w:t>
      </w:r>
      <w:r w:rsidRPr="0067315C">
        <w:rPr>
          <w:szCs w:val="24"/>
          <w:lang w:val="fr-FR"/>
        </w:rPr>
        <w:t>accent sur des modes de production et de consommation durables</w:t>
      </w:r>
      <w:r w:rsidR="0003582F">
        <w:rPr>
          <w:szCs w:val="24"/>
          <w:lang w:val="fr-FR"/>
        </w:rPr>
        <w:t> </w:t>
      </w:r>
      <w:r w:rsidRPr="0067315C">
        <w:rPr>
          <w:szCs w:val="24"/>
          <w:lang w:val="fr-FR"/>
        </w:rPr>
        <w:t>; et veiller à ce que les éducateurs bénéficient d</w:t>
      </w:r>
      <w:r w:rsidR="009C022A" w:rsidRPr="0067315C">
        <w:rPr>
          <w:szCs w:val="24"/>
          <w:lang w:val="fr-FR"/>
        </w:rPr>
        <w:t>’</w:t>
      </w:r>
      <w:r w:rsidRPr="0067315C">
        <w:rPr>
          <w:szCs w:val="24"/>
          <w:lang w:val="fr-FR"/>
        </w:rPr>
        <w:t>un soutien suffisant de la part des décideurs pour être en mesure de transmettre de nouvelles compétences. L</w:t>
      </w:r>
      <w:r w:rsidR="009C022A" w:rsidRPr="0067315C">
        <w:rPr>
          <w:szCs w:val="24"/>
          <w:lang w:val="fr-FR"/>
        </w:rPr>
        <w:t>’</w:t>
      </w:r>
      <w:r w:rsidRPr="0067315C">
        <w:rPr>
          <w:szCs w:val="24"/>
          <w:lang w:val="fr-FR"/>
        </w:rPr>
        <w:t>une des premières étapes est d</w:t>
      </w:r>
      <w:r w:rsidR="009C022A" w:rsidRPr="0067315C">
        <w:rPr>
          <w:szCs w:val="24"/>
          <w:lang w:val="fr-FR"/>
        </w:rPr>
        <w:t>’</w:t>
      </w:r>
      <w:r w:rsidRPr="0067315C">
        <w:rPr>
          <w:szCs w:val="24"/>
          <w:lang w:val="fr-FR"/>
        </w:rPr>
        <w:t>inscrire l</w:t>
      </w:r>
      <w:r w:rsidR="009C022A" w:rsidRPr="0067315C">
        <w:rPr>
          <w:szCs w:val="24"/>
          <w:lang w:val="fr-FR"/>
        </w:rPr>
        <w:t>’</w:t>
      </w:r>
      <w:r w:rsidRPr="0067315C">
        <w:rPr>
          <w:szCs w:val="24"/>
          <w:lang w:val="fr-FR"/>
        </w:rPr>
        <w:t>EDD dans la politique nationale d</w:t>
      </w:r>
      <w:r w:rsidR="009C022A" w:rsidRPr="0067315C">
        <w:rPr>
          <w:szCs w:val="24"/>
          <w:lang w:val="fr-FR"/>
        </w:rPr>
        <w:t>’</w:t>
      </w:r>
      <w:r w:rsidRPr="0067315C">
        <w:rPr>
          <w:szCs w:val="24"/>
          <w:lang w:val="fr-FR"/>
        </w:rPr>
        <w:t>enseignement et de formation techniques et professionnels. C</w:t>
      </w:r>
      <w:r w:rsidR="009C022A" w:rsidRPr="0067315C">
        <w:rPr>
          <w:szCs w:val="24"/>
          <w:lang w:val="fr-FR"/>
        </w:rPr>
        <w:t>’</w:t>
      </w:r>
      <w:r w:rsidRPr="0067315C">
        <w:rPr>
          <w:szCs w:val="24"/>
          <w:lang w:val="fr-FR"/>
        </w:rPr>
        <w:t>est pourquoi les représentants des Ministères de l</w:t>
      </w:r>
      <w:r w:rsidR="009C022A" w:rsidRPr="0067315C">
        <w:rPr>
          <w:szCs w:val="24"/>
          <w:lang w:val="fr-FR"/>
        </w:rPr>
        <w:t>’</w:t>
      </w:r>
      <w:r w:rsidRPr="0067315C">
        <w:rPr>
          <w:szCs w:val="24"/>
          <w:lang w:val="fr-FR"/>
        </w:rPr>
        <w:t>éducation et de l</w:t>
      </w:r>
      <w:r w:rsidR="009C022A" w:rsidRPr="0067315C">
        <w:rPr>
          <w:szCs w:val="24"/>
          <w:lang w:val="fr-FR"/>
        </w:rPr>
        <w:t>’</w:t>
      </w:r>
      <w:r w:rsidRPr="0067315C">
        <w:rPr>
          <w:szCs w:val="24"/>
          <w:lang w:val="fr-FR"/>
        </w:rPr>
        <w:t>environnement présents à la Réunion de haut niveau reconnaissent qu</w:t>
      </w:r>
      <w:r w:rsidR="009C022A" w:rsidRPr="0067315C">
        <w:rPr>
          <w:szCs w:val="24"/>
          <w:lang w:val="fr-FR"/>
        </w:rPr>
        <w:t>’</w:t>
      </w:r>
      <w:r w:rsidRPr="0067315C">
        <w:rPr>
          <w:szCs w:val="24"/>
          <w:lang w:val="fr-FR"/>
        </w:rPr>
        <w:t>il est important de mettre l</w:t>
      </w:r>
      <w:r w:rsidR="009C022A" w:rsidRPr="0067315C">
        <w:rPr>
          <w:szCs w:val="24"/>
          <w:lang w:val="fr-FR"/>
        </w:rPr>
        <w:t>’</w:t>
      </w:r>
      <w:r w:rsidRPr="0067315C">
        <w:rPr>
          <w:szCs w:val="24"/>
          <w:lang w:val="fr-FR"/>
        </w:rPr>
        <w:t>enseignement et</w:t>
      </w:r>
      <w:r w:rsidR="00796609">
        <w:rPr>
          <w:szCs w:val="24"/>
          <w:lang w:val="fr-FR"/>
        </w:rPr>
        <w:t xml:space="preserve"> la</w:t>
      </w:r>
      <w:r w:rsidRPr="0067315C">
        <w:rPr>
          <w:szCs w:val="24"/>
          <w:lang w:val="fr-FR"/>
        </w:rPr>
        <w:t xml:space="preserve"> formation techniques et professionnels davantage au service du développement durable. Ils encouragent en particulier les associations professionnelles, les centres de formation professionnelle et les acteurs du secteur privé à agir plus activement en ce sens</w:t>
      </w:r>
      <w:r w:rsidR="009A7345" w:rsidRPr="0067315C">
        <w:rPr>
          <w:szCs w:val="24"/>
          <w:lang w:val="fr-FR"/>
        </w:rPr>
        <w:t> </w:t>
      </w:r>
      <w:r w:rsidRPr="0067315C">
        <w:rPr>
          <w:szCs w:val="24"/>
          <w:lang w:val="fr-FR"/>
        </w:rPr>
        <w:t>;</w:t>
      </w:r>
    </w:p>
    <w:p w:rsidR="00453B9A" w:rsidRPr="0067315C" w:rsidRDefault="00453B9A" w:rsidP="009A7345">
      <w:pPr>
        <w:pStyle w:val="SingleTxtG"/>
        <w:ind w:firstLine="567"/>
        <w:rPr>
          <w:szCs w:val="24"/>
          <w:lang w:val="fr-FR"/>
        </w:rPr>
      </w:pPr>
      <w:r w:rsidRPr="0067315C">
        <w:rPr>
          <w:szCs w:val="24"/>
          <w:lang w:val="fr-FR"/>
        </w:rPr>
        <w:t>d)</w:t>
      </w:r>
      <w:r w:rsidRPr="0067315C">
        <w:rPr>
          <w:szCs w:val="24"/>
          <w:lang w:val="fr-FR"/>
        </w:rPr>
        <w:tab/>
      </w:r>
      <w:r w:rsidRPr="00796609">
        <w:rPr>
          <w:b/>
          <w:szCs w:val="24"/>
          <w:lang w:val="fr-FR"/>
        </w:rPr>
        <w:t>Renforcer l</w:t>
      </w:r>
      <w:r w:rsidR="009C022A" w:rsidRPr="00796609">
        <w:rPr>
          <w:b/>
          <w:szCs w:val="24"/>
          <w:lang w:val="fr-FR"/>
        </w:rPr>
        <w:t>’</w:t>
      </w:r>
      <w:r w:rsidRPr="00796609">
        <w:rPr>
          <w:b/>
          <w:szCs w:val="24"/>
          <w:lang w:val="fr-FR"/>
        </w:rPr>
        <w:t>intégration de l</w:t>
      </w:r>
      <w:r w:rsidR="009C022A" w:rsidRPr="00796609">
        <w:rPr>
          <w:b/>
          <w:szCs w:val="24"/>
          <w:lang w:val="fr-FR"/>
        </w:rPr>
        <w:t>’</w:t>
      </w:r>
      <w:r w:rsidRPr="00796609">
        <w:rPr>
          <w:b/>
          <w:szCs w:val="24"/>
          <w:lang w:val="fr-FR"/>
        </w:rPr>
        <w:t>EDD dans les politiques nationales et internationales relatives à l</w:t>
      </w:r>
      <w:r w:rsidR="009C022A" w:rsidRPr="00796609">
        <w:rPr>
          <w:b/>
          <w:szCs w:val="24"/>
          <w:lang w:val="fr-FR"/>
        </w:rPr>
        <w:t>’</w:t>
      </w:r>
      <w:r w:rsidRPr="00796609">
        <w:rPr>
          <w:b/>
          <w:szCs w:val="24"/>
          <w:lang w:val="fr-FR"/>
        </w:rPr>
        <w:t>éducation et au développement durable et dans d</w:t>
      </w:r>
      <w:r w:rsidR="009C022A" w:rsidRPr="00796609">
        <w:rPr>
          <w:b/>
          <w:szCs w:val="24"/>
          <w:lang w:val="fr-FR"/>
        </w:rPr>
        <w:t>’</w:t>
      </w:r>
      <w:r w:rsidRPr="00796609">
        <w:rPr>
          <w:b/>
          <w:szCs w:val="24"/>
          <w:lang w:val="fr-FR"/>
        </w:rPr>
        <w:t>autres processus pertinents</w:t>
      </w:r>
      <w:r w:rsidR="009A7345" w:rsidRPr="00796609">
        <w:rPr>
          <w:b/>
          <w:szCs w:val="24"/>
          <w:lang w:val="fr-FR"/>
        </w:rPr>
        <w:t> </w:t>
      </w:r>
      <w:r w:rsidRPr="00371819">
        <w:rPr>
          <w:szCs w:val="24"/>
          <w:lang w:val="fr-FR"/>
        </w:rPr>
        <w:t>:</w:t>
      </w:r>
      <w:r w:rsidRPr="0067315C">
        <w:rPr>
          <w:szCs w:val="24"/>
          <w:lang w:val="fr-FR"/>
        </w:rPr>
        <w:t xml:space="preserve"> Les États membres devraient renforcer l</w:t>
      </w:r>
      <w:r w:rsidR="009C022A" w:rsidRPr="0067315C">
        <w:rPr>
          <w:szCs w:val="24"/>
          <w:lang w:val="fr-FR"/>
        </w:rPr>
        <w:t>’</w:t>
      </w:r>
      <w:r w:rsidRPr="0067315C">
        <w:rPr>
          <w:szCs w:val="24"/>
          <w:lang w:val="fr-FR"/>
        </w:rPr>
        <w:t>intégration de l</w:t>
      </w:r>
      <w:r w:rsidR="009C022A" w:rsidRPr="0067315C">
        <w:rPr>
          <w:szCs w:val="24"/>
          <w:lang w:val="fr-FR"/>
        </w:rPr>
        <w:t>’</w:t>
      </w:r>
      <w:r w:rsidRPr="0067315C">
        <w:rPr>
          <w:szCs w:val="24"/>
          <w:lang w:val="fr-FR"/>
        </w:rPr>
        <w:t>EDD dans les politiques internationales et nationales relatives à l</w:t>
      </w:r>
      <w:r w:rsidR="009C022A" w:rsidRPr="0067315C">
        <w:rPr>
          <w:szCs w:val="24"/>
          <w:lang w:val="fr-FR"/>
        </w:rPr>
        <w:t>’</w:t>
      </w:r>
      <w:r w:rsidRPr="0067315C">
        <w:rPr>
          <w:szCs w:val="24"/>
          <w:lang w:val="fr-FR"/>
        </w:rPr>
        <w:t>éducation et au développement durable et dans d</w:t>
      </w:r>
      <w:r w:rsidR="009C022A" w:rsidRPr="0067315C">
        <w:rPr>
          <w:szCs w:val="24"/>
          <w:lang w:val="fr-FR"/>
        </w:rPr>
        <w:t>’</w:t>
      </w:r>
      <w:r w:rsidRPr="0067315C">
        <w:rPr>
          <w:szCs w:val="24"/>
          <w:lang w:val="fr-FR"/>
        </w:rPr>
        <w:t>autres processus pertinents. Sur le plan régional, en particulier, il conviendrait de resserrer le lien avec les conventions de la CEE sur l</w:t>
      </w:r>
      <w:r w:rsidR="009C022A" w:rsidRPr="0067315C">
        <w:rPr>
          <w:szCs w:val="24"/>
          <w:lang w:val="fr-FR"/>
        </w:rPr>
        <w:t>’</w:t>
      </w:r>
      <w:r w:rsidRPr="0067315C">
        <w:rPr>
          <w:szCs w:val="24"/>
          <w:lang w:val="fr-FR"/>
        </w:rPr>
        <w:t>environnement. Des synergies devraient aussi être créées avec d</w:t>
      </w:r>
      <w:r w:rsidR="009C022A" w:rsidRPr="0067315C">
        <w:rPr>
          <w:szCs w:val="24"/>
          <w:lang w:val="fr-FR"/>
        </w:rPr>
        <w:t>’</w:t>
      </w:r>
      <w:r w:rsidRPr="0067315C">
        <w:rPr>
          <w:szCs w:val="24"/>
          <w:lang w:val="fr-FR"/>
        </w:rPr>
        <w:t>autres programmes et acteurs cl</w:t>
      </w:r>
      <w:r w:rsidR="009A7345" w:rsidRPr="0067315C">
        <w:rPr>
          <w:szCs w:val="24"/>
          <w:lang w:val="fr-FR"/>
        </w:rPr>
        <w:t>ef</w:t>
      </w:r>
      <w:r w:rsidRPr="0067315C">
        <w:rPr>
          <w:szCs w:val="24"/>
          <w:lang w:val="fr-FR"/>
        </w:rPr>
        <w:t>s de la promotion et de l</w:t>
      </w:r>
      <w:r w:rsidR="009C022A" w:rsidRPr="0067315C">
        <w:rPr>
          <w:szCs w:val="24"/>
          <w:lang w:val="fr-FR"/>
        </w:rPr>
        <w:t>’</w:t>
      </w:r>
      <w:r w:rsidRPr="0067315C">
        <w:rPr>
          <w:szCs w:val="24"/>
          <w:lang w:val="fr-FR"/>
        </w:rPr>
        <w:t>intégration de la politique d</w:t>
      </w:r>
      <w:r w:rsidR="009C022A" w:rsidRPr="0067315C">
        <w:rPr>
          <w:szCs w:val="24"/>
          <w:lang w:val="fr-FR"/>
        </w:rPr>
        <w:t>’</w:t>
      </w:r>
      <w:r w:rsidRPr="0067315C">
        <w:rPr>
          <w:szCs w:val="24"/>
          <w:lang w:val="fr-FR"/>
        </w:rPr>
        <w:t>EDD dans la région. Les politiques institutionnelles en la matière devraient en outre être soutenues à différents niveaux du système éducatif. L</w:t>
      </w:r>
      <w:r w:rsidR="009C022A" w:rsidRPr="0067315C">
        <w:rPr>
          <w:szCs w:val="24"/>
          <w:lang w:val="fr-FR"/>
        </w:rPr>
        <w:t>’</w:t>
      </w:r>
      <w:r w:rsidRPr="0067315C">
        <w:rPr>
          <w:szCs w:val="24"/>
          <w:lang w:val="fr-FR"/>
        </w:rPr>
        <w:t>EDD est un moyen efficace de faciliter la réalisation des ODD</w:t>
      </w:r>
      <w:r w:rsidR="009A7345" w:rsidRPr="0067315C">
        <w:rPr>
          <w:szCs w:val="24"/>
          <w:lang w:val="fr-FR"/>
        </w:rPr>
        <w:t> </w:t>
      </w:r>
      <w:r w:rsidRPr="0067315C">
        <w:rPr>
          <w:szCs w:val="24"/>
          <w:lang w:val="fr-FR"/>
        </w:rPr>
        <w:t>;</w:t>
      </w:r>
    </w:p>
    <w:p w:rsidR="00453B9A" w:rsidRPr="0067315C" w:rsidRDefault="00453B9A" w:rsidP="009A7345">
      <w:pPr>
        <w:pStyle w:val="SingleTxtG"/>
        <w:ind w:firstLine="567"/>
        <w:rPr>
          <w:szCs w:val="24"/>
          <w:lang w:val="fr-FR"/>
        </w:rPr>
      </w:pPr>
      <w:r w:rsidRPr="0067315C">
        <w:rPr>
          <w:szCs w:val="24"/>
          <w:lang w:val="fr-FR"/>
        </w:rPr>
        <w:lastRenderedPageBreak/>
        <w:t>e)</w:t>
      </w:r>
      <w:r w:rsidRPr="0067315C">
        <w:rPr>
          <w:szCs w:val="24"/>
          <w:lang w:val="fr-FR"/>
        </w:rPr>
        <w:tab/>
      </w:r>
      <w:r w:rsidRPr="00796609">
        <w:rPr>
          <w:b/>
          <w:szCs w:val="24"/>
          <w:lang w:val="fr-FR"/>
        </w:rPr>
        <w:t>Améliorer les synergies entre l</w:t>
      </w:r>
      <w:r w:rsidR="009C022A" w:rsidRPr="00796609">
        <w:rPr>
          <w:b/>
          <w:szCs w:val="24"/>
          <w:lang w:val="fr-FR"/>
        </w:rPr>
        <w:t>’</w:t>
      </w:r>
      <w:r w:rsidRPr="00796609">
        <w:rPr>
          <w:b/>
          <w:szCs w:val="24"/>
          <w:lang w:val="fr-FR"/>
        </w:rPr>
        <w:t>enseignement formel, l</w:t>
      </w:r>
      <w:r w:rsidR="009C022A" w:rsidRPr="00796609">
        <w:rPr>
          <w:b/>
          <w:szCs w:val="24"/>
          <w:lang w:val="fr-FR"/>
        </w:rPr>
        <w:t>’</w:t>
      </w:r>
      <w:r w:rsidRPr="00796609">
        <w:rPr>
          <w:b/>
          <w:szCs w:val="24"/>
          <w:lang w:val="fr-FR"/>
        </w:rPr>
        <w:t>enseignement informel et l</w:t>
      </w:r>
      <w:r w:rsidR="009C022A" w:rsidRPr="00796609">
        <w:rPr>
          <w:b/>
          <w:szCs w:val="24"/>
          <w:lang w:val="fr-FR"/>
        </w:rPr>
        <w:t>’</w:t>
      </w:r>
      <w:r w:rsidRPr="00796609">
        <w:rPr>
          <w:b/>
          <w:szCs w:val="24"/>
          <w:lang w:val="fr-FR"/>
        </w:rPr>
        <w:t>enseignement non formel</w:t>
      </w:r>
      <w:r w:rsidR="009A7345" w:rsidRPr="00796609">
        <w:rPr>
          <w:b/>
          <w:szCs w:val="24"/>
          <w:lang w:val="fr-FR"/>
        </w:rPr>
        <w:t> </w:t>
      </w:r>
      <w:r w:rsidRPr="00371819">
        <w:rPr>
          <w:szCs w:val="24"/>
          <w:lang w:val="fr-FR"/>
        </w:rPr>
        <w:t>:</w:t>
      </w:r>
      <w:r w:rsidRPr="0067315C">
        <w:rPr>
          <w:szCs w:val="24"/>
          <w:lang w:val="fr-FR"/>
        </w:rPr>
        <w:t xml:space="preserve"> Le système d</w:t>
      </w:r>
      <w:r w:rsidR="009C022A" w:rsidRPr="0067315C">
        <w:rPr>
          <w:szCs w:val="24"/>
          <w:lang w:val="fr-FR"/>
        </w:rPr>
        <w:t>’</w:t>
      </w:r>
      <w:r w:rsidRPr="0067315C">
        <w:rPr>
          <w:szCs w:val="24"/>
          <w:lang w:val="fr-FR"/>
        </w:rPr>
        <w:t>enseignement formel doit fonctionner en synergie avec les systèmes d</w:t>
      </w:r>
      <w:r w:rsidR="009C022A" w:rsidRPr="0067315C">
        <w:rPr>
          <w:szCs w:val="24"/>
          <w:lang w:val="fr-FR"/>
        </w:rPr>
        <w:t>’</w:t>
      </w:r>
      <w:r w:rsidRPr="0067315C">
        <w:rPr>
          <w:szCs w:val="24"/>
          <w:lang w:val="fr-FR"/>
        </w:rPr>
        <w:t>enseignement non formel et informel, de manière à promouvoir efficacement l</w:t>
      </w:r>
      <w:r w:rsidR="009C022A" w:rsidRPr="0067315C">
        <w:rPr>
          <w:szCs w:val="24"/>
          <w:lang w:val="fr-FR"/>
        </w:rPr>
        <w:t>’</w:t>
      </w:r>
      <w:r w:rsidRPr="0067315C">
        <w:rPr>
          <w:szCs w:val="24"/>
          <w:lang w:val="fr-FR"/>
        </w:rPr>
        <w:t>EDD dans les contextes de l</w:t>
      </w:r>
      <w:r w:rsidR="009C022A" w:rsidRPr="0067315C">
        <w:rPr>
          <w:szCs w:val="24"/>
          <w:lang w:val="fr-FR"/>
        </w:rPr>
        <w:t>’</w:t>
      </w:r>
      <w:r w:rsidRPr="0067315C">
        <w:rPr>
          <w:szCs w:val="24"/>
          <w:lang w:val="fr-FR"/>
        </w:rPr>
        <w:t>éducation et de l</w:t>
      </w:r>
      <w:r w:rsidR="009C022A" w:rsidRPr="0067315C">
        <w:rPr>
          <w:szCs w:val="24"/>
          <w:lang w:val="fr-FR"/>
        </w:rPr>
        <w:t>’</w:t>
      </w:r>
      <w:r w:rsidRPr="0067315C">
        <w:rPr>
          <w:szCs w:val="24"/>
          <w:lang w:val="fr-FR"/>
        </w:rPr>
        <w:t>environnement. Les systèmes d</w:t>
      </w:r>
      <w:r w:rsidR="009C022A" w:rsidRPr="0067315C">
        <w:rPr>
          <w:szCs w:val="24"/>
          <w:lang w:val="fr-FR"/>
        </w:rPr>
        <w:t>’</w:t>
      </w:r>
      <w:r w:rsidRPr="0067315C">
        <w:rPr>
          <w:szCs w:val="24"/>
          <w:lang w:val="fr-FR"/>
        </w:rPr>
        <w:t>enseignement non formel et informel contribuent à l</w:t>
      </w:r>
      <w:r w:rsidR="009C022A" w:rsidRPr="0067315C">
        <w:rPr>
          <w:szCs w:val="24"/>
          <w:lang w:val="fr-FR"/>
        </w:rPr>
        <w:t>’</w:t>
      </w:r>
      <w:r w:rsidRPr="0067315C">
        <w:rPr>
          <w:szCs w:val="24"/>
          <w:lang w:val="fr-FR"/>
        </w:rPr>
        <w:t>EDD en confortant l</w:t>
      </w:r>
      <w:r w:rsidR="009C022A" w:rsidRPr="0067315C">
        <w:rPr>
          <w:szCs w:val="24"/>
          <w:lang w:val="fr-FR"/>
        </w:rPr>
        <w:t>’</w:t>
      </w:r>
      <w:r w:rsidRPr="0067315C">
        <w:rPr>
          <w:szCs w:val="24"/>
          <w:lang w:val="fr-FR"/>
        </w:rPr>
        <w:t>apprentissage formel et en dispensant renseignements et formations au public. Par souci de la diversité et de l</w:t>
      </w:r>
      <w:r w:rsidR="009C022A" w:rsidRPr="0067315C">
        <w:rPr>
          <w:szCs w:val="24"/>
          <w:lang w:val="fr-FR"/>
        </w:rPr>
        <w:t>’</w:t>
      </w:r>
      <w:r w:rsidRPr="0067315C">
        <w:rPr>
          <w:szCs w:val="24"/>
          <w:lang w:val="fr-FR"/>
        </w:rPr>
        <w:t>innovation, il est essentiel que les systèmes d</w:t>
      </w:r>
      <w:r w:rsidR="009C022A" w:rsidRPr="0067315C">
        <w:rPr>
          <w:szCs w:val="24"/>
          <w:lang w:val="fr-FR"/>
        </w:rPr>
        <w:t>’</w:t>
      </w:r>
      <w:r w:rsidRPr="0067315C">
        <w:rPr>
          <w:szCs w:val="24"/>
          <w:lang w:val="fr-FR"/>
        </w:rPr>
        <w:t>enseignement formel, non formel et informel fonctionnent de manière complémentaire</w:t>
      </w:r>
      <w:r w:rsidR="009A7345" w:rsidRPr="0067315C">
        <w:rPr>
          <w:szCs w:val="24"/>
          <w:lang w:val="fr-FR"/>
        </w:rPr>
        <w:t> </w:t>
      </w:r>
      <w:r w:rsidRPr="0067315C">
        <w:rPr>
          <w:szCs w:val="24"/>
          <w:lang w:val="fr-FR"/>
        </w:rPr>
        <w:t>;</w:t>
      </w:r>
    </w:p>
    <w:p w:rsidR="00453B9A" w:rsidRPr="0067315C" w:rsidRDefault="00453B9A" w:rsidP="009A7345">
      <w:pPr>
        <w:pStyle w:val="SingleTxtG"/>
        <w:ind w:firstLine="567"/>
        <w:rPr>
          <w:szCs w:val="24"/>
          <w:lang w:val="fr-FR"/>
        </w:rPr>
      </w:pPr>
      <w:r w:rsidRPr="0067315C">
        <w:rPr>
          <w:szCs w:val="24"/>
          <w:lang w:val="fr-FR"/>
        </w:rPr>
        <w:t>f)</w:t>
      </w:r>
      <w:r w:rsidRPr="0067315C">
        <w:rPr>
          <w:szCs w:val="24"/>
          <w:lang w:val="fr-FR"/>
        </w:rPr>
        <w:tab/>
      </w:r>
      <w:r w:rsidRPr="00796609">
        <w:rPr>
          <w:b/>
          <w:szCs w:val="24"/>
          <w:lang w:val="fr-FR"/>
        </w:rPr>
        <w:t>Reconnaître que les réseaux, notamment ceux de la société civile, des milieux universitaires et scientifiques, des organisations non gouvernementales et des entreprises, jouent un rôle important dans la mise en œuvre de l</w:t>
      </w:r>
      <w:r w:rsidR="009C022A" w:rsidRPr="00796609">
        <w:rPr>
          <w:b/>
          <w:szCs w:val="24"/>
          <w:lang w:val="fr-FR"/>
        </w:rPr>
        <w:t>’</w:t>
      </w:r>
      <w:r w:rsidRPr="00796609">
        <w:rPr>
          <w:b/>
          <w:szCs w:val="24"/>
          <w:lang w:val="fr-FR"/>
        </w:rPr>
        <w:t>EDD</w:t>
      </w:r>
      <w:r w:rsidR="00E34712" w:rsidRPr="00796609">
        <w:rPr>
          <w:b/>
          <w:szCs w:val="24"/>
          <w:lang w:val="fr-FR"/>
        </w:rPr>
        <w:t> </w:t>
      </w:r>
      <w:r w:rsidRPr="00371819">
        <w:rPr>
          <w:szCs w:val="24"/>
          <w:lang w:val="fr-FR"/>
        </w:rPr>
        <w:t>:</w:t>
      </w:r>
      <w:r w:rsidRPr="0067315C">
        <w:rPr>
          <w:szCs w:val="24"/>
          <w:lang w:val="fr-FR"/>
        </w:rPr>
        <w:t xml:space="preserve"> La participation des réseaux, notamment ceux de la société civile, des milieux universitaires et scientifiques, de la jeunesse, des organisations non gouvernementales, et des entreprises, devrait être considérée comme une composante essentielle du cadre de mise en œuvre. Pour que celle-ci s</w:t>
      </w:r>
      <w:r w:rsidR="009C022A" w:rsidRPr="0067315C">
        <w:rPr>
          <w:szCs w:val="24"/>
          <w:lang w:val="fr-FR"/>
        </w:rPr>
        <w:t>’</w:t>
      </w:r>
      <w:r w:rsidRPr="0067315C">
        <w:rPr>
          <w:szCs w:val="24"/>
          <w:lang w:val="fr-FR"/>
        </w:rPr>
        <w:t>inscrive dans un processus participatif et à large rayon d</w:t>
      </w:r>
      <w:r w:rsidR="009C022A" w:rsidRPr="0067315C">
        <w:rPr>
          <w:szCs w:val="24"/>
          <w:lang w:val="fr-FR"/>
        </w:rPr>
        <w:t>’</w:t>
      </w:r>
      <w:r w:rsidRPr="0067315C">
        <w:rPr>
          <w:szCs w:val="24"/>
          <w:lang w:val="fr-FR"/>
        </w:rPr>
        <w:t>action, il faut responsabiliser la société civile, en particulier les jeunes, qui sont de précieux agents du changement, et renforcer ses capacités d</w:t>
      </w:r>
      <w:r w:rsidR="009C022A" w:rsidRPr="0067315C">
        <w:rPr>
          <w:szCs w:val="24"/>
          <w:lang w:val="fr-FR"/>
        </w:rPr>
        <w:t>’</w:t>
      </w:r>
      <w:r w:rsidRPr="0067315C">
        <w:rPr>
          <w:szCs w:val="24"/>
          <w:lang w:val="fr-FR"/>
        </w:rPr>
        <w:t>action par la constitution de réseaux et l</w:t>
      </w:r>
      <w:r w:rsidR="009C022A" w:rsidRPr="0067315C">
        <w:rPr>
          <w:szCs w:val="24"/>
          <w:lang w:val="fr-FR"/>
        </w:rPr>
        <w:t>’</w:t>
      </w:r>
      <w:r w:rsidRPr="0067315C">
        <w:rPr>
          <w:szCs w:val="24"/>
          <w:lang w:val="fr-FR"/>
        </w:rPr>
        <w:t>apprentissage mutuel. Au titre de ce domaine prioritaire, on pourra, par exemple, renforcer les réseaux multipartenaires au niveau local.</w:t>
      </w:r>
    </w:p>
    <w:p w:rsidR="00453B9A" w:rsidRPr="0067315C" w:rsidRDefault="00453B9A" w:rsidP="00E34712">
      <w:pPr>
        <w:pStyle w:val="SingleTxtG"/>
        <w:rPr>
          <w:szCs w:val="24"/>
          <w:lang w:val="fr-FR"/>
        </w:rPr>
      </w:pPr>
      <w:r w:rsidRPr="0067315C">
        <w:rPr>
          <w:szCs w:val="24"/>
          <w:lang w:val="fr-FR"/>
        </w:rPr>
        <w:t>On notera que les domaines d</w:t>
      </w:r>
      <w:r w:rsidR="009C022A" w:rsidRPr="0067315C">
        <w:rPr>
          <w:szCs w:val="24"/>
          <w:lang w:val="fr-FR"/>
        </w:rPr>
        <w:t>’</w:t>
      </w:r>
      <w:r w:rsidRPr="0067315C">
        <w:rPr>
          <w:szCs w:val="24"/>
          <w:lang w:val="fr-FR"/>
        </w:rPr>
        <w:t>action prioritaires de la Stratégie s</w:t>
      </w:r>
      <w:r w:rsidR="009C022A" w:rsidRPr="0067315C">
        <w:rPr>
          <w:szCs w:val="24"/>
          <w:lang w:val="fr-FR"/>
        </w:rPr>
        <w:t>’</w:t>
      </w:r>
      <w:r w:rsidRPr="0067315C">
        <w:rPr>
          <w:szCs w:val="24"/>
          <w:lang w:val="fr-FR"/>
        </w:rPr>
        <w:t>accordent avec ceux du Programme d</w:t>
      </w:r>
      <w:r w:rsidR="009C022A" w:rsidRPr="0067315C">
        <w:rPr>
          <w:szCs w:val="24"/>
          <w:lang w:val="fr-FR"/>
        </w:rPr>
        <w:t>’</w:t>
      </w:r>
      <w:r w:rsidRPr="0067315C">
        <w:rPr>
          <w:szCs w:val="24"/>
          <w:lang w:val="fr-FR"/>
        </w:rPr>
        <w:t>action mondial.</w:t>
      </w:r>
    </w:p>
    <w:p w:rsidR="00453B9A" w:rsidRPr="0067315C" w:rsidRDefault="00453B9A" w:rsidP="00E34712">
      <w:pPr>
        <w:pStyle w:val="SingleTxtG"/>
        <w:numPr>
          <w:ilvl w:val="0"/>
          <w:numId w:val="33"/>
        </w:numPr>
        <w:ind w:left="1134" w:firstLine="0"/>
        <w:rPr>
          <w:szCs w:val="24"/>
          <w:lang w:val="fr-FR"/>
        </w:rPr>
      </w:pPr>
      <w:r w:rsidRPr="0067315C">
        <w:rPr>
          <w:szCs w:val="24"/>
          <w:lang w:val="fr-FR"/>
        </w:rPr>
        <w:t>Afin de soutenir l</w:t>
      </w:r>
      <w:r w:rsidR="009C022A" w:rsidRPr="0067315C">
        <w:rPr>
          <w:szCs w:val="24"/>
          <w:lang w:val="fr-FR"/>
        </w:rPr>
        <w:t>’</w:t>
      </w:r>
      <w:r w:rsidRPr="0067315C">
        <w:rPr>
          <w:szCs w:val="24"/>
          <w:lang w:val="fr-FR"/>
        </w:rPr>
        <w:t>action menée dans les six domaines prioritaires, les avantages d</w:t>
      </w:r>
      <w:r w:rsidR="009C022A" w:rsidRPr="0067315C">
        <w:rPr>
          <w:szCs w:val="24"/>
          <w:lang w:val="fr-FR"/>
        </w:rPr>
        <w:t>’</w:t>
      </w:r>
      <w:r w:rsidRPr="0067315C">
        <w:rPr>
          <w:szCs w:val="24"/>
          <w:lang w:val="fr-FR"/>
        </w:rPr>
        <w:t>une collaboration éventuelle de la CEE avec certains réseaux pourraient être examinés de plus près.</w:t>
      </w:r>
    </w:p>
    <w:p w:rsidR="00453B9A" w:rsidRPr="00D86941" w:rsidRDefault="00E34712" w:rsidP="00E34712">
      <w:pPr>
        <w:pStyle w:val="HChG"/>
        <w:rPr>
          <w:lang w:val="fr-FR"/>
        </w:rPr>
      </w:pPr>
      <w:r w:rsidRPr="00D86941">
        <w:rPr>
          <w:lang w:val="fr-FR"/>
        </w:rPr>
        <w:tab/>
      </w:r>
      <w:r w:rsidR="00453B9A" w:rsidRPr="00D86941">
        <w:rPr>
          <w:lang w:val="fr-FR"/>
        </w:rPr>
        <w:t>V.</w:t>
      </w:r>
      <w:r w:rsidR="00453B9A" w:rsidRPr="00D86941">
        <w:rPr>
          <w:lang w:val="fr-FR"/>
        </w:rPr>
        <w:tab/>
        <w:t>Calendrier et suivi</w:t>
      </w:r>
    </w:p>
    <w:p w:rsidR="00453B9A" w:rsidRPr="0067315C" w:rsidRDefault="00453B9A" w:rsidP="00E34712">
      <w:pPr>
        <w:pStyle w:val="SingleTxtG"/>
        <w:numPr>
          <w:ilvl w:val="0"/>
          <w:numId w:val="33"/>
        </w:numPr>
        <w:ind w:left="1134" w:firstLine="0"/>
        <w:rPr>
          <w:szCs w:val="24"/>
          <w:lang w:val="fr-FR"/>
        </w:rPr>
      </w:pPr>
      <w:r w:rsidRPr="0067315C">
        <w:rPr>
          <w:szCs w:val="24"/>
          <w:lang w:val="fr-FR"/>
        </w:rPr>
        <w:t>Les représentants des Ministères de l</w:t>
      </w:r>
      <w:r w:rsidR="009C022A" w:rsidRPr="0067315C">
        <w:rPr>
          <w:szCs w:val="24"/>
          <w:lang w:val="fr-FR"/>
        </w:rPr>
        <w:t>’</w:t>
      </w:r>
      <w:r w:rsidRPr="0067315C">
        <w:rPr>
          <w:szCs w:val="24"/>
          <w:lang w:val="fr-FR"/>
        </w:rPr>
        <w:t>éducation et de l</w:t>
      </w:r>
      <w:r w:rsidR="009C022A" w:rsidRPr="0067315C">
        <w:rPr>
          <w:szCs w:val="24"/>
          <w:lang w:val="fr-FR"/>
        </w:rPr>
        <w:t>’</w:t>
      </w:r>
      <w:r w:rsidRPr="0067315C">
        <w:rPr>
          <w:szCs w:val="24"/>
          <w:lang w:val="fr-FR"/>
        </w:rPr>
        <w:t>environnement présents à la Réunion de haut niveau reconnaissent que la mise en œuvre de la Stratégie pour l</w:t>
      </w:r>
      <w:r w:rsidR="009C022A" w:rsidRPr="0067315C">
        <w:rPr>
          <w:szCs w:val="24"/>
          <w:lang w:val="fr-FR"/>
        </w:rPr>
        <w:t>’</w:t>
      </w:r>
      <w:r w:rsidRPr="0067315C">
        <w:rPr>
          <w:szCs w:val="24"/>
          <w:lang w:val="fr-FR"/>
        </w:rPr>
        <w:t>EDD est un processus long et continu</w:t>
      </w:r>
      <w:r w:rsidR="00E34712" w:rsidRPr="0067315C">
        <w:rPr>
          <w:szCs w:val="24"/>
          <w:lang w:val="fr-FR"/>
        </w:rPr>
        <w:t>.</w:t>
      </w:r>
      <w:r w:rsidRPr="0067315C">
        <w:rPr>
          <w:szCs w:val="24"/>
          <w:lang w:val="fr-FR"/>
        </w:rPr>
        <w:t xml:space="preserve"> La première phase de la prochaine période de mise en</w:t>
      </w:r>
      <w:r w:rsidR="00E34712" w:rsidRPr="0067315C">
        <w:rPr>
          <w:szCs w:val="24"/>
          <w:lang w:val="fr-FR"/>
        </w:rPr>
        <w:t xml:space="preserve"> </w:t>
      </w:r>
      <w:r w:rsidRPr="0067315C">
        <w:rPr>
          <w:szCs w:val="24"/>
          <w:lang w:val="fr-FR"/>
        </w:rPr>
        <w:t>œuvre coïncidera avec la première phase quinquennale du Programme d</w:t>
      </w:r>
      <w:r w:rsidR="009C022A" w:rsidRPr="0067315C">
        <w:rPr>
          <w:szCs w:val="24"/>
          <w:lang w:val="fr-FR"/>
        </w:rPr>
        <w:t>’</w:t>
      </w:r>
      <w:r w:rsidRPr="0067315C">
        <w:rPr>
          <w:szCs w:val="24"/>
          <w:lang w:val="fr-FR"/>
        </w:rPr>
        <w:t>action mondial,</w:t>
      </w:r>
      <w:r w:rsidR="00E34712" w:rsidRPr="0067315C">
        <w:rPr>
          <w:szCs w:val="24"/>
          <w:lang w:val="fr-FR"/>
        </w:rPr>
        <w:t xml:space="preserve"> </w:t>
      </w:r>
      <w:r w:rsidRPr="0067315C">
        <w:rPr>
          <w:szCs w:val="24"/>
          <w:lang w:val="fr-FR"/>
        </w:rPr>
        <w:t>qui prendra fin en 2019. Le Comité directeur devrait étudier la possibilité de faire coïncider la deuxième phase de la Stratégie avec les phases ultérieures du Programme d</w:t>
      </w:r>
      <w:r w:rsidR="009C022A" w:rsidRPr="0067315C">
        <w:rPr>
          <w:szCs w:val="24"/>
          <w:lang w:val="fr-FR"/>
        </w:rPr>
        <w:t>’</w:t>
      </w:r>
      <w:r w:rsidRPr="0067315C">
        <w:rPr>
          <w:szCs w:val="24"/>
          <w:lang w:val="fr-FR"/>
        </w:rPr>
        <w:t>action mondial.</w:t>
      </w:r>
    </w:p>
    <w:p w:rsidR="00453B9A" w:rsidRPr="0067315C" w:rsidRDefault="00453B9A" w:rsidP="00E34712">
      <w:pPr>
        <w:pStyle w:val="SingleTxtG"/>
        <w:numPr>
          <w:ilvl w:val="0"/>
          <w:numId w:val="33"/>
        </w:numPr>
        <w:ind w:left="1134" w:firstLine="0"/>
        <w:rPr>
          <w:szCs w:val="24"/>
          <w:lang w:val="fr-FR"/>
        </w:rPr>
      </w:pPr>
      <w:r w:rsidRPr="0067315C">
        <w:rPr>
          <w:szCs w:val="24"/>
          <w:lang w:val="fr-FR"/>
        </w:rPr>
        <w:t>Les représentants des Ministères de l</w:t>
      </w:r>
      <w:r w:rsidR="009C022A" w:rsidRPr="0067315C">
        <w:rPr>
          <w:szCs w:val="24"/>
          <w:lang w:val="fr-FR"/>
        </w:rPr>
        <w:t>’</w:t>
      </w:r>
      <w:r w:rsidRPr="0067315C">
        <w:rPr>
          <w:szCs w:val="24"/>
          <w:lang w:val="fr-FR"/>
        </w:rPr>
        <w:t>éducation et de l</w:t>
      </w:r>
      <w:r w:rsidR="009C022A" w:rsidRPr="0067315C">
        <w:rPr>
          <w:szCs w:val="24"/>
          <w:lang w:val="fr-FR"/>
        </w:rPr>
        <w:t>’</w:t>
      </w:r>
      <w:r w:rsidRPr="0067315C">
        <w:rPr>
          <w:szCs w:val="24"/>
          <w:lang w:val="fr-FR"/>
        </w:rPr>
        <w:t>environnement présents à la Réunion de haut niveau notent que, depuis l</w:t>
      </w:r>
      <w:r w:rsidR="009C022A" w:rsidRPr="0067315C">
        <w:rPr>
          <w:szCs w:val="24"/>
          <w:lang w:val="fr-FR"/>
        </w:rPr>
        <w:t>’</w:t>
      </w:r>
      <w:r w:rsidRPr="0067315C">
        <w:rPr>
          <w:szCs w:val="24"/>
          <w:lang w:val="fr-FR"/>
        </w:rPr>
        <w:t>adoption de la Stratégie à Vilnius en 2005, les États membres ont mené à bonne fin les trois phases de mise en œuvre</w:t>
      </w:r>
      <w:r w:rsidR="00E34712" w:rsidRPr="0067315C">
        <w:rPr>
          <w:szCs w:val="24"/>
          <w:lang w:val="fr-FR"/>
        </w:rPr>
        <w:t> </w:t>
      </w:r>
      <w:r w:rsidRPr="0067315C">
        <w:rPr>
          <w:szCs w:val="24"/>
          <w:lang w:val="fr-FR"/>
        </w:rPr>
        <w:t>:</w:t>
      </w:r>
    </w:p>
    <w:p w:rsidR="00453B9A" w:rsidRPr="0067315C" w:rsidRDefault="00453B9A" w:rsidP="00E34712">
      <w:pPr>
        <w:pStyle w:val="SingleTxtG"/>
        <w:ind w:firstLine="567"/>
        <w:rPr>
          <w:szCs w:val="24"/>
          <w:lang w:val="fr-FR"/>
        </w:rPr>
      </w:pPr>
      <w:r w:rsidRPr="0067315C">
        <w:rPr>
          <w:szCs w:val="24"/>
          <w:lang w:val="fr-FR"/>
        </w:rPr>
        <w:t>a)</w:t>
      </w:r>
      <w:r w:rsidRPr="0067315C">
        <w:rPr>
          <w:szCs w:val="24"/>
          <w:lang w:val="fr-FR"/>
        </w:rPr>
        <w:tab/>
      </w:r>
      <w:r w:rsidRPr="00371819">
        <w:rPr>
          <w:i/>
          <w:szCs w:val="24"/>
          <w:lang w:val="fr-FR"/>
        </w:rPr>
        <w:t>Phase I (jusqu</w:t>
      </w:r>
      <w:r w:rsidR="009C022A" w:rsidRPr="00371819">
        <w:rPr>
          <w:i/>
          <w:szCs w:val="24"/>
          <w:lang w:val="fr-FR"/>
        </w:rPr>
        <w:t>’</w:t>
      </w:r>
      <w:r w:rsidRPr="00371819">
        <w:rPr>
          <w:i/>
          <w:szCs w:val="24"/>
          <w:lang w:val="fr-FR"/>
        </w:rPr>
        <w:t>en 2007) </w:t>
      </w:r>
      <w:r w:rsidRPr="00371819">
        <w:rPr>
          <w:szCs w:val="24"/>
          <w:lang w:val="fr-FR"/>
        </w:rPr>
        <w:t>:</w:t>
      </w:r>
      <w:r w:rsidRPr="0067315C">
        <w:rPr>
          <w:szCs w:val="24"/>
          <w:lang w:val="fr-FR"/>
        </w:rPr>
        <w:t xml:space="preserve"> Les pays ont évalué le champ d</w:t>
      </w:r>
      <w:r w:rsidR="009C022A" w:rsidRPr="0067315C">
        <w:rPr>
          <w:szCs w:val="24"/>
          <w:lang w:val="fr-FR"/>
        </w:rPr>
        <w:t>’</w:t>
      </w:r>
      <w:r w:rsidRPr="0067315C">
        <w:rPr>
          <w:szCs w:val="24"/>
          <w:lang w:val="fr-FR"/>
        </w:rPr>
        <w:t>action de la Stratégie et défini les domaines d</w:t>
      </w:r>
      <w:r w:rsidR="009C022A" w:rsidRPr="0067315C">
        <w:rPr>
          <w:szCs w:val="24"/>
          <w:lang w:val="fr-FR"/>
        </w:rPr>
        <w:t>’</w:t>
      </w:r>
      <w:r w:rsidRPr="0067315C">
        <w:rPr>
          <w:szCs w:val="24"/>
          <w:lang w:val="fr-FR"/>
        </w:rPr>
        <w:t>action prioritaires pour sa mise en œuvre</w:t>
      </w:r>
      <w:r w:rsidR="00A72AE6" w:rsidRPr="0067315C">
        <w:rPr>
          <w:szCs w:val="24"/>
          <w:lang w:val="fr-FR"/>
        </w:rPr>
        <w:t> </w:t>
      </w:r>
      <w:r w:rsidRPr="0067315C">
        <w:rPr>
          <w:szCs w:val="24"/>
          <w:lang w:val="fr-FR"/>
        </w:rPr>
        <w:t>;</w:t>
      </w:r>
    </w:p>
    <w:p w:rsidR="00453B9A" w:rsidRPr="0067315C" w:rsidRDefault="00453B9A" w:rsidP="00E34712">
      <w:pPr>
        <w:pStyle w:val="SingleTxtG"/>
        <w:ind w:firstLine="567"/>
        <w:rPr>
          <w:szCs w:val="24"/>
          <w:lang w:val="fr-FR"/>
        </w:rPr>
      </w:pPr>
      <w:r w:rsidRPr="0067315C">
        <w:rPr>
          <w:szCs w:val="24"/>
          <w:lang w:val="fr-FR"/>
        </w:rPr>
        <w:t>b)</w:t>
      </w:r>
      <w:r w:rsidRPr="0067315C">
        <w:rPr>
          <w:szCs w:val="24"/>
          <w:lang w:val="fr-FR"/>
        </w:rPr>
        <w:tab/>
      </w:r>
      <w:r w:rsidRPr="00371819">
        <w:rPr>
          <w:i/>
          <w:szCs w:val="24"/>
          <w:lang w:val="fr-FR"/>
        </w:rPr>
        <w:t>Phase II (jusqu</w:t>
      </w:r>
      <w:r w:rsidR="009C022A" w:rsidRPr="00371819">
        <w:rPr>
          <w:i/>
          <w:szCs w:val="24"/>
          <w:lang w:val="fr-FR"/>
        </w:rPr>
        <w:t>’</w:t>
      </w:r>
      <w:r w:rsidRPr="00371819">
        <w:rPr>
          <w:i/>
          <w:szCs w:val="24"/>
          <w:lang w:val="fr-FR"/>
        </w:rPr>
        <w:t>en 2010)</w:t>
      </w:r>
      <w:r w:rsidRPr="0067315C">
        <w:rPr>
          <w:szCs w:val="24"/>
          <w:lang w:val="fr-FR"/>
        </w:rPr>
        <w:t> : La mise en œuvre de la Stratégie a avancé. Les pays ont passé en revue les progrès accomplis dans l</w:t>
      </w:r>
      <w:r w:rsidR="009C022A" w:rsidRPr="0067315C">
        <w:rPr>
          <w:szCs w:val="24"/>
          <w:lang w:val="fr-FR"/>
        </w:rPr>
        <w:t>’</w:t>
      </w:r>
      <w:r w:rsidRPr="0067315C">
        <w:rPr>
          <w:szCs w:val="24"/>
          <w:lang w:val="fr-FR"/>
        </w:rPr>
        <w:t>application de leurs stratégies nationales d</w:t>
      </w:r>
      <w:r w:rsidR="009C022A" w:rsidRPr="0067315C">
        <w:rPr>
          <w:szCs w:val="24"/>
          <w:lang w:val="fr-FR"/>
        </w:rPr>
        <w:t>’</w:t>
      </w:r>
      <w:r w:rsidRPr="0067315C">
        <w:rPr>
          <w:szCs w:val="24"/>
          <w:lang w:val="fr-FR"/>
        </w:rPr>
        <w:t>enseignement formel, non formel et informel</w:t>
      </w:r>
      <w:r w:rsidR="00A72AE6" w:rsidRPr="0067315C">
        <w:rPr>
          <w:szCs w:val="24"/>
          <w:lang w:val="fr-FR"/>
        </w:rPr>
        <w:t xml:space="preserve"> e</w:t>
      </w:r>
      <w:r w:rsidRPr="0067315C">
        <w:rPr>
          <w:szCs w:val="24"/>
          <w:lang w:val="fr-FR"/>
        </w:rPr>
        <w:t>t dans</w:t>
      </w:r>
      <w:r w:rsidR="00A72AE6" w:rsidRPr="0067315C">
        <w:rPr>
          <w:szCs w:val="24"/>
          <w:lang w:val="fr-FR"/>
        </w:rPr>
        <w:t xml:space="preserve"> l</w:t>
      </w:r>
      <w:r w:rsidR="009C022A" w:rsidRPr="0067315C">
        <w:rPr>
          <w:szCs w:val="24"/>
          <w:lang w:val="fr-FR"/>
        </w:rPr>
        <w:t>’</w:t>
      </w:r>
      <w:r w:rsidR="00A72AE6" w:rsidRPr="0067315C">
        <w:rPr>
          <w:szCs w:val="24"/>
          <w:lang w:val="fr-FR"/>
        </w:rPr>
        <w:t>application de la Stratégie ;</w:t>
      </w:r>
    </w:p>
    <w:p w:rsidR="00453B9A" w:rsidRPr="0067315C" w:rsidRDefault="00453B9A" w:rsidP="00E34712">
      <w:pPr>
        <w:pStyle w:val="SingleTxtG"/>
        <w:ind w:firstLine="567"/>
        <w:rPr>
          <w:szCs w:val="24"/>
          <w:lang w:val="fr-FR"/>
        </w:rPr>
      </w:pPr>
      <w:r w:rsidRPr="0067315C">
        <w:rPr>
          <w:szCs w:val="24"/>
          <w:lang w:val="fr-FR"/>
        </w:rPr>
        <w:t>c)</w:t>
      </w:r>
      <w:r w:rsidRPr="0067315C">
        <w:rPr>
          <w:szCs w:val="24"/>
          <w:lang w:val="fr-FR"/>
        </w:rPr>
        <w:tab/>
      </w:r>
      <w:r w:rsidRPr="00371819">
        <w:rPr>
          <w:i/>
          <w:szCs w:val="24"/>
          <w:lang w:val="fr-FR"/>
        </w:rPr>
        <w:t>Phase III (jusqu</w:t>
      </w:r>
      <w:r w:rsidR="009C022A" w:rsidRPr="00371819">
        <w:rPr>
          <w:i/>
          <w:szCs w:val="24"/>
          <w:lang w:val="fr-FR"/>
        </w:rPr>
        <w:t>’</w:t>
      </w:r>
      <w:r w:rsidRPr="00371819">
        <w:rPr>
          <w:i/>
          <w:szCs w:val="24"/>
          <w:lang w:val="fr-FR"/>
        </w:rPr>
        <w:t>en 2015)</w:t>
      </w:r>
      <w:r w:rsidRPr="0067315C">
        <w:rPr>
          <w:szCs w:val="24"/>
          <w:lang w:val="fr-FR"/>
        </w:rPr>
        <w:t> : Les pays ont fait des progrès considérables, mettant surtout l</w:t>
      </w:r>
      <w:r w:rsidR="009C022A" w:rsidRPr="0067315C">
        <w:rPr>
          <w:szCs w:val="24"/>
          <w:lang w:val="fr-FR"/>
        </w:rPr>
        <w:t>’</w:t>
      </w:r>
      <w:r w:rsidRPr="0067315C">
        <w:rPr>
          <w:szCs w:val="24"/>
          <w:lang w:val="fr-FR"/>
        </w:rPr>
        <w:t>accent sur les mesures pratiques de mise en œuvre de l</w:t>
      </w:r>
      <w:r w:rsidR="009C022A" w:rsidRPr="0067315C">
        <w:rPr>
          <w:szCs w:val="24"/>
          <w:lang w:val="fr-FR"/>
        </w:rPr>
        <w:t>’</w:t>
      </w:r>
      <w:r w:rsidRPr="0067315C">
        <w:rPr>
          <w:szCs w:val="24"/>
          <w:lang w:val="fr-FR"/>
        </w:rPr>
        <w:t>EDD.</w:t>
      </w:r>
    </w:p>
    <w:p w:rsidR="00453B9A" w:rsidRPr="0067315C" w:rsidRDefault="00453B9A" w:rsidP="00371819">
      <w:pPr>
        <w:pStyle w:val="SingleTxtG"/>
        <w:keepLines/>
        <w:numPr>
          <w:ilvl w:val="0"/>
          <w:numId w:val="33"/>
        </w:numPr>
        <w:ind w:left="1134" w:firstLine="0"/>
        <w:rPr>
          <w:szCs w:val="24"/>
          <w:lang w:val="fr-FR"/>
        </w:rPr>
      </w:pPr>
      <w:r w:rsidRPr="0067315C">
        <w:rPr>
          <w:szCs w:val="24"/>
          <w:lang w:val="fr-FR"/>
        </w:rPr>
        <w:t>Il est essentiel de mettre en place des moyens de suivi et d</w:t>
      </w:r>
      <w:r w:rsidR="009C022A" w:rsidRPr="0067315C">
        <w:rPr>
          <w:szCs w:val="24"/>
          <w:lang w:val="fr-FR"/>
        </w:rPr>
        <w:t>’</w:t>
      </w:r>
      <w:r w:rsidRPr="0067315C">
        <w:rPr>
          <w:szCs w:val="24"/>
          <w:lang w:val="fr-FR"/>
        </w:rPr>
        <w:t>évaluation quantitative et qualitative de l</w:t>
      </w:r>
      <w:r w:rsidR="009C022A" w:rsidRPr="0067315C">
        <w:rPr>
          <w:szCs w:val="24"/>
          <w:lang w:val="fr-FR"/>
        </w:rPr>
        <w:t>’</w:t>
      </w:r>
      <w:r w:rsidRPr="0067315C">
        <w:rPr>
          <w:szCs w:val="24"/>
          <w:lang w:val="fr-FR"/>
        </w:rPr>
        <w:t>EDD sur le long terme. C</w:t>
      </w:r>
      <w:r w:rsidR="009C022A" w:rsidRPr="0067315C">
        <w:rPr>
          <w:szCs w:val="24"/>
          <w:lang w:val="fr-FR"/>
        </w:rPr>
        <w:t>’</w:t>
      </w:r>
      <w:r w:rsidRPr="0067315C">
        <w:rPr>
          <w:szCs w:val="24"/>
          <w:lang w:val="fr-FR"/>
        </w:rPr>
        <w:t xml:space="preserve">est pourquoi des rapports nationaux sur les progrès réalisés devraient être établis au terme de la prochaine phase de mise en œuvre. </w:t>
      </w:r>
      <w:r w:rsidRPr="0067315C">
        <w:rPr>
          <w:szCs w:val="24"/>
          <w:lang w:val="fr-FR"/>
        </w:rPr>
        <w:lastRenderedPageBreak/>
        <w:t>Dans toute la mesure possible, le Comité directeur pour l</w:t>
      </w:r>
      <w:r w:rsidR="009C022A" w:rsidRPr="0067315C">
        <w:rPr>
          <w:szCs w:val="24"/>
          <w:lang w:val="fr-FR"/>
        </w:rPr>
        <w:t>’</w:t>
      </w:r>
      <w:r w:rsidRPr="0067315C">
        <w:rPr>
          <w:szCs w:val="24"/>
          <w:lang w:val="fr-FR"/>
        </w:rPr>
        <w:t>EDD alignera les futures activités de suivi et d</w:t>
      </w:r>
      <w:r w:rsidR="009C022A" w:rsidRPr="0067315C">
        <w:rPr>
          <w:szCs w:val="24"/>
          <w:lang w:val="fr-FR"/>
        </w:rPr>
        <w:t>’</w:t>
      </w:r>
      <w:r w:rsidRPr="0067315C">
        <w:rPr>
          <w:szCs w:val="24"/>
          <w:lang w:val="fr-FR"/>
        </w:rPr>
        <w:t>évaluation sur le plan d</w:t>
      </w:r>
      <w:r w:rsidR="009C022A" w:rsidRPr="0067315C">
        <w:rPr>
          <w:szCs w:val="24"/>
          <w:lang w:val="fr-FR"/>
        </w:rPr>
        <w:t>’</w:t>
      </w:r>
      <w:r w:rsidRPr="0067315C">
        <w:rPr>
          <w:szCs w:val="24"/>
          <w:lang w:val="fr-FR"/>
        </w:rPr>
        <w:t>établissement et de présentation des rapports du Programme d</w:t>
      </w:r>
      <w:r w:rsidR="009C022A" w:rsidRPr="0067315C">
        <w:rPr>
          <w:szCs w:val="24"/>
          <w:lang w:val="fr-FR"/>
        </w:rPr>
        <w:t>’</w:t>
      </w:r>
      <w:r w:rsidRPr="0067315C">
        <w:rPr>
          <w:szCs w:val="24"/>
          <w:lang w:val="fr-FR"/>
        </w:rPr>
        <w:t>action mondial, tout en veillant à ce que les résultats obtenus soient comparables avec ceux présentés à la CEE dans les précédents rappo</w:t>
      </w:r>
      <w:r w:rsidR="00A72AE6" w:rsidRPr="0067315C">
        <w:rPr>
          <w:szCs w:val="24"/>
          <w:lang w:val="fr-FR"/>
        </w:rPr>
        <w:t>rts nationaux de mise en œuvre.</w:t>
      </w:r>
    </w:p>
    <w:p w:rsidR="00453B9A" w:rsidRPr="00D86941" w:rsidRDefault="00A72AE6" w:rsidP="008C4845">
      <w:pPr>
        <w:pStyle w:val="HChG"/>
        <w:rPr>
          <w:lang w:val="fr-FR"/>
        </w:rPr>
      </w:pPr>
      <w:r w:rsidRPr="00D86941">
        <w:rPr>
          <w:lang w:val="fr-FR"/>
        </w:rPr>
        <w:tab/>
      </w:r>
      <w:r w:rsidR="00453B9A" w:rsidRPr="00D86941">
        <w:rPr>
          <w:lang w:val="fr-FR"/>
        </w:rPr>
        <w:t>VI.</w:t>
      </w:r>
      <w:r w:rsidR="00453B9A" w:rsidRPr="00D86941">
        <w:rPr>
          <w:lang w:val="fr-FR"/>
        </w:rPr>
        <w:tab/>
      </w:r>
      <w:r w:rsidR="00453B9A" w:rsidRPr="008C4845">
        <w:t>Dispositions</w:t>
      </w:r>
      <w:r w:rsidR="00453B9A" w:rsidRPr="00D86941">
        <w:rPr>
          <w:lang w:val="fr-FR"/>
        </w:rPr>
        <w:t xml:space="preserve"> financières</w:t>
      </w:r>
    </w:p>
    <w:p w:rsidR="00453B9A" w:rsidRPr="0067315C" w:rsidRDefault="00453B9A" w:rsidP="00A72AE6">
      <w:pPr>
        <w:pStyle w:val="SingleTxtG"/>
        <w:numPr>
          <w:ilvl w:val="0"/>
          <w:numId w:val="33"/>
        </w:numPr>
        <w:ind w:left="1134" w:firstLine="0"/>
        <w:rPr>
          <w:szCs w:val="24"/>
          <w:lang w:val="fr-FR"/>
        </w:rPr>
      </w:pPr>
      <w:r w:rsidRPr="0067315C">
        <w:rPr>
          <w:szCs w:val="24"/>
          <w:lang w:val="fr-FR"/>
        </w:rPr>
        <w:t xml:space="preserve">La bonne </w:t>
      </w:r>
      <w:proofErr w:type="spellStart"/>
      <w:r w:rsidRPr="0067315C">
        <w:rPr>
          <w:szCs w:val="24"/>
          <w:lang w:val="fr-FR"/>
        </w:rPr>
        <w:t>applicat</w:t>
      </w:r>
      <w:proofErr w:type="spellEnd"/>
      <w:r w:rsidRPr="0067315C">
        <w:rPr>
          <w:szCs w:val="24"/>
          <w:lang w:val="fr-FR"/>
        </w:rPr>
        <w:t>ion de la Stratégie pour l</w:t>
      </w:r>
      <w:r w:rsidR="009C022A" w:rsidRPr="0067315C">
        <w:rPr>
          <w:szCs w:val="24"/>
          <w:lang w:val="fr-FR"/>
        </w:rPr>
        <w:t>’</w:t>
      </w:r>
      <w:r w:rsidRPr="0067315C">
        <w:rPr>
          <w:szCs w:val="24"/>
          <w:lang w:val="fr-FR"/>
        </w:rPr>
        <w:t>EDD dépend, entre autres choses, de la disponibilité de ressources financières et humaines suffisantes. Des sources de financement stables et prévisibles sont nécessaires, et les dispositions prévues à cet effet doivent reposer sur le principe d</w:t>
      </w:r>
      <w:r w:rsidR="009C022A" w:rsidRPr="0067315C">
        <w:rPr>
          <w:szCs w:val="24"/>
          <w:lang w:val="fr-FR"/>
        </w:rPr>
        <w:t>’</w:t>
      </w:r>
      <w:r w:rsidRPr="0067315C">
        <w:rPr>
          <w:szCs w:val="24"/>
          <w:lang w:val="fr-FR"/>
        </w:rPr>
        <w:t>un partage équitable des charges.</w:t>
      </w:r>
    </w:p>
    <w:p w:rsidR="00453B9A" w:rsidRPr="00D86941" w:rsidRDefault="00453B9A" w:rsidP="00453B9A">
      <w:pPr>
        <w:numPr>
          <w:ilvl w:val="0"/>
          <w:numId w:val="1"/>
        </w:numPr>
        <w:tabs>
          <w:tab w:val="clear" w:pos="1701"/>
          <w:tab w:val="left" w:pos="1134"/>
          <w:tab w:val="right" w:pos="1685"/>
          <w:tab w:val="left" w:pos="1742"/>
          <w:tab w:val="left" w:pos="2218"/>
          <w:tab w:val="left" w:pos="2693"/>
          <w:tab w:val="left" w:pos="3182"/>
          <w:tab w:val="left" w:pos="3658"/>
          <w:tab w:val="left" w:pos="4133"/>
          <w:tab w:val="left" w:pos="4622"/>
          <w:tab w:val="left" w:pos="5098"/>
          <w:tab w:val="left" w:pos="5573"/>
          <w:tab w:val="left" w:pos="6048"/>
        </w:tabs>
        <w:suppressAutoHyphens w:val="0"/>
        <w:spacing w:after="240" w:line="240" w:lineRule="auto"/>
        <w:ind w:right="1264"/>
        <w:jc w:val="both"/>
        <w:rPr>
          <w:rFonts w:ascii="Times New Roman Gras" w:hAnsi="Times New Roman Gras"/>
          <w:szCs w:val="24"/>
        </w:rPr>
      </w:pPr>
      <w:r w:rsidRPr="00D86941">
        <w:rPr>
          <w:rFonts w:ascii="Times New Roman Gras" w:hAnsi="Times New Roman Gras"/>
          <w:szCs w:val="24"/>
        </w:rPr>
        <w:br w:type="page"/>
      </w:r>
    </w:p>
    <w:p w:rsidR="002438E0" w:rsidRPr="00D86941" w:rsidRDefault="00453B9A" w:rsidP="002438E0">
      <w:pPr>
        <w:pStyle w:val="HChG"/>
      </w:pPr>
      <w:r w:rsidRPr="00D86941">
        <w:lastRenderedPageBreak/>
        <w:t>Annexe II</w:t>
      </w:r>
    </w:p>
    <w:p w:rsidR="00453B9A" w:rsidRPr="00D86941" w:rsidRDefault="002438E0" w:rsidP="002438E0">
      <w:pPr>
        <w:pStyle w:val="HChG"/>
        <w:rPr>
          <w:rFonts w:ascii="Times New Roman Gras" w:hAnsi="Times New Roman Gras"/>
          <w:lang w:val="fr-FR"/>
        </w:rPr>
      </w:pPr>
      <w:r w:rsidRPr="00D86941">
        <w:rPr>
          <w:lang w:val="fr-FR"/>
        </w:rPr>
        <w:tab/>
      </w:r>
      <w:r w:rsidRPr="00D86941">
        <w:rPr>
          <w:lang w:val="fr-FR"/>
        </w:rPr>
        <w:tab/>
      </w:r>
      <w:r w:rsidR="00453B9A" w:rsidRPr="00D86941">
        <w:rPr>
          <w:lang w:val="fr-FR"/>
        </w:rPr>
        <w:t>Projet de mandat du Comité directeur pour l</w:t>
      </w:r>
      <w:r w:rsidR="009C022A" w:rsidRPr="00D86941">
        <w:rPr>
          <w:lang w:val="fr-FR"/>
        </w:rPr>
        <w:t>’</w:t>
      </w:r>
      <w:r w:rsidR="00453B9A" w:rsidRPr="00D86941">
        <w:rPr>
          <w:lang w:val="fr-FR"/>
        </w:rPr>
        <w:t xml:space="preserve">éducation </w:t>
      </w:r>
      <w:r w:rsidR="00453B9A" w:rsidRPr="00D86941">
        <w:rPr>
          <w:lang w:val="fr-FR"/>
        </w:rPr>
        <w:br/>
        <w:t xml:space="preserve">au </w:t>
      </w:r>
      <w:r w:rsidRPr="00D86941">
        <w:rPr>
          <w:lang w:val="fr-FR"/>
        </w:rPr>
        <w:t>développement durable pour 2016-</w:t>
      </w:r>
      <w:r w:rsidR="00453B9A" w:rsidRPr="00D86941">
        <w:rPr>
          <w:rFonts w:ascii="Times New Roman Gras" w:hAnsi="Times New Roman Gras"/>
          <w:lang w:val="fr-FR"/>
        </w:rPr>
        <w:t>2030</w:t>
      </w:r>
    </w:p>
    <w:p w:rsidR="00453B9A" w:rsidRPr="00D86941" w:rsidRDefault="00453B9A" w:rsidP="002438E0">
      <w:pPr>
        <w:pStyle w:val="HChG"/>
        <w:rPr>
          <w:lang w:val="fr-FR"/>
        </w:rPr>
      </w:pPr>
      <w:r w:rsidRPr="00D86941">
        <w:rPr>
          <w:lang w:val="fr-FR"/>
        </w:rPr>
        <w:tab/>
        <w:t>I.</w:t>
      </w:r>
      <w:r w:rsidRPr="00D86941">
        <w:rPr>
          <w:lang w:val="fr-FR"/>
        </w:rPr>
        <w:tab/>
        <w:t>Mandat</w:t>
      </w:r>
    </w:p>
    <w:p w:rsidR="00453B9A" w:rsidRPr="00D86941" w:rsidRDefault="00453B9A" w:rsidP="00280CAB">
      <w:pPr>
        <w:pStyle w:val="SingleTxtG"/>
        <w:numPr>
          <w:ilvl w:val="0"/>
          <w:numId w:val="35"/>
        </w:numPr>
        <w:ind w:left="1134" w:firstLine="0"/>
      </w:pPr>
      <w:r w:rsidRPr="00D86941">
        <w:t>Les représentants des Ministères de l</w:t>
      </w:r>
      <w:r w:rsidR="009C022A" w:rsidRPr="00D86941">
        <w:t>’</w:t>
      </w:r>
      <w:r w:rsidRPr="00D86941">
        <w:t>éducation et de l</w:t>
      </w:r>
      <w:r w:rsidR="009C022A" w:rsidRPr="00D86941">
        <w:t>’</w:t>
      </w:r>
      <w:r w:rsidRPr="00D86941">
        <w:t>environnement de la CEE présents à la Réunion de haut niveau de Batumi (Géorgie) chargent le Comité directeur pour l</w:t>
      </w:r>
      <w:r w:rsidR="009C022A" w:rsidRPr="00D86941">
        <w:t>’</w:t>
      </w:r>
      <w:r w:rsidRPr="00D86941">
        <w:t>éducation au développement durable (EDD) de continuer de décider de la mise en œuvre de la Stratégie de la CEE pour l</w:t>
      </w:r>
      <w:r w:rsidR="009C022A" w:rsidRPr="00D86941">
        <w:t>’</w:t>
      </w:r>
      <w:r w:rsidRPr="00D86941">
        <w:t>E</w:t>
      </w:r>
      <w:r w:rsidR="002438E0" w:rsidRPr="00D86941">
        <w:t>DD et d</w:t>
      </w:r>
      <w:r w:rsidR="009C022A" w:rsidRPr="00D86941">
        <w:t>’</w:t>
      </w:r>
      <w:r w:rsidR="002438E0" w:rsidRPr="00D86941">
        <w:t>en évaluer les progrès.</w:t>
      </w:r>
    </w:p>
    <w:p w:rsidR="00453B9A" w:rsidRPr="00D86941" w:rsidRDefault="00453B9A" w:rsidP="00280CAB">
      <w:pPr>
        <w:pStyle w:val="SingleTxtG"/>
        <w:numPr>
          <w:ilvl w:val="0"/>
          <w:numId w:val="35"/>
        </w:numPr>
        <w:ind w:left="1134" w:firstLine="0"/>
        <w:rPr>
          <w:lang w:val="fr-FR"/>
        </w:rPr>
      </w:pPr>
      <w:r w:rsidRPr="00D86941">
        <w:rPr>
          <w:lang w:val="fr-FR"/>
        </w:rPr>
        <w:t>La CEE assure le secrétariat du Comité directeur conformément à ses règles et ses pratiques, sous réserve qu</w:t>
      </w:r>
      <w:r w:rsidR="009C022A" w:rsidRPr="00D86941">
        <w:rPr>
          <w:lang w:val="fr-FR"/>
        </w:rPr>
        <w:t>’</w:t>
      </w:r>
      <w:r w:rsidRPr="00D86941">
        <w:rPr>
          <w:lang w:val="fr-FR"/>
        </w:rPr>
        <w:t>un financement suffisant soi</w:t>
      </w:r>
      <w:r w:rsidR="002438E0" w:rsidRPr="00D86941">
        <w:rPr>
          <w:lang w:val="fr-FR"/>
        </w:rPr>
        <w:t>t assuré par les États membres.</w:t>
      </w:r>
    </w:p>
    <w:p w:rsidR="00453B9A" w:rsidRPr="00D86941" w:rsidRDefault="00453B9A" w:rsidP="002438E0">
      <w:pPr>
        <w:pStyle w:val="HChG"/>
        <w:rPr>
          <w:lang w:val="fr-FR"/>
        </w:rPr>
      </w:pPr>
      <w:r w:rsidRPr="00D86941">
        <w:rPr>
          <w:lang w:val="fr-FR"/>
        </w:rPr>
        <w:tab/>
        <w:t>II.</w:t>
      </w:r>
      <w:r w:rsidRPr="00D86941">
        <w:rPr>
          <w:lang w:val="fr-FR"/>
        </w:rPr>
        <w:tab/>
        <w:t>Composition</w:t>
      </w:r>
    </w:p>
    <w:p w:rsidR="00453B9A" w:rsidRPr="00D86941" w:rsidRDefault="00453B9A" w:rsidP="00280CAB">
      <w:pPr>
        <w:pStyle w:val="SingleTxtG"/>
        <w:numPr>
          <w:ilvl w:val="0"/>
          <w:numId w:val="35"/>
        </w:numPr>
        <w:ind w:left="1134" w:firstLine="0"/>
        <w:rPr>
          <w:lang w:val="fr-FR"/>
        </w:rPr>
      </w:pPr>
      <w:r w:rsidRPr="00D86941">
        <w:rPr>
          <w:lang w:val="fr-FR"/>
        </w:rPr>
        <w:t>Les membres du Comité directeur sont désignés par les gouvernements des États membres de la CEE. Le Comité comporte au minimum des représentants des secteurs de l</w:t>
      </w:r>
      <w:r w:rsidR="009C022A" w:rsidRPr="00D86941">
        <w:rPr>
          <w:lang w:val="fr-FR"/>
        </w:rPr>
        <w:t>’</w:t>
      </w:r>
      <w:r w:rsidRPr="00D86941">
        <w:rPr>
          <w:lang w:val="fr-FR"/>
        </w:rPr>
        <w:t>environnement et de l</w:t>
      </w:r>
      <w:r w:rsidR="009C022A" w:rsidRPr="00D86941">
        <w:rPr>
          <w:lang w:val="fr-FR"/>
        </w:rPr>
        <w:t>’</w:t>
      </w:r>
      <w:r w:rsidRPr="00D86941">
        <w:rPr>
          <w:lang w:val="fr-FR"/>
        </w:rPr>
        <w:t xml:space="preserve">éducation et est à composition non limitée. </w:t>
      </w:r>
      <w:r w:rsidRPr="00D86941">
        <w:t>Les pays sont en outre invités à y associer des représentants d</w:t>
      </w:r>
      <w:r w:rsidR="009C022A" w:rsidRPr="00D86941">
        <w:t>’</w:t>
      </w:r>
      <w:r w:rsidRPr="00D86941">
        <w:t>autres ministères ainsi que des commissions nationales de l</w:t>
      </w:r>
      <w:r w:rsidR="009C022A" w:rsidRPr="00D86941">
        <w:t>’</w:t>
      </w:r>
      <w:r w:rsidRPr="00D86941">
        <w:t>Organisation des Nations Unies pour l</w:t>
      </w:r>
      <w:r w:rsidR="009C022A" w:rsidRPr="00D86941">
        <w:t>’</w:t>
      </w:r>
      <w:r w:rsidRPr="00D86941">
        <w:t xml:space="preserve">éducation, la science et la culture (UNESCO). </w:t>
      </w:r>
      <w:r w:rsidRPr="00D86941">
        <w:rPr>
          <w:lang w:val="fr-FR"/>
        </w:rPr>
        <w:t>Les membres sont chargés de défendre la position générale de leur pays dans le cadre des activités du Comité directeur. Les coordonnateurs régionaux confirmés dans leurs fonctions ou nouvellement nommés doivent être portés à la connaissance du secrétariat au plus tard d</w:t>
      </w:r>
      <w:r w:rsidR="009C022A" w:rsidRPr="00D86941">
        <w:rPr>
          <w:lang w:val="fr-FR"/>
        </w:rPr>
        <w:t>’</w:t>
      </w:r>
      <w:r w:rsidRPr="00D86941">
        <w:rPr>
          <w:lang w:val="fr-FR"/>
        </w:rPr>
        <w:t>ici à novembre 2016. Des représentants d</w:t>
      </w:r>
      <w:r w:rsidR="009C022A" w:rsidRPr="00D86941">
        <w:rPr>
          <w:lang w:val="fr-FR"/>
        </w:rPr>
        <w:t>’</w:t>
      </w:r>
      <w:r w:rsidRPr="00D86941">
        <w:rPr>
          <w:lang w:val="fr-FR"/>
        </w:rPr>
        <w:t>organismes des Nations Unies, d</w:t>
      </w:r>
      <w:r w:rsidR="009C022A" w:rsidRPr="00D86941">
        <w:rPr>
          <w:lang w:val="fr-FR"/>
        </w:rPr>
        <w:t>’</w:t>
      </w:r>
      <w:r w:rsidRPr="00D86941">
        <w:rPr>
          <w:lang w:val="fr-FR"/>
        </w:rPr>
        <w:t>organisations internationales et d</w:t>
      </w:r>
      <w:r w:rsidR="009C022A" w:rsidRPr="00D86941">
        <w:rPr>
          <w:lang w:val="fr-FR"/>
        </w:rPr>
        <w:t>’</w:t>
      </w:r>
      <w:r w:rsidRPr="00D86941">
        <w:rPr>
          <w:lang w:val="fr-FR"/>
        </w:rPr>
        <w:t xml:space="preserve">organisations non gouvernementales </w:t>
      </w:r>
      <w:r w:rsidR="008C4845">
        <w:rPr>
          <w:lang w:val="fr-FR"/>
        </w:rPr>
        <w:t>s</w:t>
      </w:r>
      <w:r w:rsidRPr="00D86941">
        <w:rPr>
          <w:lang w:val="fr-FR"/>
        </w:rPr>
        <w:t>ont invités en qualité d</w:t>
      </w:r>
      <w:r w:rsidR="009C022A" w:rsidRPr="00D86941">
        <w:rPr>
          <w:lang w:val="fr-FR"/>
        </w:rPr>
        <w:t>’</w:t>
      </w:r>
      <w:r w:rsidRPr="00D86941">
        <w:rPr>
          <w:lang w:val="fr-FR"/>
        </w:rPr>
        <w:t>observateurs, sur décision du Comité directeur. Des représentants de l</w:t>
      </w:r>
      <w:r w:rsidR="009C022A" w:rsidRPr="00D86941">
        <w:rPr>
          <w:lang w:val="fr-FR"/>
        </w:rPr>
        <w:t>’</w:t>
      </w:r>
      <w:r w:rsidRPr="00D86941">
        <w:rPr>
          <w:lang w:val="fr-FR"/>
        </w:rPr>
        <w:t>UNESCO et du Programme des Nations Unies pour l</w:t>
      </w:r>
      <w:r w:rsidR="009C022A" w:rsidRPr="00D86941">
        <w:rPr>
          <w:lang w:val="fr-FR"/>
        </w:rPr>
        <w:t>’</w:t>
      </w:r>
      <w:r w:rsidRPr="00D86941">
        <w:rPr>
          <w:lang w:val="fr-FR"/>
        </w:rPr>
        <w:t xml:space="preserve">environnement (PNUE) </w:t>
      </w:r>
      <w:r w:rsidR="002438E0" w:rsidRPr="00D86941">
        <w:rPr>
          <w:lang w:val="fr-FR"/>
        </w:rPr>
        <w:t>s</w:t>
      </w:r>
      <w:r w:rsidRPr="00D86941">
        <w:rPr>
          <w:lang w:val="fr-FR"/>
        </w:rPr>
        <w:t>ont invités en qua</w:t>
      </w:r>
      <w:r w:rsidR="002438E0" w:rsidRPr="00D86941">
        <w:rPr>
          <w:lang w:val="fr-FR"/>
        </w:rPr>
        <w:t>lité d</w:t>
      </w:r>
      <w:r w:rsidR="009C022A" w:rsidRPr="00D86941">
        <w:rPr>
          <w:lang w:val="fr-FR"/>
        </w:rPr>
        <w:t>’</w:t>
      </w:r>
      <w:r w:rsidR="002438E0" w:rsidRPr="00D86941">
        <w:rPr>
          <w:lang w:val="fr-FR"/>
        </w:rPr>
        <w:t>observateurs permanents.</w:t>
      </w:r>
    </w:p>
    <w:p w:rsidR="00453B9A" w:rsidRPr="00D86941" w:rsidRDefault="00453B9A" w:rsidP="002438E0">
      <w:pPr>
        <w:pStyle w:val="HChG"/>
        <w:rPr>
          <w:lang w:val="fr-FR"/>
        </w:rPr>
      </w:pPr>
      <w:r w:rsidRPr="00D86941">
        <w:rPr>
          <w:lang w:val="fr-FR"/>
        </w:rPr>
        <w:tab/>
        <w:t>III.</w:t>
      </w:r>
      <w:r w:rsidRPr="00D86941">
        <w:rPr>
          <w:lang w:val="fr-FR"/>
        </w:rPr>
        <w:tab/>
        <w:t>Objet</w:t>
      </w:r>
    </w:p>
    <w:p w:rsidR="00453B9A" w:rsidRPr="00D86941" w:rsidRDefault="00453B9A" w:rsidP="00280CAB">
      <w:pPr>
        <w:pStyle w:val="SingleTxtG"/>
        <w:numPr>
          <w:ilvl w:val="0"/>
          <w:numId w:val="35"/>
        </w:numPr>
        <w:ind w:left="1134" w:firstLine="0"/>
      </w:pPr>
      <w:r w:rsidRPr="00D86941">
        <w:rPr>
          <w:lang w:val="fr-FR"/>
        </w:rPr>
        <w:t>Le Comité directeur est le principal organe de prise de décisions concernant les activités menées dans le cadre de la Stratégie pour l</w:t>
      </w:r>
      <w:r w:rsidR="009C022A" w:rsidRPr="00D86941">
        <w:rPr>
          <w:lang w:val="fr-FR"/>
        </w:rPr>
        <w:t>’</w:t>
      </w:r>
      <w:r w:rsidRPr="00D86941">
        <w:rPr>
          <w:lang w:val="fr-FR"/>
        </w:rPr>
        <w:t>EDD dans la région de la CEE. Il oriente la mise en œuvre de la Stratégie et en évalue les progrès. En particulier, le Comité directeur continue</w:t>
      </w:r>
      <w:r w:rsidR="008F09D1" w:rsidRPr="00D86941">
        <w:rPr>
          <w:lang w:val="fr-FR"/>
        </w:rPr>
        <w:t> </w:t>
      </w:r>
      <w:r w:rsidRPr="00D86941">
        <w:rPr>
          <w:lang w:val="fr-FR"/>
        </w:rPr>
        <w:t>:</w:t>
      </w:r>
    </w:p>
    <w:p w:rsidR="00453B9A" w:rsidRPr="00D86941" w:rsidRDefault="00453B9A" w:rsidP="00280CAB">
      <w:pPr>
        <w:pStyle w:val="SingleTxtG"/>
        <w:ind w:firstLine="567"/>
      </w:pPr>
      <w:r w:rsidRPr="00D86941">
        <w:rPr>
          <w:lang w:val="fr-FR"/>
        </w:rPr>
        <w:t>a)</w:t>
      </w:r>
      <w:r w:rsidRPr="00D86941">
        <w:rPr>
          <w:lang w:val="fr-FR"/>
        </w:rPr>
        <w:tab/>
        <w:t>De promouvoir et de coordonner la mise en œuvre de la Stratégie, en accord avec le Programme d</w:t>
      </w:r>
      <w:r w:rsidR="009C022A" w:rsidRPr="00D86941">
        <w:rPr>
          <w:lang w:val="fr-FR"/>
        </w:rPr>
        <w:t>’</w:t>
      </w:r>
      <w:r w:rsidRPr="00D86941">
        <w:rPr>
          <w:lang w:val="fr-FR"/>
        </w:rPr>
        <w:t>action mondial pour l</w:t>
      </w:r>
      <w:r w:rsidR="009C022A" w:rsidRPr="00D86941">
        <w:rPr>
          <w:lang w:val="fr-FR"/>
        </w:rPr>
        <w:t>’</w:t>
      </w:r>
      <w:r w:rsidRPr="00D86941">
        <w:rPr>
          <w:lang w:val="fr-FR"/>
        </w:rPr>
        <w:t>éducation au service du développement durable et en concertation avec l</w:t>
      </w:r>
      <w:r w:rsidR="009C022A" w:rsidRPr="00D86941">
        <w:rPr>
          <w:lang w:val="fr-FR"/>
        </w:rPr>
        <w:t>’</w:t>
      </w:r>
      <w:r w:rsidRPr="00D86941">
        <w:rPr>
          <w:lang w:val="fr-FR"/>
        </w:rPr>
        <w:t>UNESCO, organisme chef de file pour l</w:t>
      </w:r>
      <w:r w:rsidR="009C022A" w:rsidRPr="00D86941">
        <w:rPr>
          <w:lang w:val="fr-FR"/>
        </w:rPr>
        <w:t>’</w:t>
      </w:r>
      <w:r w:rsidRPr="00D86941">
        <w:rPr>
          <w:lang w:val="fr-FR"/>
        </w:rPr>
        <w:t>EDD aux termes des résolutions 69/211 et 70/209 de l</w:t>
      </w:r>
      <w:r w:rsidR="009C022A" w:rsidRPr="00D86941">
        <w:rPr>
          <w:lang w:val="fr-FR"/>
        </w:rPr>
        <w:t>’</w:t>
      </w:r>
      <w:r w:rsidRPr="00D86941">
        <w:rPr>
          <w:lang w:val="fr-FR"/>
        </w:rPr>
        <w:t>Assemblée générale, ainsi que d</w:t>
      </w:r>
      <w:r w:rsidR="009C022A" w:rsidRPr="00D86941">
        <w:rPr>
          <w:lang w:val="fr-FR"/>
        </w:rPr>
        <w:t>’</w:t>
      </w:r>
      <w:r w:rsidRPr="00D86941">
        <w:rPr>
          <w:lang w:val="fr-FR"/>
        </w:rPr>
        <w:t>autres activités et processus internationaux pertinents</w:t>
      </w:r>
      <w:r w:rsidR="00280CAB" w:rsidRPr="00D86941">
        <w:rPr>
          <w:lang w:val="fr-FR"/>
        </w:rPr>
        <w:t xml:space="preserve"> </w:t>
      </w:r>
      <w:r w:rsidRPr="00D86941">
        <w:rPr>
          <w:lang w:val="fr-FR"/>
        </w:rPr>
        <w:t>tels que les objectifs de développement durable, en recherchant les synergies et en évitant les doubles emplois</w:t>
      </w:r>
      <w:r w:rsidR="00280CAB" w:rsidRPr="00D86941">
        <w:rPr>
          <w:lang w:val="fr-FR"/>
        </w:rPr>
        <w:t> </w:t>
      </w:r>
      <w:r w:rsidRPr="00D86941">
        <w:rPr>
          <w:lang w:val="fr-FR"/>
        </w:rPr>
        <w:t>;</w:t>
      </w:r>
    </w:p>
    <w:p w:rsidR="00453B9A" w:rsidRPr="00D86941" w:rsidRDefault="00453B9A" w:rsidP="00280CAB">
      <w:pPr>
        <w:pStyle w:val="SingleTxtG"/>
        <w:ind w:firstLine="567"/>
      </w:pPr>
      <w:r w:rsidRPr="00D86941">
        <w:rPr>
          <w:lang w:val="fr-FR"/>
        </w:rPr>
        <w:t>b)</w:t>
      </w:r>
      <w:r w:rsidRPr="00D86941">
        <w:rPr>
          <w:lang w:val="fr-FR"/>
        </w:rPr>
        <w:tab/>
        <w:t>De progresser dans les trois domaines d</w:t>
      </w:r>
      <w:r w:rsidR="009C022A" w:rsidRPr="00D86941">
        <w:rPr>
          <w:lang w:val="fr-FR"/>
        </w:rPr>
        <w:t>’</w:t>
      </w:r>
      <w:r w:rsidRPr="00D86941">
        <w:rPr>
          <w:lang w:val="fr-FR"/>
        </w:rPr>
        <w:t>action prioritaires verticaux, énumérés ci-dessous</w:t>
      </w:r>
      <w:r w:rsidR="00280CAB" w:rsidRPr="00D86941">
        <w:rPr>
          <w:lang w:val="fr-FR"/>
        </w:rPr>
        <w:t> </w:t>
      </w:r>
      <w:r w:rsidRPr="00D86941">
        <w:rPr>
          <w:lang w:val="fr-FR"/>
        </w:rPr>
        <w:t>:</w:t>
      </w:r>
    </w:p>
    <w:p w:rsidR="00453B9A" w:rsidRPr="008C4845" w:rsidRDefault="00453B9A" w:rsidP="00280CAB">
      <w:pPr>
        <w:pStyle w:val="SingleTxtG"/>
        <w:ind w:left="1701"/>
      </w:pPr>
      <w:r w:rsidRPr="00D86941">
        <w:rPr>
          <w:lang w:val="fr-FR"/>
        </w:rPr>
        <w:t>i)</w:t>
      </w:r>
      <w:r w:rsidRPr="00D86941">
        <w:rPr>
          <w:lang w:val="fr-FR"/>
        </w:rPr>
        <w:tab/>
      </w:r>
      <w:r w:rsidRPr="008C4845">
        <w:rPr>
          <w:lang w:val="fr-FR"/>
        </w:rPr>
        <w:t>Encourager les approches institutionnelles globales</w:t>
      </w:r>
      <w:r w:rsidR="00280CAB" w:rsidRPr="008C4845">
        <w:rPr>
          <w:lang w:val="fr-FR"/>
        </w:rPr>
        <w:t xml:space="preserve"> − </w:t>
      </w:r>
      <w:r w:rsidRPr="008C4845">
        <w:rPr>
          <w:lang w:val="fr-FR"/>
        </w:rPr>
        <w:t>de telle sorte que, d</w:t>
      </w:r>
      <w:r w:rsidR="009C022A" w:rsidRPr="008C4845">
        <w:rPr>
          <w:lang w:val="fr-FR"/>
        </w:rPr>
        <w:t>’</w:t>
      </w:r>
      <w:r w:rsidRPr="008C4845">
        <w:rPr>
          <w:lang w:val="fr-FR"/>
        </w:rPr>
        <w:t>ici à 2019, chaque établissement scolaire aura mis en place des programmes d</w:t>
      </w:r>
      <w:r w:rsidR="009C022A" w:rsidRPr="008C4845">
        <w:rPr>
          <w:lang w:val="fr-FR"/>
        </w:rPr>
        <w:t>’</w:t>
      </w:r>
      <w:r w:rsidRPr="008C4845">
        <w:rPr>
          <w:lang w:val="fr-FR"/>
        </w:rPr>
        <w:t>EDD ou aura intégré l</w:t>
      </w:r>
      <w:r w:rsidR="009C022A" w:rsidRPr="008C4845">
        <w:rPr>
          <w:lang w:val="fr-FR"/>
        </w:rPr>
        <w:t>’</w:t>
      </w:r>
      <w:r w:rsidRPr="008C4845">
        <w:rPr>
          <w:lang w:val="fr-FR"/>
        </w:rPr>
        <w:t>EDD dans les programmes existants</w:t>
      </w:r>
      <w:r w:rsidR="00280CAB" w:rsidRPr="008C4845">
        <w:rPr>
          <w:rFonts w:ascii="Times New Roman Gras" w:hAnsi="Times New Roman Gras"/>
          <w:lang w:val="fr-FR"/>
        </w:rPr>
        <w:t> </w:t>
      </w:r>
      <w:r w:rsidRPr="008C4845">
        <w:rPr>
          <w:lang w:val="fr-FR"/>
        </w:rPr>
        <w:t>;</w:t>
      </w:r>
    </w:p>
    <w:p w:rsidR="00453B9A" w:rsidRPr="00D86941" w:rsidRDefault="00453B9A" w:rsidP="00280CAB">
      <w:pPr>
        <w:pStyle w:val="SingleTxtG"/>
        <w:ind w:left="1701"/>
      </w:pPr>
      <w:r w:rsidRPr="00D86941">
        <w:lastRenderedPageBreak/>
        <w:t>ii)</w:t>
      </w:r>
      <w:r w:rsidRPr="00D86941">
        <w:tab/>
        <w:t>Développer l</w:t>
      </w:r>
      <w:r w:rsidR="009C022A" w:rsidRPr="00D86941">
        <w:t>’</w:t>
      </w:r>
      <w:r w:rsidRPr="00D86941">
        <w:t>éducation au développement</w:t>
      </w:r>
      <w:r w:rsidRPr="00D86941">
        <w:rPr>
          <w:sz w:val="24"/>
          <w:szCs w:val="24"/>
          <w:lang w:val="fr-FR"/>
        </w:rPr>
        <w:t xml:space="preserve"> </w:t>
      </w:r>
      <w:r w:rsidRPr="00D86941">
        <w:t>durable dans la formation des enseignants et de tous les éducateurs</w:t>
      </w:r>
      <w:r w:rsidR="00280CAB" w:rsidRPr="00D86941">
        <w:t> </w:t>
      </w:r>
      <w:r w:rsidRPr="00D86941">
        <w:t>;</w:t>
      </w:r>
    </w:p>
    <w:p w:rsidR="00453B9A" w:rsidRPr="00D86941" w:rsidRDefault="00453B9A" w:rsidP="00280CAB">
      <w:pPr>
        <w:pStyle w:val="SingleTxtG"/>
        <w:ind w:left="1701"/>
      </w:pPr>
      <w:r w:rsidRPr="00D86941">
        <w:t>iii)</w:t>
      </w:r>
      <w:r w:rsidRPr="00D86941">
        <w:tab/>
        <w:t>Mettre l</w:t>
      </w:r>
      <w:r w:rsidR="009C022A" w:rsidRPr="00D86941">
        <w:t>’</w:t>
      </w:r>
      <w:r w:rsidRPr="00D86941">
        <w:t>enseignement et la formation techniques et</w:t>
      </w:r>
      <w:r w:rsidR="008C4845">
        <w:t xml:space="preserve"> </w:t>
      </w:r>
      <w:r w:rsidRPr="00D86941">
        <w:t>professionnels davantage au service du développement durable et de la transition vers une économie verte</w:t>
      </w:r>
      <w:r w:rsidR="00280CAB" w:rsidRPr="00D86941">
        <w:t> </w:t>
      </w:r>
      <w:r w:rsidRPr="00D86941">
        <w:t>;</w:t>
      </w:r>
    </w:p>
    <w:p w:rsidR="00453B9A" w:rsidRPr="00D86941" w:rsidRDefault="00453B9A" w:rsidP="008B3D3F">
      <w:pPr>
        <w:pStyle w:val="SingleTxtG"/>
        <w:ind w:firstLine="567"/>
      </w:pPr>
      <w:r w:rsidRPr="00D86941">
        <w:rPr>
          <w:lang w:val="fr-FR"/>
        </w:rPr>
        <w:t>c)</w:t>
      </w:r>
      <w:r w:rsidRPr="00D86941">
        <w:rPr>
          <w:lang w:val="fr-FR"/>
        </w:rPr>
        <w:tab/>
        <w:t>De progresser dans les trois domaines d</w:t>
      </w:r>
      <w:r w:rsidR="009C022A" w:rsidRPr="00D86941">
        <w:rPr>
          <w:lang w:val="fr-FR"/>
        </w:rPr>
        <w:t>’</w:t>
      </w:r>
      <w:r w:rsidRPr="00D86941">
        <w:rPr>
          <w:lang w:val="fr-FR"/>
        </w:rPr>
        <w:t>action prioritaires horizontaux, énumérés ci-dessous</w:t>
      </w:r>
      <w:r w:rsidR="00280CAB" w:rsidRPr="00D86941">
        <w:rPr>
          <w:lang w:val="fr-FR"/>
        </w:rPr>
        <w:t> </w:t>
      </w:r>
      <w:r w:rsidRPr="00D86941">
        <w:rPr>
          <w:lang w:val="fr-FR"/>
        </w:rPr>
        <w:t>:</w:t>
      </w:r>
    </w:p>
    <w:p w:rsidR="00453B9A" w:rsidRPr="00D86941" w:rsidRDefault="00453B9A" w:rsidP="00280CAB">
      <w:pPr>
        <w:pStyle w:val="SingleTxtG"/>
        <w:ind w:left="1701"/>
      </w:pPr>
      <w:r w:rsidRPr="00D86941">
        <w:rPr>
          <w:lang w:val="fr-FR"/>
        </w:rPr>
        <w:t>i)</w:t>
      </w:r>
      <w:r w:rsidRPr="00D86941">
        <w:rPr>
          <w:lang w:val="fr-FR"/>
        </w:rPr>
        <w:tab/>
        <w:t>Renforcer l</w:t>
      </w:r>
      <w:r w:rsidR="009C022A" w:rsidRPr="00D86941">
        <w:rPr>
          <w:lang w:val="fr-FR"/>
        </w:rPr>
        <w:t>’</w:t>
      </w:r>
      <w:r w:rsidRPr="00D86941">
        <w:rPr>
          <w:lang w:val="fr-FR"/>
        </w:rPr>
        <w:t>intégration de l</w:t>
      </w:r>
      <w:r w:rsidR="009C022A" w:rsidRPr="00D86941">
        <w:rPr>
          <w:lang w:val="fr-FR"/>
        </w:rPr>
        <w:t>’</w:t>
      </w:r>
      <w:r w:rsidRPr="00D86941">
        <w:rPr>
          <w:lang w:val="fr-FR"/>
        </w:rPr>
        <w:t>EDD dans les politiques nationales et internationales relatives à l</w:t>
      </w:r>
      <w:r w:rsidR="009C022A" w:rsidRPr="00D86941">
        <w:rPr>
          <w:lang w:val="fr-FR"/>
        </w:rPr>
        <w:t>’</w:t>
      </w:r>
      <w:r w:rsidRPr="00D86941">
        <w:rPr>
          <w:lang w:val="fr-FR"/>
        </w:rPr>
        <w:t>éducation et au développement durable et dans d</w:t>
      </w:r>
      <w:r w:rsidR="009C022A" w:rsidRPr="00D86941">
        <w:rPr>
          <w:lang w:val="fr-FR"/>
        </w:rPr>
        <w:t>’</w:t>
      </w:r>
      <w:r w:rsidRPr="00D86941">
        <w:rPr>
          <w:lang w:val="fr-FR"/>
        </w:rPr>
        <w:t>autres processus pertinents</w:t>
      </w:r>
      <w:r w:rsidR="00280CAB" w:rsidRPr="00D86941">
        <w:rPr>
          <w:lang w:val="fr-FR"/>
        </w:rPr>
        <w:t> </w:t>
      </w:r>
      <w:r w:rsidRPr="00D86941">
        <w:rPr>
          <w:lang w:val="fr-FR"/>
        </w:rPr>
        <w:t>;</w:t>
      </w:r>
    </w:p>
    <w:p w:rsidR="00453B9A" w:rsidRPr="008C4845" w:rsidRDefault="00453B9A" w:rsidP="00280CAB">
      <w:pPr>
        <w:pStyle w:val="SingleTxtG"/>
        <w:ind w:left="1701"/>
        <w:rPr>
          <w:lang w:val="fr-FR"/>
        </w:rPr>
      </w:pPr>
      <w:r w:rsidRPr="00D86941">
        <w:rPr>
          <w:lang w:val="fr-FR"/>
        </w:rPr>
        <w:t>ii)</w:t>
      </w:r>
      <w:r w:rsidRPr="00D86941">
        <w:rPr>
          <w:lang w:val="fr-FR"/>
        </w:rPr>
        <w:tab/>
      </w:r>
      <w:r w:rsidRPr="008C4845">
        <w:rPr>
          <w:lang w:val="fr-FR"/>
        </w:rPr>
        <w:t>Améliorer les synergies entre l</w:t>
      </w:r>
      <w:r w:rsidR="009C022A" w:rsidRPr="008C4845">
        <w:rPr>
          <w:lang w:val="fr-FR"/>
        </w:rPr>
        <w:t>’</w:t>
      </w:r>
      <w:r w:rsidRPr="008C4845">
        <w:rPr>
          <w:lang w:val="fr-FR"/>
        </w:rPr>
        <w:t>enseignement formel, l</w:t>
      </w:r>
      <w:r w:rsidR="009C022A" w:rsidRPr="008C4845">
        <w:rPr>
          <w:lang w:val="fr-FR"/>
        </w:rPr>
        <w:t>’</w:t>
      </w:r>
      <w:r w:rsidRPr="008C4845">
        <w:rPr>
          <w:lang w:val="fr-FR"/>
        </w:rPr>
        <w:t>enseignement informel et l</w:t>
      </w:r>
      <w:r w:rsidR="009C022A" w:rsidRPr="008C4845">
        <w:rPr>
          <w:lang w:val="fr-FR"/>
        </w:rPr>
        <w:t>’</w:t>
      </w:r>
      <w:r w:rsidRPr="008C4845">
        <w:rPr>
          <w:lang w:val="fr-FR"/>
        </w:rPr>
        <w:t>enseignement non formel</w:t>
      </w:r>
      <w:r w:rsidR="008B3D3F" w:rsidRPr="008C4845">
        <w:rPr>
          <w:lang w:val="fr-FR"/>
        </w:rPr>
        <w:t> </w:t>
      </w:r>
      <w:r w:rsidRPr="008C4845">
        <w:rPr>
          <w:lang w:val="fr-FR"/>
        </w:rPr>
        <w:t>;</w:t>
      </w:r>
    </w:p>
    <w:p w:rsidR="00453B9A" w:rsidRPr="008C4845" w:rsidRDefault="00453B9A" w:rsidP="00280CAB">
      <w:pPr>
        <w:pStyle w:val="SingleTxtG"/>
        <w:ind w:left="1701"/>
        <w:rPr>
          <w:lang w:val="fr-FR"/>
        </w:rPr>
      </w:pPr>
      <w:r w:rsidRPr="008C4845">
        <w:rPr>
          <w:lang w:val="fr-FR"/>
        </w:rPr>
        <w:t>iii)</w:t>
      </w:r>
      <w:r w:rsidRPr="008C4845">
        <w:rPr>
          <w:lang w:val="fr-FR"/>
        </w:rPr>
        <w:tab/>
        <w:t>Reconnaître que les réseaux, notamment ceux de la société civile, des milieux universitaires et scientifiques, des organisations non gouvernementales et des entreprises, jouent un rôle important dans la mise en œuvre de l</w:t>
      </w:r>
      <w:r w:rsidR="009C022A" w:rsidRPr="008C4845">
        <w:rPr>
          <w:lang w:val="fr-FR"/>
        </w:rPr>
        <w:t>’</w:t>
      </w:r>
      <w:r w:rsidRPr="008C4845">
        <w:rPr>
          <w:lang w:val="fr-FR"/>
        </w:rPr>
        <w:t>EDD</w:t>
      </w:r>
      <w:r w:rsidR="008B3D3F" w:rsidRPr="008C4845">
        <w:rPr>
          <w:lang w:val="fr-FR"/>
        </w:rPr>
        <w:t> </w:t>
      </w:r>
      <w:r w:rsidRPr="008C4845">
        <w:rPr>
          <w:lang w:val="fr-FR"/>
        </w:rPr>
        <w:t>;</w:t>
      </w:r>
    </w:p>
    <w:p w:rsidR="00453B9A" w:rsidRPr="00D86941" w:rsidRDefault="00453B9A" w:rsidP="008B3D3F">
      <w:pPr>
        <w:pStyle w:val="SingleTxtG"/>
        <w:ind w:firstLine="567"/>
      </w:pPr>
      <w:r w:rsidRPr="00D86941">
        <w:rPr>
          <w:lang w:val="fr-FR"/>
        </w:rPr>
        <w:t>d)</w:t>
      </w:r>
      <w:r w:rsidRPr="00D86941">
        <w:rPr>
          <w:lang w:val="fr-FR"/>
        </w:rPr>
        <w:tab/>
        <w:t>D</w:t>
      </w:r>
      <w:r w:rsidR="009C022A" w:rsidRPr="00D86941">
        <w:rPr>
          <w:lang w:val="fr-FR"/>
        </w:rPr>
        <w:t>’</w:t>
      </w:r>
      <w:r w:rsidRPr="00D86941">
        <w:rPr>
          <w:lang w:val="fr-FR"/>
        </w:rPr>
        <w:t>assurer le suivi de la mise en œuvre, en évaluant les progrès accomplis, en proposant des mesures prioritaires, en repérant les difficultés et en proposant des mesures correctives, selon qu</w:t>
      </w:r>
      <w:r w:rsidR="009C022A" w:rsidRPr="00D86941">
        <w:rPr>
          <w:lang w:val="fr-FR"/>
        </w:rPr>
        <w:t>’</w:t>
      </w:r>
      <w:r w:rsidRPr="00D86941">
        <w:rPr>
          <w:lang w:val="fr-FR"/>
        </w:rPr>
        <w:t>il convient</w:t>
      </w:r>
      <w:r w:rsidR="008C4845">
        <w:rPr>
          <w:lang w:val="fr-FR"/>
        </w:rPr>
        <w:t> </w:t>
      </w:r>
      <w:r w:rsidRPr="00D86941">
        <w:rPr>
          <w:lang w:val="fr-FR"/>
        </w:rPr>
        <w:t>;</w:t>
      </w:r>
    </w:p>
    <w:p w:rsidR="00453B9A" w:rsidRPr="00D86941" w:rsidRDefault="00453B9A" w:rsidP="008B3D3F">
      <w:pPr>
        <w:pStyle w:val="SingleTxtG"/>
        <w:ind w:firstLine="567"/>
      </w:pPr>
      <w:r w:rsidRPr="00D86941">
        <w:rPr>
          <w:lang w:val="fr-FR"/>
        </w:rPr>
        <w:t>e)</w:t>
      </w:r>
      <w:r w:rsidRPr="00D86941">
        <w:rPr>
          <w:lang w:val="fr-FR"/>
        </w:rPr>
        <w:tab/>
        <w:t>D</w:t>
      </w:r>
      <w:r w:rsidR="009C022A" w:rsidRPr="00D86941">
        <w:rPr>
          <w:lang w:val="fr-FR"/>
        </w:rPr>
        <w:t>’</w:t>
      </w:r>
      <w:r w:rsidRPr="00D86941">
        <w:rPr>
          <w:lang w:val="fr-FR"/>
        </w:rPr>
        <w:t>agir en étroite concertation et coopération avec les acteurs cl</w:t>
      </w:r>
      <w:r w:rsidR="008B3D3F" w:rsidRPr="00D86941">
        <w:rPr>
          <w:lang w:val="fr-FR"/>
        </w:rPr>
        <w:t>ef</w:t>
      </w:r>
      <w:r w:rsidRPr="00D86941">
        <w:rPr>
          <w:lang w:val="fr-FR"/>
        </w:rPr>
        <w:t xml:space="preserve">s </w:t>
      </w:r>
      <w:r w:rsidR="008B3D3F" w:rsidRPr="00D86941">
        <w:rPr>
          <w:lang w:val="fr-FR"/>
        </w:rPr>
        <w:t>(</w:t>
      </w:r>
      <w:r w:rsidRPr="00D86941">
        <w:rPr>
          <w:lang w:val="fr-FR"/>
        </w:rPr>
        <w:t xml:space="preserve">organisations </w:t>
      </w:r>
      <w:proofErr w:type="spellStart"/>
      <w:r w:rsidRPr="00D86941">
        <w:rPr>
          <w:lang w:val="fr-FR"/>
        </w:rPr>
        <w:t>intergouvernementales</w:t>
      </w:r>
      <w:proofErr w:type="spellEnd"/>
      <w:r w:rsidRPr="00D86941">
        <w:rPr>
          <w:lang w:val="fr-FR"/>
        </w:rPr>
        <w:t xml:space="preserve"> et organisations non gouvernementales) de l</w:t>
      </w:r>
      <w:r w:rsidR="009C022A" w:rsidRPr="00D86941">
        <w:rPr>
          <w:lang w:val="fr-FR"/>
        </w:rPr>
        <w:t>’</w:t>
      </w:r>
      <w:r w:rsidRPr="00D86941">
        <w:rPr>
          <w:lang w:val="fr-FR"/>
        </w:rPr>
        <w:t>éducation, de l</w:t>
      </w:r>
      <w:r w:rsidR="009C022A" w:rsidRPr="00D86941">
        <w:rPr>
          <w:lang w:val="fr-FR"/>
        </w:rPr>
        <w:t>’</w:t>
      </w:r>
      <w:r w:rsidRPr="00D86941">
        <w:rPr>
          <w:lang w:val="fr-FR"/>
        </w:rPr>
        <w:t>environnement et du développement durable, et avec les réseaux d</w:t>
      </w:r>
      <w:r w:rsidR="009C022A" w:rsidRPr="00D86941">
        <w:rPr>
          <w:lang w:val="fr-FR"/>
        </w:rPr>
        <w:t>’</w:t>
      </w:r>
      <w:r w:rsidRPr="00D86941">
        <w:rPr>
          <w:lang w:val="fr-FR"/>
        </w:rPr>
        <w:t>EDD</w:t>
      </w:r>
      <w:r w:rsidR="008B3D3F" w:rsidRPr="00D86941">
        <w:rPr>
          <w:lang w:val="fr-FR"/>
        </w:rPr>
        <w:t> </w:t>
      </w:r>
      <w:r w:rsidRPr="00D86941">
        <w:rPr>
          <w:lang w:val="fr-FR"/>
        </w:rPr>
        <w:t>;</w:t>
      </w:r>
    </w:p>
    <w:p w:rsidR="00453B9A" w:rsidRPr="00D86941" w:rsidRDefault="00453B9A" w:rsidP="008B3D3F">
      <w:pPr>
        <w:pStyle w:val="SingleTxtG"/>
        <w:ind w:firstLine="567"/>
      </w:pPr>
      <w:r w:rsidRPr="00D86941">
        <w:rPr>
          <w:lang w:val="fr-FR"/>
        </w:rPr>
        <w:t>f)</w:t>
      </w:r>
      <w:r w:rsidRPr="00D86941">
        <w:rPr>
          <w:lang w:val="fr-FR"/>
        </w:rPr>
        <w:tab/>
        <w:t>De constituer des groupes de travail, des équipes spéciales et d</w:t>
      </w:r>
      <w:r w:rsidR="009C022A" w:rsidRPr="00D86941">
        <w:rPr>
          <w:lang w:val="fr-FR"/>
        </w:rPr>
        <w:t>’</w:t>
      </w:r>
      <w:r w:rsidRPr="00D86941">
        <w:rPr>
          <w:lang w:val="fr-FR"/>
        </w:rPr>
        <w:t>autres organes ad hoc, selon que de besoin</w:t>
      </w:r>
      <w:r w:rsidR="008B3D3F" w:rsidRPr="00D86941">
        <w:rPr>
          <w:lang w:val="fr-FR"/>
        </w:rPr>
        <w:t> </w:t>
      </w:r>
      <w:r w:rsidRPr="00D86941">
        <w:rPr>
          <w:lang w:val="fr-FR"/>
        </w:rPr>
        <w:t>;</w:t>
      </w:r>
    </w:p>
    <w:p w:rsidR="00453B9A" w:rsidRPr="00D86941" w:rsidRDefault="00453B9A" w:rsidP="008B3D3F">
      <w:pPr>
        <w:pStyle w:val="SingleTxtG"/>
        <w:ind w:firstLine="567"/>
      </w:pPr>
      <w:r w:rsidRPr="00D86941">
        <w:rPr>
          <w:lang w:val="fr-FR"/>
        </w:rPr>
        <w:t>g)</w:t>
      </w:r>
      <w:r w:rsidRPr="00D86941">
        <w:rPr>
          <w:lang w:val="fr-FR"/>
        </w:rPr>
        <w:tab/>
        <w:t>De juger si de nouveaux instruments de promotion de l</w:t>
      </w:r>
      <w:r w:rsidR="009C022A" w:rsidRPr="00D86941">
        <w:rPr>
          <w:lang w:val="fr-FR"/>
        </w:rPr>
        <w:t>’</w:t>
      </w:r>
      <w:r w:rsidRPr="00D86941">
        <w:rPr>
          <w:lang w:val="fr-FR"/>
        </w:rPr>
        <w:t>EDD sont éventuellement nécessaires pour faire progresser l</w:t>
      </w:r>
      <w:r w:rsidR="009C022A" w:rsidRPr="00D86941">
        <w:rPr>
          <w:lang w:val="fr-FR"/>
        </w:rPr>
        <w:t>’</w:t>
      </w:r>
      <w:r w:rsidRPr="00D86941">
        <w:rPr>
          <w:lang w:val="fr-FR"/>
        </w:rPr>
        <w:t>EDD</w:t>
      </w:r>
      <w:r w:rsidR="008B3D3F" w:rsidRPr="00D86941">
        <w:rPr>
          <w:lang w:val="fr-FR"/>
        </w:rPr>
        <w:t> </w:t>
      </w:r>
      <w:r w:rsidRPr="00D86941">
        <w:rPr>
          <w:lang w:val="fr-FR"/>
        </w:rPr>
        <w:t>;</w:t>
      </w:r>
    </w:p>
    <w:p w:rsidR="00453B9A" w:rsidRPr="00D86941" w:rsidRDefault="00453B9A" w:rsidP="008B3D3F">
      <w:pPr>
        <w:pStyle w:val="SingleTxtG"/>
        <w:ind w:firstLine="567"/>
      </w:pPr>
      <w:r w:rsidRPr="00D86941">
        <w:rPr>
          <w:lang w:val="fr-FR"/>
        </w:rPr>
        <w:t>h)</w:t>
      </w:r>
      <w:r w:rsidRPr="00D86941">
        <w:rPr>
          <w:lang w:val="fr-FR"/>
        </w:rPr>
        <w:tab/>
        <w:t>De fournir un cadre pour l</w:t>
      </w:r>
      <w:r w:rsidR="009C022A" w:rsidRPr="00D86941">
        <w:rPr>
          <w:lang w:val="fr-FR"/>
        </w:rPr>
        <w:t>’</w:t>
      </w:r>
      <w:r w:rsidRPr="00D86941">
        <w:rPr>
          <w:lang w:val="fr-FR"/>
        </w:rPr>
        <w:t>examen des questions relatives à l</w:t>
      </w:r>
      <w:r w:rsidR="009C022A" w:rsidRPr="00D86941">
        <w:rPr>
          <w:lang w:val="fr-FR"/>
        </w:rPr>
        <w:t>’</w:t>
      </w:r>
      <w:r w:rsidRPr="00D86941">
        <w:rPr>
          <w:lang w:val="fr-FR"/>
        </w:rPr>
        <w:t>EDD aux niveaux régional et international;</w:t>
      </w:r>
    </w:p>
    <w:p w:rsidR="00453B9A" w:rsidRPr="00D86941" w:rsidRDefault="00453B9A" w:rsidP="008B3D3F">
      <w:pPr>
        <w:pStyle w:val="SingleTxtG"/>
        <w:ind w:firstLine="567"/>
      </w:pPr>
      <w:r w:rsidRPr="00D86941">
        <w:rPr>
          <w:lang w:val="fr-FR"/>
        </w:rPr>
        <w:t>i)</w:t>
      </w:r>
      <w:r w:rsidRPr="00D86941">
        <w:rPr>
          <w:lang w:val="fr-FR"/>
        </w:rPr>
        <w:tab/>
        <w:t>De consulter, au besoin, d</w:t>
      </w:r>
      <w:r w:rsidR="009C022A" w:rsidRPr="00D86941">
        <w:rPr>
          <w:lang w:val="fr-FR"/>
        </w:rPr>
        <w:t>’</w:t>
      </w:r>
      <w:r w:rsidRPr="00D86941">
        <w:rPr>
          <w:lang w:val="fr-FR"/>
        </w:rPr>
        <w:t>autres instances régionales, notamment les commissions régionales de l</w:t>
      </w:r>
      <w:r w:rsidR="009C022A" w:rsidRPr="00D86941">
        <w:rPr>
          <w:lang w:val="fr-FR"/>
        </w:rPr>
        <w:t>’</w:t>
      </w:r>
      <w:r w:rsidRPr="00D86941">
        <w:rPr>
          <w:lang w:val="fr-FR"/>
        </w:rPr>
        <w:t>ONU, sur les questions qui relèvent de sa compétence</w:t>
      </w:r>
      <w:r w:rsidR="008B3D3F" w:rsidRPr="00D86941">
        <w:rPr>
          <w:lang w:val="fr-FR"/>
        </w:rPr>
        <w:t> </w:t>
      </w:r>
      <w:r w:rsidRPr="00D86941">
        <w:rPr>
          <w:lang w:val="fr-FR"/>
        </w:rPr>
        <w:t>;</w:t>
      </w:r>
    </w:p>
    <w:p w:rsidR="00453B9A" w:rsidRPr="00D86941" w:rsidRDefault="00453B9A" w:rsidP="008B3D3F">
      <w:pPr>
        <w:pStyle w:val="SingleTxtG"/>
        <w:ind w:firstLine="567"/>
        <w:rPr>
          <w:lang w:val="fr-FR"/>
        </w:rPr>
      </w:pPr>
      <w:r w:rsidRPr="00D86941">
        <w:rPr>
          <w:lang w:val="fr-FR"/>
        </w:rPr>
        <w:t>j)</w:t>
      </w:r>
      <w:r w:rsidRPr="00D86941">
        <w:rPr>
          <w:lang w:val="fr-FR"/>
        </w:rPr>
        <w:tab/>
        <w:t>De tenir informés de ses activités le Comité des politiques de l</w:t>
      </w:r>
      <w:r w:rsidR="009C022A" w:rsidRPr="00D86941">
        <w:rPr>
          <w:lang w:val="fr-FR"/>
        </w:rPr>
        <w:t>’</w:t>
      </w:r>
      <w:r w:rsidRPr="00D86941">
        <w:rPr>
          <w:lang w:val="fr-FR"/>
        </w:rPr>
        <w:t>environnement e</w:t>
      </w:r>
      <w:r w:rsidR="00D960BF">
        <w:rPr>
          <w:lang w:val="fr-FR"/>
        </w:rPr>
        <w:t>t les autres organes concernés.</w:t>
      </w:r>
      <w:bookmarkStart w:id="0" w:name="_GoBack"/>
      <w:bookmarkEnd w:id="0"/>
    </w:p>
    <w:p w:rsidR="00453B9A" w:rsidRPr="00D86941" w:rsidRDefault="00453B9A" w:rsidP="008F09D1">
      <w:pPr>
        <w:pStyle w:val="HChG"/>
        <w:rPr>
          <w:lang w:val="fr-FR"/>
        </w:rPr>
      </w:pPr>
      <w:r w:rsidRPr="00D86941">
        <w:rPr>
          <w:lang w:val="fr-FR"/>
        </w:rPr>
        <w:tab/>
        <w:t>IV.</w:t>
      </w:r>
      <w:r w:rsidRPr="00D86941">
        <w:rPr>
          <w:lang w:val="fr-FR"/>
        </w:rPr>
        <w:tab/>
        <w:t>Bureau</w:t>
      </w:r>
    </w:p>
    <w:p w:rsidR="00453B9A" w:rsidRPr="00D86941" w:rsidRDefault="00453B9A" w:rsidP="008F09D1">
      <w:pPr>
        <w:pStyle w:val="SingleTxtG"/>
        <w:numPr>
          <w:ilvl w:val="0"/>
          <w:numId w:val="35"/>
        </w:numPr>
        <w:ind w:left="1134" w:firstLine="0"/>
        <w:rPr>
          <w:lang w:val="fr-FR"/>
        </w:rPr>
      </w:pPr>
      <w:r w:rsidRPr="00D86941">
        <w:rPr>
          <w:lang w:val="fr-FR"/>
        </w:rPr>
        <w:t>Pour la prochaine phase de mise en œuvre, un président, un vice-président et les membres du Bureau seront élus parmi les représentants des États membres de la CEE présents à la réunion.</w:t>
      </w:r>
      <w:r w:rsidR="008F09D1" w:rsidRPr="00D86941">
        <w:rPr>
          <w:lang w:val="fr-FR"/>
        </w:rPr>
        <w:t xml:space="preserve"> </w:t>
      </w:r>
      <w:r w:rsidRPr="00D86941">
        <w:rPr>
          <w:lang w:val="fr-FR"/>
        </w:rPr>
        <w:t>Les membres du Bureau seront représentatifs de différents secteurs (dont ceux de l</w:t>
      </w:r>
      <w:r w:rsidR="009C022A" w:rsidRPr="00D86941">
        <w:rPr>
          <w:lang w:val="fr-FR"/>
        </w:rPr>
        <w:t>’</w:t>
      </w:r>
      <w:r w:rsidRPr="00D86941">
        <w:rPr>
          <w:lang w:val="fr-FR"/>
        </w:rPr>
        <w:t>environnement et de l</w:t>
      </w:r>
      <w:r w:rsidR="009C022A" w:rsidRPr="00D86941">
        <w:rPr>
          <w:lang w:val="fr-FR"/>
        </w:rPr>
        <w:t>’</w:t>
      </w:r>
      <w:r w:rsidRPr="00D86941">
        <w:rPr>
          <w:lang w:val="fr-FR"/>
        </w:rPr>
        <w:t>éducation). Ils assumeront leurs fonctions jusqu</w:t>
      </w:r>
      <w:r w:rsidR="009C022A" w:rsidRPr="00D86941">
        <w:rPr>
          <w:lang w:val="fr-FR"/>
        </w:rPr>
        <w:t>’</w:t>
      </w:r>
      <w:r w:rsidRPr="00D86941">
        <w:rPr>
          <w:lang w:val="fr-FR"/>
        </w:rPr>
        <w:t>à l</w:t>
      </w:r>
      <w:r w:rsidR="009C022A" w:rsidRPr="00D86941">
        <w:rPr>
          <w:lang w:val="fr-FR"/>
        </w:rPr>
        <w:t>’</w:t>
      </w:r>
      <w:r w:rsidRPr="00D86941">
        <w:rPr>
          <w:lang w:val="fr-FR"/>
        </w:rPr>
        <w:t>élection de leurs successeurs.</w:t>
      </w:r>
    </w:p>
    <w:p w:rsidR="00453B9A" w:rsidRPr="00D86941" w:rsidRDefault="00453B9A" w:rsidP="008F09D1">
      <w:pPr>
        <w:pStyle w:val="HChG"/>
        <w:rPr>
          <w:lang w:val="fr-FR"/>
        </w:rPr>
      </w:pPr>
      <w:r w:rsidRPr="00D86941">
        <w:rPr>
          <w:lang w:val="fr-FR"/>
        </w:rPr>
        <w:tab/>
        <w:t>V.</w:t>
      </w:r>
      <w:r w:rsidRPr="00D86941">
        <w:rPr>
          <w:lang w:val="fr-FR"/>
        </w:rPr>
        <w:tab/>
        <w:t>Réunions</w:t>
      </w:r>
    </w:p>
    <w:p w:rsidR="00453B9A" w:rsidRPr="00D86941" w:rsidRDefault="00453B9A" w:rsidP="008F09D1">
      <w:pPr>
        <w:pStyle w:val="SingleTxtG"/>
        <w:numPr>
          <w:ilvl w:val="0"/>
          <w:numId w:val="35"/>
        </w:numPr>
        <w:ind w:left="1134" w:firstLine="0"/>
        <w:rPr>
          <w:lang w:val="fr-FR"/>
        </w:rPr>
      </w:pPr>
      <w:r w:rsidRPr="00D86941">
        <w:rPr>
          <w:lang w:val="fr-FR"/>
        </w:rPr>
        <w:t>Les réunions du Comité directeur sont convoquées par la CEE. Elles se tiennent ordinairement à l</w:t>
      </w:r>
      <w:r w:rsidR="009C022A" w:rsidRPr="00D86941">
        <w:rPr>
          <w:lang w:val="fr-FR"/>
        </w:rPr>
        <w:t>’</w:t>
      </w:r>
      <w:r w:rsidRPr="00D86941">
        <w:rPr>
          <w:lang w:val="fr-FR"/>
        </w:rPr>
        <w:t>Office des Nations Unies à Genève, à moins qu</w:t>
      </w:r>
      <w:r w:rsidR="009C022A" w:rsidRPr="00D86941">
        <w:rPr>
          <w:lang w:val="fr-FR"/>
        </w:rPr>
        <w:t>’</w:t>
      </w:r>
      <w:r w:rsidRPr="00D86941">
        <w:rPr>
          <w:lang w:val="fr-FR"/>
        </w:rPr>
        <w:t>un État membre en mesure de le faire ne propose de les accueillir. Sous réserve de la disponibilité des ressources, chaque pays répondant aux conditions requises peut bénéficier d</w:t>
      </w:r>
      <w:r w:rsidR="009C022A" w:rsidRPr="00D86941">
        <w:rPr>
          <w:lang w:val="fr-FR"/>
        </w:rPr>
        <w:t>’</w:t>
      </w:r>
      <w:r w:rsidRPr="00D86941">
        <w:rPr>
          <w:lang w:val="fr-FR"/>
        </w:rPr>
        <w:t>un financement pour la participation d</w:t>
      </w:r>
      <w:r w:rsidR="009C022A" w:rsidRPr="00D86941">
        <w:rPr>
          <w:lang w:val="fr-FR"/>
        </w:rPr>
        <w:t>’</w:t>
      </w:r>
      <w:r w:rsidRPr="00D86941">
        <w:rPr>
          <w:lang w:val="fr-FR"/>
        </w:rPr>
        <w:t xml:space="preserve">une personne à ces réunions, conformément aux règles </w:t>
      </w:r>
      <w:r w:rsidRPr="00D86941">
        <w:rPr>
          <w:lang w:val="fr-FR"/>
        </w:rPr>
        <w:lastRenderedPageBreak/>
        <w:t>établies par le Comité des politiques de l</w:t>
      </w:r>
      <w:r w:rsidR="009C022A" w:rsidRPr="00D86941">
        <w:rPr>
          <w:lang w:val="fr-FR"/>
        </w:rPr>
        <w:t>’</w:t>
      </w:r>
      <w:r w:rsidRPr="00D86941">
        <w:rPr>
          <w:lang w:val="fr-FR"/>
        </w:rPr>
        <w:t>environnement. Toutefois, pour des raisons à la fois écologiques et financières, le Comité peut envisager de réunir le Comité directeur par voie électronique une année sur deux. Le Comité directeur adopte ses décisions par consensus ou, au besoin, les met aux voix.</w:t>
      </w:r>
    </w:p>
    <w:p w:rsidR="008F09D1" w:rsidRPr="008F09D1" w:rsidRDefault="008F09D1" w:rsidP="008F09D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F09D1" w:rsidRPr="008F09D1" w:rsidSect="004F0E28">
      <w:headerReference w:type="even" r:id="rId12"/>
      <w:headerReference w:type="default" r:id="rId13"/>
      <w:footerReference w:type="even" r:id="rId14"/>
      <w:footerReference w:type="default" r:id="rId15"/>
      <w:headerReference w:type="first" r:id="rId16"/>
      <w:footerReference w:type="first" r:id="rId17"/>
      <w:endnotePr>
        <w:numFmt w:val="decimal"/>
      </w:endnotePr>
      <w:type w:val="oddPage"/>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22A" w:rsidRDefault="009C022A"/>
  </w:endnote>
  <w:endnote w:type="continuationSeparator" w:id="0">
    <w:p w:rsidR="009C022A" w:rsidRDefault="009C022A"/>
  </w:endnote>
  <w:endnote w:type="continuationNotice" w:id="1">
    <w:p w:rsidR="009C022A" w:rsidRPr="008365F0" w:rsidRDefault="009C022A" w:rsidP="008365F0">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New Roman Gras">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2A" w:rsidRDefault="009C022A" w:rsidP="006D5980">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2A" w:rsidRPr="004F0E28" w:rsidRDefault="009C022A" w:rsidP="004F0E28">
    <w:pPr>
      <w:pStyle w:val="Pieddepage"/>
      <w:tabs>
        <w:tab w:val="right" w:pos="9638"/>
      </w:tabs>
    </w:pPr>
    <w:r w:rsidRPr="004F0E28">
      <w:rPr>
        <w:b/>
        <w:sz w:val="18"/>
      </w:rPr>
      <w:fldChar w:fldCharType="begin"/>
    </w:r>
    <w:r w:rsidRPr="004F0E28">
      <w:rPr>
        <w:b/>
        <w:sz w:val="18"/>
      </w:rPr>
      <w:instrText xml:space="preserve"> PAGE  \* MERGEFORMAT </w:instrText>
    </w:r>
    <w:r w:rsidRPr="004F0E28">
      <w:rPr>
        <w:b/>
        <w:sz w:val="18"/>
      </w:rPr>
      <w:fldChar w:fldCharType="separate"/>
    </w:r>
    <w:r w:rsidR="00D960BF">
      <w:rPr>
        <w:b/>
        <w:noProof/>
        <w:sz w:val="18"/>
      </w:rPr>
      <w:t>12</w:t>
    </w:r>
    <w:r w:rsidRPr="004F0E28">
      <w:rPr>
        <w:b/>
        <w:sz w:val="18"/>
      </w:rPr>
      <w:fldChar w:fldCharType="end"/>
    </w:r>
    <w:r>
      <w:rPr>
        <w:b/>
        <w:sz w:val="18"/>
      </w:rPr>
      <w:tab/>
    </w:r>
    <w:r>
      <w:t>GE.16-04957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2A" w:rsidRPr="004F0E28" w:rsidRDefault="009C022A" w:rsidP="004F0E28">
    <w:pPr>
      <w:pStyle w:val="Pieddepage"/>
      <w:tabs>
        <w:tab w:val="right" w:pos="9638"/>
      </w:tabs>
      <w:rPr>
        <w:b/>
        <w:sz w:val="18"/>
      </w:rPr>
    </w:pPr>
    <w:r>
      <w:t>GE.16-04957</w:t>
    </w:r>
    <w:r>
      <w:tab/>
    </w:r>
    <w:r w:rsidRPr="004F0E28">
      <w:rPr>
        <w:b/>
        <w:sz w:val="18"/>
      </w:rPr>
      <w:fldChar w:fldCharType="begin"/>
    </w:r>
    <w:r w:rsidRPr="004F0E28">
      <w:rPr>
        <w:b/>
        <w:sz w:val="18"/>
      </w:rPr>
      <w:instrText xml:space="preserve"> PAGE  \* MERGEFORMAT </w:instrText>
    </w:r>
    <w:r w:rsidRPr="004F0E28">
      <w:rPr>
        <w:b/>
        <w:sz w:val="18"/>
      </w:rPr>
      <w:fldChar w:fldCharType="separate"/>
    </w:r>
    <w:r w:rsidR="00D960BF">
      <w:rPr>
        <w:b/>
        <w:noProof/>
        <w:sz w:val="18"/>
      </w:rPr>
      <w:t>13</w:t>
    </w:r>
    <w:r w:rsidRPr="004F0E28">
      <w:rPr>
        <w:b/>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2A" w:rsidRPr="004F0E28" w:rsidRDefault="009C022A" w:rsidP="004F0E28">
    <w:pPr>
      <w:pStyle w:val="Pieddepage"/>
      <w:spacing w:before="120"/>
      <w:rPr>
        <w:sz w:val="20"/>
      </w:rPr>
    </w:pPr>
    <w:r>
      <w:rPr>
        <w:sz w:val="20"/>
      </w:rPr>
      <w:t>GE.</w:t>
    </w:r>
    <w:r>
      <w:rPr>
        <w:noProof/>
        <w:lang w:eastAsia="fr-CH"/>
      </w:rPr>
      <w:drawing>
        <wp:anchor distT="0" distB="0" distL="114300" distR="114300" simplePos="0" relativeHeight="251657728" behindDoc="0" locked="0" layoutInCell="1" allowOverlap="1" wp14:anchorId="136B3EE2" wp14:editId="145823DE">
          <wp:simplePos x="0" y="0"/>
          <wp:positionH relativeFrom="margin">
            <wp:posOffset>4319905</wp:posOffset>
          </wp:positionH>
          <wp:positionV relativeFrom="margin">
            <wp:posOffset>8279765</wp:posOffset>
          </wp:positionV>
          <wp:extent cx="1104900" cy="228600"/>
          <wp:effectExtent l="0" t="0" r="0" b="0"/>
          <wp:wrapNone/>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16-04957  (F)    210416    250416</w:t>
    </w:r>
    <w:r>
      <w:rPr>
        <w:sz w:val="20"/>
      </w:rPr>
      <w:br/>
    </w:r>
    <w:r w:rsidRPr="004F0E28">
      <w:rPr>
        <w:rFonts w:ascii="C39T30Lfz" w:hAnsi="C39T30Lfz"/>
        <w:sz w:val="56"/>
      </w:rPr>
      <w:t></w:t>
    </w:r>
    <w:r w:rsidRPr="004F0E28">
      <w:rPr>
        <w:rFonts w:ascii="C39T30Lfz" w:hAnsi="C39T30Lfz"/>
        <w:sz w:val="56"/>
      </w:rPr>
      <w:t></w:t>
    </w:r>
    <w:r w:rsidRPr="004F0E28">
      <w:rPr>
        <w:rFonts w:ascii="C39T30Lfz" w:hAnsi="C39T30Lfz"/>
        <w:sz w:val="56"/>
      </w:rPr>
      <w:t></w:t>
    </w:r>
    <w:r w:rsidRPr="004F0E28">
      <w:rPr>
        <w:rFonts w:ascii="C39T30Lfz" w:hAnsi="C39T30Lfz"/>
        <w:sz w:val="56"/>
      </w:rPr>
      <w:t></w:t>
    </w:r>
    <w:r w:rsidRPr="004F0E28">
      <w:rPr>
        <w:rFonts w:ascii="C39T30Lfz" w:hAnsi="C39T30Lfz"/>
        <w:sz w:val="56"/>
      </w:rPr>
      <w:t></w:t>
    </w:r>
    <w:r w:rsidRPr="004F0E28">
      <w:rPr>
        <w:rFonts w:ascii="C39T30Lfz" w:hAnsi="C39T30Lfz"/>
        <w:sz w:val="56"/>
      </w:rPr>
      <w:t></w:t>
    </w:r>
    <w:r w:rsidRPr="004F0E28">
      <w:rPr>
        <w:rFonts w:ascii="C39T30Lfz" w:hAnsi="C39T30Lfz"/>
        <w:sz w:val="56"/>
      </w:rPr>
      <w:t></w:t>
    </w:r>
    <w:r w:rsidRPr="004F0E28">
      <w:rPr>
        <w:rFonts w:ascii="C39T30Lfz" w:hAnsi="C39T30Lfz"/>
        <w:sz w:val="56"/>
      </w:rPr>
      <w:t></w:t>
    </w:r>
    <w:r w:rsidRPr="004F0E28">
      <w:rPr>
        <w:rFonts w:ascii="C39T30Lfz" w:hAnsi="C39T30Lfz"/>
        <w:sz w:val="56"/>
      </w:rPr>
      <w:t></w:t>
    </w:r>
    <w:r>
      <w:rPr>
        <w:noProof/>
        <w:sz w:val="20"/>
        <w:lang w:eastAsia="fr-CH"/>
      </w:rPr>
      <w:drawing>
        <wp:anchor distT="0" distB="0" distL="114300" distR="114300" simplePos="0" relativeHeight="251658752" behindDoc="0" locked="0" layoutInCell="1" allowOverlap="1" wp14:anchorId="1464C53B" wp14:editId="78EF2A24">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BATUMI.CONF/2016/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BATUMI.CONF/2016/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22A" w:rsidRPr="00D27D5E" w:rsidRDefault="009C022A" w:rsidP="00D27D5E">
      <w:pPr>
        <w:tabs>
          <w:tab w:val="right" w:pos="2155"/>
        </w:tabs>
        <w:spacing w:after="80"/>
        <w:ind w:left="680"/>
        <w:rPr>
          <w:u w:val="single"/>
        </w:rPr>
      </w:pPr>
      <w:r>
        <w:rPr>
          <w:u w:val="single"/>
        </w:rPr>
        <w:tab/>
      </w:r>
    </w:p>
  </w:footnote>
  <w:footnote w:type="continuationSeparator" w:id="0">
    <w:p w:rsidR="009C022A" w:rsidRPr="00CD13C4" w:rsidRDefault="009C022A" w:rsidP="00CD13C4">
      <w:pPr>
        <w:tabs>
          <w:tab w:val="right" w:pos="2155"/>
        </w:tabs>
        <w:spacing w:after="80"/>
        <w:ind w:left="680"/>
        <w:rPr>
          <w:u w:val="single"/>
        </w:rPr>
      </w:pPr>
      <w:r w:rsidRPr="00CD13C4">
        <w:rPr>
          <w:u w:val="single"/>
        </w:rPr>
        <w:tab/>
      </w:r>
    </w:p>
  </w:footnote>
  <w:footnote w:type="continuationNotice" w:id="1">
    <w:p w:rsidR="009C022A" w:rsidRPr="008365F0" w:rsidRDefault="009C022A" w:rsidP="008365F0">
      <w:pPr>
        <w:spacing w:line="240" w:lineRule="auto"/>
        <w:rPr>
          <w:sz w:val="2"/>
          <w:szCs w:val="2"/>
        </w:rPr>
      </w:pPr>
    </w:p>
  </w:footnote>
  <w:footnote w:id="2">
    <w:p w:rsidR="009C022A" w:rsidRPr="00606537" w:rsidRDefault="009C022A" w:rsidP="00FC6808">
      <w:pPr>
        <w:pStyle w:val="Notedebasdepage"/>
      </w:pPr>
      <w:r>
        <w:rPr>
          <w:vertAlign w:val="superscript"/>
        </w:rPr>
        <w:tab/>
      </w:r>
      <w:r w:rsidRPr="00FC6808">
        <w:rPr>
          <w:rStyle w:val="Appelnotedebasdep"/>
        </w:rPr>
        <w:footnoteRef/>
      </w:r>
      <w:r>
        <w:rPr>
          <w:vertAlign w:val="superscript"/>
        </w:rPr>
        <w:tab/>
      </w:r>
      <w:r>
        <w:t>L</w:t>
      </w:r>
      <w:r w:rsidRPr="001F4121">
        <w:t>e rapport se fonde sur les données extraites des rapports nationaux de mise en œuvre soumis par les États membres à la fin de la troisième phase de mise en œuvre de la Stratégie (38 rapports) et sur les informations complémentaires communiquées au secrétariat</w:t>
      </w:r>
      <w:r w:rsidRPr="00606537">
        <w:t>.</w:t>
      </w:r>
    </w:p>
  </w:footnote>
  <w:footnote w:id="3">
    <w:p w:rsidR="009C022A" w:rsidRPr="000116CD" w:rsidRDefault="009C022A" w:rsidP="00FC6808">
      <w:pPr>
        <w:pStyle w:val="Notedebasdepage"/>
      </w:pPr>
      <w:r>
        <w:rPr>
          <w:lang w:val="fr-FR"/>
        </w:rPr>
        <w:tab/>
      </w:r>
      <w:r w:rsidRPr="00FC6808">
        <w:rPr>
          <w:rStyle w:val="Appelnotedebasdep"/>
        </w:rPr>
        <w:footnoteRef/>
      </w:r>
      <w:r w:rsidRPr="000116CD">
        <w:rPr>
          <w:lang w:val="fr-FR"/>
        </w:rPr>
        <w:tab/>
      </w:r>
      <w:r>
        <w:rPr>
          <w:lang w:val="fr-FR"/>
        </w:rPr>
        <w:t>À titre d’exemples très concrets, on peut mentionner</w:t>
      </w:r>
      <w:r w:rsidRPr="00850336">
        <w:rPr>
          <w:lang w:val="fr-FR"/>
        </w:rPr>
        <w:t xml:space="preserve"> </w:t>
      </w:r>
      <w:r>
        <w:rPr>
          <w:lang w:val="fr-FR"/>
        </w:rPr>
        <w:t>l</w:t>
      </w:r>
      <w:r w:rsidRPr="000116CD">
        <w:rPr>
          <w:lang w:val="fr-FR"/>
        </w:rPr>
        <w:t>a Stratégie méditerranéenne sur l</w:t>
      </w:r>
      <w:r>
        <w:rPr>
          <w:lang w:val="fr-FR"/>
        </w:rPr>
        <w:t>’</w:t>
      </w:r>
      <w:r w:rsidRPr="000116CD">
        <w:rPr>
          <w:lang w:val="fr-FR"/>
        </w:rPr>
        <w:t>éducation au développement durable</w:t>
      </w:r>
      <w:r>
        <w:rPr>
          <w:lang w:val="fr-FR"/>
        </w:rPr>
        <w:t xml:space="preserve">, </w:t>
      </w:r>
      <w:r w:rsidRPr="00850336">
        <w:rPr>
          <w:lang w:val="fr-FR"/>
        </w:rPr>
        <w:t>adoptée</w:t>
      </w:r>
      <w:r w:rsidRPr="004A35A1">
        <w:rPr>
          <w:lang w:val="fr-FR"/>
        </w:rPr>
        <w:t xml:space="preserve"> </w:t>
      </w:r>
      <w:r w:rsidRPr="000116CD">
        <w:rPr>
          <w:lang w:val="fr-FR"/>
        </w:rPr>
        <w:t>par la Réunion ministérielle sur l</w:t>
      </w:r>
      <w:r>
        <w:rPr>
          <w:lang w:val="fr-FR"/>
        </w:rPr>
        <w:t>’</w:t>
      </w:r>
      <w:r w:rsidRPr="000116CD">
        <w:rPr>
          <w:lang w:val="fr-FR"/>
        </w:rPr>
        <w:t>environnement et les changements climatiques de l</w:t>
      </w:r>
      <w:r>
        <w:rPr>
          <w:lang w:val="fr-FR"/>
        </w:rPr>
        <w:t>’</w:t>
      </w:r>
      <w:r w:rsidRPr="000116CD">
        <w:rPr>
          <w:lang w:val="fr-FR"/>
        </w:rPr>
        <w:t>Union pour la M</w:t>
      </w:r>
      <w:r>
        <w:rPr>
          <w:lang w:val="fr-FR"/>
        </w:rPr>
        <w:t>éditerranée</w:t>
      </w:r>
      <w:r w:rsidRPr="000116CD">
        <w:rPr>
          <w:lang w:val="fr-FR"/>
        </w:rPr>
        <w:t xml:space="preserve"> </w:t>
      </w:r>
      <w:r>
        <w:rPr>
          <w:lang w:val="fr-FR"/>
        </w:rPr>
        <w:t xml:space="preserve">(Athènes, mai 2014) </w:t>
      </w:r>
      <w:r w:rsidRPr="0068050B">
        <w:rPr>
          <w:lang w:val="fr-FR"/>
        </w:rPr>
        <w:t>et son association officielle avec la Stratégie méditerranéenne pour le développement durable, adoptée à la dix-neuvième réunion des Parties contractantes à la Convention sur la protection du milieu marin et du littoral de la Méditerranée (Athènes, 9-12 févrie</w:t>
      </w:r>
      <w:r>
        <w:rPr>
          <w:lang w:val="fr-FR"/>
        </w:rPr>
        <w:t xml:space="preserve">r </w:t>
      </w:r>
      <w:r w:rsidRPr="0068050B">
        <w:rPr>
          <w:lang w:val="fr-FR"/>
        </w:rPr>
        <w:t>2016).</w:t>
      </w:r>
    </w:p>
  </w:footnote>
  <w:footnote w:id="4">
    <w:p w:rsidR="009C022A" w:rsidRPr="00CD0237" w:rsidRDefault="009C022A" w:rsidP="00FC6808">
      <w:pPr>
        <w:pStyle w:val="Notedebasdepage"/>
        <w:rPr>
          <w:lang w:val="fr-FR"/>
        </w:rPr>
      </w:pPr>
      <w:r w:rsidRPr="00610149">
        <w:rPr>
          <w:lang w:val="fr-FR"/>
        </w:rPr>
        <w:tab/>
      </w:r>
      <w:r w:rsidRPr="00FC6808">
        <w:rPr>
          <w:rStyle w:val="Appelnotedebasdep"/>
        </w:rPr>
        <w:footnoteRef/>
      </w:r>
      <w:r w:rsidRPr="00610149">
        <w:rPr>
          <w:lang w:val="fr-FR"/>
        </w:rPr>
        <w:tab/>
        <w:t>En outre, l</w:t>
      </w:r>
      <w:r>
        <w:rPr>
          <w:lang w:val="fr-FR"/>
        </w:rPr>
        <w:t>’</w:t>
      </w:r>
      <w:r w:rsidRPr="00610149">
        <w:rPr>
          <w:lang w:val="fr-FR"/>
        </w:rPr>
        <w:t xml:space="preserve">EDD pourrait </w:t>
      </w:r>
      <w:r>
        <w:rPr>
          <w:lang w:val="fr-FR"/>
        </w:rPr>
        <w:t xml:space="preserve">apporter une importante </w:t>
      </w:r>
      <w:r w:rsidRPr="00610149">
        <w:rPr>
          <w:lang w:val="fr-FR"/>
        </w:rPr>
        <w:t>contribu</w:t>
      </w:r>
      <w:r>
        <w:rPr>
          <w:lang w:val="fr-FR"/>
        </w:rPr>
        <w:t>tion</w:t>
      </w:r>
      <w:r w:rsidRPr="00610149">
        <w:rPr>
          <w:lang w:val="fr-FR"/>
        </w:rPr>
        <w:t xml:space="preserve"> à la réalisation du </w:t>
      </w:r>
      <w:r w:rsidRPr="005F20BF">
        <w:rPr>
          <w:lang w:val="fr-FR"/>
        </w:rPr>
        <w:t>C</w:t>
      </w:r>
      <w:r w:rsidRPr="00610149">
        <w:rPr>
          <w:lang w:val="fr-FR"/>
        </w:rPr>
        <w:t>adre décennal de programmation concernant les modes de consommation et de production durables</w:t>
      </w:r>
      <w:r w:rsidRPr="00B3696B">
        <w:rPr>
          <w:lang w:val="fr-FR"/>
        </w:rPr>
        <w:t>,</w:t>
      </w:r>
      <w:r w:rsidRPr="00610149">
        <w:rPr>
          <w:lang w:val="fr-FR"/>
        </w:rPr>
        <w:t xml:space="preserve"> mis en œuvre par le Programme des Nations Unies pour l</w:t>
      </w:r>
      <w:r>
        <w:rPr>
          <w:lang w:val="fr-FR"/>
        </w:rPr>
        <w:t>’</w:t>
      </w:r>
      <w:r w:rsidRPr="00610149">
        <w:rPr>
          <w:lang w:val="fr-FR"/>
        </w:rPr>
        <w:t>environnement.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2A" w:rsidRPr="004F0E28" w:rsidRDefault="009C022A">
    <w:pPr>
      <w:pStyle w:val="En-tte"/>
    </w:pPr>
    <w:r>
      <w:t>ECE/BATUMI.CONF/2016/11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2A" w:rsidRPr="004F0E28" w:rsidRDefault="009C022A" w:rsidP="004F0E28">
    <w:pPr>
      <w:pStyle w:val="En-tte"/>
      <w:jc w:val="right"/>
    </w:pPr>
    <w:r>
      <w:t>ECE/BATUMI.CONF/2016/11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2A" w:rsidRDefault="009C022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0B13301"/>
    <w:multiLevelType w:val="hybridMultilevel"/>
    <w:tmpl w:val="EA36BF48"/>
    <w:lvl w:ilvl="0" w:tplc="381023CC">
      <w:start w:val="1"/>
      <w:numFmt w:val="decimal"/>
      <w:lvlText w:val="%1."/>
      <w:lvlJc w:val="left"/>
      <w:pPr>
        <w:ind w:left="2823" w:hanging="555"/>
      </w:pPr>
      <w:rPr>
        <w:rFonts w:hint="default"/>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1">
    <w:nsid w:val="012C1F76"/>
    <w:multiLevelType w:val="hybridMultilevel"/>
    <w:tmpl w:val="8348F438"/>
    <w:lvl w:ilvl="0" w:tplc="381023CC">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3E3277D"/>
    <w:multiLevelType w:val="hybridMultilevel"/>
    <w:tmpl w:val="575004DC"/>
    <w:lvl w:ilvl="0" w:tplc="37542050">
      <w:start w:val="1"/>
      <w:numFmt w:val="decimal"/>
      <w:lvlText w:val="%1."/>
      <w:lvlJc w:val="left"/>
      <w:pPr>
        <w:ind w:left="1689" w:hanging="5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14F65EA3"/>
    <w:multiLevelType w:val="hybridMultilevel"/>
    <w:tmpl w:val="A30EBA88"/>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5">
    <w:nsid w:val="15DB2B93"/>
    <w:multiLevelType w:val="hybridMultilevel"/>
    <w:tmpl w:val="7CB83D7C"/>
    <w:lvl w:ilvl="0" w:tplc="B9BCD1A6">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6">
    <w:nsid w:val="1AED313E"/>
    <w:multiLevelType w:val="hybridMultilevel"/>
    <w:tmpl w:val="B5D05DCA"/>
    <w:lvl w:ilvl="0" w:tplc="381023CC">
      <w:start w:val="1"/>
      <w:numFmt w:val="decimal"/>
      <w:lvlText w:val="%1."/>
      <w:lvlJc w:val="left"/>
      <w:pPr>
        <w:ind w:left="2823" w:hanging="555"/>
      </w:pPr>
      <w:rPr>
        <w:rFonts w:hint="default"/>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7">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9D85142"/>
    <w:multiLevelType w:val="hybridMultilevel"/>
    <w:tmpl w:val="0E86A2D8"/>
    <w:lvl w:ilvl="0" w:tplc="95AED52C">
      <w:start w:val="1"/>
      <w:numFmt w:val="decimal"/>
      <w:lvlText w:val="%1."/>
      <w:lvlJc w:val="left"/>
      <w:pPr>
        <w:ind w:left="1689" w:hanging="5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494F287D"/>
    <w:multiLevelType w:val="hybridMultilevel"/>
    <w:tmpl w:val="21F2AD04"/>
    <w:lvl w:ilvl="0" w:tplc="381023CC">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2">
    <w:nsid w:val="4B8C6CF5"/>
    <w:multiLevelType w:val="hybridMultilevel"/>
    <w:tmpl w:val="93FCAD22"/>
    <w:lvl w:ilvl="0" w:tplc="F73C6636">
      <w:start w:val="1"/>
      <w:numFmt w:val="bullet"/>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32E4268"/>
    <w:multiLevelType w:val="hybridMultilevel"/>
    <w:tmpl w:val="C4BAA938"/>
    <w:lvl w:ilvl="0" w:tplc="D2E417A6">
      <w:start w:val="1"/>
      <w:numFmt w:val="decimal"/>
      <w:lvlText w:val="%1."/>
      <w:lvlJc w:val="left"/>
      <w:pPr>
        <w:ind w:left="1689" w:hanging="555"/>
      </w:pPr>
      <w:rPr>
        <w:rFonts w:ascii="Times New Roman" w:hAnsi="Times New Roman" w:hint="default"/>
        <w:b w:val="0"/>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5B5A595B"/>
    <w:multiLevelType w:val="hybridMultilevel"/>
    <w:tmpl w:val="7272E796"/>
    <w:lvl w:ilvl="0" w:tplc="46A82E40">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B6E529F"/>
    <w:multiLevelType w:val="hybridMultilevel"/>
    <w:tmpl w:val="AA10D8C8"/>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7">
    <w:nsid w:val="5BAB00E1"/>
    <w:multiLevelType w:val="hybridMultilevel"/>
    <w:tmpl w:val="977CD664"/>
    <w:lvl w:ilvl="0" w:tplc="3350F0CA">
      <w:start w:val="1"/>
      <w:numFmt w:val="decimal"/>
      <w:lvlText w:val="%1."/>
      <w:lvlJc w:val="left"/>
      <w:pPr>
        <w:ind w:left="1689" w:hanging="555"/>
      </w:pPr>
      <w:rPr>
        <w:rFonts w:ascii="Times New Roman" w:hAnsi="Times New Roman" w:hint="default"/>
        <w:b w:val="0"/>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5D4D114C"/>
    <w:multiLevelType w:val="hybridMultilevel"/>
    <w:tmpl w:val="6248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2861D5"/>
    <w:multiLevelType w:val="hybridMultilevel"/>
    <w:tmpl w:val="E954FD0C"/>
    <w:lvl w:ilvl="0" w:tplc="0CCC5D70">
      <w:start w:val="1"/>
      <w:numFmt w:val="decimal"/>
      <w:lvlText w:val="%1."/>
      <w:lvlJc w:val="left"/>
      <w:pPr>
        <w:ind w:left="1744" w:hanging="480"/>
      </w:pPr>
      <w:rPr>
        <w:rFonts w:hint="default"/>
      </w:rPr>
    </w:lvl>
    <w:lvl w:ilvl="1" w:tplc="100C0019" w:tentative="1">
      <w:start w:val="1"/>
      <w:numFmt w:val="lowerLetter"/>
      <w:lvlText w:val="%2."/>
      <w:lvlJc w:val="left"/>
      <w:pPr>
        <w:ind w:left="2344" w:hanging="360"/>
      </w:pPr>
    </w:lvl>
    <w:lvl w:ilvl="2" w:tplc="100C001B" w:tentative="1">
      <w:start w:val="1"/>
      <w:numFmt w:val="lowerRoman"/>
      <w:lvlText w:val="%3."/>
      <w:lvlJc w:val="right"/>
      <w:pPr>
        <w:ind w:left="3064" w:hanging="180"/>
      </w:pPr>
    </w:lvl>
    <w:lvl w:ilvl="3" w:tplc="100C000F" w:tentative="1">
      <w:start w:val="1"/>
      <w:numFmt w:val="decimal"/>
      <w:lvlText w:val="%4."/>
      <w:lvlJc w:val="left"/>
      <w:pPr>
        <w:ind w:left="3784" w:hanging="360"/>
      </w:pPr>
    </w:lvl>
    <w:lvl w:ilvl="4" w:tplc="100C0019" w:tentative="1">
      <w:start w:val="1"/>
      <w:numFmt w:val="lowerLetter"/>
      <w:lvlText w:val="%5."/>
      <w:lvlJc w:val="left"/>
      <w:pPr>
        <w:ind w:left="4504" w:hanging="360"/>
      </w:pPr>
    </w:lvl>
    <w:lvl w:ilvl="5" w:tplc="100C001B" w:tentative="1">
      <w:start w:val="1"/>
      <w:numFmt w:val="lowerRoman"/>
      <w:lvlText w:val="%6."/>
      <w:lvlJc w:val="right"/>
      <w:pPr>
        <w:ind w:left="5224" w:hanging="180"/>
      </w:pPr>
    </w:lvl>
    <w:lvl w:ilvl="6" w:tplc="100C000F" w:tentative="1">
      <w:start w:val="1"/>
      <w:numFmt w:val="decimal"/>
      <w:lvlText w:val="%7."/>
      <w:lvlJc w:val="left"/>
      <w:pPr>
        <w:ind w:left="5944" w:hanging="360"/>
      </w:pPr>
    </w:lvl>
    <w:lvl w:ilvl="7" w:tplc="100C0019" w:tentative="1">
      <w:start w:val="1"/>
      <w:numFmt w:val="lowerLetter"/>
      <w:lvlText w:val="%8."/>
      <w:lvlJc w:val="left"/>
      <w:pPr>
        <w:ind w:left="6664" w:hanging="360"/>
      </w:pPr>
    </w:lvl>
    <w:lvl w:ilvl="8" w:tplc="100C001B" w:tentative="1">
      <w:start w:val="1"/>
      <w:numFmt w:val="lowerRoman"/>
      <w:lvlText w:val="%9."/>
      <w:lvlJc w:val="right"/>
      <w:pPr>
        <w:ind w:left="7384" w:hanging="180"/>
      </w:pPr>
    </w:lvl>
  </w:abstractNum>
  <w:abstractNum w:abstractNumId="3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nsid w:val="71466799"/>
    <w:multiLevelType w:val="hybridMultilevel"/>
    <w:tmpl w:val="A65452D0"/>
    <w:lvl w:ilvl="0" w:tplc="381023CC">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32">
    <w:nsid w:val="7ACA6D8F"/>
    <w:multiLevelType w:val="hybridMultilevel"/>
    <w:tmpl w:val="C0CE1940"/>
    <w:lvl w:ilvl="0" w:tplc="6FE05FC2">
      <w:start w:val="1"/>
      <w:numFmt w:val="decimal"/>
      <w:lvlText w:val="%1."/>
      <w:lvlJc w:val="left"/>
      <w:pPr>
        <w:ind w:left="1689" w:hanging="555"/>
      </w:pPr>
      <w:rPr>
        <w:rFonts w:ascii="Times New Roman" w:hAnsi="Times New Roman" w:hint="default"/>
        <w:b w:val="0"/>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F3A3449"/>
    <w:multiLevelType w:val="hybridMultilevel"/>
    <w:tmpl w:val="01069644"/>
    <w:lvl w:ilvl="0" w:tplc="95AED52C">
      <w:start w:val="1"/>
      <w:numFmt w:val="decimal"/>
      <w:lvlText w:val="%1."/>
      <w:lvlJc w:val="left"/>
      <w:pPr>
        <w:ind w:left="2953" w:hanging="555"/>
      </w:pPr>
      <w:rPr>
        <w:rFonts w:hint="default"/>
      </w:rPr>
    </w:lvl>
    <w:lvl w:ilvl="1" w:tplc="100C0019" w:tentative="1">
      <w:start w:val="1"/>
      <w:numFmt w:val="lowerLetter"/>
      <w:lvlText w:val="%2."/>
      <w:lvlJc w:val="left"/>
      <w:pPr>
        <w:ind w:left="2704" w:hanging="360"/>
      </w:pPr>
    </w:lvl>
    <w:lvl w:ilvl="2" w:tplc="100C001B" w:tentative="1">
      <w:start w:val="1"/>
      <w:numFmt w:val="lowerRoman"/>
      <w:lvlText w:val="%3."/>
      <w:lvlJc w:val="right"/>
      <w:pPr>
        <w:ind w:left="3424" w:hanging="180"/>
      </w:pPr>
    </w:lvl>
    <w:lvl w:ilvl="3" w:tplc="100C000F" w:tentative="1">
      <w:start w:val="1"/>
      <w:numFmt w:val="decimal"/>
      <w:lvlText w:val="%4."/>
      <w:lvlJc w:val="left"/>
      <w:pPr>
        <w:ind w:left="4144" w:hanging="360"/>
      </w:pPr>
    </w:lvl>
    <w:lvl w:ilvl="4" w:tplc="100C0019" w:tentative="1">
      <w:start w:val="1"/>
      <w:numFmt w:val="lowerLetter"/>
      <w:lvlText w:val="%5."/>
      <w:lvlJc w:val="left"/>
      <w:pPr>
        <w:ind w:left="4864" w:hanging="360"/>
      </w:pPr>
    </w:lvl>
    <w:lvl w:ilvl="5" w:tplc="100C001B" w:tentative="1">
      <w:start w:val="1"/>
      <w:numFmt w:val="lowerRoman"/>
      <w:lvlText w:val="%6."/>
      <w:lvlJc w:val="right"/>
      <w:pPr>
        <w:ind w:left="5584" w:hanging="180"/>
      </w:pPr>
    </w:lvl>
    <w:lvl w:ilvl="6" w:tplc="100C000F" w:tentative="1">
      <w:start w:val="1"/>
      <w:numFmt w:val="decimal"/>
      <w:lvlText w:val="%7."/>
      <w:lvlJc w:val="left"/>
      <w:pPr>
        <w:ind w:left="6304" w:hanging="360"/>
      </w:pPr>
    </w:lvl>
    <w:lvl w:ilvl="7" w:tplc="100C0019" w:tentative="1">
      <w:start w:val="1"/>
      <w:numFmt w:val="lowerLetter"/>
      <w:lvlText w:val="%8."/>
      <w:lvlJc w:val="left"/>
      <w:pPr>
        <w:ind w:left="7024" w:hanging="360"/>
      </w:pPr>
    </w:lvl>
    <w:lvl w:ilvl="8" w:tplc="100C001B" w:tentative="1">
      <w:start w:val="1"/>
      <w:numFmt w:val="lowerRoman"/>
      <w:lvlText w:val="%9."/>
      <w:lvlJc w:val="right"/>
      <w:pPr>
        <w:ind w:left="7744" w:hanging="180"/>
      </w:pPr>
    </w:lvl>
  </w:abstractNum>
  <w:num w:numId="1">
    <w:abstractNumId w:val="30"/>
  </w:num>
  <w:num w:numId="2">
    <w:abstractNumId w:val="20"/>
  </w:num>
  <w:num w:numId="3">
    <w:abstractNumId w:val="22"/>
  </w:num>
  <w:num w:numId="4">
    <w:abstractNumId w:val="25"/>
  </w:num>
  <w:num w:numId="5">
    <w:abstractNumId w:val="23"/>
  </w:num>
  <w:num w:numId="6">
    <w:abstractNumId w:val="18"/>
  </w:num>
  <w:num w:numId="7">
    <w:abstractNumId w:val="17"/>
  </w:num>
  <w:num w:numId="8">
    <w:abstractNumId w:val="33"/>
  </w:num>
  <w:num w:numId="9">
    <w:abstractNumId w:val="12"/>
  </w:num>
  <w:num w:numId="10">
    <w:abstractNumId w:val="28"/>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6"/>
  </w:num>
  <w:num w:numId="22">
    <w:abstractNumId w:val="31"/>
  </w:num>
  <w:num w:numId="23">
    <w:abstractNumId w:val="10"/>
  </w:num>
  <w:num w:numId="24">
    <w:abstractNumId w:val="21"/>
  </w:num>
  <w:num w:numId="25">
    <w:abstractNumId w:val="16"/>
  </w:num>
  <w:num w:numId="26">
    <w:abstractNumId w:val="11"/>
  </w:num>
  <w:num w:numId="27">
    <w:abstractNumId w:val="14"/>
  </w:num>
  <w:num w:numId="28">
    <w:abstractNumId w:val="15"/>
  </w:num>
  <w:num w:numId="29">
    <w:abstractNumId w:val="19"/>
  </w:num>
  <w:num w:numId="30">
    <w:abstractNumId w:val="34"/>
  </w:num>
  <w:num w:numId="31">
    <w:abstractNumId w:val="29"/>
  </w:num>
  <w:num w:numId="32">
    <w:abstractNumId w:val="13"/>
  </w:num>
  <w:num w:numId="33">
    <w:abstractNumId w:val="27"/>
  </w:num>
  <w:num w:numId="34">
    <w:abstractNumId w:val="24"/>
  </w:num>
  <w:num w:numId="35">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6C"/>
    <w:rsid w:val="00016AC5"/>
    <w:rsid w:val="000211DB"/>
    <w:rsid w:val="000219A2"/>
    <w:rsid w:val="00030ADE"/>
    <w:rsid w:val="000312C0"/>
    <w:rsid w:val="0003582F"/>
    <w:rsid w:val="00044A95"/>
    <w:rsid w:val="00093723"/>
    <w:rsid w:val="000B29BE"/>
    <w:rsid w:val="000F41F2"/>
    <w:rsid w:val="00110AF7"/>
    <w:rsid w:val="00135C0D"/>
    <w:rsid w:val="00147622"/>
    <w:rsid w:val="00160540"/>
    <w:rsid w:val="0017182C"/>
    <w:rsid w:val="00177007"/>
    <w:rsid w:val="00184F98"/>
    <w:rsid w:val="00186EE9"/>
    <w:rsid w:val="00192EEB"/>
    <w:rsid w:val="001A09A0"/>
    <w:rsid w:val="001A20FB"/>
    <w:rsid w:val="001A7E72"/>
    <w:rsid w:val="001B6F40"/>
    <w:rsid w:val="001D166C"/>
    <w:rsid w:val="001D2918"/>
    <w:rsid w:val="001D42D9"/>
    <w:rsid w:val="001D5C41"/>
    <w:rsid w:val="001D7F8A"/>
    <w:rsid w:val="001E3FEB"/>
    <w:rsid w:val="001E4A02"/>
    <w:rsid w:val="00223B89"/>
    <w:rsid w:val="00225A8C"/>
    <w:rsid w:val="00232F12"/>
    <w:rsid w:val="0024230B"/>
    <w:rsid w:val="002438E0"/>
    <w:rsid w:val="002562D6"/>
    <w:rsid w:val="00257F1B"/>
    <w:rsid w:val="002659F1"/>
    <w:rsid w:val="00266618"/>
    <w:rsid w:val="00271C7C"/>
    <w:rsid w:val="00273A37"/>
    <w:rsid w:val="00280CAB"/>
    <w:rsid w:val="00287E79"/>
    <w:rsid w:val="00290A9D"/>
    <w:rsid w:val="002928F9"/>
    <w:rsid w:val="002A3CFD"/>
    <w:rsid w:val="002A5D07"/>
    <w:rsid w:val="002D73FE"/>
    <w:rsid w:val="003016B7"/>
    <w:rsid w:val="00330F9C"/>
    <w:rsid w:val="003374BD"/>
    <w:rsid w:val="00340C35"/>
    <w:rsid w:val="00350715"/>
    <w:rsid w:val="003515AA"/>
    <w:rsid w:val="00370E0F"/>
    <w:rsid w:val="00371819"/>
    <w:rsid w:val="00374106"/>
    <w:rsid w:val="003976D5"/>
    <w:rsid w:val="003C4610"/>
    <w:rsid w:val="003D1DF3"/>
    <w:rsid w:val="003D46A7"/>
    <w:rsid w:val="003D6C68"/>
    <w:rsid w:val="003F115C"/>
    <w:rsid w:val="0040463D"/>
    <w:rsid w:val="004159D0"/>
    <w:rsid w:val="004249E7"/>
    <w:rsid w:val="00446F3A"/>
    <w:rsid w:val="00453B9A"/>
    <w:rsid w:val="00463E86"/>
    <w:rsid w:val="004E668B"/>
    <w:rsid w:val="004F0E28"/>
    <w:rsid w:val="004F3C3E"/>
    <w:rsid w:val="00527601"/>
    <w:rsid w:val="00543D5E"/>
    <w:rsid w:val="0056566D"/>
    <w:rsid w:val="00571F41"/>
    <w:rsid w:val="00582665"/>
    <w:rsid w:val="005A1BB1"/>
    <w:rsid w:val="005B76A3"/>
    <w:rsid w:val="005E45EA"/>
    <w:rsid w:val="005E5D1F"/>
    <w:rsid w:val="005E781A"/>
    <w:rsid w:val="00603391"/>
    <w:rsid w:val="00611D43"/>
    <w:rsid w:val="00612D48"/>
    <w:rsid w:val="00616B45"/>
    <w:rsid w:val="0061778D"/>
    <w:rsid w:val="00620688"/>
    <w:rsid w:val="00630D9B"/>
    <w:rsid w:val="00631953"/>
    <w:rsid w:val="00633E1A"/>
    <w:rsid w:val="00634946"/>
    <w:rsid w:val="006439EC"/>
    <w:rsid w:val="0067315C"/>
    <w:rsid w:val="00673A16"/>
    <w:rsid w:val="0068050B"/>
    <w:rsid w:val="006A0641"/>
    <w:rsid w:val="006B4590"/>
    <w:rsid w:val="006B47E0"/>
    <w:rsid w:val="006C340C"/>
    <w:rsid w:val="006D5980"/>
    <w:rsid w:val="006E3602"/>
    <w:rsid w:val="006E5FC7"/>
    <w:rsid w:val="0070347C"/>
    <w:rsid w:val="007156EE"/>
    <w:rsid w:val="007176C1"/>
    <w:rsid w:val="00725B05"/>
    <w:rsid w:val="007745E1"/>
    <w:rsid w:val="00787469"/>
    <w:rsid w:val="00790F2F"/>
    <w:rsid w:val="00794B72"/>
    <w:rsid w:val="00796609"/>
    <w:rsid w:val="007A4C68"/>
    <w:rsid w:val="007E64F2"/>
    <w:rsid w:val="007F248F"/>
    <w:rsid w:val="007F5077"/>
    <w:rsid w:val="007F55CB"/>
    <w:rsid w:val="00812C1A"/>
    <w:rsid w:val="00826B30"/>
    <w:rsid w:val="008317F6"/>
    <w:rsid w:val="008323C2"/>
    <w:rsid w:val="008365F0"/>
    <w:rsid w:val="00841D36"/>
    <w:rsid w:val="00844750"/>
    <w:rsid w:val="00845747"/>
    <w:rsid w:val="008503E2"/>
    <w:rsid w:val="00856BDA"/>
    <w:rsid w:val="008A3CD9"/>
    <w:rsid w:val="008B3D3F"/>
    <w:rsid w:val="008B44C4"/>
    <w:rsid w:val="008B7879"/>
    <w:rsid w:val="008C1EE5"/>
    <w:rsid w:val="008C4845"/>
    <w:rsid w:val="008C5E21"/>
    <w:rsid w:val="008E7FAE"/>
    <w:rsid w:val="008F09D1"/>
    <w:rsid w:val="00911BF7"/>
    <w:rsid w:val="00977EC8"/>
    <w:rsid w:val="009863EA"/>
    <w:rsid w:val="009900ED"/>
    <w:rsid w:val="009A7345"/>
    <w:rsid w:val="009C022A"/>
    <w:rsid w:val="009D3A8C"/>
    <w:rsid w:val="009E7956"/>
    <w:rsid w:val="00A2492E"/>
    <w:rsid w:val="00A50B5F"/>
    <w:rsid w:val="00A51B41"/>
    <w:rsid w:val="00A6313E"/>
    <w:rsid w:val="00A64042"/>
    <w:rsid w:val="00A70163"/>
    <w:rsid w:val="00A72AE6"/>
    <w:rsid w:val="00A87B19"/>
    <w:rsid w:val="00A92431"/>
    <w:rsid w:val="00AA41E6"/>
    <w:rsid w:val="00AC67A1"/>
    <w:rsid w:val="00AC7381"/>
    <w:rsid w:val="00AC7977"/>
    <w:rsid w:val="00AE352C"/>
    <w:rsid w:val="00AF74A8"/>
    <w:rsid w:val="00B32E2D"/>
    <w:rsid w:val="00B40903"/>
    <w:rsid w:val="00B4466B"/>
    <w:rsid w:val="00B61990"/>
    <w:rsid w:val="00B668EF"/>
    <w:rsid w:val="00B76E66"/>
    <w:rsid w:val="00B85D99"/>
    <w:rsid w:val="00B934F0"/>
    <w:rsid w:val="00BB2E94"/>
    <w:rsid w:val="00BD04A0"/>
    <w:rsid w:val="00BF0556"/>
    <w:rsid w:val="00BF3224"/>
    <w:rsid w:val="00C0669C"/>
    <w:rsid w:val="00C16EC6"/>
    <w:rsid w:val="00C261F8"/>
    <w:rsid w:val="00C33100"/>
    <w:rsid w:val="00C372E1"/>
    <w:rsid w:val="00C940E9"/>
    <w:rsid w:val="00CA3027"/>
    <w:rsid w:val="00CD13C4"/>
    <w:rsid w:val="00CD1A71"/>
    <w:rsid w:val="00CD1FBB"/>
    <w:rsid w:val="00CD7FCA"/>
    <w:rsid w:val="00CE1566"/>
    <w:rsid w:val="00CF4876"/>
    <w:rsid w:val="00D016B5"/>
    <w:rsid w:val="00D034F1"/>
    <w:rsid w:val="00D11B17"/>
    <w:rsid w:val="00D16897"/>
    <w:rsid w:val="00D27D5E"/>
    <w:rsid w:val="00D62E5A"/>
    <w:rsid w:val="00D6419E"/>
    <w:rsid w:val="00D847CD"/>
    <w:rsid w:val="00D86941"/>
    <w:rsid w:val="00D960BF"/>
    <w:rsid w:val="00DA43D5"/>
    <w:rsid w:val="00DA57D4"/>
    <w:rsid w:val="00DB4793"/>
    <w:rsid w:val="00DB69AB"/>
    <w:rsid w:val="00DE01E3"/>
    <w:rsid w:val="00DE6D90"/>
    <w:rsid w:val="00DF002F"/>
    <w:rsid w:val="00E0244D"/>
    <w:rsid w:val="00E34712"/>
    <w:rsid w:val="00E36A49"/>
    <w:rsid w:val="00E55D71"/>
    <w:rsid w:val="00E81E94"/>
    <w:rsid w:val="00E82607"/>
    <w:rsid w:val="00E8324D"/>
    <w:rsid w:val="00EA31C2"/>
    <w:rsid w:val="00EE2EA3"/>
    <w:rsid w:val="00F01516"/>
    <w:rsid w:val="00F21725"/>
    <w:rsid w:val="00F320A1"/>
    <w:rsid w:val="00F3415D"/>
    <w:rsid w:val="00F471E6"/>
    <w:rsid w:val="00F515A8"/>
    <w:rsid w:val="00F56368"/>
    <w:rsid w:val="00F57129"/>
    <w:rsid w:val="00F7751C"/>
    <w:rsid w:val="00F966EA"/>
    <w:rsid w:val="00FA5A79"/>
    <w:rsid w:val="00FB0BFE"/>
    <w:rsid w:val="00FB4C51"/>
    <w:rsid w:val="00FC6808"/>
    <w:rsid w:val="00FE3803"/>
    <w:rsid w:val="00FF01B0"/>
    <w:rsid w:val="00FF1DBD"/>
    <w:rsid w:val="00FF533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69C"/>
    <w:pPr>
      <w:suppressAutoHyphens/>
      <w:spacing w:line="240" w:lineRule="atLeast"/>
    </w:pPr>
    <w:rPr>
      <w:lang w:eastAsia="en-US"/>
    </w:rPr>
  </w:style>
  <w:style w:type="paragraph" w:styleId="Titre1">
    <w:name w:val="heading 1"/>
    <w:aliases w:val="Table_G"/>
    <w:basedOn w:val="SingleTxtG"/>
    <w:next w:val="SingleTxtG"/>
    <w:link w:val="Titre1Car"/>
    <w:qFormat/>
    <w:rsid w:val="00C0669C"/>
    <w:pPr>
      <w:keepNext/>
      <w:keepLines/>
      <w:spacing w:after="0" w:line="240" w:lineRule="auto"/>
      <w:ind w:right="0"/>
      <w:jc w:val="left"/>
      <w:outlineLvl w:val="0"/>
    </w:pPr>
  </w:style>
  <w:style w:type="paragraph" w:styleId="Titre2">
    <w:name w:val="heading 2"/>
    <w:basedOn w:val="Normal"/>
    <w:next w:val="Normal"/>
    <w:link w:val="Titre2Car"/>
    <w:qFormat/>
    <w:rsid w:val="00C0669C"/>
    <w:pPr>
      <w:outlineLvl w:val="1"/>
    </w:pPr>
  </w:style>
  <w:style w:type="paragraph" w:styleId="Titre3">
    <w:name w:val="heading 3"/>
    <w:basedOn w:val="Normal"/>
    <w:next w:val="Normal"/>
    <w:link w:val="Titre3Car"/>
    <w:qFormat/>
    <w:rsid w:val="00C0669C"/>
    <w:pPr>
      <w:outlineLvl w:val="2"/>
    </w:pPr>
  </w:style>
  <w:style w:type="paragraph" w:styleId="Titre4">
    <w:name w:val="heading 4"/>
    <w:basedOn w:val="Normal"/>
    <w:next w:val="Normal"/>
    <w:link w:val="Titre4Car"/>
    <w:qFormat/>
    <w:rsid w:val="00C0669C"/>
    <w:pPr>
      <w:outlineLvl w:val="3"/>
    </w:pPr>
  </w:style>
  <w:style w:type="paragraph" w:styleId="Titre5">
    <w:name w:val="heading 5"/>
    <w:basedOn w:val="Normal"/>
    <w:next w:val="Normal"/>
    <w:link w:val="Titre5Car"/>
    <w:qFormat/>
    <w:rsid w:val="00C0669C"/>
    <w:pPr>
      <w:outlineLvl w:val="4"/>
    </w:pPr>
  </w:style>
  <w:style w:type="paragraph" w:styleId="Titre6">
    <w:name w:val="heading 6"/>
    <w:basedOn w:val="Normal"/>
    <w:next w:val="Normal"/>
    <w:link w:val="Titre6Car"/>
    <w:qFormat/>
    <w:rsid w:val="00C0669C"/>
    <w:pPr>
      <w:outlineLvl w:val="5"/>
    </w:pPr>
  </w:style>
  <w:style w:type="paragraph" w:styleId="Titre7">
    <w:name w:val="heading 7"/>
    <w:basedOn w:val="Normal"/>
    <w:next w:val="Normal"/>
    <w:link w:val="Titre7Car"/>
    <w:qFormat/>
    <w:rsid w:val="00C0669C"/>
    <w:pPr>
      <w:outlineLvl w:val="6"/>
    </w:pPr>
  </w:style>
  <w:style w:type="paragraph" w:styleId="Titre8">
    <w:name w:val="heading 8"/>
    <w:basedOn w:val="Normal"/>
    <w:next w:val="Normal"/>
    <w:link w:val="Titre8Car"/>
    <w:qFormat/>
    <w:rsid w:val="00C0669C"/>
    <w:pPr>
      <w:outlineLvl w:val="7"/>
    </w:pPr>
  </w:style>
  <w:style w:type="paragraph" w:styleId="Titre9">
    <w:name w:val="heading 9"/>
    <w:basedOn w:val="Normal"/>
    <w:next w:val="Normal"/>
    <w:link w:val="Titre9Car"/>
    <w:qFormat/>
    <w:rsid w:val="00C0669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C0669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0669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0669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0669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0669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0669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C0669C"/>
    <w:pPr>
      <w:spacing w:after="120"/>
      <w:ind w:left="1134" w:right="1134"/>
      <w:jc w:val="both"/>
    </w:pPr>
  </w:style>
  <w:style w:type="paragraph" w:customStyle="1" w:styleId="SLG">
    <w:name w:val="__S_L_G"/>
    <w:basedOn w:val="Normal"/>
    <w:next w:val="Normal"/>
    <w:rsid w:val="00C0669C"/>
    <w:pPr>
      <w:keepNext/>
      <w:keepLines/>
      <w:spacing w:before="240" w:after="240" w:line="580" w:lineRule="exact"/>
      <w:ind w:left="1134" w:right="1134"/>
    </w:pPr>
    <w:rPr>
      <w:b/>
      <w:sz w:val="56"/>
    </w:rPr>
  </w:style>
  <w:style w:type="paragraph" w:customStyle="1" w:styleId="SMG">
    <w:name w:val="__S_M_G"/>
    <w:basedOn w:val="Normal"/>
    <w:next w:val="Normal"/>
    <w:rsid w:val="00C0669C"/>
    <w:pPr>
      <w:keepNext/>
      <w:keepLines/>
      <w:spacing w:before="240" w:after="240" w:line="420" w:lineRule="exact"/>
      <w:ind w:left="1134" w:right="1134"/>
    </w:pPr>
    <w:rPr>
      <w:b/>
      <w:sz w:val="40"/>
    </w:rPr>
  </w:style>
  <w:style w:type="paragraph" w:customStyle="1" w:styleId="SSG">
    <w:name w:val="__S_S_G"/>
    <w:basedOn w:val="Normal"/>
    <w:next w:val="Normal"/>
    <w:rsid w:val="00C0669C"/>
    <w:pPr>
      <w:keepNext/>
      <w:keepLines/>
      <w:spacing w:before="240" w:after="240" w:line="300" w:lineRule="exact"/>
      <w:ind w:left="1134" w:right="1134"/>
    </w:pPr>
    <w:rPr>
      <w:b/>
      <w:sz w:val="28"/>
    </w:rPr>
  </w:style>
  <w:style w:type="paragraph" w:customStyle="1" w:styleId="XLargeG">
    <w:name w:val="__XLarge_G"/>
    <w:basedOn w:val="Normal"/>
    <w:next w:val="Normal"/>
    <w:rsid w:val="00C0669C"/>
    <w:pPr>
      <w:keepNext/>
      <w:keepLines/>
      <w:spacing w:before="240" w:after="240" w:line="420" w:lineRule="exact"/>
      <w:ind w:left="1134" w:right="1134"/>
    </w:pPr>
    <w:rPr>
      <w:b/>
      <w:sz w:val="40"/>
    </w:rPr>
  </w:style>
  <w:style w:type="paragraph" w:customStyle="1" w:styleId="Bullet1G">
    <w:name w:val="_Bullet 1_G"/>
    <w:basedOn w:val="Normal"/>
    <w:qFormat/>
    <w:rsid w:val="00C0669C"/>
    <w:pPr>
      <w:numPr>
        <w:numId w:val="1"/>
      </w:numPr>
      <w:spacing w:after="120"/>
      <w:ind w:right="1134"/>
      <w:jc w:val="both"/>
    </w:pPr>
  </w:style>
  <w:style w:type="paragraph" w:customStyle="1" w:styleId="Bullet2G">
    <w:name w:val="_Bullet 2_G"/>
    <w:basedOn w:val="Normal"/>
    <w:qFormat/>
    <w:rsid w:val="00C0669C"/>
    <w:pPr>
      <w:numPr>
        <w:numId w:val="2"/>
      </w:numPr>
      <w:spacing w:after="120"/>
      <w:ind w:right="1134"/>
      <w:jc w:val="both"/>
    </w:pPr>
  </w:style>
  <w:style w:type="character" w:styleId="Appelnotedebasdep">
    <w:name w:val="footnote reference"/>
    <w:aliases w:val="4_G"/>
    <w:basedOn w:val="Policepardfaut"/>
    <w:qFormat/>
    <w:rsid w:val="00C0669C"/>
    <w:rPr>
      <w:rFonts w:ascii="Times New Roman" w:hAnsi="Times New Roman"/>
      <w:sz w:val="18"/>
      <w:vertAlign w:val="superscript"/>
      <w:lang w:val="fr-CH"/>
    </w:rPr>
  </w:style>
  <w:style w:type="character" w:styleId="Appeldenotedefin">
    <w:name w:val="endnote reference"/>
    <w:aliases w:val="1_G"/>
    <w:basedOn w:val="Appelnotedebasdep"/>
    <w:qFormat/>
    <w:rsid w:val="00C0669C"/>
    <w:rPr>
      <w:rFonts w:ascii="Times New Roman" w:hAnsi="Times New Roman"/>
      <w:sz w:val="18"/>
      <w:vertAlign w:val="superscript"/>
      <w:lang w:val="fr-CH"/>
    </w:rPr>
  </w:style>
  <w:style w:type="paragraph" w:styleId="En-tte">
    <w:name w:val="header"/>
    <w:aliases w:val="6_G"/>
    <w:basedOn w:val="Normal"/>
    <w:next w:val="Normal"/>
    <w:link w:val="En-tteCar"/>
    <w:qFormat/>
    <w:rsid w:val="00C0669C"/>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C0669C"/>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qFormat/>
    <w:rsid w:val="00C0669C"/>
  </w:style>
  <w:style w:type="character" w:styleId="Numrodepage">
    <w:name w:val="page number"/>
    <w:aliases w:val="7_G"/>
    <w:basedOn w:val="Policepardfaut"/>
    <w:qFormat/>
    <w:rsid w:val="00C0669C"/>
    <w:rPr>
      <w:rFonts w:ascii="Times New Roman" w:hAnsi="Times New Roman"/>
      <w:b/>
      <w:sz w:val="18"/>
      <w:lang w:val="fr-CH"/>
    </w:rPr>
  </w:style>
  <w:style w:type="paragraph" w:styleId="Pieddepage">
    <w:name w:val="footer"/>
    <w:aliases w:val="3_G"/>
    <w:basedOn w:val="Normal"/>
    <w:next w:val="Normal"/>
    <w:link w:val="PieddepageCar"/>
    <w:qFormat/>
    <w:rsid w:val="00C0669C"/>
    <w:pPr>
      <w:spacing w:line="240" w:lineRule="auto"/>
    </w:pPr>
    <w:rPr>
      <w:sz w:val="16"/>
    </w:rPr>
  </w:style>
  <w:style w:type="character" w:styleId="Lienhypertexte">
    <w:name w:val="Hyperlink"/>
    <w:basedOn w:val="Policepardfaut"/>
    <w:rsid w:val="00C0669C"/>
    <w:rPr>
      <w:color w:val="auto"/>
      <w:u w:val="none"/>
    </w:rPr>
  </w:style>
  <w:style w:type="character" w:styleId="Lienhypertextesuivivisit">
    <w:name w:val="FollowedHyperlink"/>
    <w:basedOn w:val="Policepardfaut"/>
    <w:rsid w:val="00C0669C"/>
    <w:rPr>
      <w:color w:val="auto"/>
      <w:u w:val="none"/>
    </w:rPr>
  </w:style>
  <w:style w:type="table" w:styleId="Grilledetableau1">
    <w:name w:val="Table Grid 1"/>
    <w:basedOn w:val="TableauNormal"/>
    <w:semiHidden/>
    <w:rsid w:val="00C0669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rsid w:val="00C0669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rsid w:val="00C0669C"/>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C0669C"/>
    <w:rPr>
      <w:rFonts w:ascii="Tahoma" w:hAnsi="Tahoma" w:cs="Tahoma"/>
      <w:sz w:val="16"/>
      <w:szCs w:val="16"/>
      <w:lang w:eastAsia="en-US"/>
    </w:rPr>
  </w:style>
  <w:style w:type="character" w:customStyle="1" w:styleId="En-tteCar">
    <w:name w:val="En-tête Car"/>
    <w:aliases w:val="6_G Car"/>
    <w:basedOn w:val="Policepardfaut"/>
    <w:link w:val="En-tte"/>
    <w:rsid w:val="00C0669C"/>
    <w:rPr>
      <w:b/>
      <w:sz w:val="18"/>
      <w:lang w:eastAsia="en-US"/>
    </w:rPr>
  </w:style>
  <w:style w:type="character" w:customStyle="1" w:styleId="PieddepageCar">
    <w:name w:val="Pied de page Car"/>
    <w:aliases w:val="3_G Car"/>
    <w:basedOn w:val="Policepardfaut"/>
    <w:link w:val="Pieddepage"/>
    <w:rsid w:val="00C0669C"/>
    <w:rPr>
      <w:sz w:val="16"/>
      <w:lang w:eastAsia="en-US"/>
    </w:rPr>
  </w:style>
  <w:style w:type="paragraph" w:customStyle="1" w:styleId="ParNoG">
    <w:name w:val="_ParNo_G"/>
    <w:basedOn w:val="Normal"/>
    <w:qFormat/>
    <w:rsid w:val="00C0669C"/>
    <w:pPr>
      <w:numPr>
        <w:numId w:val="9"/>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customStyle="1" w:styleId="NotedebasdepageCar">
    <w:name w:val="Note de bas de page Car"/>
    <w:aliases w:val="5_G Car"/>
    <w:basedOn w:val="Policepardfaut"/>
    <w:link w:val="Notedebasdepage"/>
    <w:rsid w:val="00C0669C"/>
    <w:rPr>
      <w:sz w:val="18"/>
      <w:lang w:eastAsia="en-US"/>
    </w:rPr>
  </w:style>
  <w:style w:type="character" w:customStyle="1" w:styleId="NotedefinCar">
    <w:name w:val="Note de fin Car"/>
    <w:aliases w:val="2_G Car"/>
    <w:basedOn w:val="Policepardfaut"/>
    <w:link w:val="Notedefin"/>
    <w:rsid w:val="00C0669C"/>
    <w:rPr>
      <w:sz w:val="18"/>
      <w:lang w:eastAsia="en-US"/>
    </w:rPr>
  </w:style>
  <w:style w:type="character" w:customStyle="1" w:styleId="Titre1Car">
    <w:name w:val="Titre 1 Car"/>
    <w:aliases w:val="Table_G Car"/>
    <w:basedOn w:val="Policepardfaut"/>
    <w:link w:val="Titre1"/>
    <w:rsid w:val="00C0669C"/>
    <w:rPr>
      <w:lang w:eastAsia="en-US"/>
    </w:rPr>
  </w:style>
  <w:style w:type="character" w:customStyle="1" w:styleId="Titre2Car">
    <w:name w:val="Titre 2 Car"/>
    <w:basedOn w:val="Policepardfaut"/>
    <w:link w:val="Titre2"/>
    <w:rsid w:val="00C0669C"/>
    <w:rPr>
      <w:lang w:eastAsia="en-US"/>
    </w:rPr>
  </w:style>
  <w:style w:type="character" w:customStyle="1" w:styleId="Titre3Car">
    <w:name w:val="Titre 3 Car"/>
    <w:basedOn w:val="Policepardfaut"/>
    <w:link w:val="Titre3"/>
    <w:rsid w:val="00C0669C"/>
    <w:rPr>
      <w:lang w:eastAsia="en-US"/>
    </w:rPr>
  </w:style>
  <w:style w:type="character" w:customStyle="1" w:styleId="Titre4Car">
    <w:name w:val="Titre 4 Car"/>
    <w:basedOn w:val="Policepardfaut"/>
    <w:link w:val="Titre4"/>
    <w:rsid w:val="00C0669C"/>
    <w:rPr>
      <w:lang w:eastAsia="en-US"/>
    </w:rPr>
  </w:style>
  <w:style w:type="character" w:customStyle="1" w:styleId="Titre5Car">
    <w:name w:val="Titre 5 Car"/>
    <w:basedOn w:val="Policepardfaut"/>
    <w:link w:val="Titre5"/>
    <w:rsid w:val="00C0669C"/>
    <w:rPr>
      <w:lang w:eastAsia="en-US"/>
    </w:rPr>
  </w:style>
  <w:style w:type="character" w:customStyle="1" w:styleId="Titre6Car">
    <w:name w:val="Titre 6 Car"/>
    <w:basedOn w:val="Policepardfaut"/>
    <w:link w:val="Titre6"/>
    <w:rsid w:val="00C0669C"/>
    <w:rPr>
      <w:lang w:eastAsia="en-US"/>
    </w:rPr>
  </w:style>
  <w:style w:type="character" w:customStyle="1" w:styleId="Titre7Car">
    <w:name w:val="Titre 7 Car"/>
    <w:basedOn w:val="Policepardfaut"/>
    <w:link w:val="Titre7"/>
    <w:rsid w:val="00C0669C"/>
    <w:rPr>
      <w:lang w:eastAsia="en-US"/>
    </w:rPr>
  </w:style>
  <w:style w:type="character" w:customStyle="1" w:styleId="Titre8Car">
    <w:name w:val="Titre 8 Car"/>
    <w:basedOn w:val="Policepardfaut"/>
    <w:link w:val="Titre8"/>
    <w:rsid w:val="00C0669C"/>
    <w:rPr>
      <w:lang w:eastAsia="en-US"/>
    </w:rPr>
  </w:style>
  <w:style w:type="paragraph" w:customStyle="1" w:styleId="SingleTxt">
    <w:name w:val="__Single Txt"/>
    <w:basedOn w:val="Normal"/>
    <w:qFormat/>
    <w:rsid w:val="00C0669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Titre9Car">
    <w:name w:val="Titre 9 Car"/>
    <w:basedOn w:val="Policepardfaut"/>
    <w:link w:val="Titre9"/>
    <w:rsid w:val="00C0669C"/>
    <w:rPr>
      <w:lang w:eastAsia="en-US"/>
    </w:rPr>
  </w:style>
  <w:style w:type="paragraph" w:customStyle="1" w:styleId="HCH">
    <w:name w:val="_ H _CH"/>
    <w:basedOn w:val="Normal"/>
    <w:next w:val="SingleTxt"/>
    <w:qFormat/>
    <w:rsid w:val="00C0669C"/>
    <w:pPr>
      <w:keepNext/>
      <w:keepLines/>
      <w:spacing w:line="300" w:lineRule="exact"/>
      <w:outlineLvl w:val="0"/>
    </w:pPr>
    <w:rPr>
      <w:rFonts w:eastAsiaTheme="minorHAnsi"/>
      <w:b/>
      <w:spacing w:val="-2"/>
      <w:w w:val="103"/>
      <w:kern w:val="14"/>
      <w:sz w:val="28"/>
      <w:szCs w:val="22"/>
      <w:lang w:val="fr-CA"/>
    </w:rPr>
  </w:style>
  <w:style w:type="character" w:styleId="Marquedecommentaire">
    <w:name w:val="annotation reference"/>
    <w:rsid w:val="005A1BB1"/>
    <w:rPr>
      <w:sz w:val="16"/>
      <w:szCs w:val="16"/>
    </w:rPr>
  </w:style>
  <w:style w:type="paragraph" w:styleId="Commentaire">
    <w:name w:val="annotation text"/>
    <w:basedOn w:val="Normal"/>
    <w:link w:val="CommentaireCar"/>
    <w:rsid w:val="005A1BB1"/>
    <w:pPr>
      <w:kinsoku w:val="0"/>
      <w:overflowPunct w:val="0"/>
      <w:autoSpaceDE w:val="0"/>
      <w:autoSpaceDN w:val="0"/>
      <w:adjustRightInd w:val="0"/>
      <w:snapToGrid w:val="0"/>
    </w:pPr>
    <w:rPr>
      <w:rFonts w:eastAsia="Calibri"/>
      <w:sz w:val="24"/>
    </w:rPr>
  </w:style>
  <w:style w:type="character" w:customStyle="1" w:styleId="CommentaireCar">
    <w:name w:val="Commentaire Car"/>
    <w:basedOn w:val="Policepardfaut"/>
    <w:link w:val="Commentaire"/>
    <w:rsid w:val="005A1BB1"/>
    <w:rPr>
      <w:rFonts w:eastAsia="Calibri"/>
      <w:sz w:val="24"/>
      <w:lang w:eastAsia="en-US"/>
    </w:rPr>
  </w:style>
  <w:style w:type="paragraph" w:styleId="Objetducommentaire">
    <w:name w:val="annotation subject"/>
    <w:basedOn w:val="Commentaire"/>
    <w:next w:val="Commentaire"/>
    <w:link w:val="ObjetducommentaireCar"/>
    <w:rsid w:val="005A1BB1"/>
    <w:rPr>
      <w:b/>
      <w:bCs/>
    </w:rPr>
  </w:style>
  <w:style w:type="character" w:customStyle="1" w:styleId="ObjetducommentaireCar">
    <w:name w:val="Objet du commentaire Car"/>
    <w:basedOn w:val="CommentaireCar"/>
    <w:link w:val="Objetducommentaire"/>
    <w:rsid w:val="005A1BB1"/>
    <w:rPr>
      <w:rFonts w:eastAsia="Calibri"/>
      <w:b/>
      <w:bCs/>
      <w:sz w:val="24"/>
      <w:lang w:eastAsia="en-US"/>
    </w:rPr>
  </w:style>
  <w:style w:type="paragraph" w:styleId="Paragraphedeliste">
    <w:name w:val="List Paragraph"/>
    <w:basedOn w:val="Normal"/>
    <w:uiPriority w:val="34"/>
    <w:qFormat/>
    <w:rsid w:val="005A1BB1"/>
    <w:pPr>
      <w:kinsoku w:val="0"/>
      <w:overflowPunct w:val="0"/>
      <w:autoSpaceDE w:val="0"/>
      <w:autoSpaceDN w:val="0"/>
      <w:adjustRightInd w:val="0"/>
      <w:snapToGrid w:val="0"/>
      <w:ind w:left="720"/>
      <w:contextualSpacing/>
    </w:pPr>
    <w:rPr>
      <w:rFonts w:eastAsia="Calibri"/>
      <w:sz w:val="24"/>
    </w:rPr>
  </w:style>
  <w:style w:type="paragraph" w:styleId="Rvision">
    <w:name w:val="Revision"/>
    <w:hidden/>
    <w:uiPriority w:val="99"/>
    <w:semiHidden/>
    <w:rsid w:val="00453B9A"/>
    <w:rPr>
      <w:rFonts w:eastAsia="Calibri"/>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69C"/>
    <w:pPr>
      <w:suppressAutoHyphens/>
      <w:spacing w:line="240" w:lineRule="atLeast"/>
    </w:pPr>
    <w:rPr>
      <w:lang w:eastAsia="en-US"/>
    </w:rPr>
  </w:style>
  <w:style w:type="paragraph" w:styleId="Titre1">
    <w:name w:val="heading 1"/>
    <w:aliases w:val="Table_G"/>
    <w:basedOn w:val="SingleTxtG"/>
    <w:next w:val="SingleTxtG"/>
    <w:link w:val="Titre1Car"/>
    <w:qFormat/>
    <w:rsid w:val="00C0669C"/>
    <w:pPr>
      <w:keepNext/>
      <w:keepLines/>
      <w:spacing w:after="0" w:line="240" w:lineRule="auto"/>
      <w:ind w:right="0"/>
      <w:jc w:val="left"/>
      <w:outlineLvl w:val="0"/>
    </w:pPr>
  </w:style>
  <w:style w:type="paragraph" w:styleId="Titre2">
    <w:name w:val="heading 2"/>
    <w:basedOn w:val="Normal"/>
    <w:next w:val="Normal"/>
    <w:link w:val="Titre2Car"/>
    <w:qFormat/>
    <w:rsid w:val="00C0669C"/>
    <w:pPr>
      <w:outlineLvl w:val="1"/>
    </w:pPr>
  </w:style>
  <w:style w:type="paragraph" w:styleId="Titre3">
    <w:name w:val="heading 3"/>
    <w:basedOn w:val="Normal"/>
    <w:next w:val="Normal"/>
    <w:link w:val="Titre3Car"/>
    <w:qFormat/>
    <w:rsid w:val="00C0669C"/>
    <w:pPr>
      <w:outlineLvl w:val="2"/>
    </w:pPr>
  </w:style>
  <w:style w:type="paragraph" w:styleId="Titre4">
    <w:name w:val="heading 4"/>
    <w:basedOn w:val="Normal"/>
    <w:next w:val="Normal"/>
    <w:link w:val="Titre4Car"/>
    <w:qFormat/>
    <w:rsid w:val="00C0669C"/>
    <w:pPr>
      <w:outlineLvl w:val="3"/>
    </w:pPr>
  </w:style>
  <w:style w:type="paragraph" w:styleId="Titre5">
    <w:name w:val="heading 5"/>
    <w:basedOn w:val="Normal"/>
    <w:next w:val="Normal"/>
    <w:link w:val="Titre5Car"/>
    <w:qFormat/>
    <w:rsid w:val="00C0669C"/>
    <w:pPr>
      <w:outlineLvl w:val="4"/>
    </w:pPr>
  </w:style>
  <w:style w:type="paragraph" w:styleId="Titre6">
    <w:name w:val="heading 6"/>
    <w:basedOn w:val="Normal"/>
    <w:next w:val="Normal"/>
    <w:link w:val="Titre6Car"/>
    <w:qFormat/>
    <w:rsid w:val="00C0669C"/>
    <w:pPr>
      <w:outlineLvl w:val="5"/>
    </w:pPr>
  </w:style>
  <w:style w:type="paragraph" w:styleId="Titre7">
    <w:name w:val="heading 7"/>
    <w:basedOn w:val="Normal"/>
    <w:next w:val="Normal"/>
    <w:link w:val="Titre7Car"/>
    <w:qFormat/>
    <w:rsid w:val="00C0669C"/>
    <w:pPr>
      <w:outlineLvl w:val="6"/>
    </w:pPr>
  </w:style>
  <w:style w:type="paragraph" w:styleId="Titre8">
    <w:name w:val="heading 8"/>
    <w:basedOn w:val="Normal"/>
    <w:next w:val="Normal"/>
    <w:link w:val="Titre8Car"/>
    <w:qFormat/>
    <w:rsid w:val="00C0669C"/>
    <w:pPr>
      <w:outlineLvl w:val="7"/>
    </w:pPr>
  </w:style>
  <w:style w:type="paragraph" w:styleId="Titre9">
    <w:name w:val="heading 9"/>
    <w:basedOn w:val="Normal"/>
    <w:next w:val="Normal"/>
    <w:link w:val="Titre9Car"/>
    <w:qFormat/>
    <w:rsid w:val="00C0669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C0669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0669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C0669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0669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0669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0669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C0669C"/>
    <w:pPr>
      <w:spacing w:after="120"/>
      <w:ind w:left="1134" w:right="1134"/>
      <w:jc w:val="both"/>
    </w:pPr>
  </w:style>
  <w:style w:type="paragraph" w:customStyle="1" w:styleId="SLG">
    <w:name w:val="__S_L_G"/>
    <w:basedOn w:val="Normal"/>
    <w:next w:val="Normal"/>
    <w:rsid w:val="00C0669C"/>
    <w:pPr>
      <w:keepNext/>
      <w:keepLines/>
      <w:spacing w:before="240" w:after="240" w:line="580" w:lineRule="exact"/>
      <w:ind w:left="1134" w:right="1134"/>
    </w:pPr>
    <w:rPr>
      <w:b/>
      <w:sz w:val="56"/>
    </w:rPr>
  </w:style>
  <w:style w:type="paragraph" w:customStyle="1" w:styleId="SMG">
    <w:name w:val="__S_M_G"/>
    <w:basedOn w:val="Normal"/>
    <w:next w:val="Normal"/>
    <w:rsid w:val="00C0669C"/>
    <w:pPr>
      <w:keepNext/>
      <w:keepLines/>
      <w:spacing w:before="240" w:after="240" w:line="420" w:lineRule="exact"/>
      <w:ind w:left="1134" w:right="1134"/>
    </w:pPr>
    <w:rPr>
      <w:b/>
      <w:sz w:val="40"/>
    </w:rPr>
  </w:style>
  <w:style w:type="paragraph" w:customStyle="1" w:styleId="SSG">
    <w:name w:val="__S_S_G"/>
    <w:basedOn w:val="Normal"/>
    <w:next w:val="Normal"/>
    <w:rsid w:val="00C0669C"/>
    <w:pPr>
      <w:keepNext/>
      <w:keepLines/>
      <w:spacing w:before="240" w:after="240" w:line="300" w:lineRule="exact"/>
      <w:ind w:left="1134" w:right="1134"/>
    </w:pPr>
    <w:rPr>
      <w:b/>
      <w:sz w:val="28"/>
    </w:rPr>
  </w:style>
  <w:style w:type="paragraph" w:customStyle="1" w:styleId="XLargeG">
    <w:name w:val="__XLarge_G"/>
    <w:basedOn w:val="Normal"/>
    <w:next w:val="Normal"/>
    <w:rsid w:val="00C0669C"/>
    <w:pPr>
      <w:keepNext/>
      <w:keepLines/>
      <w:spacing w:before="240" w:after="240" w:line="420" w:lineRule="exact"/>
      <w:ind w:left="1134" w:right="1134"/>
    </w:pPr>
    <w:rPr>
      <w:b/>
      <w:sz w:val="40"/>
    </w:rPr>
  </w:style>
  <w:style w:type="paragraph" w:customStyle="1" w:styleId="Bullet1G">
    <w:name w:val="_Bullet 1_G"/>
    <w:basedOn w:val="Normal"/>
    <w:qFormat/>
    <w:rsid w:val="00C0669C"/>
    <w:pPr>
      <w:numPr>
        <w:numId w:val="1"/>
      </w:numPr>
      <w:spacing w:after="120"/>
      <w:ind w:right="1134"/>
      <w:jc w:val="both"/>
    </w:pPr>
  </w:style>
  <w:style w:type="paragraph" w:customStyle="1" w:styleId="Bullet2G">
    <w:name w:val="_Bullet 2_G"/>
    <w:basedOn w:val="Normal"/>
    <w:qFormat/>
    <w:rsid w:val="00C0669C"/>
    <w:pPr>
      <w:numPr>
        <w:numId w:val="2"/>
      </w:numPr>
      <w:spacing w:after="120"/>
      <w:ind w:right="1134"/>
      <w:jc w:val="both"/>
    </w:pPr>
  </w:style>
  <w:style w:type="character" w:styleId="Appelnotedebasdep">
    <w:name w:val="footnote reference"/>
    <w:aliases w:val="4_G"/>
    <w:basedOn w:val="Policepardfaut"/>
    <w:qFormat/>
    <w:rsid w:val="00C0669C"/>
    <w:rPr>
      <w:rFonts w:ascii="Times New Roman" w:hAnsi="Times New Roman"/>
      <w:sz w:val="18"/>
      <w:vertAlign w:val="superscript"/>
      <w:lang w:val="fr-CH"/>
    </w:rPr>
  </w:style>
  <w:style w:type="character" w:styleId="Appeldenotedefin">
    <w:name w:val="endnote reference"/>
    <w:aliases w:val="1_G"/>
    <w:basedOn w:val="Appelnotedebasdep"/>
    <w:qFormat/>
    <w:rsid w:val="00C0669C"/>
    <w:rPr>
      <w:rFonts w:ascii="Times New Roman" w:hAnsi="Times New Roman"/>
      <w:sz w:val="18"/>
      <w:vertAlign w:val="superscript"/>
      <w:lang w:val="fr-CH"/>
    </w:rPr>
  </w:style>
  <w:style w:type="paragraph" w:styleId="En-tte">
    <w:name w:val="header"/>
    <w:aliases w:val="6_G"/>
    <w:basedOn w:val="Normal"/>
    <w:next w:val="Normal"/>
    <w:link w:val="En-tteCar"/>
    <w:qFormat/>
    <w:rsid w:val="00C0669C"/>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C0669C"/>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qFormat/>
    <w:rsid w:val="00C0669C"/>
  </w:style>
  <w:style w:type="character" w:styleId="Numrodepage">
    <w:name w:val="page number"/>
    <w:aliases w:val="7_G"/>
    <w:basedOn w:val="Policepardfaut"/>
    <w:qFormat/>
    <w:rsid w:val="00C0669C"/>
    <w:rPr>
      <w:rFonts w:ascii="Times New Roman" w:hAnsi="Times New Roman"/>
      <w:b/>
      <w:sz w:val="18"/>
      <w:lang w:val="fr-CH"/>
    </w:rPr>
  </w:style>
  <w:style w:type="paragraph" w:styleId="Pieddepage">
    <w:name w:val="footer"/>
    <w:aliases w:val="3_G"/>
    <w:basedOn w:val="Normal"/>
    <w:next w:val="Normal"/>
    <w:link w:val="PieddepageCar"/>
    <w:qFormat/>
    <w:rsid w:val="00C0669C"/>
    <w:pPr>
      <w:spacing w:line="240" w:lineRule="auto"/>
    </w:pPr>
    <w:rPr>
      <w:sz w:val="16"/>
    </w:rPr>
  </w:style>
  <w:style w:type="character" w:styleId="Lienhypertexte">
    <w:name w:val="Hyperlink"/>
    <w:basedOn w:val="Policepardfaut"/>
    <w:rsid w:val="00C0669C"/>
    <w:rPr>
      <w:color w:val="auto"/>
      <w:u w:val="none"/>
    </w:rPr>
  </w:style>
  <w:style w:type="character" w:styleId="Lienhypertextesuivivisit">
    <w:name w:val="FollowedHyperlink"/>
    <w:basedOn w:val="Policepardfaut"/>
    <w:rsid w:val="00C0669C"/>
    <w:rPr>
      <w:color w:val="auto"/>
      <w:u w:val="none"/>
    </w:rPr>
  </w:style>
  <w:style w:type="table" w:styleId="Grilledetableau1">
    <w:name w:val="Table Grid 1"/>
    <w:basedOn w:val="TableauNormal"/>
    <w:semiHidden/>
    <w:rsid w:val="00C0669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rsid w:val="00C0669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rsid w:val="00C0669C"/>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C0669C"/>
    <w:rPr>
      <w:rFonts w:ascii="Tahoma" w:hAnsi="Tahoma" w:cs="Tahoma"/>
      <w:sz w:val="16"/>
      <w:szCs w:val="16"/>
      <w:lang w:eastAsia="en-US"/>
    </w:rPr>
  </w:style>
  <w:style w:type="character" w:customStyle="1" w:styleId="En-tteCar">
    <w:name w:val="En-tête Car"/>
    <w:aliases w:val="6_G Car"/>
    <w:basedOn w:val="Policepardfaut"/>
    <w:link w:val="En-tte"/>
    <w:rsid w:val="00C0669C"/>
    <w:rPr>
      <w:b/>
      <w:sz w:val="18"/>
      <w:lang w:eastAsia="en-US"/>
    </w:rPr>
  </w:style>
  <w:style w:type="character" w:customStyle="1" w:styleId="PieddepageCar">
    <w:name w:val="Pied de page Car"/>
    <w:aliases w:val="3_G Car"/>
    <w:basedOn w:val="Policepardfaut"/>
    <w:link w:val="Pieddepage"/>
    <w:rsid w:val="00C0669C"/>
    <w:rPr>
      <w:sz w:val="16"/>
      <w:lang w:eastAsia="en-US"/>
    </w:rPr>
  </w:style>
  <w:style w:type="paragraph" w:customStyle="1" w:styleId="ParNoG">
    <w:name w:val="_ParNo_G"/>
    <w:basedOn w:val="Normal"/>
    <w:qFormat/>
    <w:rsid w:val="00C0669C"/>
    <w:pPr>
      <w:numPr>
        <w:numId w:val="9"/>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customStyle="1" w:styleId="NotedebasdepageCar">
    <w:name w:val="Note de bas de page Car"/>
    <w:aliases w:val="5_G Car"/>
    <w:basedOn w:val="Policepardfaut"/>
    <w:link w:val="Notedebasdepage"/>
    <w:rsid w:val="00C0669C"/>
    <w:rPr>
      <w:sz w:val="18"/>
      <w:lang w:eastAsia="en-US"/>
    </w:rPr>
  </w:style>
  <w:style w:type="character" w:customStyle="1" w:styleId="NotedefinCar">
    <w:name w:val="Note de fin Car"/>
    <w:aliases w:val="2_G Car"/>
    <w:basedOn w:val="Policepardfaut"/>
    <w:link w:val="Notedefin"/>
    <w:rsid w:val="00C0669C"/>
    <w:rPr>
      <w:sz w:val="18"/>
      <w:lang w:eastAsia="en-US"/>
    </w:rPr>
  </w:style>
  <w:style w:type="character" w:customStyle="1" w:styleId="Titre1Car">
    <w:name w:val="Titre 1 Car"/>
    <w:aliases w:val="Table_G Car"/>
    <w:basedOn w:val="Policepardfaut"/>
    <w:link w:val="Titre1"/>
    <w:rsid w:val="00C0669C"/>
    <w:rPr>
      <w:lang w:eastAsia="en-US"/>
    </w:rPr>
  </w:style>
  <w:style w:type="character" w:customStyle="1" w:styleId="Titre2Car">
    <w:name w:val="Titre 2 Car"/>
    <w:basedOn w:val="Policepardfaut"/>
    <w:link w:val="Titre2"/>
    <w:rsid w:val="00C0669C"/>
    <w:rPr>
      <w:lang w:eastAsia="en-US"/>
    </w:rPr>
  </w:style>
  <w:style w:type="character" w:customStyle="1" w:styleId="Titre3Car">
    <w:name w:val="Titre 3 Car"/>
    <w:basedOn w:val="Policepardfaut"/>
    <w:link w:val="Titre3"/>
    <w:rsid w:val="00C0669C"/>
    <w:rPr>
      <w:lang w:eastAsia="en-US"/>
    </w:rPr>
  </w:style>
  <w:style w:type="character" w:customStyle="1" w:styleId="Titre4Car">
    <w:name w:val="Titre 4 Car"/>
    <w:basedOn w:val="Policepardfaut"/>
    <w:link w:val="Titre4"/>
    <w:rsid w:val="00C0669C"/>
    <w:rPr>
      <w:lang w:eastAsia="en-US"/>
    </w:rPr>
  </w:style>
  <w:style w:type="character" w:customStyle="1" w:styleId="Titre5Car">
    <w:name w:val="Titre 5 Car"/>
    <w:basedOn w:val="Policepardfaut"/>
    <w:link w:val="Titre5"/>
    <w:rsid w:val="00C0669C"/>
    <w:rPr>
      <w:lang w:eastAsia="en-US"/>
    </w:rPr>
  </w:style>
  <w:style w:type="character" w:customStyle="1" w:styleId="Titre6Car">
    <w:name w:val="Titre 6 Car"/>
    <w:basedOn w:val="Policepardfaut"/>
    <w:link w:val="Titre6"/>
    <w:rsid w:val="00C0669C"/>
    <w:rPr>
      <w:lang w:eastAsia="en-US"/>
    </w:rPr>
  </w:style>
  <w:style w:type="character" w:customStyle="1" w:styleId="Titre7Car">
    <w:name w:val="Titre 7 Car"/>
    <w:basedOn w:val="Policepardfaut"/>
    <w:link w:val="Titre7"/>
    <w:rsid w:val="00C0669C"/>
    <w:rPr>
      <w:lang w:eastAsia="en-US"/>
    </w:rPr>
  </w:style>
  <w:style w:type="character" w:customStyle="1" w:styleId="Titre8Car">
    <w:name w:val="Titre 8 Car"/>
    <w:basedOn w:val="Policepardfaut"/>
    <w:link w:val="Titre8"/>
    <w:rsid w:val="00C0669C"/>
    <w:rPr>
      <w:lang w:eastAsia="en-US"/>
    </w:rPr>
  </w:style>
  <w:style w:type="paragraph" w:customStyle="1" w:styleId="SingleTxt">
    <w:name w:val="__Single Txt"/>
    <w:basedOn w:val="Normal"/>
    <w:qFormat/>
    <w:rsid w:val="00C0669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Titre9Car">
    <w:name w:val="Titre 9 Car"/>
    <w:basedOn w:val="Policepardfaut"/>
    <w:link w:val="Titre9"/>
    <w:rsid w:val="00C0669C"/>
    <w:rPr>
      <w:lang w:eastAsia="en-US"/>
    </w:rPr>
  </w:style>
  <w:style w:type="paragraph" w:customStyle="1" w:styleId="HCH">
    <w:name w:val="_ H _CH"/>
    <w:basedOn w:val="Normal"/>
    <w:next w:val="SingleTxt"/>
    <w:qFormat/>
    <w:rsid w:val="00C0669C"/>
    <w:pPr>
      <w:keepNext/>
      <w:keepLines/>
      <w:spacing w:line="300" w:lineRule="exact"/>
      <w:outlineLvl w:val="0"/>
    </w:pPr>
    <w:rPr>
      <w:rFonts w:eastAsiaTheme="minorHAnsi"/>
      <w:b/>
      <w:spacing w:val="-2"/>
      <w:w w:val="103"/>
      <w:kern w:val="14"/>
      <w:sz w:val="28"/>
      <w:szCs w:val="22"/>
      <w:lang w:val="fr-CA"/>
    </w:rPr>
  </w:style>
  <w:style w:type="character" w:styleId="Marquedecommentaire">
    <w:name w:val="annotation reference"/>
    <w:rsid w:val="005A1BB1"/>
    <w:rPr>
      <w:sz w:val="16"/>
      <w:szCs w:val="16"/>
    </w:rPr>
  </w:style>
  <w:style w:type="paragraph" w:styleId="Commentaire">
    <w:name w:val="annotation text"/>
    <w:basedOn w:val="Normal"/>
    <w:link w:val="CommentaireCar"/>
    <w:rsid w:val="005A1BB1"/>
    <w:pPr>
      <w:kinsoku w:val="0"/>
      <w:overflowPunct w:val="0"/>
      <w:autoSpaceDE w:val="0"/>
      <w:autoSpaceDN w:val="0"/>
      <w:adjustRightInd w:val="0"/>
      <w:snapToGrid w:val="0"/>
    </w:pPr>
    <w:rPr>
      <w:rFonts w:eastAsia="Calibri"/>
      <w:sz w:val="24"/>
    </w:rPr>
  </w:style>
  <w:style w:type="character" w:customStyle="1" w:styleId="CommentaireCar">
    <w:name w:val="Commentaire Car"/>
    <w:basedOn w:val="Policepardfaut"/>
    <w:link w:val="Commentaire"/>
    <w:rsid w:val="005A1BB1"/>
    <w:rPr>
      <w:rFonts w:eastAsia="Calibri"/>
      <w:sz w:val="24"/>
      <w:lang w:eastAsia="en-US"/>
    </w:rPr>
  </w:style>
  <w:style w:type="paragraph" w:styleId="Objetducommentaire">
    <w:name w:val="annotation subject"/>
    <w:basedOn w:val="Commentaire"/>
    <w:next w:val="Commentaire"/>
    <w:link w:val="ObjetducommentaireCar"/>
    <w:rsid w:val="005A1BB1"/>
    <w:rPr>
      <w:b/>
      <w:bCs/>
    </w:rPr>
  </w:style>
  <w:style w:type="character" w:customStyle="1" w:styleId="ObjetducommentaireCar">
    <w:name w:val="Objet du commentaire Car"/>
    <w:basedOn w:val="CommentaireCar"/>
    <w:link w:val="Objetducommentaire"/>
    <w:rsid w:val="005A1BB1"/>
    <w:rPr>
      <w:rFonts w:eastAsia="Calibri"/>
      <w:b/>
      <w:bCs/>
      <w:sz w:val="24"/>
      <w:lang w:eastAsia="en-US"/>
    </w:rPr>
  </w:style>
  <w:style w:type="paragraph" w:styleId="Paragraphedeliste">
    <w:name w:val="List Paragraph"/>
    <w:basedOn w:val="Normal"/>
    <w:uiPriority w:val="34"/>
    <w:qFormat/>
    <w:rsid w:val="005A1BB1"/>
    <w:pPr>
      <w:kinsoku w:val="0"/>
      <w:overflowPunct w:val="0"/>
      <w:autoSpaceDE w:val="0"/>
      <w:autoSpaceDN w:val="0"/>
      <w:adjustRightInd w:val="0"/>
      <w:snapToGrid w:val="0"/>
      <w:ind w:left="720"/>
      <w:contextualSpacing/>
    </w:pPr>
    <w:rPr>
      <w:rFonts w:eastAsia="Calibri"/>
      <w:sz w:val="24"/>
    </w:rPr>
  </w:style>
  <w:style w:type="paragraph" w:styleId="Rvision">
    <w:name w:val="Revision"/>
    <w:hidden/>
    <w:uiPriority w:val="99"/>
    <w:semiHidden/>
    <w:rsid w:val="00453B9A"/>
    <w:rPr>
      <w:rFonts w:eastAsia="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wikipedia.org/wiki/D%C3%A9veloppement_durabl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BATUMI.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ECE_BATUMI.dotm</Template>
  <TotalTime>0</TotalTime>
  <Pages>15</Pages>
  <Words>5272</Words>
  <Characters>28997</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ECE/BATUMI.CONF/2016/11</vt:lpstr>
    </vt:vector>
  </TitlesOfParts>
  <Company>CSD</Company>
  <LinksUpToDate>false</LinksUpToDate>
  <CharactersWithSpaces>34201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ECE/BATUMI.CONF/2016/11</dc:title>
  <dc:subject/>
  <dc:creator>Robert Corinne</dc:creator>
  <cp:keywords/>
  <dc:description/>
  <cp:lastModifiedBy>Robert Corinne</cp:lastModifiedBy>
  <cp:revision>2</cp:revision>
  <cp:lastPrinted>2016-04-25T07:09:00Z</cp:lastPrinted>
  <dcterms:created xsi:type="dcterms:W3CDTF">2016-04-25T10:03:00Z</dcterms:created>
  <dcterms:modified xsi:type="dcterms:W3CDTF">2016-04-25T10:03:00Z</dcterms:modified>
</cp:coreProperties>
</file>