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D" w:rsidRPr="00E33AE8" w:rsidRDefault="00E33AE8" w:rsidP="00E33AE8">
      <w:pPr>
        <w:spacing w:after="480"/>
        <w:jc w:val="right"/>
        <w:outlineLvl w:val="0"/>
      </w:pPr>
      <w:r w:rsidRPr="00E33AE8">
        <w:rPr>
          <w:sz w:val="40"/>
        </w:rPr>
        <w:t>ECE</w:t>
      </w:r>
      <w:r w:rsidRPr="00E33AE8">
        <w:t>/BATUMI.CONF/2016/1</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16EC6" w:rsidRPr="00325B97" w:rsidTr="00282C9A">
        <w:tc>
          <w:tcPr>
            <w:tcW w:w="3402" w:type="dxa"/>
            <w:tcBorders>
              <w:bottom w:val="single" w:sz="12" w:space="0" w:color="339966"/>
            </w:tcBorders>
            <w:shd w:val="clear" w:color="auto" w:fill="auto"/>
            <w:vAlign w:val="center"/>
          </w:tcPr>
          <w:p w:rsidR="00C16EC6" w:rsidRPr="00325B97" w:rsidRDefault="00C16EC6" w:rsidP="00282C9A">
            <w:pPr>
              <w:spacing w:after="20" w:line="240" w:lineRule="auto"/>
              <w:rPr>
                <w:color w:val="00B050"/>
                <w:sz w:val="18"/>
                <w:szCs w:val="18"/>
              </w:rPr>
            </w:pPr>
            <w:r w:rsidRPr="00325B97">
              <w:rPr>
                <w:color w:val="00B050"/>
                <w:sz w:val="18"/>
                <w:szCs w:val="18"/>
              </w:rPr>
              <w:t>ENVIRONMENT FOR EUROPE</w:t>
            </w:r>
          </w:p>
          <w:p w:rsidR="00C16EC6" w:rsidRPr="00325B97" w:rsidRDefault="00C16EC6" w:rsidP="00282C9A">
            <w:pPr>
              <w:spacing w:after="20" w:line="240" w:lineRule="auto"/>
              <w:rPr>
                <w:color w:val="00B050"/>
                <w:sz w:val="18"/>
                <w:szCs w:val="18"/>
              </w:rPr>
            </w:pPr>
            <w:r w:rsidRPr="00325B97">
              <w:rPr>
                <w:color w:val="00B050"/>
                <w:sz w:val="18"/>
                <w:szCs w:val="18"/>
              </w:rPr>
              <w:t>UN ENVIRONNEMENT POUR L</w:t>
            </w:r>
            <w:r w:rsidR="00D90C3E">
              <w:rPr>
                <w:color w:val="00B050"/>
                <w:sz w:val="18"/>
                <w:szCs w:val="18"/>
              </w:rPr>
              <w:t>’</w:t>
            </w:r>
            <w:r w:rsidRPr="00325B97">
              <w:rPr>
                <w:color w:val="00B050"/>
                <w:sz w:val="18"/>
                <w:szCs w:val="18"/>
              </w:rPr>
              <w:t>EUROPE</w:t>
            </w:r>
          </w:p>
          <w:p w:rsidR="00C16EC6" w:rsidRPr="00325B97" w:rsidRDefault="00C16EC6" w:rsidP="00282C9A">
            <w:pPr>
              <w:spacing w:after="20" w:line="240" w:lineRule="auto"/>
              <w:rPr>
                <w:color w:val="00B050"/>
                <w:sz w:val="18"/>
                <w:szCs w:val="18"/>
              </w:rPr>
            </w:pPr>
            <w:r w:rsidRPr="00325B97">
              <w:rPr>
                <w:color w:val="00B050"/>
                <w:sz w:val="18"/>
                <w:szCs w:val="18"/>
              </w:rPr>
              <w:t>ОКРУЖАЮЩАЯ СРЕДА ДЛЯ ЕВРОПЫ</w:t>
            </w:r>
          </w:p>
          <w:p w:rsidR="00C16EC6" w:rsidRPr="00325B97" w:rsidRDefault="00C16EC6" w:rsidP="00282C9A">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C16EC6" w:rsidRPr="00325B97" w:rsidRDefault="00C16EC6" w:rsidP="00282C9A">
            <w:pPr>
              <w:spacing w:line="240" w:lineRule="auto"/>
              <w:rPr>
                <w:sz w:val="18"/>
                <w:szCs w:val="18"/>
              </w:rPr>
            </w:pPr>
            <w:r w:rsidRPr="00325B97">
              <w:rPr>
                <w:noProof/>
                <w:sz w:val="18"/>
                <w:szCs w:val="18"/>
                <w:lang w:val="en-GB" w:eastAsia="en-GB"/>
              </w:rPr>
              <w:drawing>
                <wp:inline distT="0" distB="0" distL="0" distR="0" wp14:anchorId="0F278144" wp14:editId="7996C1ED">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325B97" w:rsidTr="00282C9A">
        <w:tc>
          <w:tcPr>
            <w:tcW w:w="3402" w:type="dxa"/>
            <w:tcBorders>
              <w:top w:val="single" w:sz="12" w:space="0" w:color="339966"/>
            </w:tcBorders>
            <w:shd w:val="clear" w:color="auto" w:fill="auto"/>
          </w:tcPr>
          <w:p w:rsidR="00C16EC6" w:rsidRPr="00325B97" w:rsidRDefault="00C16EC6" w:rsidP="00282C9A">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C16EC6" w:rsidRPr="00325B97" w:rsidRDefault="00C16EC6" w:rsidP="00282C9A">
            <w:pPr>
              <w:spacing w:before="40" w:after="40" w:line="240" w:lineRule="auto"/>
              <w:rPr>
                <w:sz w:val="18"/>
                <w:szCs w:val="18"/>
              </w:rPr>
            </w:pPr>
          </w:p>
        </w:tc>
      </w:tr>
    </w:tbl>
    <w:p w:rsidR="00C16EC6" w:rsidRPr="001C07DF" w:rsidRDefault="00C16EC6" w:rsidP="0040463D">
      <w:pPr>
        <w:spacing w:after="480"/>
        <w:jc w:val="right"/>
        <w:outlineLvl w:val="0"/>
        <w:rPr>
          <w:sz w:val="28"/>
          <w:szCs w:val="28"/>
        </w:rPr>
      </w:pPr>
    </w:p>
    <w:p w:rsidR="0040463D" w:rsidRPr="0040463D" w:rsidRDefault="00C16EC6" w:rsidP="0040463D">
      <w:pPr>
        <w:pStyle w:val="HMG"/>
        <w:spacing w:before="1200"/>
      </w:pPr>
      <w:r w:rsidRPr="00325B97">
        <w:tab/>
      </w:r>
      <w:r w:rsidRPr="00325B97">
        <w:tab/>
        <w:t xml:space="preserve">Huitième Conférence ministérielle </w:t>
      </w:r>
      <w:r w:rsidRPr="00325B97">
        <w:br/>
      </w:r>
      <w:r w:rsidR="0040463D" w:rsidRPr="0040463D">
        <w:t>«</w:t>
      </w:r>
      <w:r w:rsidR="00266618">
        <w:t> </w:t>
      </w:r>
      <w:r w:rsidR="0040463D" w:rsidRPr="0040463D">
        <w:t>Un environnement</w:t>
      </w:r>
      <w:r w:rsidR="0040463D">
        <w:t xml:space="preserve"> pour l</w:t>
      </w:r>
      <w:r w:rsidR="00D90C3E">
        <w:t>’</w:t>
      </w:r>
      <w:r w:rsidR="0040463D" w:rsidRPr="0040463D">
        <w:t>Europe</w:t>
      </w:r>
      <w:r w:rsidR="00266618">
        <w:t> </w:t>
      </w:r>
      <w:r w:rsidR="0040463D" w:rsidRPr="0040463D">
        <w:t>»</w:t>
      </w:r>
    </w:p>
    <w:p w:rsidR="00C16EC6" w:rsidRPr="00325B97" w:rsidRDefault="00C16EC6" w:rsidP="00C16EC6">
      <w:pPr>
        <w:pStyle w:val="HChG"/>
      </w:pPr>
      <w:r w:rsidRPr="00325B97">
        <w:tab/>
      </w:r>
      <w:r w:rsidRPr="00325B97">
        <w:tab/>
        <w:t>Batumi (Géorgie</w:t>
      </w:r>
      <w:proofErr w:type="gramStart"/>
      <w:r w:rsidRPr="00325B97">
        <w:t>)</w:t>
      </w:r>
      <w:proofErr w:type="gramEnd"/>
      <w:r w:rsidRPr="00325B97">
        <w:br/>
        <w:t>8-10 juin 2016</w:t>
      </w:r>
    </w:p>
    <w:p w:rsidR="0040463D" w:rsidRPr="0040463D" w:rsidRDefault="0040463D" w:rsidP="0040463D">
      <w:pPr>
        <w:pBdr>
          <w:bottom w:val="single" w:sz="12" w:space="1" w:color="auto"/>
        </w:pBdr>
        <w:rPr>
          <w:b/>
          <w:bCs/>
        </w:rPr>
      </w:pPr>
    </w:p>
    <w:p w:rsidR="0040463D" w:rsidRDefault="0040463D" w:rsidP="0040463D">
      <w:pPr>
        <w:pStyle w:val="HChG"/>
        <w:outlineLvl w:val="0"/>
        <w:rPr>
          <w:szCs w:val="28"/>
        </w:rPr>
      </w:pPr>
      <w:r w:rsidRPr="0040463D">
        <w:tab/>
      </w:r>
      <w:r w:rsidRPr="0040463D">
        <w:tab/>
      </w:r>
      <w:r w:rsidR="00D04AA7" w:rsidRPr="00516B90">
        <w:rPr>
          <w:szCs w:val="28"/>
        </w:rPr>
        <w:t>Ordre du jour provisoire annoté de la Conférence</w:t>
      </w:r>
    </w:p>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Default="00476645" w:rsidP="00476645"/>
    <w:p w:rsidR="00476645" w:rsidRPr="00476645" w:rsidRDefault="00476645" w:rsidP="00476645">
      <w:bookmarkStart w:id="0" w:name="_GoBack"/>
      <w:bookmarkEnd w:id="0"/>
    </w:p>
    <w:p w:rsidR="00CA3027" w:rsidRPr="00CA3027" w:rsidRDefault="00CA3027" w:rsidP="008A3CD9"/>
    <w:p w:rsidR="007745E1" w:rsidRDefault="007745E1" w:rsidP="000312C0">
      <w:pPr>
        <w:spacing w:before="120"/>
        <w:rPr>
          <w:b/>
          <w:sz w:val="28"/>
          <w:szCs w:val="28"/>
        </w:rPr>
        <w:sectPr w:rsidR="007745E1" w:rsidSect="00E33AE8">
          <w:footerReference w:type="first" r:id="rId10"/>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DB58B5" w:rsidTr="007745E1">
        <w:trPr>
          <w:trHeight w:hRule="exact" w:val="851"/>
        </w:trPr>
        <w:tc>
          <w:tcPr>
            <w:tcW w:w="1277" w:type="dxa"/>
            <w:tcBorders>
              <w:bottom w:val="single" w:sz="4" w:space="0" w:color="auto"/>
            </w:tcBorders>
          </w:tcPr>
          <w:p w:rsidR="007745E1" w:rsidRPr="00DB58B5" w:rsidRDefault="007745E1" w:rsidP="007745E1"/>
        </w:tc>
        <w:tc>
          <w:tcPr>
            <w:tcW w:w="2268" w:type="dxa"/>
            <w:tcBorders>
              <w:bottom w:val="single" w:sz="4" w:space="0" w:color="auto"/>
            </w:tcBorders>
            <w:vAlign w:val="bottom"/>
          </w:tcPr>
          <w:p w:rsidR="007745E1" w:rsidRPr="00DB58B5" w:rsidRDefault="007745E1" w:rsidP="007745E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7745E1" w:rsidRPr="00DB58B5" w:rsidRDefault="00E33AE8" w:rsidP="00E33AE8">
            <w:pPr>
              <w:jc w:val="right"/>
            </w:pPr>
            <w:r w:rsidRPr="00E33AE8">
              <w:rPr>
                <w:sz w:val="40"/>
              </w:rPr>
              <w:t>ECE</w:t>
            </w:r>
            <w:r>
              <w:t>/BATUMI.CONF/2016/1</w:t>
            </w:r>
          </w:p>
        </w:tc>
      </w:tr>
      <w:tr w:rsidR="007745E1" w:rsidRPr="00DB58B5" w:rsidTr="007745E1">
        <w:trPr>
          <w:trHeight w:hRule="exact" w:val="2835"/>
        </w:trPr>
        <w:tc>
          <w:tcPr>
            <w:tcW w:w="1276" w:type="dxa"/>
            <w:tcBorders>
              <w:top w:val="single" w:sz="4" w:space="0" w:color="auto"/>
              <w:bottom w:val="single" w:sz="12" w:space="0" w:color="auto"/>
            </w:tcBorders>
          </w:tcPr>
          <w:p w:rsidR="007745E1" w:rsidRPr="00DB58B5" w:rsidRDefault="00290A9D" w:rsidP="007745E1">
            <w:pPr>
              <w:spacing w:before="120"/>
              <w:jc w:val="center"/>
            </w:pPr>
            <w:r>
              <w:rPr>
                <w:noProof/>
                <w:lang w:val="en-GB" w:eastAsia="en-GB"/>
              </w:rPr>
              <w:drawing>
                <wp:inline distT="0" distB="0" distL="0" distR="0" wp14:anchorId="279A9217" wp14:editId="6FE352E5">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45E1" w:rsidRPr="00740562" w:rsidRDefault="007745E1" w:rsidP="007745E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745E1" w:rsidRDefault="00E33AE8" w:rsidP="007745E1">
            <w:pPr>
              <w:spacing w:before="240"/>
            </w:pPr>
            <w:r>
              <w:t>Distr. générale</w:t>
            </w:r>
          </w:p>
          <w:p w:rsidR="00E33AE8" w:rsidRDefault="00D04AA7" w:rsidP="00E33AE8">
            <w:pPr>
              <w:spacing w:line="240" w:lineRule="exact"/>
            </w:pPr>
            <w:r>
              <w:t>16</w:t>
            </w:r>
            <w:r w:rsidR="00E33AE8">
              <w:t xml:space="preserve"> </w:t>
            </w:r>
            <w:r>
              <w:t>mars</w:t>
            </w:r>
            <w:r w:rsidR="00E33AE8">
              <w:t xml:space="preserve"> 2016</w:t>
            </w:r>
          </w:p>
          <w:p w:rsidR="00E33AE8" w:rsidRDefault="00E33AE8" w:rsidP="00E33AE8">
            <w:pPr>
              <w:spacing w:line="240" w:lineRule="exact"/>
            </w:pPr>
            <w:r>
              <w:t>Français</w:t>
            </w:r>
          </w:p>
          <w:p w:rsidR="00E33AE8" w:rsidRPr="00DB58B5" w:rsidRDefault="002B7DBC" w:rsidP="00E33AE8">
            <w:pPr>
              <w:spacing w:line="240" w:lineRule="exact"/>
            </w:pPr>
            <w:r>
              <w:t>Original :</w:t>
            </w:r>
            <w:r w:rsidR="00E33AE8">
              <w:t xml:space="preserve"> anglais</w:t>
            </w:r>
          </w:p>
        </w:tc>
      </w:tr>
    </w:tbl>
    <w:p w:rsidR="00FF1DBD" w:rsidRPr="000312C0" w:rsidRDefault="000312C0" w:rsidP="000312C0">
      <w:pPr>
        <w:spacing w:before="120"/>
        <w:rPr>
          <w:b/>
          <w:sz w:val="28"/>
          <w:szCs w:val="28"/>
        </w:rPr>
      </w:pPr>
      <w:r w:rsidRPr="000312C0">
        <w:rPr>
          <w:b/>
          <w:sz w:val="28"/>
          <w:szCs w:val="28"/>
        </w:rPr>
        <w:t>Commission économique pour l</w:t>
      </w:r>
      <w:r w:rsidR="00D90C3E">
        <w:rPr>
          <w:b/>
          <w:sz w:val="28"/>
          <w:szCs w:val="28"/>
        </w:rPr>
        <w:t>’</w:t>
      </w:r>
      <w:r w:rsidRPr="000312C0">
        <w:rPr>
          <w:b/>
          <w:sz w:val="28"/>
          <w:szCs w:val="28"/>
        </w:rPr>
        <w:t>Europe</w:t>
      </w:r>
    </w:p>
    <w:p w:rsidR="00C16EC6" w:rsidRDefault="00C16EC6" w:rsidP="00446F3A">
      <w:pPr>
        <w:spacing w:before="120"/>
        <w:rPr>
          <w:sz w:val="28"/>
          <w:szCs w:val="28"/>
        </w:rPr>
      </w:pPr>
      <w:r w:rsidRPr="00325B97">
        <w:rPr>
          <w:sz w:val="28"/>
          <w:szCs w:val="28"/>
        </w:rPr>
        <w:t xml:space="preserve">Huitième Conférence ministérielle </w:t>
      </w:r>
      <w:r w:rsidRPr="00325B97">
        <w:rPr>
          <w:sz w:val="28"/>
          <w:szCs w:val="28"/>
        </w:rPr>
        <w:br/>
        <w:t>« Un environnement pour l</w:t>
      </w:r>
      <w:r w:rsidR="00D90C3E">
        <w:rPr>
          <w:sz w:val="28"/>
          <w:szCs w:val="28"/>
        </w:rPr>
        <w:t>’</w:t>
      </w:r>
      <w:r w:rsidRPr="00325B97">
        <w:rPr>
          <w:sz w:val="28"/>
          <w:szCs w:val="28"/>
        </w:rPr>
        <w:t>Europe »</w:t>
      </w:r>
    </w:p>
    <w:p w:rsidR="00C16EC6" w:rsidRPr="007A3F60" w:rsidRDefault="00C16EC6" w:rsidP="00C16EC6">
      <w:pPr>
        <w:spacing w:before="120"/>
      </w:pPr>
      <w:r w:rsidRPr="007A3F60">
        <w:t>Batumi (Géorgie), 8-10 juin 2016</w:t>
      </w:r>
    </w:p>
    <w:p w:rsidR="00184F98" w:rsidRDefault="00C16EC6" w:rsidP="00C16EC6">
      <w:r w:rsidRPr="00325B97">
        <w:t xml:space="preserve">Point </w:t>
      </w:r>
      <w:r w:rsidR="00516304">
        <w:t>1</w:t>
      </w:r>
      <w:r w:rsidRPr="00325B97">
        <w:t xml:space="preserve"> de l</w:t>
      </w:r>
      <w:r w:rsidR="00D90C3E">
        <w:t>’</w:t>
      </w:r>
      <w:r w:rsidRPr="00325B97">
        <w:t>ordre du jour provisoire</w:t>
      </w:r>
    </w:p>
    <w:p w:rsidR="00D04AA7" w:rsidRPr="00D04AA7" w:rsidRDefault="00D04AA7" w:rsidP="00D04AA7">
      <w:pPr>
        <w:rPr>
          <w:b/>
        </w:rPr>
      </w:pPr>
      <w:r w:rsidRPr="00D04AA7">
        <w:rPr>
          <w:b/>
        </w:rPr>
        <w:t>Ouverture de la Conférence et adoption de l</w:t>
      </w:r>
      <w:r w:rsidR="00D90C3E">
        <w:rPr>
          <w:b/>
        </w:rPr>
        <w:t>’</w:t>
      </w:r>
      <w:r w:rsidRPr="00D04AA7">
        <w:rPr>
          <w:b/>
        </w:rPr>
        <w:t>ordre du jour</w:t>
      </w:r>
    </w:p>
    <w:p w:rsidR="00D04AA7" w:rsidRDefault="00D04AA7" w:rsidP="00D04AA7">
      <w:pPr>
        <w:pStyle w:val="HChG"/>
        <w:rPr>
          <w:spacing w:val="-4"/>
        </w:rPr>
      </w:pPr>
      <w:r w:rsidRPr="00D7513E">
        <w:tab/>
      </w:r>
      <w:r w:rsidRPr="00D7513E">
        <w:tab/>
      </w:r>
      <w:r>
        <w:t>O</w:t>
      </w:r>
      <w:r w:rsidRPr="00D7513E">
        <w:t xml:space="preserve">rdre du jour provisoire annoté de la </w:t>
      </w:r>
      <w:r>
        <w:rPr>
          <w:spacing w:val="-4"/>
        </w:rPr>
        <w:t>Conférence</w:t>
      </w:r>
    </w:p>
    <w:p w:rsidR="00D04AA7" w:rsidRPr="00D7513E" w:rsidRDefault="00D04AA7" w:rsidP="00D04AA7">
      <w:pPr>
        <w:pStyle w:val="H1G"/>
      </w:pPr>
      <w:r>
        <w:tab/>
      </w:r>
      <w:r>
        <w:tab/>
      </w:r>
      <w:r w:rsidRPr="000C41F4">
        <w:t xml:space="preserve">Qui se tiendra </w:t>
      </w:r>
      <w:r>
        <w:t>à Batumi, à l</w:t>
      </w:r>
      <w:r w:rsidR="00D90C3E">
        <w:t>’</w:t>
      </w:r>
      <w:r>
        <w:t>hôtel Sheraton et à l</w:t>
      </w:r>
      <w:r w:rsidR="00D90C3E">
        <w:t>’</w:t>
      </w:r>
      <w:r>
        <w:t xml:space="preserve">hôtel Hilton </w:t>
      </w:r>
      <w:r>
        <w:br/>
        <w:t>et s</w:t>
      </w:r>
      <w:r w:rsidR="00D90C3E">
        <w:t>’</w:t>
      </w:r>
      <w:r>
        <w:t>ouvrira le mercredi 8 juin 2016 à 9 h 30</w:t>
      </w:r>
    </w:p>
    <w:p w:rsidR="00D04AA7" w:rsidRPr="00D7513E" w:rsidRDefault="00D04AA7" w:rsidP="00D04AA7">
      <w:pPr>
        <w:pStyle w:val="HChG"/>
      </w:pPr>
      <w:r w:rsidRPr="00D7513E">
        <w:tab/>
        <w:t>I.</w:t>
      </w:r>
      <w:r w:rsidRPr="00D7513E">
        <w:tab/>
        <w:t>Ordre du jour provisoire</w:t>
      </w:r>
    </w:p>
    <w:p w:rsidR="00D04AA7" w:rsidRPr="00D7513E" w:rsidRDefault="00D04AA7" w:rsidP="00D04AA7">
      <w:pPr>
        <w:pStyle w:val="SingleTxtG"/>
        <w:ind w:left="1701" w:hanging="567"/>
        <w:rPr>
          <w:lang w:val="fr-FR"/>
        </w:rPr>
      </w:pPr>
      <w:r w:rsidRPr="00D7513E">
        <w:rPr>
          <w:lang w:val="fr-FR"/>
        </w:rPr>
        <w:t>1.</w:t>
      </w:r>
      <w:r w:rsidRPr="00D7513E">
        <w:rPr>
          <w:lang w:val="fr-FR"/>
        </w:rPr>
        <w:tab/>
        <w:t>Ouverture de la Conférence et adoption de l</w:t>
      </w:r>
      <w:r w:rsidR="00D90C3E">
        <w:rPr>
          <w:lang w:val="fr-FR"/>
        </w:rPr>
        <w:t>’</w:t>
      </w:r>
      <w:r w:rsidRPr="00D7513E">
        <w:rPr>
          <w:lang w:val="fr-FR"/>
        </w:rPr>
        <w:t>ordre du jour.</w:t>
      </w:r>
    </w:p>
    <w:p w:rsidR="00D04AA7" w:rsidRPr="00D04AA7" w:rsidRDefault="00D04AA7" w:rsidP="00D04AA7">
      <w:pPr>
        <w:pStyle w:val="SingleTxtG"/>
        <w:ind w:left="1701" w:hanging="567"/>
        <w:rPr>
          <w:lang w:val="fr-FR"/>
        </w:rPr>
      </w:pPr>
      <w:r w:rsidRPr="00D04AA7">
        <w:rPr>
          <w:lang w:val="fr-FR"/>
        </w:rPr>
        <w:t>2.</w:t>
      </w:r>
      <w:r w:rsidRPr="00D04AA7">
        <w:rPr>
          <w:lang w:val="fr-FR"/>
        </w:rPr>
        <w:tab/>
        <w:t>Le volet environnemental du Programme de développement durable à l</w:t>
      </w:r>
      <w:r w:rsidR="00D90C3E">
        <w:rPr>
          <w:lang w:val="fr-FR"/>
        </w:rPr>
        <w:t>’</w:t>
      </w:r>
      <w:r w:rsidR="00516304">
        <w:rPr>
          <w:lang w:val="fr-FR"/>
        </w:rPr>
        <w:t>horizon 2030 :</w:t>
      </w:r>
      <w:r w:rsidRPr="00D04AA7">
        <w:rPr>
          <w:lang w:val="fr-FR"/>
        </w:rPr>
        <w:t xml:space="preserve"> aller de l</w:t>
      </w:r>
      <w:r w:rsidR="00D90C3E">
        <w:rPr>
          <w:lang w:val="fr-FR"/>
        </w:rPr>
        <w:t>’</w:t>
      </w:r>
      <w:r w:rsidRPr="00D04AA7">
        <w:rPr>
          <w:lang w:val="fr-FR"/>
        </w:rPr>
        <w:t>avant dans la région paneuropéenne</w:t>
      </w:r>
      <w:r>
        <w:rPr>
          <w:lang w:val="fr-FR"/>
        </w:rPr>
        <w:t> :</w:t>
      </w:r>
    </w:p>
    <w:p w:rsidR="00D04AA7" w:rsidRPr="00D7513E" w:rsidRDefault="00D04AA7" w:rsidP="00D04AA7">
      <w:pPr>
        <w:pStyle w:val="SingleTxtG"/>
        <w:ind w:left="2268" w:hanging="567"/>
      </w:pPr>
      <w:r w:rsidRPr="00D7513E">
        <w:rPr>
          <w:lang w:val="fr-FR"/>
        </w:rPr>
        <w:t>a)</w:t>
      </w:r>
      <w:r w:rsidRPr="00D7513E">
        <w:rPr>
          <w:lang w:val="fr-FR"/>
        </w:rPr>
        <w:tab/>
      </w:r>
      <w:r w:rsidRPr="00D7513E">
        <w:t>Accords multilatéraux relatifs à l</w:t>
      </w:r>
      <w:r w:rsidR="00D90C3E">
        <w:t>’</w:t>
      </w:r>
      <w:r w:rsidRPr="00D7513E">
        <w:t>environnement, mécanismes, politiques et institutions à l</w:t>
      </w:r>
      <w:r w:rsidR="00D90C3E">
        <w:t>’</w:t>
      </w:r>
      <w:r w:rsidRPr="00D7513E">
        <w:t>appui du Programme de développement durable à l</w:t>
      </w:r>
      <w:r w:rsidR="00D90C3E">
        <w:t>’</w:t>
      </w:r>
      <w:r w:rsidRPr="00D7513E">
        <w:t>horizon 2030</w:t>
      </w:r>
      <w:r>
        <w:t> ;</w:t>
      </w:r>
    </w:p>
    <w:p w:rsidR="00D04AA7" w:rsidRPr="00D7513E" w:rsidRDefault="00D04AA7" w:rsidP="00D04AA7">
      <w:pPr>
        <w:pStyle w:val="SingleTxtG"/>
        <w:ind w:left="2268" w:hanging="567"/>
        <w:rPr>
          <w:sz w:val="24"/>
          <w:lang w:val="fr-FR"/>
        </w:rPr>
      </w:pPr>
      <w:r w:rsidRPr="00D04AA7">
        <w:t>b)</w:t>
      </w:r>
      <w:r w:rsidRPr="00D04AA7">
        <w:tab/>
        <w:t>Suivre l</w:t>
      </w:r>
      <w:r w:rsidR="00D90C3E">
        <w:t>’</w:t>
      </w:r>
      <w:r w:rsidRPr="00D04AA7">
        <w:t>état de l</w:t>
      </w:r>
      <w:r w:rsidR="00D90C3E">
        <w:t>’</w:t>
      </w:r>
      <w:r w:rsidRPr="00D04AA7">
        <w:t>environnement dans la région paneuropéenne.</w:t>
      </w:r>
    </w:p>
    <w:p w:rsidR="00D04AA7" w:rsidRPr="00D7513E" w:rsidRDefault="00D04AA7" w:rsidP="00D04AA7">
      <w:pPr>
        <w:pStyle w:val="SingleTxtG"/>
        <w:ind w:left="1701" w:hanging="567"/>
        <w:rPr>
          <w:sz w:val="24"/>
          <w:lang w:val="fr-FR"/>
        </w:rPr>
      </w:pPr>
      <w:r w:rsidRPr="00D04AA7">
        <w:rPr>
          <w:lang w:val="fr-FR"/>
        </w:rPr>
        <w:t>3.</w:t>
      </w:r>
      <w:r w:rsidRPr="00D04AA7">
        <w:rPr>
          <w:lang w:val="fr-FR"/>
        </w:rPr>
        <w:tab/>
        <w:t>Vers une nouvelle société : dix ans d</w:t>
      </w:r>
      <w:r w:rsidR="00D90C3E">
        <w:rPr>
          <w:lang w:val="fr-FR"/>
        </w:rPr>
        <w:t>’</w:t>
      </w:r>
      <w:r w:rsidRPr="00D04AA7">
        <w:rPr>
          <w:lang w:val="fr-FR"/>
        </w:rPr>
        <w:t>éducation en vue du développement durable.</w:t>
      </w:r>
    </w:p>
    <w:p w:rsidR="00D04AA7" w:rsidRPr="00D04AA7" w:rsidRDefault="00D04AA7" w:rsidP="00D04AA7">
      <w:pPr>
        <w:pStyle w:val="SingleTxtG"/>
        <w:ind w:left="1701" w:hanging="567"/>
        <w:rPr>
          <w:lang w:val="fr-FR"/>
        </w:rPr>
      </w:pPr>
      <w:r w:rsidRPr="00D04AA7">
        <w:rPr>
          <w:lang w:val="fr-FR"/>
        </w:rPr>
        <w:t>4.</w:t>
      </w:r>
      <w:r w:rsidRPr="00D04AA7">
        <w:rPr>
          <w:lang w:val="fr-FR"/>
        </w:rPr>
        <w:tab/>
        <w:t>Pour une économie plus respectueuse de l</w:t>
      </w:r>
      <w:r w:rsidR="00D90C3E">
        <w:rPr>
          <w:lang w:val="fr-FR"/>
        </w:rPr>
        <w:t>’</w:t>
      </w:r>
      <w:r w:rsidRPr="00D04AA7">
        <w:rPr>
          <w:lang w:val="fr-FR"/>
        </w:rPr>
        <w:t>environnement dans la région paneuropéenne.</w:t>
      </w:r>
    </w:p>
    <w:p w:rsidR="00D04AA7" w:rsidRPr="00D04AA7" w:rsidRDefault="00D04AA7" w:rsidP="00D04AA7">
      <w:pPr>
        <w:pStyle w:val="SingleTxtG"/>
        <w:ind w:left="1701" w:hanging="567"/>
        <w:rPr>
          <w:lang w:val="fr-FR"/>
        </w:rPr>
      </w:pPr>
      <w:r w:rsidRPr="00D04AA7">
        <w:rPr>
          <w:lang w:val="fr-FR"/>
        </w:rPr>
        <w:t>5.</w:t>
      </w:r>
      <w:r w:rsidRPr="00D04AA7">
        <w:rPr>
          <w:lang w:val="fr-FR"/>
        </w:rPr>
        <w:tab/>
        <w:t>Améliorer la qualité de l</w:t>
      </w:r>
      <w:r w:rsidR="00D90C3E">
        <w:rPr>
          <w:lang w:val="fr-FR"/>
        </w:rPr>
        <w:t>’</w:t>
      </w:r>
      <w:r w:rsidRPr="00D04AA7">
        <w:rPr>
          <w:lang w:val="fr-FR"/>
        </w:rPr>
        <w:t>air pour un environnement plus sain et une meilleure santé.</w:t>
      </w:r>
    </w:p>
    <w:p w:rsidR="00D04AA7" w:rsidRPr="00D04AA7" w:rsidRDefault="00D04AA7" w:rsidP="00D04AA7">
      <w:pPr>
        <w:pStyle w:val="SingleTxtG"/>
        <w:ind w:left="1701" w:hanging="567"/>
        <w:rPr>
          <w:lang w:val="fr-FR"/>
        </w:rPr>
      </w:pPr>
      <w:r w:rsidRPr="00D04AA7">
        <w:rPr>
          <w:lang w:val="fr-FR"/>
        </w:rPr>
        <w:t>6.</w:t>
      </w:r>
      <w:r w:rsidRPr="00D04AA7">
        <w:rPr>
          <w:lang w:val="fr-FR"/>
        </w:rPr>
        <w:tab/>
        <w:t>Présentation des résultats des débats thématiques.</w:t>
      </w:r>
    </w:p>
    <w:p w:rsidR="00D04AA7" w:rsidRPr="00D04AA7" w:rsidRDefault="00D04AA7" w:rsidP="00D04AA7">
      <w:pPr>
        <w:pStyle w:val="SingleTxtG"/>
        <w:ind w:left="1701" w:hanging="567"/>
        <w:rPr>
          <w:lang w:val="fr-FR"/>
        </w:rPr>
      </w:pPr>
      <w:r w:rsidRPr="00D04AA7">
        <w:rPr>
          <w:lang w:val="fr-FR"/>
        </w:rPr>
        <w:t>7.</w:t>
      </w:r>
      <w:r w:rsidRPr="00D04AA7">
        <w:rPr>
          <w:lang w:val="fr-FR"/>
        </w:rPr>
        <w:tab/>
        <w:t>Adoption des textes issus de la Conférence.</w:t>
      </w:r>
    </w:p>
    <w:p w:rsidR="00D04AA7" w:rsidRPr="00D04AA7" w:rsidRDefault="00D04AA7" w:rsidP="00D04AA7">
      <w:pPr>
        <w:pStyle w:val="SingleTxtG"/>
        <w:ind w:left="1701" w:hanging="567"/>
        <w:rPr>
          <w:lang w:val="fr-FR"/>
        </w:rPr>
      </w:pPr>
      <w:r w:rsidRPr="00D04AA7">
        <w:rPr>
          <w:lang w:val="fr-FR"/>
        </w:rPr>
        <w:t>8.</w:t>
      </w:r>
      <w:r w:rsidRPr="00D04AA7">
        <w:rPr>
          <w:lang w:val="fr-FR"/>
        </w:rPr>
        <w:tab/>
        <w:t>Clôture de la Conférence.</w:t>
      </w:r>
    </w:p>
    <w:p w:rsidR="00D04AA7" w:rsidRPr="00D7513E" w:rsidRDefault="00D04AA7" w:rsidP="00D04AA7">
      <w:pPr>
        <w:pStyle w:val="HChG"/>
        <w:rPr>
          <w:lang w:val="fr-FR"/>
        </w:rPr>
      </w:pPr>
      <w:r w:rsidRPr="00D7513E">
        <w:rPr>
          <w:lang w:val="fr-FR"/>
        </w:rPr>
        <w:lastRenderedPageBreak/>
        <w:tab/>
        <w:t>II.</w:t>
      </w:r>
      <w:r w:rsidRPr="00D7513E">
        <w:rPr>
          <w:lang w:val="fr-FR"/>
        </w:rPr>
        <w:tab/>
        <w:t>Annotations</w:t>
      </w:r>
    </w:p>
    <w:p w:rsidR="00D04AA7" w:rsidRPr="00D7513E" w:rsidRDefault="00D04AA7" w:rsidP="004C5198">
      <w:pPr>
        <w:pStyle w:val="ParNoG"/>
      </w:pPr>
      <w:r w:rsidRPr="00D7513E">
        <w:rPr>
          <w:lang w:val="fr-FR"/>
        </w:rPr>
        <w:t xml:space="preserve">La </w:t>
      </w:r>
      <w:r w:rsidRPr="00D7513E">
        <w:t>huitième Conférence ministérielle « Un environnement pour l</w:t>
      </w:r>
      <w:r w:rsidR="00D90C3E">
        <w:t>’</w:t>
      </w:r>
      <w:r w:rsidRPr="00D7513E">
        <w:t xml:space="preserve">Europe » se tiendra à </w:t>
      </w:r>
      <w:r>
        <w:t>Batumi</w:t>
      </w:r>
      <w:r w:rsidRPr="00D7513E">
        <w:t xml:space="preserve"> (Géorgie), du 8 au 10 juin 2016. Elle est organisée conformément aux dispositions du Plan de réforme du processus « Un environnement pour l</w:t>
      </w:r>
      <w:r w:rsidR="00D90C3E">
        <w:t>’</w:t>
      </w:r>
      <w:r w:rsidR="004C5198">
        <w:t>Europe » (ECE/CEP/S/152, annexe </w:t>
      </w:r>
      <w:r w:rsidRPr="00D7513E">
        <w:t>I et Corr.1). Le Comité des politiques de l</w:t>
      </w:r>
      <w:r w:rsidR="00D90C3E">
        <w:t>’</w:t>
      </w:r>
      <w:r w:rsidRPr="00D7513E">
        <w:t>environnement (le Comité) de la Commission économique pour l</w:t>
      </w:r>
      <w:r w:rsidR="00D90C3E">
        <w:t>’</w:t>
      </w:r>
      <w:r w:rsidRPr="00D7513E">
        <w:t>Europe (CEE) a été chargé d</w:t>
      </w:r>
      <w:r w:rsidR="00D90C3E">
        <w:t>’</w:t>
      </w:r>
      <w:r w:rsidRPr="00D7513E">
        <w:t>organiser les préparatifs. Les procédures d</w:t>
      </w:r>
      <w:r w:rsidR="00D90C3E">
        <w:t>’</w:t>
      </w:r>
      <w:r w:rsidRPr="00D7513E">
        <w:t xml:space="preserve">organisation de la Conférence ministérielle de </w:t>
      </w:r>
      <w:r>
        <w:t>Batumi,</w:t>
      </w:r>
      <w:r w:rsidRPr="00D7513E">
        <w:t xml:space="preserve"> présentées dans le document ECE/CEP/2014/15 adopté par le Comité en 2014, serviront de guide pour ces préparatifs.</w:t>
      </w:r>
    </w:p>
    <w:p w:rsidR="00D04AA7" w:rsidRPr="004C5198" w:rsidRDefault="00D04AA7" w:rsidP="004C5198">
      <w:pPr>
        <w:pStyle w:val="ParNoG"/>
      </w:pPr>
      <w:r w:rsidRPr="004C5198">
        <w:t>La Conférence ministérielle de Batumi mènera ses</w:t>
      </w:r>
      <w:r w:rsidR="00516304">
        <w:t xml:space="preserve"> travaux en suivant la règle ci</w:t>
      </w:r>
      <w:r w:rsidR="00516304">
        <w:noBreakHyphen/>
      </w:r>
      <w:r w:rsidRPr="004C5198">
        <w:t>après : « Plus pur, plus vert, plus futé ! ». Un événement culturel sera organisé par le pays hôte le 7 juin dans la soirée. L</w:t>
      </w:r>
      <w:r w:rsidR="00D90C3E">
        <w:t>’</w:t>
      </w:r>
      <w:r w:rsidRPr="004C5198">
        <w:t>ouverture de la Conférence pourra être précédée d</w:t>
      </w:r>
      <w:r w:rsidR="00D90C3E">
        <w:t>’</w:t>
      </w:r>
      <w:r w:rsidRPr="004C5198">
        <w:t>une brève manifestation sur un thème en rapport avec une conférence plus respectueuse de l</w:t>
      </w:r>
      <w:r w:rsidR="00D90C3E">
        <w:t>’</w:t>
      </w:r>
      <w:r w:rsidRPr="004C5198">
        <w:t>environnement à l</w:t>
      </w:r>
      <w:r w:rsidR="00D90C3E">
        <w:t>’</w:t>
      </w:r>
      <w:r w:rsidRPr="004C5198">
        <w:t>intention des chefs de délégation, qui sera organisée par le pays hôte, comme leur venue à pied ou à bicyclette jusqu</w:t>
      </w:r>
      <w:r w:rsidR="00D90C3E">
        <w:t>’</w:t>
      </w:r>
      <w:r w:rsidRPr="004C5198">
        <w:t>au lieu de la Conférence, par exemple. La Conférence offrira des possibilités de constituer des réseaux et d</w:t>
      </w:r>
      <w:r w:rsidR="00D90C3E">
        <w:t>’</w:t>
      </w:r>
      <w:r w:rsidRPr="004C5198">
        <w:t>organiser des réunions bilatérales entre ministres, y compris sur des thèmes qui ne sont pas inscrits à son ordre du jour.</w:t>
      </w:r>
    </w:p>
    <w:p w:rsidR="00D04AA7" w:rsidRPr="004C5198" w:rsidRDefault="00D04AA7" w:rsidP="004C5198">
      <w:pPr>
        <w:pStyle w:val="ParNoG"/>
      </w:pPr>
      <w:r w:rsidRPr="004C5198">
        <w:t>Une photo de groupe des chefs de délégation sera prise le 8 juin, après la séance du matin, entre 12 h 30 et 13 heures.</w:t>
      </w:r>
    </w:p>
    <w:p w:rsidR="00D04AA7" w:rsidRPr="004C5198" w:rsidRDefault="00D04AA7" w:rsidP="004C5198">
      <w:pPr>
        <w:pStyle w:val="ParNoG"/>
      </w:pPr>
      <w:r w:rsidRPr="004C5198">
        <w:t>L</w:t>
      </w:r>
      <w:r w:rsidR="00D90C3E">
        <w:t>’</w:t>
      </w:r>
      <w:r w:rsidRPr="004C5198">
        <w:t>organisation des travaux de la Conférence est exposée en détail dans le</w:t>
      </w:r>
      <w:r w:rsidR="00516304">
        <w:t xml:space="preserve"> document ECE/BATUMI.CONF/2016/</w:t>
      </w:r>
      <w:r w:rsidRPr="004C5198">
        <w:t>3. Tous les documents et autres pièces de la Conférence seront publiés sur le site Web de la CEE consacré à la Conférence</w:t>
      </w:r>
      <w:r w:rsidR="004C5198">
        <w:rPr>
          <w:rStyle w:val="FootnoteReference"/>
        </w:rPr>
        <w:footnoteReference w:id="2"/>
      </w:r>
      <w:r w:rsidRPr="004C5198">
        <w:t>. D</w:t>
      </w:r>
      <w:r w:rsidR="00D90C3E">
        <w:t>’</w:t>
      </w:r>
      <w:r w:rsidRPr="004C5198">
        <w:t>autres informations, dont le calendrier des manifestations organisées en marge de la Conférence, seront publiées sur le site Web du pays hôte</w:t>
      </w:r>
      <w:r w:rsidRPr="00EE3312">
        <w:rPr>
          <w:rStyle w:val="FootnoteReference"/>
        </w:rPr>
        <w:footnoteReference w:id="3"/>
      </w:r>
      <w:r w:rsidRPr="00516304">
        <w:t>.</w:t>
      </w:r>
    </w:p>
    <w:p w:rsidR="00D04AA7" w:rsidRPr="001D7CB4" w:rsidRDefault="00D04AA7" w:rsidP="004C5198">
      <w:pPr>
        <w:pStyle w:val="H1G"/>
        <w:rPr>
          <w:lang w:val="fr-FR"/>
        </w:rPr>
      </w:pPr>
      <w:r w:rsidRPr="00975002">
        <w:rPr>
          <w:lang w:val="fr-FR"/>
        </w:rPr>
        <w:tab/>
      </w:r>
      <w:r w:rsidRPr="00CE67BC">
        <w:rPr>
          <w:lang w:val="fr-FR"/>
        </w:rPr>
        <w:t>1.</w:t>
      </w:r>
      <w:r w:rsidRPr="00CE67BC">
        <w:rPr>
          <w:lang w:val="fr-FR"/>
        </w:rPr>
        <w:tab/>
        <w:t>Ouverture de la Conférence et adoption de l</w:t>
      </w:r>
      <w:r w:rsidR="00D90C3E">
        <w:rPr>
          <w:lang w:val="fr-FR"/>
        </w:rPr>
        <w:t>’</w:t>
      </w:r>
      <w:r w:rsidRPr="00CE67BC">
        <w:rPr>
          <w:lang w:val="fr-FR"/>
        </w:rPr>
        <w:t>ordre du</w:t>
      </w:r>
      <w:r w:rsidRPr="001D7CB4">
        <w:rPr>
          <w:lang w:val="fr-FR"/>
        </w:rPr>
        <w:t xml:space="preserve"> jour</w:t>
      </w:r>
    </w:p>
    <w:p w:rsidR="00D04AA7" w:rsidRPr="00D7513E" w:rsidRDefault="00D04AA7" w:rsidP="004C5198">
      <w:pPr>
        <w:pStyle w:val="H4G"/>
        <w:rPr>
          <w:lang w:val="fr-FR"/>
        </w:rPr>
      </w:pPr>
      <w:r w:rsidRPr="00D7513E">
        <w:rPr>
          <w:lang w:val="fr-FR"/>
        </w:rPr>
        <w:tab/>
      </w:r>
      <w:r w:rsidRPr="00D7513E">
        <w:rPr>
          <w:lang w:val="fr-FR"/>
        </w:rPr>
        <w:tab/>
        <w:t xml:space="preserve">Mercredi 8 juin, 9 </w:t>
      </w:r>
      <w:r>
        <w:rPr>
          <w:lang w:val="fr-FR"/>
        </w:rPr>
        <w:t>h 30</w:t>
      </w:r>
      <w:r w:rsidRPr="00D7513E">
        <w:rPr>
          <w:lang w:val="fr-FR"/>
        </w:rPr>
        <w:t>-1</w:t>
      </w:r>
      <w:r>
        <w:rPr>
          <w:lang w:val="fr-FR"/>
        </w:rPr>
        <w:t>0 h 30</w:t>
      </w:r>
    </w:p>
    <w:p w:rsidR="00D04AA7" w:rsidRPr="004C5198" w:rsidRDefault="00D04AA7" w:rsidP="004C5198">
      <w:pPr>
        <w:pStyle w:val="ParNoG"/>
      </w:pPr>
      <w:r w:rsidRPr="004C5198">
        <w:t>Un représentant de haut niveau de la Géorgie ouvrira la huitième Conférence ministérielle « Un environnement pour l</w:t>
      </w:r>
      <w:r w:rsidR="00D90C3E">
        <w:t>’</w:t>
      </w:r>
      <w:r w:rsidRPr="004C5198">
        <w:t>Europe ». Suivront alors les observations liminaires du Président de la Conférence et les discours de bienvenue de représentants de haut niveau de la République autonome d</w:t>
      </w:r>
      <w:r w:rsidR="00D90C3E">
        <w:t>’</w:t>
      </w:r>
      <w:r w:rsidRPr="004C5198">
        <w:t>Adjara, de la CEE et du Programme des Nations Unies pour l</w:t>
      </w:r>
      <w:r w:rsidR="00D90C3E">
        <w:t>’</w:t>
      </w:r>
      <w:r w:rsidRPr="004C5198">
        <w:t>environnement (PNUE). Une déclaration sera prononcée à l</w:t>
      </w:r>
      <w:r w:rsidR="00D90C3E">
        <w:t>’</w:t>
      </w:r>
      <w:r w:rsidRPr="004C5198">
        <w:t>occasion du vingt-cinqu</w:t>
      </w:r>
      <w:r w:rsidR="004C5198">
        <w:t>ième anniversaire du processus « </w:t>
      </w:r>
      <w:r w:rsidRPr="004C5198">
        <w:t>Un environnement pour l</w:t>
      </w:r>
      <w:r w:rsidR="00D90C3E">
        <w:t>’</w:t>
      </w:r>
      <w:r w:rsidRPr="004C5198">
        <w:t>Europe</w:t>
      </w:r>
      <w:r w:rsidR="004C5198">
        <w:t> »</w:t>
      </w:r>
      <w:r w:rsidRPr="004C5198">
        <w:t>.</w:t>
      </w:r>
    </w:p>
    <w:p w:rsidR="00D04AA7" w:rsidRPr="004C5198" w:rsidRDefault="00D04AA7" w:rsidP="004C5198">
      <w:pPr>
        <w:pStyle w:val="ParNoG"/>
      </w:pPr>
      <w:r w:rsidRPr="004C5198">
        <w:t>Les participants seront invités à adopter l</w:t>
      </w:r>
      <w:r w:rsidR="00D90C3E">
        <w:t>’</w:t>
      </w:r>
      <w:r w:rsidRPr="004C5198">
        <w:t>ordre du jour de la huitième Conférence ministérielle « Un environnement pour l</w:t>
      </w:r>
      <w:r w:rsidR="00D90C3E">
        <w:t>’</w:t>
      </w:r>
      <w:r w:rsidRPr="004C5198">
        <w:t>Europe ».</w:t>
      </w:r>
    </w:p>
    <w:p w:rsidR="00D04AA7" w:rsidRPr="00D7513E" w:rsidRDefault="00D04AA7" w:rsidP="004E5975">
      <w:pPr>
        <w:pStyle w:val="H23G"/>
        <w:rPr>
          <w:lang w:val="fr-FR"/>
        </w:rPr>
      </w:pPr>
      <w:r w:rsidRPr="00D7513E">
        <w:rPr>
          <w:lang w:val="fr-FR"/>
        </w:rPr>
        <w:tab/>
      </w:r>
      <w:r w:rsidRPr="00D7513E">
        <w:rPr>
          <w:lang w:val="fr-FR"/>
        </w:rPr>
        <w:tab/>
        <w:t>Documents</w:t>
      </w:r>
    </w:p>
    <w:p w:rsidR="00D04AA7" w:rsidRPr="004E5975" w:rsidRDefault="00D04AA7" w:rsidP="004E5975">
      <w:pPr>
        <w:pStyle w:val="SingleTxtG"/>
      </w:pPr>
      <w:r w:rsidRPr="004E5975">
        <w:t>Ordre du jour provisoire annoté de la Conférence (ECE/BATUMI.CONF/2016/1)</w:t>
      </w:r>
      <w:r w:rsidR="00516304">
        <w:t>.</w:t>
      </w:r>
    </w:p>
    <w:p w:rsidR="00D04AA7" w:rsidRDefault="00D04AA7" w:rsidP="004E5975">
      <w:pPr>
        <w:pStyle w:val="SingleTxtG"/>
        <w:rPr>
          <w:sz w:val="24"/>
          <w:lang w:val="fr-FR"/>
        </w:rPr>
      </w:pPr>
      <w:r w:rsidRPr="004E5975">
        <w:t>Organisation des travaux de la Conférence (ECE/BATUMI.CONF/2016/3)</w:t>
      </w:r>
      <w:r w:rsidR="00516304">
        <w:t>.</w:t>
      </w:r>
    </w:p>
    <w:p w:rsidR="00D04AA7" w:rsidRPr="00D7513E" w:rsidRDefault="004E5975" w:rsidP="004E5975">
      <w:pPr>
        <w:pStyle w:val="H4G"/>
        <w:rPr>
          <w:lang w:val="fr-FR"/>
        </w:rPr>
      </w:pPr>
      <w:r>
        <w:rPr>
          <w:lang w:val="fr-FR"/>
        </w:rPr>
        <w:tab/>
      </w:r>
      <w:r>
        <w:rPr>
          <w:lang w:val="fr-FR"/>
        </w:rPr>
        <w:tab/>
      </w:r>
      <w:r w:rsidR="00D04AA7" w:rsidRPr="005549E7">
        <w:rPr>
          <w:lang w:val="fr-FR"/>
        </w:rPr>
        <w:t>Document d</w:t>
      </w:r>
      <w:r w:rsidR="00D90C3E">
        <w:rPr>
          <w:lang w:val="fr-FR"/>
        </w:rPr>
        <w:t>’</w:t>
      </w:r>
      <w:r w:rsidR="00D04AA7" w:rsidRPr="005549E7">
        <w:rPr>
          <w:lang w:val="fr-FR"/>
        </w:rPr>
        <w:t>information</w:t>
      </w:r>
    </w:p>
    <w:p w:rsidR="00D04AA7" w:rsidRPr="00D7513E" w:rsidRDefault="00D04AA7" w:rsidP="004E5975">
      <w:pPr>
        <w:pStyle w:val="SingleTxtG"/>
        <w:rPr>
          <w:sz w:val="24"/>
          <w:lang w:val="en-US"/>
        </w:rPr>
      </w:pPr>
      <w:r w:rsidRPr="004E5975">
        <w:t>Liste des documents et autres pièces de la Conférence (ECE/BATUMI.CONF/2016/INF/3)</w:t>
      </w:r>
      <w:r w:rsidR="00516304">
        <w:t>.</w:t>
      </w:r>
    </w:p>
    <w:p w:rsidR="00D04AA7" w:rsidRPr="001D7CB4" w:rsidRDefault="00D04AA7" w:rsidP="004E5975">
      <w:pPr>
        <w:pStyle w:val="H1G"/>
        <w:rPr>
          <w:lang w:val="fr-FR"/>
        </w:rPr>
      </w:pPr>
      <w:r w:rsidRPr="00D7513E">
        <w:rPr>
          <w:lang w:val="en-US"/>
        </w:rPr>
        <w:lastRenderedPageBreak/>
        <w:tab/>
      </w:r>
      <w:r w:rsidRPr="00CE67BC">
        <w:rPr>
          <w:lang w:val="fr-FR"/>
        </w:rPr>
        <w:t>2.</w:t>
      </w:r>
      <w:r w:rsidRPr="00CE67BC">
        <w:rPr>
          <w:lang w:val="fr-FR"/>
        </w:rPr>
        <w:tab/>
      </w:r>
      <w:r>
        <w:rPr>
          <w:lang w:val="fr-FR"/>
        </w:rPr>
        <w:t xml:space="preserve">Le volet </w:t>
      </w:r>
      <w:r w:rsidRPr="00763012">
        <w:rPr>
          <w:lang w:val="fr-FR"/>
        </w:rPr>
        <w:t xml:space="preserve">environnemental du Programme de développement durable </w:t>
      </w:r>
      <w:r w:rsidR="004E5975">
        <w:rPr>
          <w:lang w:val="fr-FR"/>
        </w:rPr>
        <w:br/>
      </w:r>
      <w:r w:rsidRPr="00763012">
        <w:rPr>
          <w:lang w:val="fr-FR"/>
        </w:rPr>
        <w:t>à l</w:t>
      </w:r>
      <w:r w:rsidR="00D90C3E">
        <w:rPr>
          <w:lang w:val="fr-FR"/>
        </w:rPr>
        <w:t>’</w:t>
      </w:r>
      <w:r w:rsidRPr="00763012">
        <w:rPr>
          <w:lang w:val="fr-FR"/>
        </w:rPr>
        <w:t>horizon 20</w:t>
      </w:r>
      <w:r>
        <w:rPr>
          <w:lang w:val="fr-FR"/>
        </w:rPr>
        <w:t>3</w:t>
      </w:r>
      <w:r w:rsidRPr="00763012">
        <w:rPr>
          <w:lang w:val="fr-FR"/>
        </w:rPr>
        <w:t>0</w:t>
      </w:r>
      <w:r w:rsidR="004E5975">
        <w:rPr>
          <w:lang w:val="fr-FR"/>
        </w:rPr>
        <w:t> :</w:t>
      </w:r>
      <w:r>
        <w:rPr>
          <w:lang w:val="fr-FR"/>
        </w:rPr>
        <w:t xml:space="preserve"> aller de l</w:t>
      </w:r>
      <w:r w:rsidR="00D90C3E">
        <w:rPr>
          <w:lang w:val="fr-FR"/>
        </w:rPr>
        <w:t>’</w:t>
      </w:r>
      <w:r>
        <w:rPr>
          <w:lang w:val="fr-FR"/>
        </w:rPr>
        <w:t>avant dans la région paneuropéenne</w:t>
      </w:r>
    </w:p>
    <w:p w:rsidR="00D04AA7" w:rsidRDefault="00D04AA7" w:rsidP="004E5975">
      <w:pPr>
        <w:pStyle w:val="H23G"/>
        <w:rPr>
          <w:lang w:val="fr-FR"/>
        </w:rPr>
      </w:pPr>
      <w:r w:rsidRPr="00D7513E">
        <w:rPr>
          <w:lang w:val="fr-FR"/>
        </w:rPr>
        <w:tab/>
        <w:t>a)</w:t>
      </w:r>
      <w:r w:rsidRPr="00D7513E">
        <w:rPr>
          <w:lang w:val="fr-FR"/>
        </w:rPr>
        <w:tab/>
      </w:r>
      <w:r w:rsidRPr="00D7513E">
        <w:t>Accords multilatéraux relatifs à l</w:t>
      </w:r>
      <w:r w:rsidR="00D90C3E">
        <w:t>’</w:t>
      </w:r>
      <w:r w:rsidRPr="00D7513E">
        <w:t xml:space="preserve">environnement, mécanismes, politiques </w:t>
      </w:r>
      <w:r w:rsidR="004E5975">
        <w:br/>
      </w:r>
      <w:r w:rsidRPr="00D7513E">
        <w:t>et institutions à l</w:t>
      </w:r>
      <w:r w:rsidR="00D90C3E">
        <w:t>’</w:t>
      </w:r>
      <w:r w:rsidRPr="00D7513E">
        <w:t xml:space="preserve">appui du Programme de développement </w:t>
      </w:r>
      <w:r w:rsidR="004E5975">
        <w:br/>
      </w:r>
      <w:r w:rsidRPr="00D7513E">
        <w:t>durable à l</w:t>
      </w:r>
      <w:r w:rsidR="00D90C3E">
        <w:t>’</w:t>
      </w:r>
      <w:r w:rsidRPr="00D7513E">
        <w:t>horizon 2030</w:t>
      </w:r>
    </w:p>
    <w:p w:rsidR="00D04AA7" w:rsidRDefault="00D04AA7" w:rsidP="004E5975">
      <w:pPr>
        <w:pStyle w:val="H4G"/>
        <w:rPr>
          <w:lang w:val="fr-FR"/>
        </w:rPr>
      </w:pPr>
      <w:r w:rsidRPr="00D7513E">
        <w:rPr>
          <w:lang w:val="fr-FR"/>
        </w:rPr>
        <w:tab/>
      </w:r>
      <w:r w:rsidRPr="00D7513E">
        <w:rPr>
          <w:lang w:val="fr-FR"/>
        </w:rPr>
        <w:tab/>
        <w:t>Mercredi 8 juin, 1</w:t>
      </w:r>
      <w:r w:rsidRPr="005549E7">
        <w:rPr>
          <w:lang w:val="fr-FR"/>
        </w:rPr>
        <w:t>0 h 30</w:t>
      </w:r>
      <w:r w:rsidRPr="00D7513E">
        <w:rPr>
          <w:lang w:val="fr-FR"/>
        </w:rPr>
        <w:t>-1</w:t>
      </w:r>
      <w:r w:rsidRPr="005549E7">
        <w:rPr>
          <w:lang w:val="fr-FR"/>
        </w:rPr>
        <w:t>2 h 30</w:t>
      </w:r>
    </w:p>
    <w:p w:rsidR="00D04AA7" w:rsidRPr="004E5975" w:rsidRDefault="00D04AA7" w:rsidP="004E5975">
      <w:pPr>
        <w:pStyle w:val="ParNoG"/>
      </w:pPr>
      <w:r w:rsidRPr="004E5975">
        <w:t>La séance débutera par les observations liminaires du Président de la Conférence. Les ministres réfléchiront au rôle que pourraient jouer les accords multilatéraux relatifs à l</w:t>
      </w:r>
      <w:r w:rsidR="00D90C3E">
        <w:t>’</w:t>
      </w:r>
      <w:r w:rsidRPr="004E5975">
        <w:t>environnement, les études de performance environnementale, l</w:t>
      </w:r>
      <w:r w:rsidR="00D90C3E">
        <w:t>’</w:t>
      </w:r>
      <w:r w:rsidRPr="004E5975">
        <w:t>Équipe spéciale pour la mise en œuvre du Programme d</w:t>
      </w:r>
      <w:r w:rsidR="00D90C3E">
        <w:t>’</w:t>
      </w:r>
      <w:r w:rsidRPr="004E5975">
        <w:t>action pour l</w:t>
      </w:r>
      <w:r w:rsidR="00D90C3E">
        <w:t>’</w:t>
      </w:r>
      <w:r w:rsidRPr="004E5975">
        <w:t>environnement, les centres régionaux pour l</w:t>
      </w:r>
      <w:r w:rsidR="00D90C3E">
        <w:t>’</w:t>
      </w:r>
      <w:r w:rsidRPr="004E5975">
        <w:t>environnement et d</w:t>
      </w:r>
      <w:r w:rsidR="00D90C3E">
        <w:t>’</w:t>
      </w:r>
      <w:r w:rsidRPr="004E5975">
        <w:t>autres instruments lorsqu</w:t>
      </w:r>
      <w:r w:rsidR="00D90C3E">
        <w:t>’</w:t>
      </w:r>
      <w:r w:rsidRPr="004E5975">
        <w:t>il s</w:t>
      </w:r>
      <w:r w:rsidR="00D90C3E">
        <w:t>’</w:t>
      </w:r>
      <w:r w:rsidRPr="004E5975">
        <w:t>agit de soutenir et de renforcer les efforts déployés par les pays pour mettre en œuvre le Programme de développement durable à l</w:t>
      </w:r>
      <w:r w:rsidR="00D90C3E">
        <w:t>’</w:t>
      </w:r>
      <w:r w:rsidRPr="004E5975">
        <w:t>horizon 2030 et atteindre les objectifs de développement durable (ODD). De plus, les acteurs des Actions pour l</w:t>
      </w:r>
      <w:r w:rsidR="00D90C3E">
        <w:t>’</w:t>
      </w:r>
      <w:r w:rsidRPr="004E5975">
        <w:t>eau d</w:t>
      </w:r>
      <w:r w:rsidR="00D90C3E">
        <w:t>’</w:t>
      </w:r>
      <w:r w:rsidRPr="004E5975">
        <w:t>Astana feront part de l</w:t>
      </w:r>
      <w:r w:rsidR="00D90C3E">
        <w:t>’</w:t>
      </w:r>
      <w:r w:rsidRPr="004E5975">
        <w:t>expérience qu</w:t>
      </w:r>
      <w:r w:rsidR="00D90C3E">
        <w:t>’</w:t>
      </w:r>
      <w:r w:rsidRPr="004E5975">
        <w:t>ils ont acquise en participant à cette initiative lancée à Astana en 2011.</w:t>
      </w:r>
    </w:p>
    <w:p w:rsidR="00D04AA7" w:rsidRPr="004E5975" w:rsidRDefault="00D04AA7" w:rsidP="004E5975">
      <w:pPr>
        <w:pStyle w:val="ParNoG"/>
      </w:pPr>
      <w:r w:rsidRPr="004E5975">
        <w:t>La séance sera organisée sous la forme d</w:t>
      </w:r>
      <w:r w:rsidR="00D90C3E">
        <w:t>’</w:t>
      </w:r>
      <w:r w:rsidRPr="004E5975">
        <w:t xml:space="preserve">un débat entre ministres, dirigé par un animateur. Des représentants de haut niveau du secteur privé et de la société civile prendront également part au débat. Afin de faciliter la préparation du débat et les échanges qui auront lieu pendant la séance, les ministres seront invités à </w:t>
      </w:r>
      <w:r w:rsidR="00516304">
        <w:t xml:space="preserve">réfléchir à la </w:t>
      </w:r>
      <w:r w:rsidRPr="004E5975">
        <w:t xml:space="preserve">manière </w:t>
      </w:r>
      <w:r w:rsidR="00516304">
        <w:t xml:space="preserve">dont </w:t>
      </w:r>
      <w:r w:rsidRPr="004E5975">
        <w:t>l</w:t>
      </w:r>
      <w:r w:rsidR="00D90C3E">
        <w:t>’</w:t>
      </w:r>
      <w:r w:rsidRPr="004E5975">
        <w:t>un ou plusieurs des instruments mentionnés ci-dessus seront utilisés de façon à étayer les efforts déployés pour réaliser l</w:t>
      </w:r>
      <w:r w:rsidR="00D90C3E">
        <w:t>’</w:t>
      </w:r>
      <w:r w:rsidRPr="004E5975">
        <w:t>un ou plusieurs des objectifs de développement durable, notamment en renforçant l</w:t>
      </w:r>
      <w:r w:rsidR="00D90C3E">
        <w:t>’</w:t>
      </w:r>
      <w:r w:rsidRPr="004E5975">
        <w:t>intégration et la coopération intersectorielle. À cet égard, les ministres seront invités à appuyer leur intervention sur l</w:t>
      </w:r>
      <w:r w:rsidR="00D90C3E">
        <w:t>’</w:t>
      </w:r>
      <w:r w:rsidRPr="004E5975">
        <w:t>exemple concret d</w:t>
      </w:r>
      <w:r w:rsidR="00D90C3E">
        <w:t>’</w:t>
      </w:r>
      <w:r w:rsidRPr="004E5975">
        <w:t>une nouvelle action ou initiative qui illustre la manière dont le ou les instruments seront utilisés pour renforcer la coopération intersectorielle en vue de la réalisation du ou des objectifs de développement durable.</w:t>
      </w:r>
    </w:p>
    <w:p w:rsidR="00D04AA7" w:rsidRPr="004E5975" w:rsidRDefault="00D04AA7" w:rsidP="004E5975">
      <w:pPr>
        <w:pStyle w:val="ParNoG"/>
      </w:pPr>
      <w:r w:rsidRPr="004E5975">
        <w:t>Les ministres seront invités à renouveler l</w:t>
      </w:r>
      <w:r w:rsidR="00D90C3E">
        <w:t>’</w:t>
      </w:r>
      <w:r w:rsidRPr="004E5975">
        <w:t xml:space="preserve">engagement qui a été pris de participer à ces divers instruments et de les mettre en œuvre. </w:t>
      </w:r>
    </w:p>
    <w:p w:rsidR="00D04AA7" w:rsidRPr="00D7513E" w:rsidRDefault="00D04AA7" w:rsidP="004E5975">
      <w:pPr>
        <w:pStyle w:val="ParNoG"/>
        <w:rPr>
          <w:sz w:val="24"/>
        </w:rPr>
      </w:pPr>
      <w:r w:rsidRPr="004E5975">
        <w:t>La séance se terminera p</w:t>
      </w:r>
      <w:r w:rsidR="002B7DBC">
        <w:t>ar une cérémonie organisée pour</w:t>
      </w:r>
      <w:r w:rsidRPr="004E5975">
        <w:t xml:space="preserve"> célébrer le Programme d</w:t>
      </w:r>
      <w:r w:rsidR="00D90C3E">
        <w:t>’</w:t>
      </w:r>
      <w:r w:rsidRPr="004E5975">
        <w:t>études de performance environnementale de la CEE qui est mis en œuvre avec succès depuis vingt ans et le préparer à contribuer à la réalisation des objectifs de développement durable.</w:t>
      </w:r>
    </w:p>
    <w:p w:rsidR="00D04AA7" w:rsidRPr="00D7513E" w:rsidRDefault="004E5975" w:rsidP="004E5975">
      <w:pPr>
        <w:pStyle w:val="H23G"/>
      </w:pPr>
      <w:r>
        <w:tab/>
      </w:r>
      <w:r>
        <w:tab/>
      </w:r>
      <w:r w:rsidR="00D04AA7" w:rsidRPr="00D7513E">
        <w:t>Documents</w:t>
      </w:r>
    </w:p>
    <w:p w:rsidR="00D04AA7" w:rsidRDefault="00D04AA7" w:rsidP="004E5975">
      <w:pPr>
        <w:pStyle w:val="SingleTxtG"/>
      </w:pPr>
      <w:r w:rsidRPr="00D7513E">
        <w:t>Rapport final sur la mise en œuvre d</w:t>
      </w:r>
      <w:r w:rsidR="004E5975">
        <w:t>es Actions pour l</w:t>
      </w:r>
      <w:r w:rsidR="00D90C3E">
        <w:t>’</w:t>
      </w:r>
      <w:r w:rsidR="004E5975">
        <w:t>eau d</w:t>
      </w:r>
      <w:r w:rsidR="00D90C3E">
        <w:t>’</w:t>
      </w:r>
      <w:r w:rsidR="004E5975">
        <w:t>Astana :</w:t>
      </w:r>
      <w:r w:rsidRPr="00D7513E">
        <w:t xml:space="preserve"> œuvrer à une meilleure gestion de l</w:t>
      </w:r>
      <w:r w:rsidR="00D90C3E">
        <w:t>’</w:t>
      </w:r>
      <w:r w:rsidRPr="00D7513E">
        <w:t>eau (ECE/BATUMI.CONF/2016/</w:t>
      </w:r>
      <w:r>
        <w:t>10)</w:t>
      </w:r>
      <w:r w:rsidR="00516304">
        <w:t>.</w:t>
      </w:r>
    </w:p>
    <w:p w:rsidR="00D04AA7" w:rsidRPr="00D7513E" w:rsidRDefault="004E5975" w:rsidP="004E5975">
      <w:pPr>
        <w:pStyle w:val="H4G"/>
      </w:pPr>
      <w:r>
        <w:tab/>
      </w:r>
      <w:r>
        <w:tab/>
      </w:r>
      <w:r w:rsidR="00D04AA7" w:rsidRPr="00D51989">
        <w:t>Document d</w:t>
      </w:r>
      <w:r w:rsidR="00D90C3E">
        <w:t>’</w:t>
      </w:r>
      <w:r w:rsidR="00D04AA7" w:rsidRPr="00D51989">
        <w:t>information</w:t>
      </w:r>
    </w:p>
    <w:p w:rsidR="00D04AA7" w:rsidRPr="00D7513E" w:rsidRDefault="00D04AA7" w:rsidP="004E5975">
      <w:pPr>
        <w:pStyle w:val="SingleTxtG"/>
        <w:rPr>
          <w:sz w:val="24"/>
        </w:rPr>
      </w:pPr>
      <w:r w:rsidRPr="004E5975">
        <w:t>Inventaire des processus et d</w:t>
      </w:r>
      <w:r w:rsidR="004E5975">
        <w:t>es activités du sous-programme « Environnement »</w:t>
      </w:r>
      <w:r w:rsidRPr="004E5975">
        <w:t xml:space="preserve"> qui aident les pays à atteindre les objectifs de développement durable (ECE/BATUMI.CONF/</w:t>
      </w:r>
      <w:r w:rsidR="004E5975">
        <w:t xml:space="preserve"> </w:t>
      </w:r>
      <w:r w:rsidRPr="004E5975">
        <w:t>2016/INF/1)</w:t>
      </w:r>
      <w:r w:rsidR="00516304">
        <w:t>.</w:t>
      </w:r>
    </w:p>
    <w:p w:rsidR="00D04AA7" w:rsidRPr="00D7513E" w:rsidRDefault="004E5975" w:rsidP="004E5975">
      <w:pPr>
        <w:pStyle w:val="H23G"/>
        <w:rPr>
          <w:bCs/>
          <w:lang w:val="fr-FR"/>
        </w:rPr>
      </w:pPr>
      <w:r>
        <w:rPr>
          <w:bCs/>
        </w:rPr>
        <w:tab/>
        <w:t>b)</w:t>
      </w:r>
      <w:r>
        <w:rPr>
          <w:bCs/>
        </w:rPr>
        <w:tab/>
      </w:r>
      <w:r w:rsidR="00D04AA7" w:rsidRPr="00D7513E">
        <w:rPr>
          <w:lang w:val="fr-FR"/>
        </w:rPr>
        <w:t>Suivre l</w:t>
      </w:r>
      <w:r w:rsidR="00D90C3E">
        <w:rPr>
          <w:lang w:val="fr-FR"/>
        </w:rPr>
        <w:t>’</w:t>
      </w:r>
      <w:r w:rsidR="00D04AA7" w:rsidRPr="00D7513E">
        <w:rPr>
          <w:lang w:val="fr-FR"/>
        </w:rPr>
        <w:t>état de l</w:t>
      </w:r>
      <w:r w:rsidR="00D90C3E">
        <w:rPr>
          <w:lang w:val="fr-FR"/>
        </w:rPr>
        <w:t>’</w:t>
      </w:r>
      <w:r w:rsidR="00D04AA7" w:rsidRPr="00D7513E">
        <w:rPr>
          <w:lang w:val="fr-FR"/>
        </w:rPr>
        <w:t>environnement dans la région paneuropéenne</w:t>
      </w:r>
    </w:p>
    <w:p w:rsidR="00D04AA7" w:rsidRPr="00D7513E" w:rsidRDefault="004E5975" w:rsidP="004E5975">
      <w:pPr>
        <w:pStyle w:val="H4G"/>
      </w:pPr>
      <w:r>
        <w:rPr>
          <w:lang w:val="fr-FR"/>
        </w:rPr>
        <w:tab/>
      </w:r>
      <w:r>
        <w:rPr>
          <w:lang w:val="fr-FR"/>
        </w:rPr>
        <w:tab/>
        <w:t>Mercredi 8 juin, 15 heures-</w:t>
      </w:r>
      <w:r w:rsidR="00D04AA7" w:rsidRPr="00D7513E">
        <w:rPr>
          <w:lang w:val="fr-FR"/>
        </w:rPr>
        <w:t>16 h 30</w:t>
      </w:r>
    </w:p>
    <w:p w:rsidR="00D04AA7" w:rsidRPr="004E5975" w:rsidRDefault="00D04AA7" w:rsidP="004E5975">
      <w:pPr>
        <w:pStyle w:val="ParNoG"/>
      </w:pPr>
      <w:r w:rsidRPr="004E5975">
        <w:t xml:space="preserve">La séance débutera par les observations liminaires du Président de la Conférence. Les participants examineront les progrès accomplis en ce qui concerne le développement du </w:t>
      </w:r>
      <w:r w:rsidRPr="004E5975">
        <w:lastRenderedPageBreak/>
        <w:t>Système de partage d</w:t>
      </w:r>
      <w:r w:rsidR="00D90C3E">
        <w:t>’</w:t>
      </w:r>
      <w:r w:rsidRPr="004E5975">
        <w:t>informations sur l</w:t>
      </w:r>
      <w:r w:rsidR="00D90C3E">
        <w:t>’</w:t>
      </w:r>
      <w:r w:rsidRPr="004E5975">
        <w:t>environnement (SEIS) à l</w:t>
      </w:r>
      <w:r w:rsidR="00D90C3E">
        <w:t>’</w:t>
      </w:r>
      <w:r w:rsidRPr="004E5975">
        <w:t>échelle de la région paneuropéenne et la mise en place d</w:t>
      </w:r>
      <w:r w:rsidR="00D90C3E">
        <w:t>’</w:t>
      </w:r>
      <w:r w:rsidRPr="004E5975">
        <w:t>un processus d</w:t>
      </w:r>
      <w:r w:rsidR="00D90C3E">
        <w:t>’</w:t>
      </w:r>
      <w:r w:rsidRPr="004E5975">
        <w:t>évaluation périodique de l</w:t>
      </w:r>
      <w:r w:rsidR="00D90C3E">
        <w:t>’</w:t>
      </w:r>
      <w:r w:rsidRPr="004E5975">
        <w:t>environnement visant à suivre l</w:t>
      </w:r>
      <w:r w:rsidR="00D90C3E">
        <w:t>’</w:t>
      </w:r>
      <w:r w:rsidRPr="004E5975">
        <w:t>état de l</w:t>
      </w:r>
      <w:r w:rsidR="00D90C3E">
        <w:t>’</w:t>
      </w:r>
      <w:r w:rsidRPr="004E5975">
        <w:t>environnement dans la région paneuropéenne, conformément à l</w:t>
      </w:r>
      <w:r w:rsidR="00D90C3E">
        <w:t>’</w:t>
      </w:r>
      <w:r w:rsidRPr="004E5975">
        <w:t>engagement pris par les ministres à Astana en 2011.</w:t>
      </w:r>
    </w:p>
    <w:p w:rsidR="00D04AA7" w:rsidRPr="00D7513E" w:rsidRDefault="00D04AA7" w:rsidP="004E5975">
      <w:pPr>
        <w:pStyle w:val="ParNoG"/>
        <w:rPr>
          <w:sz w:val="24"/>
          <w:lang w:val="fr-FR"/>
        </w:rPr>
      </w:pPr>
      <w:r w:rsidRPr="004E5975">
        <w:t>Les participants examineront les principales conclusions de l</w:t>
      </w:r>
      <w:r w:rsidR="00D90C3E">
        <w:t>’</w:t>
      </w:r>
      <w:r w:rsidRPr="004E5975">
        <w:t>évaluation régionale européenne de la sixième édition du rapport sur l</w:t>
      </w:r>
      <w:r w:rsidR="00D90C3E">
        <w:t>’</w:t>
      </w:r>
      <w:r w:rsidRPr="004E5975">
        <w:t>avenir de l</w:t>
      </w:r>
      <w:r w:rsidR="00D90C3E">
        <w:t>’</w:t>
      </w:r>
      <w:r w:rsidRPr="004E5975">
        <w:t>environnement mondial, dans le cadre d</w:t>
      </w:r>
      <w:r w:rsidR="00D90C3E">
        <w:t>’</w:t>
      </w:r>
      <w:r w:rsidRPr="004E5975">
        <w:t>un débat dirigé par un animateur. Afin de faciliter les échanges, quelques questions seront préparées, compte tenu des principales conclusions du rapport en ce qui concerne l</w:t>
      </w:r>
      <w:r w:rsidR="00D90C3E">
        <w:t>’</w:t>
      </w:r>
      <w:r w:rsidRPr="004E5975">
        <w:t>avenir de la région européenne</w:t>
      </w:r>
      <w:r w:rsidRPr="00EE3312">
        <w:rPr>
          <w:rStyle w:val="FootnoteReference"/>
        </w:rPr>
        <w:footnoteReference w:id="4"/>
      </w:r>
      <w:r w:rsidRPr="004E5975">
        <w:t>.</w:t>
      </w:r>
    </w:p>
    <w:p w:rsidR="00D04AA7" w:rsidRPr="004E5975" w:rsidRDefault="00D04AA7" w:rsidP="004E5975">
      <w:pPr>
        <w:pStyle w:val="ParNoG"/>
      </w:pPr>
      <w:r w:rsidRPr="004E5975">
        <w:t>Les ministres seront invités à renouveler l</w:t>
      </w:r>
      <w:r w:rsidR="00D90C3E">
        <w:t>’</w:t>
      </w:r>
      <w:r w:rsidRPr="004E5975">
        <w:t>engagement qui a été pris de mettre en place un processus d</w:t>
      </w:r>
      <w:r w:rsidR="00D90C3E">
        <w:t>’</w:t>
      </w:r>
      <w:r w:rsidRPr="004E5975">
        <w:t>évaluation périodique de l</w:t>
      </w:r>
      <w:r w:rsidR="00D90C3E">
        <w:t>’</w:t>
      </w:r>
      <w:r w:rsidRPr="004E5975">
        <w:t>environnement fondé sur le SEIS, étant donné qu</w:t>
      </w:r>
      <w:r w:rsidR="00D90C3E">
        <w:t>’</w:t>
      </w:r>
      <w:r w:rsidRPr="004E5975">
        <w:t>il s</w:t>
      </w:r>
      <w:r w:rsidR="00D90C3E">
        <w:t>’</w:t>
      </w:r>
      <w:r w:rsidRPr="004E5975">
        <w:t>agit aussi d</w:t>
      </w:r>
      <w:r w:rsidR="00D90C3E">
        <w:t>’</w:t>
      </w:r>
      <w:r w:rsidRPr="004E5975">
        <w:t>un moyen efficace de faire avancer le Programme de développement durable à l</w:t>
      </w:r>
      <w:r w:rsidR="00D90C3E">
        <w:t>’</w:t>
      </w:r>
      <w:r w:rsidRPr="004E5975">
        <w:t>horizon 2030.</w:t>
      </w:r>
    </w:p>
    <w:p w:rsidR="00D04AA7" w:rsidRPr="00D7513E" w:rsidRDefault="00D04AA7" w:rsidP="004E5975">
      <w:pPr>
        <w:pStyle w:val="H23G"/>
        <w:rPr>
          <w:lang w:val="fr-FR"/>
        </w:rPr>
      </w:pPr>
      <w:r w:rsidRPr="00D7513E">
        <w:tab/>
      </w:r>
      <w:r w:rsidRPr="00D7513E">
        <w:tab/>
      </w:r>
      <w:r w:rsidRPr="00D7513E">
        <w:rPr>
          <w:lang w:val="fr-FR"/>
        </w:rPr>
        <w:t>Document</w:t>
      </w:r>
      <w:r>
        <w:rPr>
          <w:lang w:val="fr-FR"/>
        </w:rPr>
        <w:t>s</w:t>
      </w:r>
    </w:p>
    <w:p w:rsidR="00D04AA7" w:rsidRPr="004E5975" w:rsidRDefault="00D04AA7" w:rsidP="004E5975">
      <w:pPr>
        <w:pStyle w:val="SingleTxtG"/>
      </w:pPr>
      <w:r w:rsidRPr="004E5975">
        <w:t>Rapport concernant l</w:t>
      </w:r>
      <w:r w:rsidR="00D90C3E">
        <w:t>’</w:t>
      </w:r>
      <w:r w:rsidRPr="004E5975">
        <w:t>état d</w:t>
      </w:r>
      <w:r w:rsidR="00D90C3E">
        <w:t>’</w:t>
      </w:r>
      <w:r w:rsidRPr="004E5975">
        <w:t>avancement de la mise en place du Système de partage d</w:t>
      </w:r>
      <w:r w:rsidR="00D90C3E">
        <w:t>’</w:t>
      </w:r>
      <w:r w:rsidRPr="004E5975">
        <w:t>informations sur l</w:t>
      </w:r>
      <w:r w:rsidR="00D90C3E">
        <w:t>’</w:t>
      </w:r>
      <w:r w:rsidRPr="004E5975">
        <w:t>environnement devant favoriser l</w:t>
      </w:r>
      <w:r w:rsidR="00D90C3E">
        <w:t>’</w:t>
      </w:r>
      <w:r w:rsidRPr="004E5975">
        <w:t>établissement périodique de rapports dans la région paneuropéenne (ECE/BATUMI.CONF/2016/8).</w:t>
      </w:r>
    </w:p>
    <w:p w:rsidR="00D04AA7" w:rsidRPr="004E5975" w:rsidRDefault="00D04AA7" w:rsidP="004E5975">
      <w:pPr>
        <w:pStyle w:val="SingleTxtG"/>
      </w:pPr>
      <w:r w:rsidRPr="004E5975">
        <w:t>Résumé des principales conclusions et orientations de l</w:t>
      </w:r>
      <w:r w:rsidR="00D90C3E">
        <w:t>’</w:t>
      </w:r>
      <w:r w:rsidRPr="004E5975">
        <w:t>évaluation régionale européenne présentée dans le sixième rapport sur l</w:t>
      </w:r>
      <w:r w:rsidR="00D90C3E">
        <w:t>’</w:t>
      </w:r>
      <w:r w:rsidRPr="004E5975">
        <w:t>avenir de l</w:t>
      </w:r>
      <w:r w:rsidR="00D90C3E">
        <w:t>’</w:t>
      </w:r>
      <w:r w:rsidRPr="004E5975">
        <w:t>environnement mondial (ECE/BATUMI.CONF/2016/9).</w:t>
      </w:r>
    </w:p>
    <w:p w:rsidR="00D04AA7" w:rsidRDefault="004E5975" w:rsidP="004E5975">
      <w:pPr>
        <w:pStyle w:val="H4G"/>
        <w:rPr>
          <w:lang w:val="fr-FR"/>
        </w:rPr>
      </w:pPr>
      <w:r>
        <w:rPr>
          <w:lang w:val="fr-FR"/>
        </w:rPr>
        <w:tab/>
      </w:r>
      <w:r>
        <w:rPr>
          <w:lang w:val="fr-FR"/>
        </w:rPr>
        <w:tab/>
      </w:r>
      <w:r w:rsidR="00D04AA7" w:rsidRPr="00EB254B">
        <w:rPr>
          <w:lang w:val="fr-FR"/>
        </w:rPr>
        <w:t>Documents d</w:t>
      </w:r>
      <w:r w:rsidR="00D90C3E">
        <w:rPr>
          <w:lang w:val="fr-FR"/>
        </w:rPr>
        <w:t>’</w:t>
      </w:r>
      <w:r w:rsidR="00D04AA7" w:rsidRPr="00EB254B">
        <w:rPr>
          <w:lang w:val="fr-FR"/>
        </w:rPr>
        <w:t>information</w:t>
      </w:r>
    </w:p>
    <w:p w:rsidR="00D04AA7" w:rsidRPr="004E5975" w:rsidRDefault="00D04AA7" w:rsidP="004E5975">
      <w:pPr>
        <w:pStyle w:val="SingleTxtG"/>
      </w:pPr>
      <w:r w:rsidRPr="004E5975">
        <w:t>Procédure d</w:t>
      </w:r>
      <w:r w:rsidR="00D90C3E">
        <w:t>’</w:t>
      </w:r>
      <w:r w:rsidRPr="004E5975">
        <w:t>évaluation périodique de l</w:t>
      </w:r>
      <w:r w:rsidR="00D90C3E">
        <w:t>’</w:t>
      </w:r>
      <w:r w:rsidRPr="004E5975">
        <w:t>environnement fondée sur le Système de partage d</w:t>
      </w:r>
      <w:r w:rsidR="00D90C3E">
        <w:t>’</w:t>
      </w:r>
      <w:r w:rsidRPr="004E5975">
        <w:t>informations sur l</w:t>
      </w:r>
      <w:r w:rsidR="00D90C3E">
        <w:t>’</w:t>
      </w:r>
      <w:r w:rsidRPr="004E5975">
        <w:t xml:space="preserve">environnement (ECE/BATUMI.CONF/2016/INF/15). </w:t>
      </w:r>
    </w:p>
    <w:p w:rsidR="00D04AA7" w:rsidRPr="004E5975" w:rsidRDefault="00D04AA7" w:rsidP="004E5975">
      <w:pPr>
        <w:pStyle w:val="SingleTxtG"/>
      </w:pPr>
      <w:r w:rsidRPr="004E5975">
        <w:t>Cibles et indicateurs de résultats permettant de mesurer les progrès accomplis dans le développement du Système de partage d</w:t>
      </w:r>
      <w:r w:rsidR="00D90C3E">
        <w:t>’</w:t>
      </w:r>
      <w:r w:rsidRPr="004E5975">
        <w:t>informations sur l</w:t>
      </w:r>
      <w:r w:rsidR="00D90C3E">
        <w:t>’</w:t>
      </w:r>
      <w:r w:rsidRPr="004E5975">
        <w:t>environnement dans l</w:t>
      </w:r>
      <w:r w:rsidR="00D90C3E">
        <w:t>’</w:t>
      </w:r>
      <w:r w:rsidRPr="004E5975">
        <w:t>ensemble de la région paneuropéenne (ECE/BATUMI.CONF/2016/INF/16)</w:t>
      </w:r>
      <w:r w:rsidR="00F179F7">
        <w:t>.</w:t>
      </w:r>
    </w:p>
    <w:p w:rsidR="00D04AA7" w:rsidRPr="001D7CB4" w:rsidRDefault="00D04AA7" w:rsidP="00F179F7">
      <w:pPr>
        <w:pStyle w:val="H1G"/>
        <w:rPr>
          <w:lang w:val="fr-FR"/>
        </w:rPr>
      </w:pPr>
      <w:r w:rsidRPr="00975002">
        <w:rPr>
          <w:lang w:val="fr-FR"/>
        </w:rPr>
        <w:tab/>
      </w:r>
      <w:r w:rsidRPr="00CE67BC">
        <w:rPr>
          <w:lang w:val="fr-FR"/>
        </w:rPr>
        <w:t>3.</w:t>
      </w:r>
      <w:r w:rsidRPr="00CE67BC">
        <w:rPr>
          <w:lang w:val="fr-FR"/>
        </w:rPr>
        <w:tab/>
        <w:t>Vers une nouvelle société</w:t>
      </w:r>
      <w:r w:rsidRPr="001D7CB4">
        <w:rPr>
          <w:lang w:val="fr-FR"/>
        </w:rPr>
        <w:t> : dix ans d</w:t>
      </w:r>
      <w:r w:rsidR="00D90C3E">
        <w:rPr>
          <w:lang w:val="fr-FR"/>
        </w:rPr>
        <w:t>’</w:t>
      </w:r>
      <w:r w:rsidRPr="001D7CB4">
        <w:rPr>
          <w:lang w:val="fr-FR"/>
        </w:rPr>
        <w:t xml:space="preserve">éducation en vue </w:t>
      </w:r>
      <w:r w:rsidRPr="001D7CB4">
        <w:rPr>
          <w:lang w:val="fr-FR"/>
        </w:rPr>
        <w:br/>
        <w:t>du développement durable</w:t>
      </w:r>
    </w:p>
    <w:p w:rsidR="00D04AA7" w:rsidRPr="00D7513E" w:rsidRDefault="00D04AA7" w:rsidP="00F179F7">
      <w:pPr>
        <w:pStyle w:val="H4G"/>
        <w:rPr>
          <w:lang w:val="fr-FR"/>
        </w:rPr>
      </w:pPr>
      <w:r w:rsidRPr="00D7513E">
        <w:rPr>
          <w:lang w:val="fr-FR"/>
        </w:rPr>
        <w:tab/>
      </w:r>
      <w:r w:rsidRPr="00D7513E">
        <w:rPr>
          <w:lang w:val="fr-FR"/>
        </w:rPr>
        <w:tab/>
        <w:t>Mercredi 8 juin, 16 h 30-18 heures</w:t>
      </w:r>
    </w:p>
    <w:p w:rsidR="00D04AA7" w:rsidRPr="00F179F7" w:rsidRDefault="00D04AA7" w:rsidP="00F179F7">
      <w:pPr>
        <w:pStyle w:val="ParNoG"/>
      </w:pPr>
      <w:r w:rsidRPr="00F179F7">
        <w:t>La Réunion de haut niveau des Ministères de l</w:t>
      </w:r>
      <w:r w:rsidR="00D90C3E">
        <w:t>’</w:t>
      </w:r>
      <w:r w:rsidRPr="00F179F7">
        <w:t>environnement et de l</w:t>
      </w:r>
      <w:r w:rsidR="00D90C3E">
        <w:t>’</w:t>
      </w:r>
      <w:r w:rsidRPr="00F179F7">
        <w:t>éducation débutera par les observations liminaires des coprésidents du débat consacré à l</w:t>
      </w:r>
      <w:r w:rsidR="00D90C3E">
        <w:t>’</w:t>
      </w:r>
      <w:r w:rsidRPr="00F179F7">
        <w:t>éducation en vue du développement durable. Les participants étudieront les progrès réalisés en la matière, fruits des dix années d</w:t>
      </w:r>
      <w:r w:rsidR="00D90C3E">
        <w:t>’</w:t>
      </w:r>
      <w:r w:rsidRPr="00F179F7">
        <w:t>application de la stratégie de la CEE pour l</w:t>
      </w:r>
      <w:r w:rsidR="00D90C3E">
        <w:t>’</w:t>
      </w:r>
      <w:r w:rsidRPr="00F179F7">
        <w:t xml:space="preserve">éducation en vue </w:t>
      </w:r>
      <w:r w:rsidR="00580572">
        <w:t>du développement durable.</w:t>
      </w:r>
    </w:p>
    <w:p w:rsidR="00D04AA7" w:rsidRPr="00F179F7" w:rsidRDefault="00D04AA7" w:rsidP="00F179F7">
      <w:pPr>
        <w:pStyle w:val="ParNoG"/>
      </w:pPr>
      <w:r w:rsidRPr="00F179F7">
        <w:t>Dans le cadre d</w:t>
      </w:r>
      <w:r w:rsidR="00D90C3E">
        <w:t>’</w:t>
      </w:r>
      <w:r w:rsidRPr="00F179F7">
        <w:t>une séance plénière et d</w:t>
      </w:r>
      <w:r w:rsidR="00D90C3E">
        <w:t>’</w:t>
      </w:r>
      <w:r w:rsidRPr="00F179F7">
        <w:t>un débat, les ministres de l</w:t>
      </w:r>
      <w:r w:rsidR="00D90C3E">
        <w:t>’</w:t>
      </w:r>
      <w:r w:rsidRPr="00F179F7">
        <w:t>éducation et de l</w:t>
      </w:r>
      <w:r w:rsidR="00D90C3E">
        <w:t>’</w:t>
      </w:r>
      <w:r w:rsidRPr="00F179F7">
        <w:t>environnement décideront des mesures à prendre pour faire avancer l</w:t>
      </w:r>
      <w:r w:rsidR="00D90C3E">
        <w:t>’</w:t>
      </w:r>
      <w:r w:rsidRPr="00F179F7">
        <w:t>éducation en vue du développement durable dans la région, à titre de contribution au Programme d</w:t>
      </w:r>
      <w:r w:rsidR="00D90C3E">
        <w:t>’</w:t>
      </w:r>
      <w:r w:rsidRPr="00F179F7">
        <w:t>action global pour l</w:t>
      </w:r>
      <w:r w:rsidR="00D90C3E">
        <w:t>’</w:t>
      </w:r>
      <w:r w:rsidRPr="00F179F7">
        <w:t>éducation en vue du développement durable et au Programme de développement durable à l</w:t>
      </w:r>
      <w:r w:rsidR="00D90C3E">
        <w:t>’</w:t>
      </w:r>
      <w:r w:rsidRPr="00F179F7">
        <w:t>horizon 2030.</w:t>
      </w:r>
    </w:p>
    <w:p w:rsidR="00D04AA7" w:rsidRPr="00F179F7" w:rsidRDefault="00D04AA7" w:rsidP="00F179F7">
      <w:pPr>
        <w:pStyle w:val="ParNoG"/>
      </w:pPr>
      <w:r w:rsidRPr="00F179F7">
        <w:t>La séance se terminera par une invitation adressée aux ministres de l</w:t>
      </w:r>
      <w:r w:rsidR="00D90C3E">
        <w:t>’</w:t>
      </w:r>
      <w:r w:rsidRPr="00F179F7">
        <w:t>éducation et de l</w:t>
      </w:r>
      <w:r w:rsidR="00D90C3E">
        <w:t>’</w:t>
      </w:r>
      <w:r w:rsidRPr="00F179F7">
        <w:t>environnement à adopter la Déclaration ministérielle de Batumi sur l</w:t>
      </w:r>
      <w:r w:rsidR="00D90C3E">
        <w:t>’</w:t>
      </w:r>
      <w:r w:rsidRPr="00F179F7">
        <w:t xml:space="preserve">éducation en vue du </w:t>
      </w:r>
      <w:r w:rsidRPr="00F179F7">
        <w:lastRenderedPageBreak/>
        <w:t>développement durable, y compris le cadre de mise en œuvre de la Stratégie pour l</w:t>
      </w:r>
      <w:r w:rsidR="00D90C3E">
        <w:t>’</w:t>
      </w:r>
      <w:r w:rsidRPr="00F179F7">
        <w:t>éducation en vue du développement durable.</w:t>
      </w:r>
    </w:p>
    <w:p w:rsidR="00D04AA7" w:rsidRPr="00D7513E" w:rsidRDefault="00D04AA7" w:rsidP="00580572">
      <w:pPr>
        <w:pStyle w:val="H23G"/>
        <w:rPr>
          <w:lang w:val="fr-FR"/>
        </w:rPr>
      </w:pPr>
      <w:r w:rsidRPr="00D7513E">
        <w:rPr>
          <w:lang w:val="fr-FR"/>
        </w:rPr>
        <w:tab/>
      </w:r>
      <w:r w:rsidRPr="00D7513E">
        <w:rPr>
          <w:lang w:val="fr-FR"/>
        </w:rPr>
        <w:tab/>
        <w:t>Documents</w:t>
      </w:r>
    </w:p>
    <w:p w:rsidR="00D04AA7" w:rsidRPr="00D7513E" w:rsidRDefault="00D04AA7" w:rsidP="00580572">
      <w:pPr>
        <w:pStyle w:val="SingleTxtG"/>
        <w:rPr>
          <w:lang w:val="fr-FR"/>
        </w:rPr>
      </w:pPr>
      <w:r w:rsidRPr="00D7513E">
        <w:rPr>
          <w:lang w:val="fr-FR"/>
        </w:rPr>
        <w:t xml:space="preserve">Projet de </w:t>
      </w:r>
      <w:r>
        <w:rPr>
          <w:lang w:val="fr-FR"/>
        </w:rPr>
        <w:t>d</w:t>
      </w:r>
      <w:r w:rsidRPr="00D7513E">
        <w:rPr>
          <w:lang w:val="fr-FR"/>
        </w:rPr>
        <w:t xml:space="preserve">éclaration ministérielle de </w:t>
      </w:r>
      <w:r>
        <w:rPr>
          <w:lang w:val="fr-FR"/>
        </w:rPr>
        <w:t>Batumi</w:t>
      </w:r>
      <w:r w:rsidRPr="00D7513E">
        <w:rPr>
          <w:lang w:val="fr-FR"/>
        </w:rPr>
        <w:t xml:space="preserve"> sur l</w:t>
      </w:r>
      <w:r w:rsidR="00D90C3E">
        <w:rPr>
          <w:lang w:val="fr-FR"/>
        </w:rPr>
        <w:t>’</w:t>
      </w:r>
      <w:r w:rsidRPr="00D7513E">
        <w:rPr>
          <w:lang w:val="fr-FR"/>
        </w:rPr>
        <w:t>éducation en vue du développement durable (ECE/</w:t>
      </w:r>
      <w:r>
        <w:rPr>
          <w:lang w:val="fr-FR"/>
        </w:rPr>
        <w:t>BATUMI</w:t>
      </w:r>
      <w:r w:rsidRPr="00D7513E">
        <w:rPr>
          <w:lang w:val="fr-FR"/>
        </w:rPr>
        <w:t>.CONF/2016/L.2)</w:t>
      </w:r>
      <w:r w:rsidR="00580572">
        <w:rPr>
          <w:lang w:val="fr-FR"/>
        </w:rPr>
        <w:t>.</w:t>
      </w:r>
    </w:p>
    <w:p w:rsidR="00D04AA7" w:rsidRDefault="00D04AA7" w:rsidP="00580572">
      <w:pPr>
        <w:pStyle w:val="SingleTxtG"/>
        <w:rPr>
          <w:lang w:val="fr-FR"/>
        </w:rPr>
      </w:pPr>
      <w:r w:rsidRPr="00D7513E">
        <w:rPr>
          <w:lang w:val="fr-FR"/>
        </w:rPr>
        <w:t xml:space="preserve">Cadre </w:t>
      </w:r>
      <w:r>
        <w:rPr>
          <w:lang w:val="fr-FR"/>
        </w:rPr>
        <w:t xml:space="preserve">de mise en œuvre </w:t>
      </w:r>
      <w:r w:rsidRPr="00D7513E">
        <w:rPr>
          <w:lang w:val="fr-FR"/>
        </w:rPr>
        <w:t>de la Stratégie de la CEE pour l</w:t>
      </w:r>
      <w:r w:rsidR="00D90C3E">
        <w:rPr>
          <w:lang w:val="fr-FR"/>
        </w:rPr>
        <w:t>’</w:t>
      </w:r>
      <w:r w:rsidRPr="00D7513E">
        <w:rPr>
          <w:lang w:val="fr-FR"/>
        </w:rPr>
        <w:t>éducation en vue du développement durable (ECE/</w:t>
      </w:r>
      <w:r w:rsidRPr="00580572">
        <w:t>BATUMI</w:t>
      </w:r>
      <w:r w:rsidRPr="00D7513E">
        <w:rPr>
          <w:lang w:val="fr-FR"/>
        </w:rPr>
        <w:t>.CONF/2016/</w:t>
      </w:r>
      <w:r>
        <w:rPr>
          <w:lang w:val="fr-FR"/>
        </w:rPr>
        <w:t>11)</w:t>
      </w:r>
      <w:r w:rsidR="00580572">
        <w:rPr>
          <w:lang w:val="fr-FR"/>
        </w:rPr>
        <w:t>.</w:t>
      </w:r>
    </w:p>
    <w:p w:rsidR="00D04AA7" w:rsidRPr="00D7513E" w:rsidRDefault="001B403A" w:rsidP="001B403A">
      <w:pPr>
        <w:pStyle w:val="H4G"/>
        <w:rPr>
          <w:lang w:val="fr-FR"/>
        </w:rPr>
      </w:pPr>
      <w:r>
        <w:rPr>
          <w:lang w:val="fr-FR"/>
        </w:rPr>
        <w:tab/>
      </w:r>
      <w:r>
        <w:rPr>
          <w:lang w:val="fr-FR"/>
        </w:rPr>
        <w:tab/>
      </w:r>
      <w:r w:rsidR="00D04AA7" w:rsidRPr="008E0A7F">
        <w:rPr>
          <w:lang w:val="fr-FR"/>
        </w:rPr>
        <w:t>Documents d</w:t>
      </w:r>
      <w:r w:rsidR="00D90C3E">
        <w:rPr>
          <w:lang w:val="fr-FR"/>
        </w:rPr>
        <w:t>’</w:t>
      </w:r>
      <w:r w:rsidR="00D04AA7" w:rsidRPr="008E0A7F">
        <w:rPr>
          <w:lang w:val="fr-FR"/>
        </w:rPr>
        <w:t>information</w:t>
      </w:r>
    </w:p>
    <w:p w:rsidR="00D04AA7" w:rsidRPr="001B403A" w:rsidRDefault="001B403A" w:rsidP="001B403A">
      <w:pPr>
        <w:pStyle w:val="SingleTxtG"/>
        <w:rPr>
          <w:lang w:val="fr-FR"/>
        </w:rPr>
      </w:pPr>
      <w:r>
        <w:rPr>
          <w:lang w:val="fr-FR"/>
        </w:rPr>
        <w:t>Apprendre les uns des autres :</w:t>
      </w:r>
      <w:r w:rsidR="00D04AA7" w:rsidRPr="001B403A">
        <w:rPr>
          <w:lang w:val="fr-FR"/>
        </w:rPr>
        <w:t xml:space="preserve"> réalisations, difficultés et marche à suivre. Troisième rapport d</w:t>
      </w:r>
      <w:r w:rsidR="00D90C3E">
        <w:rPr>
          <w:lang w:val="fr-FR"/>
        </w:rPr>
        <w:t>’</w:t>
      </w:r>
      <w:r w:rsidR="00D04AA7" w:rsidRPr="001B403A">
        <w:rPr>
          <w:lang w:val="fr-FR"/>
        </w:rPr>
        <w:t>évaluation de la Stratégie de la CEE pour l</w:t>
      </w:r>
      <w:r w:rsidR="00D90C3E">
        <w:rPr>
          <w:lang w:val="fr-FR"/>
        </w:rPr>
        <w:t>’</w:t>
      </w:r>
      <w:r w:rsidR="00D04AA7" w:rsidRPr="001B403A">
        <w:rPr>
          <w:lang w:val="fr-FR"/>
        </w:rPr>
        <w:t>éducation en vue du développement durable (ECE/BATUMI.CONF/2016/INF/17)</w:t>
      </w:r>
      <w:r>
        <w:rPr>
          <w:lang w:val="fr-FR"/>
        </w:rPr>
        <w:t>.</w:t>
      </w:r>
    </w:p>
    <w:p w:rsidR="00D04AA7" w:rsidRPr="001B403A" w:rsidRDefault="00D04AA7" w:rsidP="001B403A">
      <w:pPr>
        <w:pStyle w:val="SingleTxtG"/>
        <w:rPr>
          <w:lang w:val="fr-FR"/>
        </w:rPr>
      </w:pPr>
      <w:r w:rsidRPr="001B403A">
        <w:rPr>
          <w:lang w:val="fr-FR"/>
        </w:rPr>
        <w:t>Dix ans de la Stratégie de la CEE pour l</w:t>
      </w:r>
      <w:r w:rsidR="00D90C3E">
        <w:rPr>
          <w:lang w:val="fr-FR"/>
        </w:rPr>
        <w:t>’</w:t>
      </w:r>
      <w:r w:rsidRPr="001B403A">
        <w:rPr>
          <w:lang w:val="fr-FR"/>
        </w:rPr>
        <w:t>éducation en vue du développement durable (ECE/BATUMI.CONF/2016/INF/18)</w:t>
      </w:r>
      <w:r w:rsidR="001B403A">
        <w:rPr>
          <w:lang w:val="fr-FR"/>
        </w:rPr>
        <w:t>.</w:t>
      </w:r>
    </w:p>
    <w:p w:rsidR="00D04AA7" w:rsidRPr="001D7CB4" w:rsidRDefault="00D04AA7" w:rsidP="00D90C3E">
      <w:pPr>
        <w:pStyle w:val="H1G"/>
        <w:rPr>
          <w:lang w:val="fr-FR"/>
        </w:rPr>
      </w:pPr>
      <w:r w:rsidRPr="00D7513E">
        <w:rPr>
          <w:lang w:val="en-US"/>
        </w:rPr>
        <w:tab/>
      </w:r>
      <w:r w:rsidRPr="00CE67BC">
        <w:rPr>
          <w:lang w:val="fr-FR"/>
        </w:rPr>
        <w:t>4.</w:t>
      </w:r>
      <w:r w:rsidRPr="00CE67BC">
        <w:rPr>
          <w:lang w:val="fr-FR"/>
        </w:rPr>
        <w:tab/>
        <w:t>Pour une économie plus respectueuse de l</w:t>
      </w:r>
      <w:r w:rsidR="00D90C3E">
        <w:rPr>
          <w:lang w:val="fr-FR"/>
        </w:rPr>
        <w:t>’</w:t>
      </w:r>
      <w:r w:rsidRPr="00CE67BC">
        <w:rPr>
          <w:lang w:val="fr-FR"/>
        </w:rPr>
        <w:t xml:space="preserve">environnement </w:t>
      </w:r>
      <w:r w:rsidRPr="001D7CB4">
        <w:rPr>
          <w:lang w:val="fr-FR"/>
        </w:rPr>
        <w:br/>
        <w:t>dans la région paneuropéenne</w:t>
      </w:r>
    </w:p>
    <w:p w:rsidR="00D04AA7" w:rsidRPr="00D7513E" w:rsidRDefault="00D04AA7" w:rsidP="00D90C3E">
      <w:pPr>
        <w:pStyle w:val="H4G"/>
        <w:rPr>
          <w:lang w:val="fr-FR"/>
        </w:rPr>
      </w:pPr>
      <w:r w:rsidRPr="00D7513E">
        <w:rPr>
          <w:lang w:val="fr-FR"/>
        </w:rPr>
        <w:tab/>
      </w:r>
      <w:r w:rsidRPr="00D7513E">
        <w:rPr>
          <w:lang w:val="fr-FR"/>
        </w:rPr>
        <w:tab/>
        <w:t>Jeudi 9 juin, 10 heures-13 heures</w:t>
      </w:r>
    </w:p>
    <w:p w:rsidR="00D04AA7" w:rsidRPr="00D90C3E" w:rsidRDefault="00D04AA7" w:rsidP="00D90C3E">
      <w:pPr>
        <w:pStyle w:val="ParNoG"/>
      </w:pPr>
      <w:r w:rsidRPr="00D90C3E">
        <w:t>La séance commencera par les observations liminaires du Président du premier débat thématique consacré à une économie plus respectueuse de l</w:t>
      </w:r>
      <w:r w:rsidR="00D90C3E">
        <w:t>’</w:t>
      </w:r>
      <w:r w:rsidRPr="00D90C3E">
        <w:t>environnement dans la région paneuropéenne. Un enregistrement vidéo présentant des témoignages sur l</w:t>
      </w:r>
      <w:r w:rsidR="00D90C3E">
        <w:t>’</w:t>
      </w:r>
      <w:r w:rsidRPr="00D90C3E">
        <w:t>économie verte sera projeté. Une déclaration sera faite par une personnalité éminente qui mettra l</w:t>
      </w:r>
      <w:r w:rsidR="00D90C3E">
        <w:t>’</w:t>
      </w:r>
      <w:r w:rsidRPr="00D90C3E">
        <w:t>accent sur l</w:t>
      </w:r>
      <w:r w:rsidR="00D90C3E">
        <w:t>’</w:t>
      </w:r>
      <w:r w:rsidRPr="00D90C3E">
        <w:t>importance de l</w:t>
      </w:r>
      <w:r w:rsidR="00D90C3E">
        <w:t>’</w:t>
      </w:r>
      <w:r w:rsidRPr="00D90C3E">
        <w:t xml:space="preserve">économie verte dans la pratique. </w:t>
      </w:r>
    </w:p>
    <w:p w:rsidR="00D04AA7" w:rsidRPr="00D90C3E" w:rsidRDefault="00D04AA7" w:rsidP="00D90C3E">
      <w:pPr>
        <w:pStyle w:val="ParNoG"/>
      </w:pPr>
      <w:r w:rsidRPr="00D90C3E">
        <w:t>Le Cadre stratégique paneuropéen pour une économie plus respectueuse de l</w:t>
      </w:r>
      <w:r w:rsidR="00D90C3E">
        <w:t>’</w:t>
      </w:r>
      <w:r w:rsidRPr="00D90C3E">
        <w:t>environnement sera présenté par le Président du Comité en tant que moyen de progresser vers une économie verte dans la région. Les ministres seront invités à approuver le Cadre stratégique, qui a été adopté par le Comité des politiques de l</w:t>
      </w:r>
      <w:r w:rsidR="00D90C3E">
        <w:t>’</w:t>
      </w:r>
      <w:r w:rsidRPr="00D90C3E">
        <w:t>environnement à sa session extraordinaire en février 2016.</w:t>
      </w:r>
    </w:p>
    <w:p w:rsidR="00D04AA7" w:rsidRPr="00D90C3E" w:rsidRDefault="00D04AA7" w:rsidP="00D90C3E">
      <w:pPr>
        <w:pStyle w:val="ParNoG"/>
      </w:pPr>
      <w:r w:rsidRPr="00D90C3E">
        <w:t>L</w:t>
      </w:r>
      <w:r w:rsidR="00D90C3E">
        <w:t>’</w:t>
      </w:r>
      <w:r w:rsidRPr="00D90C3E">
        <w:t xml:space="preserve">Initiative de Batumi pour une économie verte, dans laquelle les pays et organisations, publiques et privées, </w:t>
      </w:r>
      <w:r w:rsidR="00D90C3E" w:rsidRPr="00D90C3E">
        <w:t>intéressés</w:t>
      </w:r>
      <w:r w:rsidRPr="00D90C3E">
        <w:t xml:space="preserve"> prennent des engagements en vue de la mise en œuvre du Cadre stratégique, sera lancée lors d</w:t>
      </w:r>
      <w:r w:rsidR="00D90C3E">
        <w:t>’</w:t>
      </w:r>
      <w:r w:rsidRPr="00D90C3E">
        <w:t>une cérémonie</w:t>
      </w:r>
      <w:r w:rsidR="00D90C3E">
        <w:rPr>
          <w:rStyle w:val="FootnoteReference"/>
        </w:rPr>
        <w:footnoteReference w:id="5"/>
      </w:r>
      <w:r w:rsidRPr="00D90C3E">
        <w:t>. Les ministres seront invités à accueillir favorablement l</w:t>
      </w:r>
      <w:r w:rsidR="00D90C3E">
        <w:t>’</w:t>
      </w:r>
      <w:r w:rsidRPr="00D90C3E">
        <w:t>initiative et à inviter à leur tour les pays et autres parties prenantes à honorer leurs engagements et à informer le Comité des politiques de l</w:t>
      </w:r>
      <w:r w:rsidR="00D90C3E">
        <w:t>’</w:t>
      </w:r>
      <w:r w:rsidRPr="00D90C3E">
        <w:t>environnement des progrès accomplis. Une vidéo sur l</w:t>
      </w:r>
      <w:r w:rsidR="00D90C3E">
        <w:t>’</w:t>
      </w:r>
      <w:r w:rsidRPr="00D90C3E">
        <w:t>économie verte élaborée par l</w:t>
      </w:r>
      <w:r w:rsidR="00D90C3E">
        <w:t>’</w:t>
      </w:r>
      <w:r w:rsidRPr="00D90C3E">
        <w:t>ECO-Forum européen sera projetée.</w:t>
      </w:r>
    </w:p>
    <w:p w:rsidR="00D04AA7" w:rsidRPr="00D90C3E" w:rsidRDefault="00D04AA7" w:rsidP="00D90C3E">
      <w:pPr>
        <w:pStyle w:val="ParNoG"/>
      </w:pPr>
      <w:r w:rsidRPr="00D90C3E">
        <w:t>Après la partie plénière de ce débat thématique, la Conférence sera séparée en deux séances parallèles pour un débat dirigé par un animateur sur la question d</w:t>
      </w:r>
      <w:r w:rsidR="00D90C3E">
        <w:t>’</w:t>
      </w:r>
      <w:r w:rsidRPr="00D90C3E">
        <w:t>une économie plus respectueuse de l</w:t>
      </w:r>
      <w:r w:rsidR="00D90C3E">
        <w:t>’</w:t>
      </w:r>
      <w:r w:rsidRPr="00D90C3E">
        <w:t>environnement dans la région paneuropéenne. Le débat se déroulera dans le cadre d</w:t>
      </w:r>
      <w:r w:rsidR="00D90C3E">
        <w:t>’</w:t>
      </w:r>
      <w:r w:rsidRPr="00D90C3E">
        <w:t>une table ronde multipartite. Les deux séances porteront sur les mêmes questions, qui sont expos</w:t>
      </w:r>
      <w:r w:rsidR="00D90C3E">
        <w:t>ées dans le paragraphe </w:t>
      </w:r>
      <w:r w:rsidRPr="00D90C3E">
        <w:t xml:space="preserve">21 ci-après, mais, étant donné la diversité des participants, des perspectives différentes pourraient être présentées au cours des débats. </w:t>
      </w:r>
      <w:r w:rsidRPr="00D90C3E">
        <w:lastRenderedPageBreak/>
        <w:t>Une synthèse des résultats sera présentée le dernier jour de la Conférence et intégrée dans le résumé des travaux de la Conférence établi par le Président.</w:t>
      </w:r>
    </w:p>
    <w:p w:rsidR="00D04AA7" w:rsidRPr="00D90C3E" w:rsidRDefault="00D04AA7" w:rsidP="00D90C3E">
      <w:pPr>
        <w:pStyle w:val="ParNoG"/>
      </w:pPr>
      <w:r w:rsidRPr="00D90C3E">
        <w:t>Pour faciliter les travaux de la Conférence, un document thématique de base sur le passage à une économie plus respectueuse de l</w:t>
      </w:r>
      <w:r w:rsidR="00D90C3E">
        <w:t>’</w:t>
      </w:r>
      <w:r w:rsidRPr="00D90C3E">
        <w:t>environnement dans la région a été élaboré conjointement par la CEE et le PNUE, en concertation avec l</w:t>
      </w:r>
      <w:r w:rsidR="00D90C3E">
        <w:t>’</w:t>
      </w:r>
      <w:r w:rsidRPr="00D90C3E">
        <w:t>Agence européenne pour l</w:t>
      </w:r>
      <w:r w:rsidR="00D90C3E">
        <w:t>’</w:t>
      </w:r>
      <w:r w:rsidRPr="00D90C3E">
        <w:t>environnement (AEE), l</w:t>
      </w:r>
      <w:r w:rsidR="00D90C3E">
        <w:t>’</w:t>
      </w:r>
      <w:r w:rsidRPr="00D90C3E">
        <w:t>Organisation de coopération et de développement économiques (OCDE), le Bureau régional pour l</w:t>
      </w:r>
      <w:r w:rsidR="00D90C3E">
        <w:t>’</w:t>
      </w:r>
      <w:r w:rsidRPr="00D90C3E">
        <w:t>Europe de l</w:t>
      </w:r>
      <w:r w:rsidR="00D90C3E">
        <w:t>’</w:t>
      </w:r>
      <w:r w:rsidRPr="00D90C3E">
        <w:t>Organisation mondiale de la Santé (OMS), ainsi qu</w:t>
      </w:r>
      <w:r w:rsidR="00D90C3E">
        <w:t>’</w:t>
      </w:r>
      <w:r w:rsidRPr="00D90C3E">
        <w:t>avec des organisations participant au Mécanisme de coordination régionale pour l</w:t>
      </w:r>
      <w:r w:rsidR="00D90C3E">
        <w:t>’</w:t>
      </w:r>
      <w:r w:rsidRPr="00D90C3E">
        <w:t>Europe et l</w:t>
      </w:r>
      <w:r w:rsidR="00D90C3E">
        <w:t>’</w:t>
      </w:r>
      <w:r w:rsidRPr="00D90C3E">
        <w:t>Asie centrale. Les questions suivantes ont été élaborées par le Bureau du Comité des politiques de l</w:t>
      </w:r>
      <w:r w:rsidR="00D90C3E">
        <w:t>’</w:t>
      </w:r>
      <w:r w:rsidRPr="00D90C3E">
        <w:t>environnement afin d</w:t>
      </w:r>
      <w:r w:rsidR="00D90C3E">
        <w:t>’</w:t>
      </w:r>
      <w:r w:rsidRPr="00D90C3E">
        <w:t>orienter les discussions au titre de ce débat thématique :</w:t>
      </w:r>
    </w:p>
    <w:p w:rsidR="00D04AA7" w:rsidRPr="00D7513E" w:rsidRDefault="00D04AA7" w:rsidP="00647FB5">
      <w:pPr>
        <w:pStyle w:val="SingleTxtG"/>
        <w:ind w:firstLine="567"/>
      </w:pPr>
      <w:r w:rsidRPr="00D7513E">
        <w:t>a)</w:t>
      </w:r>
      <w:r w:rsidRPr="00D7513E">
        <w:tab/>
      </w:r>
      <w:r w:rsidRPr="00293522">
        <w:rPr>
          <w:b/>
        </w:rPr>
        <w:t>Perspectives et défis</w:t>
      </w:r>
      <w:r w:rsidRPr="00D7513E">
        <w:t> : Quels sont les défis urgents que votre pays doit relever pour passer à une économie plus respectueuse de l</w:t>
      </w:r>
      <w:r w:rsidR="00D90C3E">
        <w:t>’</w:t>
      </w:r>
      <w:r w:rsidR="00647FB5">
        <w:t>environnement ?</w:t>
      </w:r>
      <w:r w:rsidRPr="00D7513E">
        <w:t xml:space="preserve"> Quels sont les effets positifs évidents, par exemple en matière d</w:t>
      </w:r>
      <w:r w:rsidR="00D90C3E">
        <w:t>’</w:t>
      </w:r>
      <w:r w:rsidRPr="00D7513E">
        <w:t>emploi, de bien-être humain, de prospérité et de ressources naturelles, dus à l</w:t>
      </w:r>
      <w:r w:rsidR="00D90C3E">
        <w:t>’</w:t>
      </w:r>
      <w:r w:rsidRPr="00D7513E">
        <w:t>introduction de politiques visant à rendre l</w:t>
      </w:r>
      <w:r w:rsidR="00D90C3E">
        <w:t>’</w:t>
      </w:r>
      <w:r w:rsidRPr="00D7513E">
        <w:t>économie plus respectueuse de l</w:t>
      </w:r>
      <w:r w:rsidR="00D90C3E">
        <w:t>’</w:t>
      </w:r>
      <w:r w:rsidR="00647FB5">
        <w:t>environnement ?</w:t>
      </w:r>
      <w:r w:rsidRPr="00D7513E">
        <w:t xml:space="preserve"> Des arbitrages ont-ils été pris en compte dans l</w:t>
      </w:r>
      <w:r w:rsidR="00D90C3E">
        <w:t>’</w:t>
      </w:r>
      <w:r w:rsidRPr="00D7513E">
        <w:t>élaboration des politiques, concernant par exemple les effets sur l</w:t>
      </w:r>
      <w:r w:rsidR="00D90C3E">
        <w:t>’</w:t>
      </w:r>
      <w:r w:rsidRPr="00D7513E">
        <w:t>emploi, la justice sociale et l</w:t>
      </w:r>
      <w:r w:rsidR="00D90C3E">
        <w:t>’</w:t>
      </w:r>
      <w:r w:rsidRPr="00D7513E">
        <w:t>i</w:t>
      </w:r>
      <w:r w:rsidR="00585F87">
        <w:t>nvestissement privé ?</w:t>
      </w:r>
    </w:p>
    <w:p w:rsidR="00D04AA7" w:rsidRPr="00293522" w:rsidRDefault="00D04AA7" w:rsidP="00293522">
      <w:pPr>
        <w:pStyle w:val="SingleTxtG"/>
        <w:ind w:firstLine="567"/>
      </w:pPr>
      <w:r w:rsidRPr="00293522">
        <w:t>b)</w:t>
      </w:r>
      <w:r w:rsidRPr="00293522">
        <w:tab/>
      </w:r>
      <w:r w:rsidRPr="00A34885">
        <w:rPr>
          <w:b/>
        </w:rPr>
        <w:t>Solutions pour la durabilité</w:t>
      </w:r>
      <w:r w:rsidRPr="00293522">
        <w:t> : Quelles approches se sont révélées les plus utiles pour promouvoir une utilisation plus efficace des ressources naturelles et pour réduire les pressions auxquelles celles-ci sont soumises (économie circulaire, innovation et initiatives écologiques dans le domaine de l</w:t>
      </w:r>
      <w:r w:rsidR="00D90C3E" w:rsidRPr="00293522">
        <w:t>’</w:t>
      </w:r>
      <w:r w:rsidRPr="00293522">
        <w:t>énergie, de la construction, de l</w:t>
      </w:r>
      <w:r w:rsidR="00D90C3E" w:rsidRPr="00293522">
        <w:t>’</w:t>
      </w:r>
      <w:r w:rsidRPr="00293522">
        <w:t>infrastructure des transports, de l</w:t>
      </w:r>
      <w:r w:rsidR="00D90C3E" w:rsidRPr="00293522">
        <w:t>’</w:t>
      </w:r>
      <w:r w:rsidRPr="00293522">
        <w:t>eau, des réformes fiscales, des normes et de l</w:t>
      </w:r>
      <w:r w:rsidR="00D90C3E" w:rsidRPr="00293522">
        <w:t>’</w:t>
      </w:r>
      <w:r w:rsidR="00293522">
        <w:t>étiquetage, par exemple) ?</w:t>
      </w:r>
      <w:r w:rsidRPr="00293522">
        <w:t xml:space="preserve"> Quelles initiatives donnent actuellement de bons résultats ou doivent être lancées dans votre pays pour faire face aux difficultés et aux principaux obstacles, notamment à des modes de consomm</w:t>
      </w:r>
      <w:r w:rsidR="00293522">
        <w:t>ati</w:t>
      </w:r>
      <w:r w:rsidR="00585F87">
        <w:t>on et de production durables ?</w:t>
      </w:r>
    </w:p>
    <w:p w:rsidR="00D04AA7" w:rsidRPr="00293522" w:rsidRDefault="00D04AA7" w:rsidP="00293522">
      <w:pPr>
        <w:pStyle w:val="SingleTxtG"/>
        <w:ind w:firstLine="567"/>
      </w:pPr>
      <w:r w:rsidRPr="00293522">
        <w:t>c)</w:t>
      </w:r>
      <w:r w:rsidRPr="00293522">
        <w:tab/>
      </w:r>
      <w:r w:rsidRPr="00A34885">
        <w:rPr>
          <w:b/>
        </w:rPr>
        <w:t>Mesures incitatives en faveur de l</w:t>
      </w:r>
      <w:r w:rsidR="00D90C3E" w:rsidRPr="00A34885">
        <w:rPr>
          <w:b/>
        </w:rPr>
        <w:t>’</w:t>
      </w:r>
      <w:r w:rsidRPr="00A34885">
        <w:rPr>
          <w:b/>
        </w:rPr>
        <w:t>écologie</w:t>
      </w:r>
      <w:r w:rsidRPr="00293522">
        <w:t> : Quelles mesures incitatives concernant les procédures de passation de marchés publics durables, la fiscalité écologique et la suppression des subventions dommageables pour l</w:t>
      </w:r>
      <w:r w:rsidR="00D90C3E" w:rsidRPr="00293522">
        <w:t>’</w:t>
      </w:r>
      <w:r w:rsidRPr="00293522">
        <w:t>environnement, comme les subventions en faveur des combustibles fossiles, ont été mises en place et que peut-on faire d</w:t>
      </w:r>
      <w:r w:rsidR="00D90C3E" w:rsidRPr="00293522">
        <w:t>’</w:t>
      </w:r>
      <w:r w:rsidR="00282C9A">
        <w:t>autre ?</w:t>
      </w:r>
      <w:r w:rsidRPr="00293522">
        <w:t xml:space="preserve"> Que fait votre pays pour encourager les investissements verts, y compris les investissements directs privés et étrangers et le transfert de techno</w:t>
      </w:r>
      <w:r w:rsidR="00282C9A">
        <w:t>log</w:t>
      </w:r>
      <w:r w:rsidR="00585F87">
        <w:t>ies dans différents secteurs ?</w:t>
      </w:r>
    </w:p>
    <w:p w:rsidR="00D04AA7" w:rsidRPr="00293522" w:rsidRDefault="00D04AA7" w:rsidP="00293522">
      <w:pPr>
        <w:pStyle w:val="SingleTxtG"/>
        <w:ind w:firstLine="567"/>
      </w:pPr>
      <w:r w:rsidRPr="00293522">
        <w:t>d)</w:t>
      </w:r>
      <w:r w:rsidRPr="00293522">
        <w:tab/>
      </w:r>
      <w:r w:rsidRPr="00A34885">
        <w:rPr>
          <w:b/>
        </w:rPr>
        <w:t>Coopération</w:t>
      </w:r>
      <w:r w:rsidRPr="00293522">
        <w:t> : Quelles mesures pourrait-on prendre pour promouvoir davantage la coopération entre pays dans la région paneuropéenne afin de faciliter le passage à une économie verte, notamment dans le cadre du programme de développement pour l</w:t>
      </w:r>
      <w:r w:rsidR="00D90C3E" w:rsidRPr="00293522">
        <w:t>’</w:t>
      </w:r>
      <w:r w:rsidR="009703B0">
        <w:t>après-2015 ?</w:t>
      </w:r>
    </w:p>
    <w:p w:rsidR="00D04AA7" w:rsidRPr="00293522" w:rsidRDefault="00D04AA7" w:rsidP="00293522">
      <w:pPr>
        <w:pStyle w:val="ParNoG"/>
      </w:pPr>
      <w:r w:rsidRPr="00293522">
        <w:t>En outre, pendant les débats sur les questions susmentionnées, d</w:t>
      </w:r>
      <w:r w:rsidR="00D90C3E" w:rsidRPr="00293522">
        <w:t>’</w:t>
      </w:r>
      <w:r w:rsidRPr="00293522">
        <w:t>autres questions connexes seront traitées, selon qu</w:t>
      </w:r>
      <w:r w:rsidR="00D90C3E" w:rsidRPr="00293522">
        <w:t>’</w:t>
      </w:r>
      <w:r w:rsidRPr="00293522">
        <w:t>il conviendra, comme : l</w:t>
      </w:r>
      <w:r w:rsidR="00D90C3E" w:rsidRPr="00293522">
        <w:t>’</w:t>
      </w:r>
      <w:r w:rsidRPr="00293522">
        <w:t>agriculture écologique, y compris ses besoins en ressources, les charges qui pourraient peser sur l</w:t>
      </w:r>
      <w:r w:rsidR="00D90C3E" w:rsidRPr="00293522">
        <w:t>’</w:t>
      </w:r>
      <w:r w:rsidRPr="00293522">
        <w:t>environnemen</w:t>
      </w:r>
      <w:r w:rsidR="002B7DBC">
        <w:t>t et certaines bonnes pratiques ;</w:t>
      </w:r>
      <w:r w:rsidRPr="00293522">
        <w:t xml:space="preserve"> la façon dont les autorités infranationales et locales, les milieux d</w:t>
      </w:r>
      <w:r w:rsidR="00D90C3E" w:rsidRPr="00293522">
        <w:t>’</w:t>
      </w:r>
      <w:r w:rsidRPr="00293522">
        <w:t>affaires et la société civile participent à une économie plus respectueuse de l</w:t>
      </w:r>
      <w:r w:rsidR="00D90C3E" w:rsidRPr="00293522">
        <w:t>’</w:t>
      </w:r>
      <w:r w:rsidR="002B7DBC">
        <w:t>environnement dans leur pays ;</w:t>
      </w:r>
      <w:r w:rsidRPr="00293522">
        <w:t xml:space="preserve"> et la réduction des risques pour l</w:t>
      </w:r>
      <w:r w:rsidR="00D90C3E" w:rsidRPr="00293522">
        <w:t>’</w:t>
      </w:r>
      <w:r w:rsidRPr="00293522">
        <w:t>environnement en tant qu</w:t>
      </w:r>
      <w:r w:rsidR="00D90C3E" w:rsidRPr="00293522">
        <w:t>’</w:t>
      </w:r>
      <w:r w:rsidRPr="00293522">
        <w:t>élément clef de définition de l</w:t>
      </w:r>
      <w:r w:rsidR="00D90C3E" w:rsidRPr="00293522">
        <w:t>’</w:t>
      </w:r>
      <w:r w:rsidRPr="00293522">
        <w:t>économie verte.</w:t>
      </w:r>
    </w:p>
    <w:p w:rsidR="00D04AA7" w:rsidRPr="00D7513E" w:rsidRDefault="00D04AA7" w:rsidP="009703B0">
      <w:pPr>
        <w:pStyle w:val="H23G"/>
        <w:rPr>
          <w:lang w:val="fr-FR"/>
        </w:rPr>
      </w:pPr>
      <w:r w:rsidRPr="00D7513E">
        <w:rPr>
          <w:lang w:val="fr-FR"/>
        </w:rPr>
        <w:tab/>
      </w:r>
      <w:r w:rsidRPr="00D7513E">
        <w:rPr>
          <w:lang w:val="fr-FR"/>
        </w:rPr>
        <w:tab/>
        <w:t>Documents</w:t>
      </w:r>
    </w:p>
    <w:p w:rsidR="00D04AA7" w:rsidRPr="00D7513E" w:rsidRDefault="00D04AA7" w:rsidP="009703B0">
      <w:pPr>
        <w:pStyle w:val="SingleTxtG"/>
        <w:rPr>
          <w:lang w:val="fr-FR"/>
        </w:rPr>
      </w:pPr>
      <w:r w:rsidRPr="00D7513E">
        <w:rPr>
          <w:lang w:val="fr-FR"/>
        </w:rPr>
        <w:t>Cadre stratégique paneuropéen pour une économie plus respectueuse de l</w:t>
      </w:r>
      <w:r w:rsidR="00D90C3E">
        <w:rPr>
          <w:lang w:val="fr-FR"/>
        </w:rPr>
        <w:t>’</w:t>
      </w:r>
      <w:r w:rsidRPr="00D7513E">
        <w:rPr>
          <w:lang w:val="fr-FR"/>
        </w:rPr>
        <w:t>environnement (ECE/</w:t>
      </w:r>
      <w:r>
        <w:rPr>
          <w:lang w:val="fr-FR"/>
        </w:rPr>
        <w:t>BATUMI</w:t>
      </w:r>
      <w:r w:rsidRPr="00D7513E">
        <w:rPr>
          <w:lang w:val="fr-FR"/>
        </w:rPr>
        <w:t>.CONF/2016/</w:t>
      </w:r>
      <w:r>
        <w:rPr>
          <w:lang w:val="fr-FR"/>
        </w:rPr>
        <w:t>6)</w:t>
      </w:r>
      <w:r w:rsidR="009703B0">
        <w:rPr>
          <w:lang w:val="fr-FR"/>
        </w:rPr>
        <w:t>.</w:t>
      </w:r>
    </w:p>
    <w:p w:rsidR="00D04AA7" w:rsidRPr="009703B0" w:rsidRDefault="00D04AA7" w:rsidP="009703B0">
      <w:pPr>
        <w:pStyle w:val="SingleTxtG"/>
        <w:rPr>
          <w:lang w:val="fr-FR"/>
        </w:rPr>
      </w:pPr>
      <w:r w:rsidRPr="009703B0">
        <w:rPr>
          <w:lang w:val="fr-FR"/>
        </w:rPr>
        <w:t>Batumi Initiative on Green Economy (ECE/BATUMI.CONF/2016/13)</w:t>
      </w:r>
      <w:r w:rsidR="009703B0">
        <w:rPr>
          <w:lang w:val="fr-FR"/>
        </w:rPr>
        <w:t>.</w:t>
      </w:r>
    </w:p>
    <w:p w:rsidR="00D04AA7" w:rsidRPr="009703B0" w:rsidRDefault="00D04AA7" w:rsidP="009703B0">
      <w:pPr>
        <w:pStyle w:val="SingleTxtG"/>
        <w:rPr>
          <w:lang w:val="fr-FR"/>
        </w:rPr>
      </w:pPr>
      <w:r w:rsidRPr="009703B0">
        <w:rPr>
          <w:lang w:val="fr-FR"/>
        </w:rPr>
        <w:lastRenderedPageBreak/>
        <w:t>Pour une économie plus respectueuse de l</w:t>
      </w:r>
      <w:r w:rsidR="00D90C3E" w:rsidRPr="009703B0">
        <w:rPr>
          <w:lang w:val="fr-FR"/>
        </w:rPr>
        <w:t>’</w:t>
      </w:r>
      <w:r w:rsidRPr="009703B0">
        <w:rPr>
          <w:lang w:val="fr-FR"/>
        </w:rPr>
        <w:t>environnement dans la région paneuropéenne (ECE/BATUMI.CONF/2016/4)</w:t>
      </w:r>
      <w:r w:rsidR="009703B0">
        <w:rPr>
          <w:lang w:val="fr-FR"/>
        </w:rPr>
        <w:t>.</w:t>
      </w:r>
    </w:p>
    <w:p w:rsidR="00D04AA7" w:rsidRDefault="00FB1A53" w:rsidP="00FB1A53">
      <w:pPr>
        <w:pStyle w:val="H4G"/>
        <w:rPr>
          <w:lang w:val="fr-FR"/>
        </w:rPr>
      </w:pPr>
      <w:r>
        <w:rPr>
          <w:lang w:val="fr-FR"/>
        </w:rPr>
        <w:tab/>
      </w:r>
      <w:r>
        <w:rPr>
          <w:lang w:val="fr-FR"/>
        </w:rPr>
        <w:tab/>
      </w:r>
      <w:r w:rsidR="00585F87">
        <w:rPr>
          <w:lang w:val="fr-FR"/>
        </w:rPr>
        <w:t>Document</w:t>
      </w:r>
      <w:r w:rsidR="00D04AA7" w:rsidRPr="00383607">
        <w:rPr>
          <w:lang w:val="fr-FR"/>
        </w:rPr>
        <w:t xml:space="preserve"> d</w:t>
      </w:r>
      <w:r w:rsidR="00D90C3E">
        <w:rPr>
          <w:lang w:val="fr-FR"/>
        </w:rPr>
        <w:t>’</w:t>
      </w:r>
      <w:r w:rsidR="00D04AA7" w:rsidRPr="00383607">
        <w:rPr>
          <w:lang w:val="fr-FR"/>
        </w:rPr>
        <w:t>information</w:t>
      </w:r>
    </w:p>
    <w:p w:rsidR="00D04AA7" w:rsidRPr="00D7513E" w:rsidRDefault="00D04AA7" w:rsidP="00FB1A53">
      <w:pPr>
        <w:pStyle w:val="SingleTxtG"/>
        <w:rPr>
          <w:lang w:val="fr-FR"/>
        </w:rPr>
      </w:pPr>
      <w:r w:rsidRPr="00383607">
        <w:rPr>
          <w:lang w:val="fr-FR"/>
        </w:rPr>
        <w:t>Liste</w:t>
      </w:r>
      <w:r>
        <w:rPr>
          <w:lang w:val="fr-FR"/>
        </w:rPr>
        <w:t xml:space="preserve"> des mesures qui pourraient être prises en faveur d</w:t>
      </w:r>
      <w:r w:rsidR="00D90C3E">
        <w:rPr>
          <w:lang w:val="fr-FR"/>
        </w:rPr>
        <w:t>’</w:t>
      </w:r>
      <w:r>
        <w:rPr>
          <w:lang w:val="fr-FR"/>
        </w:rPr>
        <w:t>une économie plus respectueuse de l</w:t>
      </w:r>
      <w:r w:rsidR="00D90C3E">
        <w:rPr>
          <w:lang w:val="fr-FR"/>
        </w:rPr>
        <w:t>’</w:t>
      </w:r>
      <w:r>
        <w:rPr>
          <w:lang w:val="fr-FR"/>
        </w:rPr>
        <w:t>environnement (ECE/BATUMI.CONF/2016/INF/21)</w:t>
      </w:r>
      <w:r w:rsidR="00FB1A53">
        <w:rPr>
          <w:lang w:val="fr-FR"/>
        </w:rPr>
        <w:t>.</w:t>
      </w:r>
    </w:p>
    <w:p w:rsidR="00D04AA7" w:rsidRPr="001D7CB4" w:rsidRDefault="00D04AA7" w:rsidP="00FB1A53">
      <w:pPr>
        <w:pStyle w:val="H1G"/>
        <w:rPr>
          <w:lang w:val="fr-FR"/>
        </w:rPr>
      </w:pPr>
      <w:r w:rsidRPr="00975002">
        <w:rPr>
          <w:lang w:val="fr-FR"/>
        </w:rPr>
        <w:tab/>
      </w:r>
      <w:r w:rsidRPr="00CE67BC">
        <w:rPr>
          <w:lang w:val="fr-FR"/>
        </w:rPr>
        <w:t>5.</w:t>
      </w:r>
      <w:r w:rsidRPr="00CE67BC">
        <w:rPr>
          <w:lang w:val="fr-FR"/>
        </w:rPr>
        <w:tab/>
        <w:t>Améliorer la qualité de l</w:t>
      </w:r>
      <w:r w:rsidR="00D90C3E">
        <w:rPr>
          <w:lang w:val="fr-FR"/>
        </w:rPr>
        <w:t>’</w:t>
      </w:r>
      <w:r w:rsidRPr="00CE67BC">
        <w:rPr>
          <w:lang w:val="fr-FR"/>
        </w:rPr>
        <w:t xml:space="preserve">air pour un environnement </w:t>
      </w:r>
      <w:r w:rsidRPr="001D7CB4">
        <w:rPr>
          <w:lang w:val="fr-FR"/>
        </w:rPr>
        <w:br/>
        <w:t>plus sain et une meilleure santé</w:t>
      </w:r>
    </w:p>
    <w:p w:rsidR="00D04AA7" w:rsidRPr="00D7513E" w:rsidRDefault="00D04AA7" w:rsidP="00FB1A53">
      <w:pPr>
        <w:pStyle w:val="H4G"/>
        <w:rPr>
          <w:lang w:val="fr-FR"/>
        </w:rPr>
      </w:pPr>
      <w:r w:rsidRPr="00D7513E">
        <w:rPr>
          <w:lang w:val="fr-FR"/>
        </w:rPr>
        <w:tab/>
      </w:r>
      <w:r w:rsidRPr="00D7513E">
        <w:rPr>
          <w:lang w:val="fr-FR"/>
        </w:rPr>
        <w:tab/>
        <w:t>Jeudi 9 juin, 15 heures-18 heures</w:t>
      </w:r>
    </w:p>
    <w:p w:rsidR="00D04AA7" w:rsidRPr="00FB1A53" w:rsidRDefault="00D04AA7" w:rsidP="00FB1A53">
      <w:pPr>
        <w:pStyle w:val="ParNoG"/>
      </w:pPr>
      <w:r w:rsidRPr="00FB1A53">
        <w:t>La séance débutera par les observations liminaires du Président du second débat thématique consacré à l</w:t>
      </w:r>
      <w:r w:rsidR="00D90C3E" w:rsidRPr="00FB1A53">
        <w:t>’</w:t>
      </w:r>
      <w:r w:rsidRPr="00FB1A53">
        <w:t>amélioration de la qualité de l</w:t>
      </w:r>
      <w:r w:rsidR="00D90C3E" w:rsidRPr="00FB1A53">
        <w:t>’</w:t>
      </w:r>
      <w:r w:rsidRPr="00FB1A53">
        <w:t xml:space="preserve">air pour un environnement plus sain et une meilleure santé. Un enregistrement vidéo de cinq minutes, réalisé pour mettre en avant les problèmes liés à la pollution atmosphérique, sera projeté. Des déclarations liminaires (trois au maximum) seront faites brièvement. </w:t>
      </w:r>
    </w:p>
    <w:p w:rsidR="00D04AA7" w:rsidRPr="00FB1A53" w:rsidRDefault="00D04AA7" w:rsidP="00FB1A53">
      <w:pPr>
        <w:pStyle w:val="ParNoG"/>
      </w:pPr>
      <w:r w:rsidRPr="00FB1A53">
        <w:t>Le Programme d</w:t>
      </w:r>
      <w:r w:rsidR="00D90C3E" w:rsidRPr="00FB1A53">
        <w:t>’</w:t>
      </w:r>
      <w:r w:rsidRPr="00FB1A53">
        <w:t>action de Batumi</w:t>
      </w:r>
      <w:r w:rsidR="00FB1A53">
        <w:t xml:space="preserve"> pour un air pur –</w:t>
      </w:r>
      <w:r w:rsidRPr="00FB1A53">
        <w:t xml:space="preserve"> initiative visant à améliorer la qualité de l</w:t>
      </w:r>
      <w:r w:rsidR="00D90C3E" w:rsidRPr="00FB1A53">
        <w:t>’</w:t>
      </w:r>
      <w:r w:rsidRPr="00FB1A53">
        <w:t>air pour un environnement plus sain et une meilleure santé, conçue sous la direction du Bureau de la Convention sur la pollution atmosphérique tr</w:t>
      </w:r>
      <w:r w:rsidR="00FB1A53">
        <w:t>ansfrontière à longue distance –</w:t>
      </w:r>
      <w:r w:rsidRPr="00FB1A53">
        <w:t xml:space="preserve"> sera présenté par le Président de ladite Convention.</w:t>
      </w:r>
    </w:p>
    <w:p w:rsidR="00D04AA7" w:rsidRPr="00FB1A53" w:rsidRDefault="00D04AA7" w:rsidP="00FB1A53">
      <w:pPr>
        <w:pStyle w:val="ParNoG"/>
      </w:pPr>
      <w:r w:rsidRPr="00FB1A53">
        <w:t>Les ministres seront invités à approuver l</w:t>
      </w:r>
      <w:r w:rsidR="00D90C3E" w:rsidRPr="00FB1A53">
        <w:t>’</w:t>
      </w:r>
      <w:r w:rsidRPr="00FB1A53">
        <w:t>Action de Batumi en faveur d</w:t>
      </w:r>
      <w:r w:rsidR="00D90C3E" w:rsidRPr="00FB1A53">
        <w:t>’</w:t>
      </w:r>
      <w:r w:rsidRPr="00FB1A53">
        <w:t xml:space="preserve">un air plus pur et à </w:t>
      </w:r>
      <w:r w:rsidR="00585F87">
        <w:t>encourager</w:t>
      </w:r>
      <w:r w:rsidRPr="00FB1A53">
        <w:t xml:space="preserve"> à leur tour les pays et autres parties prenantes à la mettre en œuvre et à tenir le Comité des politiques de l</w:t>
      </w:r>
      <w:r w:rsidR="00D90C3E" w:rsidRPr="00FB1A53">
        <w:t>’</w:t>
      </w:r>
      <w:r w:rsidRPr="00FB1A53">
        <w:t>environnement informé des progrès accomplis. Cette initiative sera lancée par les pays et les organisations qui y participent, à l</w:t>
      </w:r>
      <w:r w:rsidR="00D90C3E" w:rsidRPr="00FB1A53">
        <w:t>’</w:t>
      </w:r>
      <w:r w:rsidRPr="00FB1A53">
        <w:t>occasion d</w:t>
      </w:r>
      <w:r w:rsidR="00D90C3E" w:rsidRPr="00FB1A53">
        <w:t>’</w:t>
      </w:r>
      <w:r w:rsidRPr="00FB1A53">
        <w:t>une cérémonie visant à célébrer les engagements pris</w:t>
      </w:r>
      <w:r w:rsidR="00314F97">
        <w:rPr>
          <w:rStyle w:val="FootnoteReference"/>
        </w:rPr>
        <w:footnoteReference w:id="6"/>
      </w:r>
      <w:r w:rsidRPr="00FB1A53">
        <w:t>.</w:t>
      </w:r>
    </w:p>
    <w:p w:rsidR="00D04AA7" w:rsidRPr="00FB1A53" w:rsidRDefault="00D04AA7" w:rsidP="00FB1A53">
      <w:pPr>
        <w:pStyle w:val="ParNoG"/>
      </w:pPr>
      <w:r w:rsidRPr="00FB1A53">
        <w:t>Après la première partie, la séance plénière sera divisée en deux séances parallèles pour un débat dirigé par un animateur sur la question de l</w:t>
      </w:r>
      <w:r w:rsidR="00D90C3E" w:rsidRPr="00FB1A53">
        <w:t>’</w:t>
      </w:r>
      <w:r w:rsidRPr="00FB1A53">
        <w:t>amélioration de la qualité de l</w:t>
      </w:r>
      <w:r w:rsidR="00D90C3E" w:rsidRPr="00FB1A53">
        <w:t>’</w:t>
      </w:r>
      <w:r w:rsidRPr="00FB1A53">
        <w:t>air pour un environnement plus sain et une meilleure santé. Le débat se déroulera dans le cadre d</w:t>
      </w:r>
      <w:r w:rsidR="00D90C3E" w:rsidRPr="00FB1A53">
        <w:t>’</w:t>
      </w:r>
      <w:r w:rsidRPr="00FB1A53">
        <w:t>une table ronde multipartite. Les deux séances porteront sur les mêmes questions, exposées</w:t>
      </w:r>
      <w:r w:rsidR="00585F87">
        <w:t xml:space="preserve"> dans le paragraphe 27 ci-après</w:t>
      </w:r>
      <w:r w:rsidRPr="00FB1A53">
        <w:t xml:space="preserve"> mais, étant donné la diversité des participants, des perspectives différentes pourraient être présentées au cours des débats. Une synthèse des résultats sera présentée le dernier jour de la Conférence et intégrée dans le résumé des travaux de la Conférence établi par le Président.</w:t>
      </w:r>
    </w:p>
    <w:p w:rsidR="00D04AA7" w:rsidRPr="00FB1A53" w:rsidRDefault="00D04AA7" w:rsidP="00FB1A53">
      <w:pPr>
        <w:pStyle w:val="ParNoG"/>
      </w:pPr>
      <w:r w:rsidRPr="00FB1A53">
        <w:t>Pour faciliter les travaux de la Conférence, un document thématique de base sur l</w:t>
      </w:r>
      <w:r w:rsidR="00D90C3E" w:rsidRPr="00FB1A53">
        <w:t>’</w:t>
      </w:r>
      <w:r w:rsidRPr="00FB1A53">
        <w:t>amélioration de la qualité de l</w:t>
      </w:r>
      <w:r w:rsidR="00D90C3E" w:rsidRPr="00FB1A53">
        <w:t>’</w:t>
      </w:r>
      <w:r w:rsidRPr="00FB1A53">
        <w:t>air pour un environnement plus sain et une meilleure santé a été élaboré par la CEE, en concertation avec le Bureau de la Convention sur la pollution atmosphérique transfrontière à longue distance et le Conseil ministériel européen de l</w:t>
      </w:r>
      <w:r w:rsidR="00D90C3E" w:rsidRPr="00FB1A53">
        <w:t>’</w:t>
      </w:r>
      <w:r w:rsidRPr="00FB1A53">
        <w:t>environnement et de la santé, ainsi que l</w:t>
      </w:r>
      <w:r w:rsidR="00D90C3E" w:rsidRPr="00FB1A53">
        <w:t>’</w:t>
      </w:r>
      <w:r w:rsidRPr="00FB1A53">
        <w:t>AEE, l</w:t>
      </w:r>
      <w:r w:rsidR="00D90C3E" w:rsidRPr="00FB1A53">
        <w:t>’</w:t>
      </w:r>
      <w:r w:rsidRPr="00FB1A53">
        <w:t>Organisation des Nations Unies pour l</w:t>
      </w:r>
      <w:r w:rsidR="00D90C3E" w:rsidRPr="00FB1A53">
        <w:t>’</w:t>
      </w:r>
      <w:r w:rsidRPr="00FB1A53">
        <w:t>alimentation et l</w:t>
      </w:r>
      <w:r w:rsidR="00D90C3E" w:rsidRPr="00FB1A53">
        <w:t>’</w:t>
      </w:r>
      <w:r w:rsidRPr="00FB1A53">
        <w:t>agriculture (FAO), l</w:t>
      </w:r>
      <w:r w:rsidR="00D90C3E" w:rsidRPr="00FB1A53">
        <w:t>’</w:t>
      </w:r>
      <w:r w:rsidRPr="00FB1A53">
        <w:t>OCDE, le PNUE et l</w:t>
      </w:r>
      <w:r w:rsidR="00D90C3E" w:rsidRPr="00FB1A53">
        <w:t>’</w:t>
      </w:r>
      <w:r w:rsidRPr="00FB1A53">
        <w:t>OMS. Le Bureau du Comité des politiques de l</w:t>
      </w:r>
      <w:r w:rsidR="00D90C3E" w:rsidRPr="00FB1A53">
        <w:t>’</w:t>
      </w:r>
      <w:r w:rsidRPr="00FB1A53">
        <w:t>environnement a préparé les questions suivantes pour orienter les discussions au titre de ce débat thématique :</w:t>
      </w:r>
    </w:p>
    <w:p w:rsidR="00D04AA7" w:rsidRPr="00D7513E" w:rsidRDefault="00D04AA7" w:rsidP="00314F97">
      <w:pPr>
        <w:pStyle w:val="SingleTxtG"/>
        <w:ind w:firstLine="567"/>
        <w:rPr>
          <w:lang w:val="fr-FR"/>
        </w:rPr>
      </w:pPr>
      <w:r w:rsidRPr="00D7513E">
        <w:rPr>
          <w:lang w:val="fr-FR"/>
        </w:rPr>
        <w:t>a)</w:t>
      </w:r>
      <w:r w:rsidRPr="00D7513E">
        <w:rPr>
          <w:lang w:val="fr-FR"/>
        </w:rPr>
        <w:tab/>
      </w:r>
      <w:r w:rsidRPr="00A34885">
        <w:rPr>
          <w:b/>
          <w:lang w:val="fr-FR"/>
        </w:rPr>
        <w:t>Polluants et politiques</w:t>
      </w:r>
      <w:r w:rsidRPr="00D7513E">
        <w:rPr>
          <w:lang w:val="fr-FR"/>
        </w:rPr>
        <w:t> : Quels polluants atmosphériques (intérieurs et extérieurs) présentent le risque le plus élevé pour l</w:t>
      </w:r>
      <w:r w:rsidR="00D90C3E">
        <w:rPr>
          <w:lang w:val="fr-FR"/>
        </w:rPr>
        <w:t>’</w:t>
      </w:r>
      <w:r w:rsidRPr="00D7513E">
        <w:rPr>
          <w:lang w:val="fr-FR"/>
        </w:rPr>
        <w:t xml:space="preserve">environnement et la santé dans votre pays, et comment ce risque est-il évalué (inventaires des émissions, registres de polluants et </w:t>
      </w:r>
      <w:r w:rsidRPr="00D7513E">
        <w:rPr>
          <w:lang w:val="fr-FR"/>
        </w:rPr>
        <w:lastRenderedPageBreak/>
        <w:t>surveillance de la qualité de l</w:t>
      </w:r>
      <w:r w:rsidR="00D90C3E">
        <w:rPr>
          <w:lang w:val="fr-FR"/>
        </w:rPr>
        <w:t>’</w:t>
      </w:r>
      <w:r w:rsidRPr="00D7513E">
        <w:rPr>
          <w:lang w:val="fr-FR"/>
        </w:rPr>
        <w:t>air, ainsi que données</w:t>
      </w:r>
      <w:r w:rsidR="00565FAE">
        <w:rPr>
          <w:lang w:val="fr-FR"/>
        </w:rPr>
        <w:t xml:space="preserve"> liées à la santé, par exemple) ?</w:t>
      </w:r>
      <w:r w:rsidRPr="00D7513E">
        <w:rPr>
          <w:lang w:val="fr-FR"/>
        </w:rPr>
        <w:t xml:space="preserve"> Quels aspects de la pollution atmosphérique vous semblent les plus importants à gérer dans un ave</w:t>
      </w:r>
      <w:r w:rsidR="00565FAE">
        <w:rPr>
          <w:lang w:val="fr-FR"/>
        </w:rPr>
        <w:t>nir proche et à plus long terme ?</w:t>
      </w:r>
      <w:r w:rsidRPr="00D7513E">
        <w:rPr>
          <w:lang w:val="fr-FR"/>
        </w:rPr>
        <w:t xml:space="preserve"> Quel est le degré d</w:t>
      </w:r>
      <w:r w:rsidR="00D90C3E">
        <w:rPr>
          <w:lang w:val="fr-FR"/>
        </w:rPr>
        <w:t>’</w:t>
      </w:r>
      <w:r w:rsidRPr="00D7513E">
        <w:rPr>
          <w:lang w:val="fr-FR"/>
        </w:rPr>
        <w:t xml:space="preserve">efficacité des politiques actuelles pour réduire les effets de la pollution atmosphérique sur la santé publique, en particulier dans les zones urbaines, ainsi que sur </w:t>
      </w:r>
      <w:r w:rsidR="00565FAE">
        <w:rPr>
          <w:lang w:val="fr-FR"/>
        </w:rPr>
        <w:t>les écosystèmes et les cultures ?</w:t>
      </w:r>
      <w:r w:rsidRPr="00D7513E">
        <w:rPr>
          <w:lang w:val="fr-FR"/>
        </w:rPr>
        <w:t xml:space="preserve"> Que peut-on faire pour accroître l</w:t>
      </w:r>
      <w:r w:rsidR="00D90C3E">
        <w:rPr>
          <w:lang w:val="fr-FR"/>
        </w:rPr>
        <w:t>’</w:t>
      </w:r>
      <w:r w:rsidRPr="00D7513E">
        <w:rPr>
          <w:lang w:val="fr-FR"/>
        </w:rPr>
        <w:t>efficacité de ces politiques et comment prend-on en compte le coût de l</w:t>
      </w:r>
      <w:r w:rsidR="00D90C3E">
        <w:rPr>
          <w:lang w:val="fr-FR"/>
        </w:rPr>
        <w:t>’</w:t>
      </w:r>
      <w:r w:rsidR="001C5F5D">
        <w:rPr>
          <w:lang w:val="fr-FR"/>
        </w:rPr>
        <w:t>inaction ?</w:t>
      </w:r>
    </w:p>
    <w:p w:rsidR="00D04AA7" w:rsidRPr="00774A15" w:rsidRDefault="00D04AA7" w:rsidP="00774A15">
      <w:pPr>
        <w:pStyle w:val="SingleTxtG"/>
        <w:ind w:firstLine="567"/>
        <w:rPr>
          <w:lang w:val="fr-FR"/>
        </w:rPr>
      </w:pPr>
      <w:r w:rsidRPr="00774A15">
        <w:rPr>
          <w:lang w:val="fr-FR"/>
        </w:rPr>
        <w:t>b)</w:t>
      </w:r>
      <w:r w:rsidRPr="00774A15">
        <w:rPr>
          <w:lang w:val="fr-FR"/>
        </w:rPr>
        <w:tab/>
      </w:r>
      <w:r w:rsidRPr="00A34885">
        <w:rPr>
          <w:b/>
          <w:lang w:val="fr-FR"/>
        </w:rPr>
        <w:t>Secteurs et financement</w:t>
      </w:r>
      <w:r w:rsidRPr="00774A15">
        <w:rPr>
          <w:lang w:val="fr-FR"/>
        </w:rPr>
        <w:t> : Quels secteurs contribuent le plus à la pollution atmosphérique dans votre pays et dans quelle mesure le Gouvernement de votre pays a-t-il réussi à intégrer des mesures de réduction de la pollution atmosphérique dans les politiques de développement et les politiques financières, ainsi que dans d</w:t>
      </w:r>
      <w:r w:rsidR="00D90C3E" w:rsidRPr="00774A15">
        <w:rPr>
          <w:lang w:val="fr-FR"/>
        </w:rPr>
        <w:t>’</w:t>
      </w:r>
      <w:r w:rsidR="00774A15">
        <w:rPr>
          <w:lang w:val="fr-FR"/>
        </w:rPr>
        <w:t>autres politiques sectorielles ?</w:t>
      </w:r>
      <w:r w:rsidRPr="00774A15">
        <w:rPr>
          <w:lang w:val="fr-FR"/>
        </w:rPr>
        <w:t xml:space="preserve"> Quel rôle les décideurs et les institutions financières peuvent-ils jouer pour garantir le financement des projets de réductio</w:t>
      </w:r>
      <w:r w:rsidR="00774A15">
        <w:rPr>
          <w:lang w:val="fr-FR"/>
        </w:rPr>
        <w:t>n d</w:t>
      </w:r>
      <w:r w:rsidR="001C5F5D">
        <w:rPr>
          <w:lang w:val="fr-FR"/>
        </w:rPr>
        <w:t>e la pollution atmosphérique ?</w:t>
      </w:r>
    </w:p>
    <w:p w:rsidR="00D04AA7" w:rsidRPr="00A34885" w:rsidRDefault="00D04AA7" w:rsidP="00A34885">
      <w:pPr>
        <w:pStyle w:val="SingleTxtG"/>
        <w:ind w:firstLine="567"/>
        <w:rPr>
          <w:lang w:val="fr-FR"/>
        </w:rPr>
      </w:pPr>
      <w:r w:rsidRPr="00A34885">
        <w:rPr>
          <w:lang w:val="fr-FR"/>
        </w:rPr>
        <w:t>c)</w:t>
      </w:r>
      <w:r w:rsidRPr="00A34885">
        <w:rPr>
          <w:lang w:val="fr-FR"/>
        </w:rPr>
        <w:tab/>
      </w:r>
      <w:r w:rsidRPr="00A34885">
        <w:rPr>
          <w:b/>
          <w:lang w:val="fr-FR"/>
        </w:rPr>
        <w:t>Sensibilisation et participation du public</w:t>
      </w:r>
      <w:r w:rsidRPr="00A34885">
        <w:rPr>
          <w:lang w:val="fr-FR"/>
        </w:rPr>
        <w:t> : Les problèmes les plus courants posés par la pollution atmosphérique et le caractère transfrontière de cette pollution sont-ils glo</w:t>
      </w:r>
      <w:r w:rsidR="00A34885">
        <w:rPr>
          <w:lang w:val="fr-FR"/>
        </w:rPr>
        <w:t>balement connus dans votre pays ?</w:t>
      </w:r>
      <w:r w:rsidRPr="00A34885">
        <w:rPr>
          <w:lang w:val="fr-FR"/>
        </w:rPr>
        <w:t xml:space="preserve"> Comment peu</w:t>
      </w:r>
      <w:r w:rsidR="00A34885">
        <w:rPr>
          <w:lang w:val="fr-FR"/>
        </w:rPr>
        <w:t>t-on améliorer la communication ?</w:t>
      </w:r>
      <w:r w:rsidRPr="00A34885">
        <w:rPr>
          <w:lang w:val="fr-FR"/>
        </w:rPr>
        <w:t xml:space="preserve"> Quels sont les canaux, les messages et les moyens les</w:t>
      </w:r>
      <w:r w:rsidR="00A34885">
        <w:rPr>
          <w:lang w:val="fr-FR"/>
        </w:rPr>
        <w:t xml:space="preserve"> plus efficaces dans votre pays ?</w:t>
      </w:r>
      <w:r w:rsidRPr="00A34885">
        <w:rPr>
          <w:lang w:val="fr-FR"/>
        </w:rPr>
        <w:t xml:space="preserve"> En quoi le fait de permettre la participation du public aux processus pertinents (élaboration des politiques, par exemple) pourrait-il améliorer la qualité de l</w:t>
      </w:r>
      <w:r w:rsidR="00D90C3E" w:rsidRPr="00A34885">
        <w:rPr>
          <w:lang w:val="fr-FR"/>
        </w:rPr>
        <w:t>’</w:t>
      </w:r>
      <w:r w:rsidRPr="00A34885">
        <w:rPr>
          <w:lang w:val="fr-FR"/>
        </w:rPr>
        <w:t>air et quelles sont les mesures les plus efficaces dans votre pays</w:t>
      </w:r>
      <w:r w:rsidR="001C5F5D">
        <w:rPr>
          <w:lang w:val="fr-FR"/>
        </w:rPr>
        <w:t> ?</w:t>
      </w:r>
    </w:p>
    <w:p w:rsidR="00D04AA7" w:rsidRPr="00A34885" w:rsidRDefault="00D04AA7" w:rsidP="00A34885">
      <w:pPr>
        <w:pStyle w:val="SingleTxtG"/>
        <w:ind w:firstLine="567"/>
        <w:rPr>
          <w:lang w:val="fr-FR"/>
        </w:rPr>
      </w:pPr>
      <w:r w:rsidRPr="00A34885">
        <w:rPr>
          <w:lang w:val="fr-FR"/>
        </w:rPr>
        <w:t>d)</w:t>
      </w:r>
      <w:r w:rsidRPr="00A34885">
        <w:rPr>
          <w:lang w:val="fr-FR"/>
        </w:rPr>
        <w:tab/>
      </w:r>
      <w:r w:rsidRPr="00A34885">
        <w:rPr>
          <w:b/>
          <w:lang w:val="fr-FR"/>
        </w:rPr>
        <w:t>Coopération</w:t>
      </w:r>
      <w:r w:rsidRPr="00A34885">
        <w:rPr>
          <w:lang w:val="fr-FR"/>
        </w:rPr>
        <w:t> : La coopération internationale a-t-elle permis d</w:t>
      </w:r>
      <w:r w:rsidR="00D90C3E" w:rsidRPr="00A34885">
        <w:rPr>
          <w:lang w:val="fr-FR"/>
        </w:rPr>
        <w:t>’</w:t>
      </w:r>
      <w:r w:rsidRPr="00A34885">
        <w:rPr>
          <w:lang w:val="fr-FR"/>
        </w:rPr>
        <w:t>améliorer la qualité de l</w:t>
      </w:r>
      <w:r w:rsidR="00D90C3E" w:rsidRPr="00A34885">
        <w:rPr>
          <w:lang w:val="fr-FR"/>
        </w:rPr>
        <w:t>’</w:t>
      </w:r>
      <w:r w:rsidR="00A34885">
        <w:rPr>
          <w:lang w:val="fr-FR"/>
        </w:rPr>
        <w:t>air ?</w:t>
      </w:r>
      <w:r w:rsidRPr="00A34885">
        <w:rPr>
          <w:lang w:val="fr-FR"/>
        </w:rPr>
        <w:t xml:space="preserve"> Comment la coopération internationale peut-elle améliorer l</w:t>
      </w:r>
      <w:r w:rsidR="00D90C3E" w:rsidRPr="00A34885">
        <w:rPr>
          <w:lang w:val="fr-FR"/>
        </w:rPr>
        <w:t>’</w:t>
      </w:r>
      <w:r w:rsidRPr="00A34885">
        <w:rPr>
          <w:lang w:val="fr-FR"/>
        </w:rPr>
        <w:t>action nationale</w:t>
      </w:r>
      <w:r w:rsidR="00A34885">
        <w:rPr>
          <w:lang w:val="fr-FR"/>
        </w:rPr>
        <w:t> ?</w:t>
      </w:r>
      <w:r w:rsidRPr="00A34885">
        <w:rPr>
          <w:lang w:val="fr-FR"/>
        </w:rPr>
        <w:t xml:space="preserve"> D</w:t>
      </w:r>
      <w:r w:rsidR="00D90C3E" w:rsidRPr="00A34885">
        <w:rPr>
          <w:lang w:val="fr-FR"/>
        </w:rPr>
        <w:t>’</w:t>
      </w:r>
      <w:r w:rsidRPr="00A34885">
        <w:rPr>
          <w:lang w:val="fr-FR"/>
        </w:rPr>
        <w:t>après votre expérience, quels sont les instruments in</w:t>
      </w:r>
      <w:r w:rsidR="00A34885">
        <w:rPr>
          <w:lang w:val="fr-FR"/>
        </w:rPr>
        <w:t>ternationaux les plus efficaces ?</w:t>
      </w:r>
      <w:r w:rsidRPr="00A34885">
        <w:rPr>
          <w:lang w:val="fr-FR"/>
        </w:rPr>
        <w:t xml:space="preserve"> Quelles seraient les activités à renforcer pour favoriser la ratification, la mise en œuvre et un possible développement de la Convention de la CEE sur la pollution atmosphérique transfrontière à longue distance et de ses protocoles</w:t>
      </w:r>
      <w:r w:rsidR="00A34885">
        <w:rPr>
          <w:lang w:val="fr-FR"/>
        </w:rPr>
        <w:t> ?</w:t>
      </w:r>
    </w:p>
    <w:p w:rsidR="00D04AA7" w:rsidRPr="00A34885" w:rsidRDefault="00D04AA7" w:rsidP="00A34885">
      <w:pPr>
        <w:pStyle w:val="ParNoG"/>
      </w:pPr>
      <w:r w:rsidRPr="00A34885">
        <w:t>En outre, pendant les débats sur les questions susmentionnées, d</w:t>
      </w:r>
      <w:r w:rsidR="00D90C3E" w:rsidRPr="00A34885">
        <w:t>’</w:t>
      </w:r>
      <w:r w:rsidRPr="00A34885">
        <w:t>autres questions connexes seront traitées, selon qu</w:t>
      </w:r>
      <w:r w:rsidR="00D90C3E" w:rsidRPr="00A34885">
        <w:t>’</w:t>
      </w:r>
      <w:r w:rsidRPr="00A34885">
        <w:t>il conviendra, comme : l</w:t>
      </w:r>
      <w:r w:rsidR="00D90C3E" w:rsidRPr="00A34885">
        <w:t>’</w:t>
      </w:r>
      <w:r w:rsidRPr="00A34885">
        <w:t>agriculture écologique, y compris ses besoins en ressources, les charges qui pourraient peser sur l</w:t>
      </w:r>
      <w:r w:rsidR="00D90C3E" w:rsidRPr="00A34885">
        <w:t>’</w:t>
      </w:r>
      <w:r w:rsidRPr="00A34885">
        <w:t>environnemen</w:t>
      </w:r>
      <w:r w:rsidR="002B7DBC">
        <w:t>t et certaines bonnes pratiques ;</w:t>
      </w:r>
      <w:r w:rsidRPr="00A34885">
        <w:t xml:space="preserve"> et la façon dont les autorités infranationales et locales, les milieux d</w:t>
      </w:r>
      <w:r w:rsidR="00D90C3E" w:rsidRPr="00A34885">
        <w:t>’</w:t>
      </w:r>
      <w:r w:rsidRPr="00A34885">
        <w:t>affaires et la société civile participent à l</w:t>
      </w:r>
      <w:r w:rsidR="00D90C3E" w:rsidRPr="00A34885">
        <w:t>’</w:t>
      </w:r>
      <w:r w:rsidRPr="00A34885">
        <w:t>amélioration de la qualité de l</w:t>
      </w:r>
      <w:r w:rsidR="00D90C3E" w:rsidRPr="00A34885">
        <w:t>’</w:t>
      </w:r>
      <w:r w:rsidRPr="00A34885">
        <w:t>air.</w:t>
      </w:r>
    </w:p>
    <w:p w:rsidR="00D04AA7" w:rsidRPr="00D7513E" w:rsidRDefault="00D04AA7" w:rsidP="00A34885">
      <w:pPr>
        <w:pStyle w:val="H23G"/>
        <w:rPr>
          <w:lang w:val="fr-FR"/>
        </w:rPr>
      </w:pPr>
      <w:r w:rsidRPr="00D7513E">
        <w:rPr>
          <w:lang w:val="fr-FR"/>
        </w:rPr>
        <w:tab/>
      </w:r>
      <w:r w:rsidRPr="00D7513E">
        <w:rPr>
          <w:lang w:val="fr-FR"/>
        </w:rPr>
        <w:tab/>
        <w:t>Documents</w:t>
      </w:r>
    </w:p>
    <w:p w:rsidR="00D04AA7" w:rsidRPr="00D7513E" w:rsidRDefault="00D04AA7" w:rsidP="00A34885">
      <w:pPr>
        <w:pStyle w:val="SingleTxtG"/>
      </w:pPr>
      <w:r w:rsidRPr="00D7513E">
        <w:t xml:space="preserve">Action de </w:t>
      </w:r>
      <w:r>
        <w:t>Batumi</w:t>
      </w:r>
      <w:r w:rsidRPr="00D7513E">
        <w:t xml:space="preserve"> pour un air plus pur (ECE/</w:t>
      </w:r>
      <w:r>
        <w:t>BAT</w:t>
      </w:r>
      <w:r w:rsidRPr="00D7513E">
        <w:t>UMI.CONF/2016/</w:t>
      </w:r>
      <w:r>
        <w:t>7</w:t>
      </w:r>
      <w:r w:rsidRPr="00D7513E">
        <w:t>)</w:t>
      </w:r>
      <w:r w:rsidR="00A34885">
        <w:t>.</w:t>
      </w:r>
    </w:p>
    <w:p w:rsidR="00D04AA7" w:rsidRPr="00A34885" w:rsidRDefault="00D04AA7" w:rsidP="00A34885">
      <w:pPr>
        <w:pStyle w:val="SingleTxtG"/>
      </w:pPr>
      <w:r w:rsidRPr="00A34885">
        <w:t>Améliorer la qualité de l</w:t>
      </w:r>
      <w:r w:rsidR="00D90C3E" w:rsidRPr="00A34885">
        <w:t>’</w:t>
      </w:r>
      <w:r w:rsidRPr="00A34885">
        <w:t>air pour un environnement plus sain et une meilleure santé (ECE/BATUMI.CONF/2016/5)</w:t>
      </w:r>
      <w:r w:rsidR="00A34885">
        <w:t>.</w:t>
      </w:r>
    </w:p>
    <w:p w:rsidR="00D04AA7" w:rsidRPr="00A34885" w:rsidRDefault="00D04AA7" w:rsidP="00A34885">
      <w:pPr>
        <w:pStyle w:val="SingleTxtG"/>
      </w:pPr>
      <w:r w:rsidRPr="00A34885">
        <w:t>Rapport d</w:t>
      </w:r>
      <w:r w:rsidR="00D90C3E" w:rsidRPr="00A34885">
        <w:t>’</w:t>
      </w:r>
      <w:r w:rsidRPr="00A34885">
        <w:t>évaluation au titre de la Convention sur la pollution atmosphérique t</w:t>
      </w:r>
      <w:r w:rsidR="00A34885">
        <w:t>ransfrontière à longue distance :</w:t>
      </w:r>
      <w:r w:rsidRPr="00A34885">
        <w:t xml:space="preserve"> résumé à l</w:t>
      </w:r>
      <w:r w:rsidR="00D90C3E" w:rsidRPr="00A34885">
        <w:t>’</w:t>
      </w:r>
      <w:r w:rsidRPr="00A34885">
        <w:t>intention des décideurs politiques (ECE/BATUMI.CONF/</w:t>
      </w:r>
      <w:r w:rsidR="00A34885">
        <w:t xml:space="preserve"> </w:t>
      </w:r>
      <w:r w:rsidRPr="00A34885">
        <w:t>2016/12)</w:t>
      </w:r>
      <w:r w:rsidR="00A34885">
        <w:t>.</w:t>
      </w:r>
    </w:p>
    <w:p w:rsidR="00D04AA7" w:rsidRPr="00D7513E" w:rsidRDefault="00A34885" w:rsidP="00A34885">
      <w:pPr>
        <w:pStyle w:val="H4G"/>
        <w:rPr>
          <w:lang w:val="fr-FR"/>
        </w:rPr>
      </w:pPr>
      <w:r>
        <w:tab/>
      </w:r>
      <w:r>
        <w:tab/>
      </w:r>
      <w:r w:rsidR="00D04AA7" w:rsidRPr="003A5B86">
        <w:t>Document d</w:t>
      </w:r>
      <w:r w:rsidR="00D90C3E">
        <w:t>’</w:t>
      </w:r>
      <w:r w:rsidR="00D04AA7" w:rsidRPr="003A5B86">
        <w:t>information</w:t>
      </w:r>
    </w:p>
    <w:p w:rsidR="00D04AA7" w:rsidRPr="00A34885" w:rsidRDefault="00D04AA7" w:rsidP="00A34885">
      <w:pPr>
        <w:pStyle w:val="SingleTxtG"/>
      </w:pPr>
      <w:r w:rsidRPr="00A34885">
        <w:t>Sept messages sur la pollution atmosphérique à l</w:t>
      </w:r>
      <w:r w:rsidR="00D90C3E" w:rsidRPr="00A34885">
        <w:t>’</w:t>
      </w:r>
      <w:r w:rsidRPr="00A34885">
        <w:t>intention des ministres (ECE/BATUMI.CONF/2016/INF/2)</w:t>
      </w:r>
      <w:r w:rsidR="005461BB">
        <w:t>.</w:t>
      </w:r>
    </w:p>
    <w:p w:rsidR="00D04AA7" w:rsidRPr="001D7CB4" w:rsidRDefault="00D04AA7" w:rsidP="00A34885">
      <w:pPr>
        <w:pStyle w:val="H1G"/>
        <w:rPr>
          <w:lang w:val="fr-FR"/>
        </w:rPr>
      </w:pPr>
      <w:r w:rsidRPr="00975002">
        <w:rPr>
          <w:lang w:val="fr-FR"/>
        </w:rPr>
        <w:lastRenderedPageBreak/>
        <w:tab/>
      </w:r>
      <w:r w:rsidRPr="00CE67BC">
        <w:rPr>
          <w:lang w:val="fr-FR"/>
        </w:rPr>
        <w:t>6.</w:t>
      </w:r>
      <w:r w:rsidRPr="00CE67BC">
        <w:rPr>
          <w:lang w:val="fr-FR"/>
        </w:rPr>
        <w:tab/>
        <w:t>Présentation des résultats des débats thématiques</w:t>
      </w:r>
    </w:p>
    <w:p w:rsidR="00D04AA7" w:rsidRPr="00D7513E" w:rsidRDefault="00D04AA7" w:rsidP="00A34885">
      <w:pPr>
        <w:pStyle w:val="H4G"/>
        <w:rPr>
          <w:lang w:val="fr-FR"/>
        </w:rPr>
      </w:pPr>
      <w:r w:rsidRPr="00D7513E">
        <w:rPr>
          <w:lang w:val="fr-FR"/>
        </w:rPr>
        <w:tab/>
      </w:r>
      <w:r w:rsidRPr="00D7513E">
        <w:rPr>
          <w:lang w:val="fr-FR"/>
        </w:rPr>
        <w:tab/>
        <w:t>Vendredi 10 juin, 10 heures-11 h 30</w:t>
      </w:r>
    </w:p>
    <w:p w:rsidR="00D04AA7" w:rsidRPr="00A34885" w:rsidRDefault="00D04AA7" w:rsidP="00A34885">
      <w:pPr>
        <w:pStyle w:val="ParNoG"/>
      </w:pPr>
      <w:r w:rsidRPr="00A34885">
        <w:t>La séance du vendredi matin débutera par les observations liminaires du Président de la Conférence. À partir des rapports sur les séances interactives, les présidents des débats thématiques en présenteront le</w:t>
      </w:r>
      <w:r w:rsidR="00A34885">
        <w:t xml:space="preserve">s résultats au titre des </w:t>
      </w:r>
      <w:r w:rsidR="00A34885" w:rsidRPr="001C5F5D">
        <w:t>points </w:t>
      </w:r>
      <w:r w:rsidRPr="001C5F5D">
        <w:t>4</w:t>
      </w:r>
      <w:r w:rsidRPr="00A34885">
        <w:t xml:space="preserve"> et 5 de l</w:t>
      </w:r>
      <w:r w:rsidR="00D90C3E" w:rsidRPr="00A34885">
        <w:t>’</w:t>
      </w:r>
      <w:r w:rsidR="00A34885">
        <w:t>ordre du jour.</w:t>
      </w:r>
    </w:p>
    <w:p w:rsidR="00D04AA7" w:rsidRPr="00A34885" w:rsidRDefault="00D04AA7" w:rsidP="00A34885">
      <w:pPr>
        <w:pStyle w:val="ParNoG"/>
      </w:pPr>
      <w:r w:rsidRPr="00A34885">
        <w:t>Chaque présentation sera suivie d</w:t>
      </w:r>
      <w:r w:rsidR="00D90C3E" w:rsidRPr="00A34885">
        <w:t>’</w:t>
      </w:r>
      <w:r w:rsidRPr="00A34885">
        <w:t>observations des participants concernant les principales conclusions des dialogues.</w:t>
      </w:r>
    </w:p>
    <w:p w:rsidR="00D04AA7" w:rsidRPr="001D7CB4" w:rsidRDefault="00D04AA7" w:rsidP="005461BB">
      <w:pPr>
        <w:pStyle w:val="H1G"/>
        <w:rPr>
          <w:lang w:val="fr-FR"/>
        </w:rPr>
      </w:pPr>
      <w:r w:rsidRPr="00975002">
        <w:rPr>
          <w:lang w:val="fr-FR"/>
        </w:rPr>
        <w:tab/>
      </w:r>
      <w:r w:rsidRPr="00CE67BC">
        <w:rPr>
          <w:lang w:val="fr-FR"/>
        </w:rPr>
        <w:t>7.</w:t>
      </w:r>
      <w:r w:rsidRPr="00CE67BC">
        <w:rPr>
          <w:lang w:val="fr-FR"/>
        </w:rPr>
        <w:tab/>
        <w:t>Adopti</w:t>
      </w:r>
      <w:r w:rsidRPr="001D7CB4">
        <w:rPr>
          <w:lang w:val="fr-FR"/>
        </w:rPr>
        <w:t>on des textes issus de la Conférence</w:t>
      </w:r>
    </w:p>
    <w:p w:rsidR="00D04AA7" w:rsidRPr="00D7513E" w:rsidRDefault="00D04AA7" w:rsidP="005461BB">
      <w:pPr>
        <w:pStyle w:val="H4G"/>
        <w:rPr>
          <w:lang w:val="fr-FR"/>
        </w:rPr>
      </w:pPr>
      <w:r w:rsidRPr="00D7513E">
        <w:rPr>
          <w:lang w:val="fr-FR"/>
        </w:rPr>
        <w:tab/>
      </w:r>
      <w:r w:rsidRPr="00D7513E">
        <w:rPr>
          <w:lang w:val="fr-FR"/>
        </w:rPr>
        <w:tab/>
        <w:t>Vendredi 10 juin, 11 h 30-12 h 30</w:t>
      </w:r>
    </w:p>
    <w:p w:rsidR="00D04AA7" w:rsidRPr="005461BB" w:rsidRDefault="00D04AA7" w:rsidP="005461BB">
      <w:pPr>
        <w:pStyle w:val="ParNoG"/>
      </w:pPr>
      <w:r w:rsidRPr="005461BB">
        <w:t>Cette séance débutera par les observations liminaires du Président de la Conférence qui présentera un projet du document final (Déclaration ministérielle) à adopter.</w:t>
      </w:r>
    </w:p>
    <w:p w:rsidR="00D04AA7" w:rsidRPr="005461BB" w:rsidRDefault="00D04AA7" w:rsidP="005461BB">
      <w:pPr>
        <w:pStyle w:val="ParNoG"/>
      </w:pPr>
      <w:r w:rsidRPr="005461BB">
        <w:t>De plus, les pays et organisations intéressés auront la possibilité de présenter brièvement tous autres accords, engagements, initiatives ou moyens d</w:t>
      </w:r>
      <w:r w:rsidR="00D90C3E" w:rsidRPr="005461BB">
        <w:t>’</w:t>
      </w:r>
      <w:r w:rsidRPr="005461BB">
        <w:t>action sur des sujets en rapport avec les thèmes de la Conférence, que les participants seront invités à examiner.</w:t>
      </w:r>
    </w:p>
    <w:p w:rsidR="00D04AA7" w:rsidRPr="005461BB" w:rsidRDefault="00D04AA7" w:rsidP="005461BB">
      <w:pPr>
        <w:pStyle w:val="ParNoG"/>
      </w:pPr>
      <w:r w:rsidRPr="005461BB">
        <w:t>Les participants seront ensuite invités à adopter la Déclaration ministérielle.</w:t>
      </w:r>
    </w:p>
    <w:p w:rsidR="00D04AA7" w:rsidRPr="00D7513E" w:rsidRDefault="001C5F5D" w:rsidP="005461BB">
      <w:pPr>
        <w:pStyle w:val="H23G"/>
        <w:rPr>
          <w:lang w:val="fr-FR"/>
        </w:rPr>
      </w:pPr>
      <w:r>
        <w:rPr>
          <w:lang w:val="fr-FR"/>
        </w:rPr>
        <w:tab/>
      </w:r>
      <w:r>
        <w:rPr>
          <w:lang w:val="fr-FR"/>
        </w:rPr>
        <w:tab/>
        <w:t>Document</w:t>
      </w:r>
    </w:p>
    <w:p w:rsidR="00D04AA7" w:rsidRPr="005461BB" w:rsidRDefault="00D04AA7" w:rsidP="005461BB">
      <w:pPr>
        <w:pStyle w:val="SingleTxtG"/>
      </w:pPr>
      <w:r w:rsidRPr="005461BB">
        <w:t>Projet de Déclaration ministérielle (ECE/BATUMI.CONF/2016/L.1)</w:t>
      </w:r>
      <w:r w:rsidR="005461BB">
        <w:t>.</w:t>
      </w:r>
    </w:p>
    <w:p w:rsidR="00D04AA7" w:rsidRPr="001D7CB4" w:rsidRDefault="00D04AA7" w:rsidP="005461BB">
      <w:pPr>
        <w:pStyle w:val="H1G"/>
        <w:rPr>
          <w:lang w:val="fr-FR"/>
        </w:rPr>
      </w:pPr>
      <w:r w:rsidRPr="00975002">
        <w:rPr>
          <w:lang w:val="fr-FR"/>
        </w:rPr>
        <w:tab/>
      </w:r>
      <w:r w:rsidRPr="00CE67BC">
        <w:rPr>
          <w:lang w:val="fr-FR"/>
        </w:rPr>
        <w:t>8.</w:t>
      </w:r>
      <w:r w:rsidRPr="00CE67BC">
        <w:rPr>
          <w:lang w:val="fr-FR"/>
        </w:rPr>
        <w:tab/>
        <w:t>Clôture de la Conférence</w:t>
      </w:r>
    </w:p>
    <w:p w:rsidR="00D04AA7" w:rsidRPr="00D7513E" w:rsidRDefault="00D04AA7" w:rsidP="005461BB">
      <w:pPr>
        <w:pStyle w:val="H4G"/>
        <w:rPr>
          <w:lang w:val="fr-FR"/>
        </w:rPr>
      </w:pPr>
      <w:r w:rsidRPr="00D7513E">
        <w:rPr>
          <w:lang w:val="fr-FR"/>
        </w:rPr>
        <w:tab/>
      </w:r>
      <w:r w:rsidRPr="00D7513E">
        <w:rPr>
          <w:lang w:val="fr-FR"/>
        </w:rPr>
        <w:tab/>
        <w:t>Vendredi 10 juin, 12 h 30-13 heures</w:t>
      </w:r>
    </w:p>
    <w:p w:rsidR="00D04AA7" w:rsidRPr="005461BB" w:rsidRDefault="00D04AA7" w:rsidP="005461BB">
      <w:pPr>
        <w:pStyle w:val="ParNoG"/>
      </w:pPr>
      <w:r w:rsidRPr="005461BB">
        <w:t>Le Président de la Conférence en récapitulera les résultats sous la forme d</w:t>
      </w:r>
      <w:r w:rsidR="00D90C3E" w:rsidRPr="005461BB">
        <w:t>’</w:t>
      </w:r>
      <w:r w:rsidRPr="005461BB">
        <w:t>un résumé du Président.</w:t>
      </w:r>
    </w:p>
    <w:p w:rsidR="005461BB" w:rsidRPr="005461BB" w:rsidRDefault="00D04AA7" w:rsidP="005461BB">
      <w:pPr>
        <w:pStyle w:val="ParNoG"/>
      </w:pPr>
      <w:r w:rsidRPr="005461BB">
        <w:t>La Conférence clôturera ses travaux le 10 juin 2016 à 13 heures.</w:t>
      </w:r>
    </w:p>
    <w:p w:rsidR="00D04AA7" w:rsidRDefault="00D04AA7" w:rsidP="005461BB">
      <w:pPr>
        <w:pStyle w:val="ParNoG"/>
        <w:rPr>
          <w:sz w:val="24"/>
          <w:lang w:val="fr-FR"/>
        </w:rPr>
      </w:pPr>
      <w:r>
        <w:rPr>
          <w:sz w:val="24"/>
          <w:lang w:val="fr-FR"/>
        </w:rPr>
        <w:br w:type="page"/>
      </w:r>
    </w:p>
    <w:p w:rsidR="00D04AA7" w:rsidRPr="00D7513E" w:rsidRDefault="00D04AA7" w:rsidP="00CC53C9">
      <w:pPr>
        <w:pStyle w:val="HChG"/>
        <w:rPr>
          <w:lang w:val="fr-FR"/>
        </w:rPr>
      </w:pPr>
      <w:r w:rsidRPr="00D7513E">
        <w:rPr>
          <w:lang w:val="fr-FR"/>
        </w:rPr>
        <w:lastRenderedPageBreak/>
        <w:t>Annexe</w:t>
      </w:r>
    </w:p>
    <w:p w:rsidR="00D04AA7" w:rsidRPr="00CC53C9" w:rsidRDefault="00D04AA7" w:rsidP="00CC53C9">
      <w:pPr>
        <w:pStyle w:val="HChG"/>
        <w:rPr>
          <w:lang w:val="fr-FR"/>
        </w:rPr>
      </w:pPr>
      <w:r w:rsidRPr="00D7513E">
        <w:rPr>
          <w:lang w:val="fr-FR"/>
        </w:rPr>
        <w:tab/>
      </w:r>
      <w:r w:rsidRPr="00D7513E">
        <w:rPr>
          <w:lang w:val="fr-FR"/>
        </w:rPr>
        <w:tab/>
      </w:r>
      <w:r>
        <w:rPr>
          <w:lang w:val="fr-FR"/>
        </w:rPr>
        <w:t>O</w:t>
      </w:r>
      <w:r w:rsidRPr="00D7513E">
        <w:rPr>
          <w:lang w:val="fr-FR"/>
        </w:rPr>
        <w:t>rganisatio</w:t>
      </w:r>
      <w:r>
        <w:rPr>
          <w:lang w:val="fr-FR"/>
        </w:rPr>
        <w:t xml:space="preserve">n </w:t>
      </w:r>
      <w:r w:rsidRPr="00D7513E">
        <w:rPr>
          <w:lang w:val="fr-FR"/>
        </w:rPr>
        <w:t xml:space="preserve">des travaux </w:t>
      </w:r>
      <w:r>
        <w:rPr>
          <w:lang w:val="fr-FR"/>
        </w:rPr>
        <w:t xml:space="preserve">de </w:t>
      </w:r>
      <w:r w:rsidRPr="00D7513E">
        <w:rPr>
          <w:lang w:val="fr-FR"/>
        </w:rPr>
        <w:t xml:space="preserve">la huitième Conférence ministérielle </w:t>
      </w:r>
      <w:r w:rsidRPr="00D7513E">
        <w:rPr>
          <w:spacing w:val="-4"/>
        </w:rPr>
        <w:t>« Un environnement pour l</w:t>
      </w:r>
      <w:r w:rsidR="00D90C3E">
        <w:rPr>
          <w:spacing w:val="-4"/>
        </w:rPr>
        <w:t>’</w:t>
      </w:r>
      <w:r w:rsidRPr="00D7513E">
        <w:rPr>
          <w:spacing w:val="-4"/>
        </w:rPr>
        <w:t>Europe »</w:t>
      </w:r>
      <w:r w:rsidR="00CC53C9">
        <w:rPr>
          <w:spacing w:val="-4"/>
        </w:rPr>
        <w:t xml:space="preserve"> </w:t>
      </w:r>
      <w:r w:rsidR="00CC53C9">
        <w:rPr>
          <w:spacing w:val="-4"/>
        </w:rPr>
        <w:br/>
      </w:r>
      <w:r w:rsidR="00CC53C9">
        <w:rPr>
          <w:lang w:val="fr-FR"/>
        </w:rPr>
        <w:t>(</w:t>
      </w:r>
      <w:r>
        <w:rPr>
          <w:lang w:val="fr-FR"/>
        </w:rPr>
        <w:t>Batumi</w:t>
      </w:r>
      <w:r w:rsidR="00CC53C9">
        <w:rPr>
          <w:lang w:val="fr-FR"/>
        </w:rPr>
        <w:t xml:space="preserve">, </w:t>
      </w:r>
      <w:r w:rsidRPr="00975002">
        <w:rPr>
          <w:lang w:val="fr-FR"/>
        </w:rPr>
        <w:t>Géorgie, 8-10</w:t>
      </w:r>
      <w:r w:rsidRPr="00CE67BC">
        <w:rPr>
          <w:lang w:val="fr-FR"/>
        </w:rPr>
        <w:t> </w:t>
      </w:r>
      <w:r w:rsidRPr="001D7CB4">
        <w:rPr>
          <w:lang w:val="fr-FR"/>
        </w:rPr>
        <w:t>juin 2016</w:t>
      </w:r>
      <w:r w:rsidR="00CC53C9">
        <w:rPr>
          <w:lang w:val="fr-FR"/>
        </w:rPr>
        <w:t>)</w:t>
      </w:r>
    </w:p>
    <w:tbl>
      <w:tblPr>
        <w:tblW w:w="9617" w:type="dxa"/>
        <w:tblInd w:w="14" w:type="dxa"/>
        <w:tblLayout w:type="fixed"/>
        <w:tblCellMar>
          <w:left w:w="0" w:type="dxa"/>
          <w:right w:w="0" w:type="dxa"/>
        </w:tblCellMar>
        <w:tblLook w:val="0000" w:firstRow="0" w:lastRow="0" w:firstColumn="0" w:lastColumn="0" w:noHBand="0" w:noVBand="0"/>
      </w:tblPr>
      <w:tblGrid>
        <w:gridCol w:w="3247"/>
        <w:gridCol w:w="3276"/>
        <w:gridCol w:w="3094"/>
      </w:tblGrid>
      <w:tr w:rsidR="00665C3C" w:rsidRPr="00665C3C" w:rsidTr="001013C6">
        <w:trPr>
          <w:tblHeader/>
        </w:trPr>
        <w:tc>
          <w:tcPr>
            <w:tcW w:w="3247" w:type="dxa"/>
            <w:tcBorders>
              <w:top w:val="single" w:sz="4" w:space="0" w:color="auto"/>
              <w:bottom w:val="single" w:sz="12" w:space="0" w:color="auto"/>
            </w:tcBorders>
            <w:shd w:val="clear" w:color="auto" w:fill="auto"/>
            <w:vAlign w:val="bottom"/>
          </w:tcPr>
          <w:p w:rsidR="00D04AA7" w:rsidRPr="00665C3C" w:rsidRDefault="00D04AA7" w:rsidP="00665C3C">
            <w:pPr>
              <w:spacing w:before="80" w:after="80" w:line="200" w:lineRule="exact"/>
              <w:ind w:right="113"/>
              <w:rPr>
                <w:i/>
                <w:sz w:val="16"/>
                <w:lang w:val="fr-FR"/>
              </w:rPr>
            </w:pPr>
            <w:r w:rsidRPr="00665C3C">
              <w:rPr>
                <w:i/>
                <w:sz w:val="16"/>
                <w:lang w:val="fr-FR"/>
              </w:rPr>
              <w:t>Mercredi 8 juin</w:t>
            </w:r>
          </w:p>
        </w:tc>
        <w:tc>
          <w:tcPr>
            <w:tcW w:w="3276" w:type="dxa"/>
            <w:tcBorders>
              <w:top w:val="single" w:sz="4" w:space="0" w:color="auto"/>
              <w:bottom w:val="single" w:sz="12" w:space="0" w:color="auto"/>
            </w:tcBorders>
            <w:shd w:val="clear" w:color="auto" w:fill="auto"/>
            <w:vAlign w:val="bottom"/>
          </w:tcPr>
          <w:p w:rsidR="00D04AA7" w:rsidRPr="00665C3C" w:rsidRDefault="00D04AA7" w:rsidP="00665C3C">
            <w:pPr>
              <w:spacing w:before="80" w:after="80" w:line="200" w:lineRule="exact"/>
              <w:ind w:right="113"/>
              <w:rPr>
                <w:i/>
                <w:sz w:val="16"/>
                <w:lang w:val="fr-FR"/>
              </w:rPr>
            </w:pPr>
            <w:r w:rsidRPr="00665C3C">
              <w:rPr>
                <w:i/>
                <w:sz w:val="16"/>
                <w:lang w:val="fr-FR"/>
              </w:rPr>
              <w:t>Jeudi 9 juin</w:t>
            </w:r>
          </w:p>
        </w:tc>
        <w:tc>
          <w:tcPr>
            <w:tcW w:w="3094" w:type="dxa"/>
            <w:tcBorders>
              <w:top w:val="single" w:sz="4" w:space="0" w:color="auto"/>
              <w:bottom w:val="single" w:sz="12" w:space="0" w:color="auto"/>
            </w:tcBorders>
            <w:shd w:val="clear" w:color="auto" w:fill="auto"/>
            <w:vAlign w:val="bottom"/>
          </w:tcPr>
          <w:p w:rsidR="00D04AA7" w:rsidRPr="00665C3C" w:rsidRDefault="00D04AA7" w:rsidP="00665C3C">
            <w:pPr>
              <w:spacing w:before="80" w:after="80" w:line="200" w:lineRule="exact"/>
              <w:ind w:right="113"/>
              <w:rPr>
                <w:i/>
                <w:sz w:val="16"/>
                <w:lang w:val="fr-FR"/>
              </w:rPr>
            </w:pPr>
            <w:r w:rsidRPr="00665C3C">
              <w:rPr>
                <w:i/>
                <w:sz w:val="16"/>
                <w:lang w:val="fr-FR"/>
              </w:rPr>
              <w:t>Vendredi 10 juin</w:t>
            </w:r>
          </w:p>
        </w:tc>
      </w:tr>
      <w:tr w:rsidR="00665C3C" w:rsidRPr="00665C3C" w:rsidTr="001013C6">
        <w:trPr>
          <w:trHeight w:hRule="exact" w:val="113"/>
          <w:tblHeader/>
        </w:trPr>
        <w:tc>
          <w:tcPr>
            <w:tcW w:w="3247" w:type="dxa"/>
            <w:tcBorders>
              <w:top w:val="single" w:sz="12" w:space="0" w:color="auto"/>
            </w:tcBorders>
            <w:shd w:val="clear" w:color="auto" w:fill="auto"/>
          </w:tcPr>
          <w:p w:rsidR="00665C3C" w:rsidRPr="00665C3C" w:rsidRDefault="00665C3C" w:rsidP="00665C3C">
            <w:pPr>
              <w:spacing w:before="40" w:after="120"/>
              <w:ind w:right="113"/>
              <w:rPr>
                <w:lang w:val="fr-FR"/>
              </w:rPr>
            </w:pPr>
          </w:p>
        </w:tc>
        <w:tc>
          <w:tcPr>
            <w:tcW w:w="3276" w:type="dxa"/>
            <w:tcBorders>
              <w:top w:val="single" w:sz="12" w:space="0" w:color="auto"/>
            </w:tcBorders>
            <w:shd w:val="clear" w:color="auto" w:fill="auto"/>
          </w:tcPr>
          <w:p w:rsidR="00665C3C" w:rsidRPr="00665C3C" w:rsidRDefault="00665C3C" w:rsidP="00665C3C">
            <w:pPr>
              <w:spacing w:before="40" w:after="120"/>
              <w:ind w:right="113"/>
              <w:rPr>
                <w:lang w:val="fr-FR"/>
              </w:rPr>
            </w:pPr>
          </w:p>
        </w:tc>
        <w:tc>
          <w:tcPr>
            <w:tcW w:w="3094" w:type="dxa"/>
            <w:tcBorders>
              <w:top w:val="single" w:sz="12" w:space="0" w:color="auto"/>
            </w:tcBorders>
            <w:shd w:val="clear" w:color="auto" w:fill="auto"/>
          </w:tcPr>
          <w:p w:rsidR="00665C3C" w:rsidRPr="00665C3C" w:rsidRDefault="00665C3C" w:rsidP="00665C3C">
            <w:pPr>
              <w:spacing w:before="40" w:after="120"/>
              <w:ind w:right="113"/>
              <w:rPr>
                <w:lang w:val="fr-FR"/>
              </w:rPr>
            </w:pPr>
          </w:p>
        </w:tc>
      </w:tr>
      <w:tr w:rsidR="00D04AA7" w:rsidRPr="00665C3C" w:rsidTr="001013C6">
        <w:tc>
          <w:tcPr>
            <w:tcW w:w="3247" w:type="dxa"/>
            <w:shd w:val="clear" w:color="auto" w:fill="auto"/>
          </w:tcPr>
          <w:p w:rsidR="00D04AA7" w:rsidRPr="00665C3C" w:rsidRDefault="00D04AA7" w:rsidP="00665C3C">
            <w:pPr>
              <w:spacing w:before="40" w:after="120"/>
              <w:ind w:right="113"/>
              <w:rPr>
                <w:lang w:val="fr-FR"/>
              </w:rPr>
            </w:pPr>
          </w:p>
        </w:tc>
        <w:tc>
          <w:tcPr>
            <w:tcW w:w="3276" w:type="dxa"/>
            <w:shd w:val="clear" w:color="auto" w:fill="auto"/>
          </w:tcPr>
          <w:p w:rsidR="00D04AA7" w:rsidRPr="00665C3C" w:rsidRDefault="00D04AA7" w:rsidP="00665C3C">
            <w:pPr>
              <w:spacing w:before="40" w:after="120"/>
              <w:ind w:right="113"/>
              <w:rPr>
                <w:lang w:val="fr-FR"/>
              </w:rPr>
            </w:pPr>
            <w:r w:rsidRPr="00665C3C">
              <w:rPr>
                <w:b/>
                <w:lang w:val="fr-FR"/>
              </w:rPr>
              <w:t>Réunions parallèles</w:t>
            </w:r>
            <w:r w:rsidRPr="00665C3C">
              <w:rPr>
                <w:lang w:val="fr-FR"/>
              </w:rPr>
              <w:t xml:space="preserve"> (</w:t>
            </w:r>
            <w:r w:rsidR="00B955D7" w:rsidRPr="004323CE">
              <w:rPr>
                <w:i/>
                <w:lang w:val="fr-FR"/>
              </w:rPr>
              <w:t>8 h 15-</w:t>
            </w:r>
            <w:r w:rsidRPr="004323CE">
              <w:rPr>
                <w:i/>
                <w:lang w:val="fr-FR"/>
              </w:rPr>
              <w:t>9 h 45</w:t>
            </w:r>
            <w:r w:rsidRPr="00665C3C">
              <w:rPr>
                <w:lang w:val="fr-FR"/>
              </w:rPr>
              <w:t>)</w:t>
            </w:r>
          </w:p>
        </w:tc>
        <w:tc>
          <w:tcPr>
            <w:tcW w:w="3094" w:type="dxa"/>
            <w:shd w:val="clear" w:color="auto" w:fill="auto"/>
          </w:tcPr>
          <w:p w:rsidR="00D04AA7" w:rsidRPr="00665C3C" w:rsidRDefault="00D04AA7" w:rsidP="00665C3C">
            <w:pPr>
              <w:spacing w:before="40" w:after="120"/>
              <w:ind w:right="113"/>
              <w:rPr>
                <w:lang w:val="fr-FR"/>
              </w:rPr>
            </w:pPr>
            <w:r w:rsidRPr="004323CE">
              <w:rPr>
                <w:b/>
                <w:lang w:val="fr-FR"/>
              </w:rPr>
              <w:t>Réunions parallèles</w:t>
            </w:r>
            <w:r w:rsidRPr="00665C3C">
              <w:rPr>
                <w:lang w:val="fr-FR"/>
              </w:rPr>
              <w:t xml:space="preserve"> (</w:t>
            </w:r>
            <w:r w:rsidR="00B955D7" w:rsidRPr="004323CE">
              <w:rPr>
                <w:i/>
                <w:lang w:val="fr-FR"/>
              </w:rPr>
              <w:t>8 h 15-</w:t>
            </w:r>
            <w:r w:rsidRPr="004323CE">
              <w:rPr>
                <w:i/>
                <w:lang w:val="fr-FR"/>
              </w:rPr>
              <w:t>9 h 45</w:t>
            </w:r>
            <w:r w:rsidRPr="00665C3C">
              <w:rPr>
                <w:lang w:val="fr-FR"/>
              </w:rPr>
              <w:t>)</w:t>
            </w:r>
          </w:p>
        </w:tc>
      </w:tr>
      <w:tr w:rsidR="00D04AA7" w:rsidRPr="00665C3C" w:rsidTr="001013C6">
        <w:tc>
          <w:tcPr>
            <w:tcW w:w="3247" w:type="dxa"/>
            <w:shd w:val="clear" w:color="auto" w:fill="auto"/>
          </w:tcPr>
          <w:p w:rsidR="00D04AA7" w:rsidRPr="00665C3C" w:rsidRDefault="00D04AA7" w:rsidP="004323CE">
            <w:pPr>
              <w:tabs>
                <w:tab w:val="left" w:pos="217"/>
              </w:tabs>
              <w:suppressAutoHyphens w:val="0"/>
              <w:kinsoku/>
              <w:overflowPunct/>
              <w:autoSpaceDE/>
              <w:autoSpaceDN/>
              <w:adjustRightInd/>
              <w:snapToGrid/>
              <w:spacing w:before="40" w:after="80" w:line="240" w:lineRule="auto"/>
              <w:ind w:left="217" w:right="113" w:hanging="217"/>
              <w:rPr>
                <w:lang w:val="fr-FR"/>
              </w:rPr>
            </w:pPr>
            <w:r w:rsidRPr="001C5F5D">
              <w:rPr>
                <w:b/>
                <w:lang w:val="fr-FR"/>
              </w:rPr>
              <w:t>1</w:t>
            </w:r>
            <w:r w:rsidRPr="004323CE">
              <w:rPr>
                <w:rFonts w:eastAsia="Times New Roman"/>
                <w:b/>
                <w:lang w:val="en-GB"/>
              </w:rPr>
              <w:t>.</w:t>
            </w:r>
            <w:r w:rsidRPr="004323CE">
              <w:rPr>
                <w:rFonts w:eastAsia="Times New Roman"/>
                <w:b/>
                <w:lang w:val="en-GB"/>
              </w:rPr>
              <w:tab/>
              <w:t>Ouverture de la Conférence et adoption de l</w:t>
            </w:r>
            <w:r w:rsidR="00D90C3E" w:rsidRPr="004323CE">
              <w:rPr>
                <w:rFonts w:eastAsia="Times New Roman"/>
                <w:b/>
                <w:lang w:val="en-GB"/>
              </w:rPr>
              <w:t>’</w:t>
            </w:r>
            <w:r w:rsidRPr="004323CE">
              <w:rPr>
                <w:rFonts w:eastAsia="Times New Roman"/>
                <w:b/>
                <w:lang w:val="en-GB"/>
              </w:rPr>
              <w:t xml:space="preserve">ordre du </w:t>
            </w:r>
            <w:proofErr w:type="gramStart"/>
            <w:r w:rsidRPr="004323CE">
              <w:rPr>
                <w:rFonts w:eastAsia="Times New Roman"/>
                <w:b/>
                <w:lang w:val="en-GB"/>
              </w:rPr>
              <w:t>jour</w:t>
            </w:r>
            <w:proofErr w:type="gramEnd"/>
            <w:r w:rsidRPr="00665C3C">
              <w:rPr>
                <w:lang w:val="fr-FR"/>
              </w:rPr>
              <w:br/>
              <w:t>(</w:t>
            </w:r>
            <w:r w:rsidRPr="004323CE">
              <w:rPr>
                <w:i/>
                <w:lang w:val="fr-FR"/>
              </w:rPr>
              <w:t>séance plénière, 9 h 30-10 h 30</w:t>
            </w:r>
            <w:r w:rsidRPr="00665C3C">
              <w:rPr>
                <w:lang w:val="fr-FR"/>
              </w:rPr>
              <w:t>)</w:t>
            </w:r>
          </w:p>
          <w:p w:rsidR="00D04AA7" w:rsidRPr="00665C3C" w:rsidRDefault="00D04AA7" w:rsidP="00665C3C">
            <w:pPr>
              <w:spacing w:before="40" w:after="120"/>
              <w:ind w:right="113"/>
              <w:rPr>
                <w:lang w:val="fr-FR"/>
              </w:rPr>
            </w:pPr>
            <w:r w:rsidRPr="00665C3C">
              <w:rPr>
                <w:lang w:val="fr-FR"/>
              </w:rPr>
              <w:tab/>
              <w:t>– Cérémonie d</w:t>
            </w:r>
            <w:r w:rsidR="00D90C3E" w:rsidRPr="00665C3C">
              <w:rPr>
                <w:lang w:val="fr-FR"/>
              </w:rPr>
              <w:t>’</w:t>
            </w:r>
            <w:r w:rsidRPr="00665C3C">
              <w:rPr>
                <w:lang w:val="fr-FR"/>
              </w:rPr>
              <w:t>ouverture</w:t>
            </w:r>
          </w:p>
          <w:p w:rsidR="00D04AA7" w:rsidRPr="00665C3C" w:rsidRDefault="00D04AA7" w:rsidP="00665C3C">
            <w:pPr>
              <w:spacing w:before="40" w:after="120"/>
              <w:ind w:right="113"/>
              <w:rPr>
                <w:lang w:val="fr-FR"/>
              </w:rPr>
            </w:pPr>
            <w:r w:rsidRPr="00665C3C">
              <w:rPr>
                <w:lang w:val="fr-FR"/>
              </w:rPr>
              <w:tab/>
              <w:t>– Adoption de l</w:t>
            </w:r>
            <w:r w:rsidR="00D90C3E" w:rsidRPr="00665C3C">
              <w:rPr>
                <w:lang w:val="fr-FR"/>
              </w:rPr>
              <w:t>’</w:t>
            </w:r>
            <w:r w:rsidRPr="00665C3C">
              <w:rPr>
                <w:lang w:val="fr-FR"/>
              </w:rPr>
              <w:t>ordre du jour</w:t>
            </w:r>
          </w:p>
          <w:p w:rsidR="004323CE" w:rsidRDefault="00D04AA7" w:rsidP="004323CE">
            <w:pPr>
              <w:keepNext/>
              <w:tabs>
                <w:tab w:val="left" w:pos="217"/>
                <w:tab w:val="left" w:pos="300"/>
              </w:tabs>
              <w:suppressAutoHyphens w:val="0"/>
              <w:kinsoku/>
              <w:overflowPunct/>
              <w:autoSpaceDE/>
              <w:autoSpaceDN/>
              <w:adjustRightInd/>
              <w:snapToGrid/>
              <w:spacing w:before="40" w:after="80" w:line="240" w:lineRule="auto"/>
              <w:ind w:left="217" w:right="113" w:hanging="217"/>
              <w:rPr>
                <w:rFonts w:eastAsia="Times New Roman"/>
                <w:b/>
                <w:lang w:val="en-GB"/>
              </w:rPr>
            </w:pPr>
            <w:r w:rsidRPr="004323CE">
              <w:rPr>
                <w:rFonts w:eastAsia="Times New Roman"/>
                <w:b/>
                <w:lang w:val="en-GB"/>
              </w:rPr>
              <w:t>2.</w:t>
            </w:r>
            <w:r w:rsidRPr="004323CE">
              <w:rPr>
                <w:rFonts w:eastAsia="Times New Roman"/>
                <w:b/>
                <w:lang w:val="en-GB"/>
              </w:rPr>
              <w:tab/>
              <w:t>Le volet environnemental du Programme de développement durable à l</w:t>
            </w:r>
            <w:r w:rsidR="00D90C3E" w:rsidRPr="004323CE">
              <w:rPr>
                <w:rFonts w:eastAsia="Times New Roman"/>
                <w:b/>
                <w:lang w:val="en-GB"/>
              </w:rPr>
              <w:t>’</w:t>
            </w:r>
            <w:r w:rsidRPr="004323CE">
              <w:rPr>
                <w:rFonts w:eastAsia="Times New Roman"/>
                <w:b/>
                <w:lang w:val="en-GB"/>
              </w:rPr>
              <w:t>horizon 2030</w:t>
            </w:r>
            <w:r w:rsidR="002B7DBC">
              <w:rPr>
                <w:rFonts w:eastAsia="Times New Roman"/>
                <w:b/>
                <w:lang w:val="en-GB"/>
              </w:rPr>
              <w:t> </w:t>
            </w:r>
            <w:r w:rsidR="004323CE">
              <w:rPr>
                <w:rFonts w:eastAsia="Times New Roman"/>
                <w:b/>
                <w:lang w:val="en-GB"/>
              </w:rPr>
              <w:t>: aller de </w:t>
            </w:r>
            <w:r w:rsidRPr="004323CE">
              <w:rPr>
                <w:rFonts w:eastAsia="Times New Roman"/>
                <w:b/>
                <w:lang w:val="en-GB"/>
              </w:rPr>
              <w:t>l</w:t>
            </w:r>
            <w:r w:rsidR="00D90C3E" w:rsidRPr="004323CE">
              <w:rPr>
                <w:rFonts w:eastAsia="Times New Roman"/>
                <w:b/>
                <w:lang w:val="en-GB"/>
              </w:rPr>
              <w:t>’</w:t>
            </w:r>
            <w:r w:rsidRPr="004323CE">
              <w:rPr>
                <w:rFonts w:eastAsia="Times New Roman"/>
                <w:b/>
                <w:lang w:val="en-GB"/>
              </w:rPr>
              <w:t>avant dans la région paneuropéenne</w:t>
            </w:r>
          </w:p>
          <w:p w:rsidR="00D04AA7" w:rsidRPr="00665C3C" w:rsidRDefault="004323CE" w:rsidP="004323CE">
            <w:pPr>
              <w:keepNext/>
              <w:tabs>
                <w:tab w:val="left" w:pos="217"/>
                <w:tab w:val="left" w:pos="300"/>
              </w:tabs>
              <w:suppressAutoHyphens w:val="0"/>
              <w:kinsoku/>
              <w:overflowPunct/>
              <w:autoSpaceDE/>
              <w:autoSpaceDN/>
              <w:adjustRightInd/>
              <w:snapToGrid/>
              <w:spacing w:before="40" w:after="80" w:line="240" w:lineRule="auto"/>
              <w:ind w:left="567" w:right="113" w:hanging="567"/>
              <w:rPr>
                <w:lang w:val="fr-FR"/>
              </w:rPr>
            </w:pPr>
            <w:r>
              <w:rPr>
                <w:rFonts w:eastAsia="Times New Roman"/>
                <w:b/>
                <w:lang w:val="en-GB"/>
              </w:rPr>
              <w:tab/>
              <w:t>a)</w:t>
            </w:r>
            <w:r>
              <w:rPr>
                <w:rFonts w:eastAsia="Times New Roman"/>
                <w:b/>
                <w:lang w:val="en-GB"/>
              </w:rPr>
              <w:tab/>
            </w:r>
            <w:r w:rsidR="00D04AA7" w:rsidRPr="004323CE">
              <w:rPr>
                <w:rFonts w:eastAsia="Times New Roman"/>
                <w:b/>
                <w:lang w:val="en-GB"/>
              </w:rPr>
              <w:t>Accords multilatéraux relatifs</w:t>
            </w:r>
            <w:r w:rsidR="00D04AA7" w:rsidRPr="004323CE">
              <w:rPr>
                <w:rFonts w:eastAsia="Times New Roman"/>
                <w:b/>
                <w:lang w:val="en-GB"/>
              </w:rPr>
              <w:br/>
              <w:t>à l</w:t>
            </w:r>
            <w:r w:rsidR="00D90C3E" w:rsidRPr="004323CE">
              <w:rPr>
                <w:rFonts w:eastAsia="Times New Roman"/>
                <w:b/>
                <w:lang w:val="en-GB"/>
              </w:rPr>
              <w:t>’</w:t>
            </w:r>
            <w:r w:rsidR="00D04AA7" w:rsidRPr="004323CE">
              <w:rPr>
                <w:rFonts w:eastAsia="Times New Roman"/>
                <w:b/>
                <w:lang w:val="en-GB"/>
              </w:rPr>
              <w:t>environnement, mécanismes, politiques et institutions à l</w:t>
            </w:r>
            <w:r w:rsidR="00D90C3E" w:rsidRPr="004323CE">
              <w:rPr>
                <w:rFonts w:eastAsia="Times New Roman"/>
                <w:b/>
                <w:lang w:val="en-GB"/>
              </w:rPr>
              <w:t>’</w:t>
            </w:r>
            <w:r w:rsidR="00D04AA7" w:rsidRPr="004323CE">
              <w:rPr>
                <w:rFonts w:eastAsia="Times New Roman"/>
                <w:b/>
                <w:lang w:val="en-GB"/>
              </w:rPr>
              <w:t>appui du Programme de développement durable à l</w:t>
            </w:r>
            <w:r w:rsidR="00D90C3E" w:rsidRPr="004323CE">
              <w:rPr>
                <w:rFonts w:eastAsia="Times New Roman"/>
                <w:b/>
                <w:lang w:val="en-GB"/>
              </w:rPr>
              <w:t>’</w:t>
            </w:r>
            <w:r w:rsidR="00D04AA7" w:rsidRPr="004323CE">
              <w:rPr>
                <w:rFonts w:eastAsia="Times New Roman"/>
                <w:b/>
                <w:lang w:val="en-GB"/>
              </w:rPr>
              <w:t>horizon 2030</w:t>
            </w:r>
            <w:r w:rsidR="00D04AA7" w:rsidRPr="00665C3C">
              <w:rPr>
                <w:bCs/>
                <w:lang w:val="fr-FR"/>
              </w:rPr>
              <w:t xml:space="preserve"> </w:t>
            </w:r>
            <w:r>
              <w:rPr>
                <w:bCs/>
                <w:lang w:val="fr-FR"/>
              </w:rPr>
              <w:br/>
            </w:r>
            <w:r w:rsidR="00D04AA7" w:rsidRPr="00665C3C">
              <w:rPr>
                <w:lang w:val="fr-FR"/>
              </w:rPr>
              <w:t>(</w:t>
            </w:r>
            <w:r w:rsidR="00D04AA7" w:rsidRPr="004323CE">
              <w:rPr>
                <w:i/>
                <w:lang w:val="fr-FR"/>
              </w:rPr>
              <w:t>débat, 10 h 30-12 h 30</w:t>
            </w:r>
            <w:r w:rsidR="00D04AA7" w:rsidRPr="00665C3C">
              <w:rPr>
                <w:lang w:val="fr-FR"/>
              </w:rPr>
              <w:t>)</w:t>
            </w:r>
          </w:p>
          <w:p w:rsidR="00D04AA7" w:rsidRPr="00665C3C" w:rsidRDefault="004323CE" w:rsidP="004323CE">
            <w:pPr>
              <w:keepNext/>
              <w:tabs>
                <w:tab w:val="left" w:pos="217"/>
                <w:tab w:val="left" w:pos="300"/>
              </w:tabs>
              <w:suppressAutoHyphens w:val="0"/>
              <w:kinsoku/>
              <w:overflowPunct/>
              <w:autoSpaceDE/>
              <w:autoSpaceDN/>
              <w:adjustRightInd/>
              <w:snapToGrid/>
              <w:spacing w:before="40" w:after="80" w:line="240" w:lineRule="auto"/>
              <w:ind w:left="567" w:right="113" w:hanging="567"/>
              <w:rPr>
                <w:lang w:val="fr-FR"/>
              </w:rPr>
            </w:pPr>
            <w:r>
              <w:rPr>
                <w:lang w:val="fr-FR"/>
              </w:rPr>
              <w:tab/>
              <w:t>–</w:t>
            </w:r>
            <w:r>
              <w:rPr>
                <w:lang w:val="fr-FR"/>
              </w:rPr>
              <w:tab/>
            </w:r>
            <w:r w:rsidR="00D04AA7" w:rsidRPr="00665C3C">
              <w:rPr>
                <w:lang w:val="fr-FR"/>
              </w:rPr>
              <w:t xml:space="preserve">Accords multilatéraux relatifs </w:t>
            </w:r>
            <w:r w:rsidR="00D04AA7" w:rsidRPr="00665C3C">
              <w:rPr>
                <w:lang w:val="fr-FR"/>
              </w:rPr>
              <w:br/>
              <w:t>à l</w:t>
            </w:r>
            <w:r w:rsidR="00D90C3E" w:rsidRPr="00665C3C">
              <w:rPr>
                <w:lang w:val="fr-FR"/>
              </w:rPr>
              <w:t>’</w:t>
            </w:r>
            <w:r w:rsidR="00D04AA7" w:rsidRPr="00665C3C">
              <w:rPr>
                <w:lang w:val="fr-FR"/>
              </w:rPr>
              <w:t>environnement de la CEE, études de performance environnementale, Équipe spéciale pour la mise en œuvre du Programme d</w:t>
            </w:r>
            <w:r w:rsidR="00D90C3E" w:rsidRPr="00665C3C">
              <w:rPr>
                <w:lang w:val="fr-FR"/>
              </w:rPr>
              <w:t>’</w:t>
            </w:r>
            <w:r w:rsidR="00D04AA7" w:rsidRPr="00665C3C">
              <w:rPr>
                <w:lang w:val="fr-FR"/>
              </w:rPr>
              <w:t xml:space="preserve">action </w:t>
            </w:r>
            <w:r w:rsidR="00D04AA7" w:rsidRPr="00665C3C">
              <w:rPr>
                <w:lang w:val="fr-FR"/>
              </w:rPr>
              <w:br/>
              <w:t>pour l</w:t>
            </w:r>
            <w:r w:rsidR="00D90C3E" w:rsidRPr="00665C3C">
              <w:rPr>
                <w:lang w:val="fr-FR"/>
              </w:rPr>
              <w:t>’</w:t>
            </w:r>
            <w:r w:rsidR="00D04AA7" w:rsidRPr="00665C3C">
              <w:rPr>
                <w:lang w:val="fr-FR"/>
              </w:rPr>
              <w:t>environnement, Centres régionaux pour l</w:t>
            </w:r>
            <w:r w:rsidR="00D90C3E" w:rsidRPr="00665C3C">
              <w:rPr>
                <w:lang w:val="fr-FR"/>
              </w:rPr>
              <w:t>’</w:t>
            </w:r>
            <w:r w:rsidR="00D04AA7" w:rsidRPr="00665C3C">
              <w:rPr>
                <w:lang w:val="fr-FR"/>
              </w:rPr>
              <w:t>environnement et Actions pour l</w:t>
            </w:r>
            <w:r w:rsidR="00D90C3E" w:rsidRPr="00665C3C">
              <w:rPr>
                <w:lang w:val="fr-FR"/>
              </w:rPr>
              <w:t>’</w:t>
            </w:r>
            <w:r w:rsidR="00D04AA7" w:rsidRPr="00665C3C">
              <w:rPr>
                <w:lang w:val="fr-FR"/>
              </w:rPr>
              <w:t>eau d</w:t>
            </w:r>
            <w:r w:rsidR="00D90C3E" w:rsidRPr="00665C3C">
              <w:rPr>
                <w:lang w:val="fr-FR"/>
              </w:rPr>
              <w:t>’</w:t>
            </w:r>
            <w:r w:rsidR="00D04AA7" w:rsidRPr="00665C3C">
              <w:rPr>
                <w:lang w:val="fr-FR"/>
              </w:rPr>
              <w:t>Astana</w:t>
            </w:r>
          </w:p>
          <w:p w:rsidR="00D04AA7" w:rsidRPr="00665C3C" w:rsidRDefault="004323CE" w:rsidP="004323CE">
            <w:pPr>
              <w:keepNext/>
              <w:tabs>
                <w:tab w:val="left" w:pos="217"/>
                <w:tab w:val="left" w:pos="300"/>
              </w:tabs>
              <w:suppressAutoHyphens w:val="0"/>
              <w:kinsoku/>
              <w:overflowPunct/>
              <w:autoSpaceDE/>
              <w:autoSpaceDN/>
              <w:adjustRightInd/>
              <w:snapToGrid/>
              <w:spacing w:before="40" w:after="80" w:line="240" w:lineRule="auto"/>
              <w:ind w:left="217" w:right="113" w:hanging="217"/>
              <w:rPr>
                <w:lang w:val="fr-FR"/>
              </w:rPr>
            </w:pPr>
            <w:r>
              <w:rPr>
                <w:rFonts w:eastAsia="Times New Roman"/>
                <w:b/>
                <w:lang w:val="en-GB"/>
              </w:rPr>
              <w:tab/>
            </w:r>
            <w:r w:rsidR="00D04AA7" w:rsidRPr="004323CE">
              <w:rPr>
                <w:rFonts w:eastAsia="Times New Roman"/>
                <w:b/>
                <w:lang w:val="en-GB"/>
              </w:rPr>
              <w:t>Photographie de groupe des chefs de délégation</w:t>
            </w:r>
            <w:r w:rsidR="00D04AA7" w:rsidRPr="00665C3C">
              <w:rPr>
                <w:lang w:val="fr-FR"/>
              </w:rPr>
              <w:t xml:space="preserve"> (</w:t>
            </w:r>
            <w:r w:rsidR="005C7CE1">
              <w:rPr>
                <w:i/>
                <w:lang w:val="fr-FR"/>
              </w:rPr>
              <w:t>12 h 30-</w:t>
            </w:r>
            <w:r w:rsidR="00D04AA7" w:rsidRPr="004323CE">
              <w:rPr>
                <w:i/>
                <w:lang w:val="fr-FR"/>
              </w:rPr>
              <w:t>13 heures</w:t>
            </w:r>
            <w:r w:rsidR="00D04AA7" w:rsidRPr="00665C3C">
              <w:rPr>
                <w:lang w:val="fr-FR"/>
              </w:rPr>
              <w:t>)</w:t>
            </w:r>
          </w:p>
        </w:tc>
        <w:tc>
          <w:tcPr>
            <w:tcW w:w="3276" w:type="dxa"/>
            <w:shd w:val="clear" w:color="auto" w:fill="auto"/>
          </w:tcPr>
          <w:p w:rsidR="00D04AA7" w:rsidRPr="00665C3C" w:rsidRDefault="00D04AA7" w:rsidP="004323CE">
            <w:pPr>
              <w:tabs>
                <w:tab w:val="left" w:pos="217"/>
              </w:tabs>
              <w:suppressAutoHyphens w:val="0"/>
              <w:kinsoku/>
              <w:overflowPunct/>
              <w:autoSpaceDE/>
              <w:autoSpaceDN/>
              <w:adjustRightInd/>
              <w:snapToGrid/>
              <w:spacing w:before="40" w:after="80" w:line="240" w:lineRule="auto"/>
              <w:ind w:left="217" w:right="113" w:hanging="217"/>
              <w:rPr>
                <w:lang w:val="fr-FR"/>
              </w:rPr>
            </w:pPr>
            <w:r w:rsidRPr="004323CE">
              <w:rPr>
                <w:rFonts w:eastAsia="Times New Roman"/>
                <w:b/>
                <w:lang w:val="en-GB"/>
              </w:rPr>
              <w:t>4.</w:t>
            </w:r>
            <w:r w:rsidRPr="004323CE">
              <w:rPr>
                <w:rFonts w:eastAsia="Times New Roman"/>
                <w:b/>
                <w:lang w:val="en-GB"/>
              </w:rPr>
              <w:tab/>
              <w:t>Pour une économie plus respectueuse de l</w:t>
            </w:r>
            <w:r w:rsidR="00D90C3E" w:rsidRPr="004323CE">
              <w:rPr>
                <w:rFonts w:eastAsia="Times New Roman"/>
                <w:b/>
                <w:lang w:val="en-GB"/>
              </w:rPr>
              <w:t>’</w:t>
            </w:r>
            <w:r w:rsidRPr="004323CE">
              <w:rPr>
                <w:rFonts w:eastAsia="Times New Roman"/>
                <w:b/>
                <w:lang w:val="en-GB"/>
              </w:rPr>
              <w:t>environnement</w:t>
            </w:r>
            <w:r w:rsidRPr="00665C3C">
              <w:rPr>
                <w:lang w:val="fr-FR"/>
              </w:rPr>
              <w:t xml:space="preserve"> </w:t>
            </w:r>
            <w:r w:rsidRPr="00665C3C">
              <w:rPr>
                <w:lang w:val="fr-FR"/>
              </w:rPr>
              <w:br/>
            </w:r>
            <w:r w:rsidRPr="004323CE">
              <w:rPr>
                <w:rFonts w:eastAsia="Times New Roman"/>
                <w:b/>
                <w:lang w:val="en-GB"/>
              </w:rPr>
              <w:t>dans la région paneuropéenne</w:t>
            </w:r>
            <w:r w:rsidRPr="00665C3C">
              <w:rPr>
                <w:lang w:val="fr-FR"/>
              </w:rPr>
              <w:t xml:space="preserve"> </w:t>
            </w:r>
            <w:r w:rsidRPr="00665C3C">
              <w:rPr>
                <w:lang w:val="fr-FR"/>
              </w:rPr>
              <w:br/>
              <w:t>(</w:t>
            </w:r>
            <w:r w:rsidRPr="004323CE">
              <w:rPr>
                <w:i/>
                <w:lang w:val="fr-FR"/>
              </w:rPr>
              <w:t xml:space="preserve">séance plénière et débat, </w:t>
            </w:r>
            <w:r w:rsidRPr="004323CE">
              <w:rPr>
                <w:i/>
                <w:lang w:val="fr-FR"/>
              </w:rPr>
              <w:br/>
              <w:t>10 heures-13 heures</w:t>
            </w:r>
            <w:r w:rsidRPr="00665C3C">
              <w:rPr>
                <w:lang w:val="fr-FR"/>
              </w:rPr>
              <w:t>)</w:t>
            </w:r>
          </w:p>
          <w:p w:rsidR="00D04AA7" w:rsidRPr="00665C3C" w:rsidRDefault="00D04AA7" w:rsidP="004323CE">
            <w:pPr>
              <w:keepNext/>
              <w:tabs>
                <w:tab w:val="left" w:pos="217"/>
                <w:tab w:val="left" w:pos="432"/>
              </w:tabs>
              <w:suppressAutoHyphens w:val="0"/>
              <w:kinsoku/>
              <w:overflowPunct/>
              <w:autoSpaceDE/>
              <w:autoSpaceDN/>
              <w:adjustRightInd/>
              <w:snapToGrid/>
              <w:spacing w:before="40" w:after="80" w:line="240" w:lineRule="auto"/>
              <w:ind w:right="113"/>
              <w:rPr>
                <w:lang w:val="fr-FR"/>
              </w:rPr>
            </w:pPr>
            <w:r w:rsidRPr="004323CE">
              <w:rPr>
                <w:rFonts w:eastAsia="Times New Roman"/>
                <w:bCs/>
                <w:i/>
                <w:iCs/>
                <w:lang w:val="en-GB"/>
              </w:rPr>
              <w:t>Questions à examiner </w:t>
            </w:r>
            <w:r w:rsidRPr="00B42196">
              <w:rPr>
                <w:rFonts w:eastAsia="Times New Roman"/>
                <w:bCs/>
                <w:iCs/>
                <w:lang w:val="en-GB"/>
              </w:rPr>
              <w:t>:</w:t>
            </w:r>
          </w:p>
          <w:p w:rsidR="00D04AA7" w:rsidRPr="00665C3C" w:rsidRDefault="00CD5BC0" w:rsidP="00CD5BC0">
            <w:pPr>
              <w:keepNext/>
              <w:tabs>
                <w:tab w:val="left" w:pos="217"/>
                <w:tab w:val="left" w:pos="463"/>
              </w:tabs>
              <w:suppressAutoHyphens w:val="0"/>
              <w:kinsoku/>
              <w:overflowPunct/>
              <w:snapToGrid/>
              <w:spacing w:before="40" w:after="80" w:line="240" w:lineRule="auto"/>
              <w:ind w:left="425" w:right="113" w:hanging="325"/>
              <w:rPr>
                <w:lang w:val="fr-FR"/>
              </w:rPr>
            </w:pPr>
            <w:r>
              <w:rPr>
                <w:lang w:val="fr-FR"/>
              </w:rPr>
              <w:tab/>
              <w:t>a)</w:t>
            </w:r>
            <w:r>
              <w:rPr>
                <w:lang w:val="fr-FR"/>
              </w:rPr>
              <w:tab/>
            </w:r>
            <w:r w:rsidR="00D04AA7" w:rsidRPr="004323CE">
              <w:rPr>
                <w:rFonts w:eastAsia="Times New Roman"/>
                <w:lang w:val="en-GB"/>
              </w:rPr>
              <w:t>Perspectives</w:t>
            </w:r>
            <w:r w:rsidR="00D04AA7" w:rsidRPr="00665C3C">
              <w:rPr>
                <w:lang w:val="fr-FR"/>
              </w:rPr>
              <w:t xml:space="preserve"> et défis</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b)</w:t>
            </w:r>
            <w:r w:rsidRPr="00665C3C">
              <w:rPr>
                <w:lang w:val="fr-FR"/>
              </w:rPr>
              <w:tab/>
            </w:r>
            <w:r w:rsidRPr="004323CE">
              <w:rPr>
                <w:rFonts w:eastAsia="Times New Roman"/>
                <w:lang w:val="en-GB"/>
              </w:rPr>
              <w:t>Solutions</w:t>
            </w:r>
            <w:r w:rsidRPr="00665C3C">
              <w:rPr>
                <w:lang w:val="fr-FR"/>
              </w:rPr>
              <w:t xml:space="preserve"> pour la durabilité</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c)</w:t>
            </w:r>
            <w:r w:rsidRPr="00665C3C">
              <w:rPr>
                <w:lang w:val="fr-FR"/>
              </w:rPr>
              <w:tab/>
            </w:r>
            <w:r w:rsidRPr="004323CE">
              <w:rPr>
                <w:rFonts w:eastAsia="Times New Roman"/>
                <w:lang w:val="en-GB"/>
              </w:rPr>
              <w:t>Mesures</w:t>
            </w:r>
            <w:r w:rsidRPr="00665C3C">
              <w:rPr>
                <w:lang w:val="fr-FR"/>
              </w:rPr>
              <w:t xml:space="preserve"> incitatives </w:t>
            </w:r>
            <w:r w:rsidRPr="00665C3C">
              <w:rPr>
                <w:lang w:val="fr-FR"/>
              </w:rPr>
              <w:br/>
              <w:t>en faveur de l</w:t>
            </w:r>
            <w:r w:rsidR="00D90C3E" w:rsidRPr="00665C3C">
              <w:rPr>
                <w:lang w:val="fr-FR"/>
              </w:rPr>
              <w:t>’</w:t>
            </w:r>
            <w:r w:rsidRPr="00665C3C">
              <w:rPr>
                <w:lang w:val="fr-FR"/>
              </w:rPr>
              <w:t>écologie</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d)</w:t>
            </w:r>
            <w:r w:rsidRPr="00665C3C">
              <w:rPr>
                <w:lang w:val="fr-FR"/>
              </w:rPr>
              <w:tab/>
            </w:r>
            <w:r w:rsidRPr="004323CE">
              <w:rPr>
                <w:rFonts w:eastAsia="Times New Roman"/>
                <w:lang w:val="en-GB"/>
              </w:rPr>
              <w:t>Coopération</w:t>
            </w:r>
          </w:p>
        </w:tc>
        <w:tc>
          <w:tcPr>
            <w:tcW w:w="3094" w:type="dxa"/>
            <w:shd w:val="clear" w:color="auto" w:fill="auto"/>
          </w:tcPr>
          <w:p w:rsidR="00D04AA7" w:rsidRPr="00665C3C" w:rsidRDefault="00D04AA7" w:rsidP="004323CE">
            <w:pPr>
              <w:tabs>
                <w:tab w:val="left" w:pos="217"/>
              </w:tabs>
              <w:suppressAutoHyphens w:val="0"/>
              <w:kinsoku/>
              <w:overflowPunct/>
              <w:autoSpaceDE/>
              <w:autoSpaceDN/>
              <w:adjustRightInd/>
              <w:snapToGrid/>
              <w:spacing w:before="40" w:after="80" w:line="240" w:lineRule="auto"/>
              <w:ind w:left="217" w:right="113" w:hanging="217"/>
              <w:rPr>
                <w:lang w:val="fr-FR"/>
              </w:rPr>
            </w:pPr>
            <w:r w:rsidRPr="004323CE">
              <w:rPr>
                <w:rFonts w:eastAsia="Times New Roman"/>
                <w:b/>
                <w:lang w:val="en-GB"/>
              </w:rPr>
              <w:t>6.</w:t>
            </w:r>
            <w:r w:rsidRPr="004323CE">
              <w:rPr>
                <w:rFonts w:eastAsia="Times New Roman"/>
                <w:b/>
                <w:lang w:val="en-GB"/>
              </w:rPr>
              <w:tab/>
            </w:r>
            <w:proofErr w:type="spellStart"/>
            <w:r w:rsidRPr="004323CE">
              <w:rPr>
                <w:rFonts w:eastAsia="Times New Roman"/>
                <w:b/>
                <w:lang w:val="en-GB"/>
              </w:rPr>
              <w:t>Présentation</w:t>
            </w:r>
            <w:proofErr w:type="spellEnd"/>
            <w:r w:rsidRPr="004323CE">
              <w:rPr>
                <w:rFonts w:eastAsia="Times New Roman"/>
                <w:b/>
                <w:lang w:val="en-GB"/>
              </w:rPr>
              <w:t xml:space="preserve"> </w:t>
            </w:r>
            <w:r w:rsidRPr="004323CE">
              <w:rPr>
                <w:rFonts w:eastAsia="Times New Roman"/>
                <w:b/>
                <w:lang w:val="en-GB"/>
              </w:rPr>
              <w:br/>
              <w:t xml:space="preserve">des </w:t>
            </w:r>
            <w:proofErr w:type="spellStart"/>
            <w:r w:rsidRPr="004323CE">
              <w:rPr>
                <w:rFonts w:eastAsia="Times New Roman"/>
                <w:b/>
                <w:lang w:val="en-GB"/>
              </w:rPr>
              <w:t>résultats</w:t>
            </w:r>
            <w:proofErr w:type="spellEnd"/>
            <w:r w:rsidRPr="004323CE">
              <w:rPr>
                <w:rFonts w:eastAsia="Times New Roman"/>
                <w:b/>
                <w:lang w:val="en-GB"/>
              </w:rPr>
              <w:t xml:space="preserve"> des </w:t>
            </w:r>
            <w:proofErr w:type="spellStart"/>
            <w:r w:rsidRPr="004323CE">
              <w:rPr>
                <w:rFonts w:eastAsia="Times New Roman"/>
                <w:b/>
                <w:lang w:val="en-GB"/>
              </w:rPr>
              <w:t>débats</w:t>
            </w:r>
            <w:proofErr w:type="spellEnd"/>
            <w:r w:rsidRPr="004323CE">
              <w:rPr>
                <w:rFonts w:eastAsia="Times New Roman"/>
                <w:b/>
                <w:lang w:val="en-GB"/>
              </w:rPr>
              <w:t xml:space="preserve"> </w:t>
            </w:r>
            <w:proofErr w:type="spellStart"/>
            <w:r w:rsidRPr="004323CE">
              <w:rPr>
                <w:rFonts w:eastAsia="Times New Roman"/>
                <w:b/>
                <w:lang w:val="en-GB"/>
              </w:rPr>
              <w:t>thématiques</w:t>
            </w:r>
            <w:proofErr w:type="spellEnd"/>
            <w:r w:rsidRPr="00665C3C">
              <w:rPr>
                <w:lang w:val="fr-FR"/>
              </w:rPr>
              <w:t xml:space="preserve"> </w:t>
            </w:r>
            <w:r w:rsidRPr="00665C3C">
              <w:rPr>
                <w:lang w:val="fr-FR"/>
              </w:rPr>
              <w:br/>
              <w:t>(</w:t>
            </w:r>
            <w:r w:rsidRPr="004323CE">
              <w:rPr>
                <w:i/>
                <w:lang w:val="fr-FR"/>
              </w:rPr>
              <w:t xml:space="preserve">séance plénière, </w:t>
            </w:r>
            <w:r w:rsidR="001C5F5D">
              <w:rPr>
                <w:i/>
                <w:lang w:val="fr-FR"/>
              </w:rPr>
              <w:br/>
            </w:r>
            <w:r w:rsidRPr="004323CE">
              <w:rPr>
                <w:i/>
                <w:lang w:val="fr-FR"/>
              </w:rPr>
              <w:t>10 heures-11 h 30</w:t>
            </w:r>
            <w:r w:rsidRPr="00665C3C">
              <w:rPr>
                <w:lang w:val="fr-FR"/>
              </w:rPr>
              <w:t>)</w:t>
            </w:r>
          </w:p>
          <w:p w:rsidR="00D04AA7" w:rsidRPr="00665C3C" w:rsidRDefault="00D04AA7" w:rsidP="004323CE">
            <w:pPr>
              <w:tabs>
                <w:tab w:val="left" w:pos="217"/>
              </w:tabs>
              <w:suppressAutoHyphens w:val="0"/>
              <w:kinsoku/>
              <w:overflowPunct/>
              <w:autoSpaceDE/>
              <w:autoSpaceDN/>
              <w:adjustRightInd/>
              <w:snapToGrid/>
              <w:spacing w:before="40" w:after="80" w:line="240" w:lineRule="auto"/>
              <w:ind w:left="217" w:right="113" w:hanging="217"/>
              <w:rPr>
                <w:lang w:val="fr-FR"/>
              </w:rPr>
            </w:pPr>
            <w:r w:rsidRPr="004323CE">
              <w:rPr>
                <w:rFonts w:eastAsia="Times New Roman"/>
                <w:b/>
                <w:lang w:val="en-GB"/>
              </w:rPr>
              <w:t>7.</w:t>
            </w:r>
            <w:r w:rsidRPr="004323CE">
              <w:rPr>
                <w:rFonts w:eastAsia="Times New Roman"/>
                <w:b/>
                <w:lang w:val="en-GB"/>
              </w:rPr>
              <w:tab/>
              <w:t xml:space="preserve">Adoption des textes issus </w:t>
            </w:r>
            <w:r w:rsidRPr="004323CE">
              <w:rPr>
                <w:rFonts w:eastAsia="Times New Roman"/>
                <w:b/>
                <w:lang w:val="en-GB"/>
              </w:rPr>
              <w:br/>
              <w:t>de la Conférence</w:t>
            </w:r>
            <w:r w:rsidRPr="00665C3C">
              <w:rPr>
                <w:lang w:val="fr-FR"/>
              </w:rPr>
              <w:t xml:space="preserve"> </w:t>
            </w:r>
            <w:r w:rsidRPr="00665C3C">
              <w:rPr>
                <w:lang w:val="fr-FR"/>
              </w:rPr>
              <w:br/>
              <w:t>(</w:t>
            </w:r>
            <w:r w:rsidRPr="004323CE">
              <w:rPr>
                <w:i/>
                <w:lang w:val="fr-FR"/>
              </w:rPr>
              <w:t>séance plénière, 11 h 30-12 h 30</w:t>
            </w:r>
            <w:r w:rsidRPr="00665C3C">
              <w:rPr>
                <w:lang w:val="fr-FR"/>
              </w:rPr>
              <w:t>)</w:t>
            </w:r>
          </w:p>
          <w:p w:rsidR="00D04AA7" w:rsidRPr="00665C3C" w:rsidRDefault="00D04AA7" w:rsidP="004323CE">
            <w:pPr>
              <w:tabs>
                <w:tab w:val="left" w:pos="217"/>
              </w:tabs>
              <w:suppressAutoHyphens w:val="0"/>
              <w:kinsoku/>
              <w:overflowPunct/>
              <w:autoSpaceDE/>
              <w:autoSpaceDN/>
              <w:adjustRightInd/>
              <w:snapToGrid/>
              <w:spacing w:before="40" w:after="80" w:line="240" w:lineRule="auto"/>
              <w:ind w:left="217" w:right="113" w:hanging="217"/>
              <w:rPr>
                <w:lang w:val="fr-FR"/>
              </w:rPr>
            </w:pPr>
            <w:r w:rsidRPr="00665C3C">
              <w:rPr>
                <w:lang w:val="fr-FR"/>
              </w:rPr>
              <w:t>8.</w:t>
            </w:r>
            <w:r w:rsidRPr="00665C3C">
              <w:rPr>
                <w:lang w:val="fr-FR"/>
              </w:rPr>
              <w:tab/>
            </w:r>
            <w:r w:rsidRPr="004323CE">
              <w:rPr>
                <w:b/>
                <w:lang w:val="fr-FR"/>
              </w:rPr>
              <w:t>Clôture de la</w:t>
            </w:r>
            <w:r w:rsidRPr="004323CE">
              <w:rPr>
                <w:lang w:val="fr-FR"/>
              </w:rPr>
              <w:t xml:space="preserve"> </w:t>
            </w:r>
            <w:r w:rsidRPr="004323CE">
              <w:rPr>
                <w:rFonts w:eastAsia="Times New Roman"/>
                <w:b/>
                <w:lang w:val="en-GB"/>
              </w:rPr>
              <w:t>Conférence</w:t>
            </w:r>
            <w:r w:rsidRPr="00665C3C">
              <w:rPr>
                <w:lang w:val="fr-FR"/>
              </w:rPr>
              <w:t xml:space="preserve"> </w:t>
            </w:r>
            <w:r w:rsidRPr="00665C3C">
              <w:rPr>
                <w:lang w:val="fr-FR"/>
              </w:rPr>
              <w:br/>
              <w:t>(</w:t>
            </w:r>
            <w:r w:rsidRPr="004323CE">
              <w:rPr>
                <w:i/>
                <w:lang w:val="fr-FR"/>
              </w:rPr>
              <w:t xml:space="preserve">séance plénière, </w:t>
            </w:r>
            <w:r w:rsidR="004323CE" w:rsidRPr="004323CE">
              <w:rPr>
                <w:i/>
                <w:lang w:val="fr-FR"/>
              </w:rPr>
              <w:br/>
            </w:r>
            <w:r w:rsidRPr="004323CE">
              <w:rPr>
                <w:i/>
                <w:lang w:val="fr-FR"/>
              </w:rPr>
              <w:t>12 h 30-13 heures</w:t>
            </w:r>
            <w:r w:rsidRPr="00665C3C">
              <w:rPr>
                <w:lang w:val="fr-FR"/>
              </w:rPr>
              <w:t>)</w:t>
            </w:r>
          </w:p>
        </w:tc>
      </w:tr>
      <w:tr w:rsidR="00D04AA7" w:rsidRPr="00665C3C" w:rsidTr="001013C6">
        <w:tc>
          <w:tcPr>
            <w:tcW w:w="3247" w:type="dxa"/>
            <w:shd w:val="clear" w:color="auto" w:fill="auto"/>
          </w:tcPr>
          <w:p w:rsidR="00D04AA7" w:rsidRPr="00665C3C" w:rsidRDefault="00D04AA7" w:rsidP="00665C3C">
            <w:pPr>
              <w:spacing w:before="40" w:after="120"/>
              <w:ind w:right="113"/>
              <w:rPr>
                <w:lang w:val="fr-FR"/>
              </w:rPr>
            </w:pPr>
            <w:r w:rsidRPr="005C7CE1">
              <w:rPr>
                <w:rFonts w:eastAsia="Times New Roman"/>
                <w:b/>
                <w:bCs/>
                <w:lang w:val="en-GB"/>
              </w:rPr>
              <w:t xml:space="preserve">Pause </w:t>
            </w:r>
            <w:proofErr w:type="spellStart"/>
            <w:r w:rsidRPr="005C7CE1">
              <w:rPr>
                <w:rFonts w:eastAsia="Times New Roman"/>
                <w:b/>
                <w:bCs/>
                <w:lang w:val="en-GB"/>
              </w:rPr>
              <w:t>déjeuner</w:t>
            </w:r>
            <w:proofErr w:type="spellEnd"/>
            <w:r w:rsidRPr="00665C3C">
              <w:rPr>
                <w:lang w:val="fr-FR"/>
              </w:rPr>
              <w:t xml:space="preserve"> (</w:t>
            </w:r>
            <w:r w:rsidRPr="005C7CE1">
              <w:rPr>
                <w:i/>
                <w:lang w:val="fr-FR"/>
              </w:rPr>
              <w:t>12 h 30-15 heures</w:t>
            </w:r>
            <w:r w:rsidRPr="00665C3C">
              <w:rPr>
                <w:lang w:val="fr-FR"/>
              </w:rPr>
              <w:t>)</w:t>
            </w:r>
            <w:r w:rsidR="001013C6">
              <w:rPr>
                <w:lang w:val="fr-FR"/>
              </w:rPr>
              <w:br/>
            </w:r>
            <w:proofErr w:type="spellStart"/>
            <w:r w:rsidR="005C7CE1" w:rsidRPr="005C7CE1">
              <w:rPr>
                <w:rFonts w:eastAsia="Times New Roman"/>
                <w:b/>
                <w:bCs/>
                <w:lang w:val="en-GB"/>
              </w:rPr>
              <w:t>réunions</w:t>
            </w:r>
            <w:proofErr w:type="spellEnd"/>
            <w:r w:rsidR="005C7CE1" w:rsidRPr="005C7CE1">
              <w:rPr>
                <w:rFonts w:eastAsia="Times New Roman"/>
                <w:b/>
                <w:bCs/>
                <w:lang w:val="en-GB"/>
              </w:rPr>
              <w:t xml:space="preserve"> </w:t>
            </w:r>
            <w:proofErr w:type="spellStart"/>
            <w:r w:rsidR="005C7CE1" w:rsidRPr="005C7CE1">
              <w:rPr>
                <w:rFonts w:eastAsia="Times New Roman"/>
                <w:b/>
                <w:bCs/>
                <w:lang w:val="en-GB"/>
              </w:rPr>
              <w:t>parallèles</w:t>
            </w:r>
            <w:proofErr w:type="spellEnd"/>
            <w:r w:rsidR="005C7CE1">
              <w:rPr>
                <w:lang w:val="fr-FR"/>
              </w:rPr>
              <w:t xml:space="preserve"> (</w:t>
            </w:r>
            <w:r w:rsidR="005C7CE1" w:rsidRPr="005C7CE1">
              <w:rPr>
                <w:i/>
                <w:lang w:val="fr-FR"/>
              </w:rPr>
              <w:t>13 h 10-</w:t>
            </w:r>
            <w:r w:rsidRPr="005C7CE1">
              <w:rPr>
                <w:i/>
                <w:lang w:val="fr-FR"/>
              </w:rPr>
              <w:t>14 h 50</w:t>
            </w:r>
            <w:r w:rsidRPr="00665C3C">
              <w:rPr>
                <w:lang w:val="fr-FR"/>
              </w:rPr>
              <w:t>)</w:t>
            </w:r>
          </w:p>
        </w:tc>
        <w:tc>
          <w:tcPr>
            <w:tcW w:w="3276" w:type="dxa"/>
            <w:shd w:val="clear" w:color="auto" w:fill="auto"/>
          </w:tcPr>
          <w:p w:rsidR="00D04AA7" w:rsidRPr="00665C3C" w:rsidRDefault="00D04AA7" w:rsidP="00665C3C">
            <w:pPr>
              <w:spacing w:before="40" w:after="120"/>
              <w:ind w:right="113"/>
              <w:rPr>
                <w:lang w:val="fr-FR"/>
              </w:rPr>
            </w:pPr>
            <w:r w:rsidRPr="005C7CE1">
              <w:rPr>
                <w:rFonts w:eastAsia="Times New Roman"/>
                <w:b/>
                <w:bCs/>
                <w:lang w:val="en-GB"/>
              </w:rPr>
              <w:t xml:space="preserve">Pause </w:t>
            </w:r>
            <w:proofErr w:type="spellStart"/>
            <w:r w:rsidRPr="005C7CE1">
              <w:rPr>
                <w:rFonts w:eastAsia="Times New Roman"/>
                <w:b/>
                <w:bCs/>
                <w:lang w:val="en-GB"/>
              </w:rPr>
              <w:t>déjeuner</w:t>
            </w:r>
            <w:proofErr w:type="spellEnd"/>
            <w:r w:rsidRPr="00665C3C">
              <w:rPr>
                <w:lang w:val="fr-FR"/>
              </w:rPr>
              <w:t xml:space="preserve"> (</w:t>
            </w:r>
            <w:r w:rsidRPr="005C7CE1">
              <w:rPr>
                <w:i/>
                <w:lang w:val="fr-FR"/>
              </w:rPr>
              <w:t>13 heures-15 heures</w:t>
            </w:r>
            <w:r w:rsidR="001013C6">
              <w:rPr>
                <w:lang w:val="fr-FR"/>
              </w:rPr>
              <w:t>)</w:t>
            </w:r>
            <w:r w:rsidR="001013C6">
              <w:rPr>
                <w:lang w:val="fr-FR"/>
              </w:rPr>
              <w:br/>
            </w:r>
            <w:proofErr w:type="spellStart"/>
            <w:r w:rsidRPr="005C7CE1">
              <w:rPr>
                <w:rFonts w:eastAsia="Times New Roman"/>
                <w:b/>
                <w:bCs/>
                <w:lang w:val="en-GB"/>
              </w:rPr>
              <w:t>réun</w:t>
            </w:r>
            <w:r w:rsidR="005C7CE1" w:rsidRPr="005C7CE1">
              <w:rPr>
                <w:rFonts w:eastAsia="Times New Roman"/>
                <w:b/>
                <w:bCs/>
                <w:lang w:val="en-GB"/>
              </w:rPr>
              <w:t>ions</w:t>
            </w:r>
            <w:proofErr w:type="spellEnd"/>
            <w:r w:rsidR="005C7CE1" w:rsidRPr="005C7CE1">
              <w:rPr>
                <w:rFonts w:eastAsia="Times New Roman"/>
                <w:b/>
                <w:bCs/>
                <w:lang w:val="en-GB"/>
              </w:rPr>
              <w:t xml:space="preserve"> </w:t>
            </w:r>
            <w:proofErr w:type="spellStart"/>
            <w:r w:rsidR="005C7CE1" w:rsidRPr="005C7CE1">
              <w:rPr>
                <w:rFonts w:eastAsia="Times New Roman"/>
                <w:b/>
                <w:bCs/>
                <w:lang w:val="en-GB"/>
              </w:rPr>
              <w:t>parallèles</w:t>
            </w:r>
            <w:proofErr w:type="spellEnd"/>
            <w:r w:rsidR="005C7CE1">
              <w:rPr>
                <w:lang w:val="fr-FR"/>
              </w:rPr>
              <w:t xml:space="preserve"> (</w:t>
            </w:r>
            <w:r w:rsidR="005C7CE1" w:rsidRPr="005C7CE1">
              <w:rPr>
                <w:i/>
                <w:lang w:val="fr-FR"/>
              </w:rPr>
              <w:t>13 h 10-</w:t>
            </w:r>
            <w:r w:rsidRPr="005C7CE1">
              <w:rPr>
                <w:i/>
                <w:lang w:val="fr-FR"/>
              </w:rPr>
              <w:t>14 h 50</w:t>
            </w:r>
            <w:r w:rsidRPr="00665C3C">
              <w:rPr>
                <w:lang w:val="fr-FR"/>
              </w:rPr>
              <w:t>)</w:t>
            </w:r>
          </w:p>
        </w:tc>
        <w:tc>
          <w:tcPr>
            <w:tcW w:w="3094" w:type="dxa"/>
            <w:shd w:val="clear" w:color="auto" w:fill="auto"/>
          </w:tcPr>
          <w:p w:rsidR="00D04AA7" w:rsidRPr="00665C3C" w:rsidRDefault="00D04AA7" w:rsidP="00665C3C">
            <w:pPr>
              <w:spacing w:before="40" w:after="120"/>
              <w:ind w:right="113"/>
              <w:rPr>
                <w:lang w:val="fr-FR"/>
              </w:rPr>
            </w:pPr>
          </w:p>
        </w:tc>
      </w:tr>
      <w:tr w:rsidR="00D04AA7" w:rsidRPr="00665C3C" w:rsidTr="001013C6">
        <w:tc>
          <w:tcPr>
            <w:tcW w:w="3247" w:type="dxa"/>
            <w:shd w:val="clear" w:color="auto" w:fill="auto"/>
          </w:tcPr>
          <w:p w:rsidR="00D04AA7" w:rsidRPr="00665C3C" w:rsidRDefault="00B42196" w:rsidP="00B42196">
            <w:pPr>
              <w:keepNext/>
              <w:tabs>
                <w:tab w:val="left" w:pos="217"/>
                <w:tab w:val="left" w:pos="300"/>
              </w:tabs>
              <w:suppressAutoHyphens w:val="0"/>
              <w:kinsoku/>
              <w:overflowPunct/>
              <w:autoSpaceDE/>
              <w:autoSpaceDN/>
              <w:adjustRightInd/>
              <w:snapToGrid/>
              <w:spacing w:before="40" w:after="80" w:line="240" w:lineRule="auto"/>
              <w:ind w:left="567" w:right="113" w:hanging="567"/>
              <w:rPr>
                <w:lang w:val="fr-FR"/>
              </w:rPr>
            </w:pPr>
            <w:r>
              <w:rPr>
                <w:rFonts w:eastAsia="Times New Roman"/>
                <w:b/>
                <w:lang w:val="en-GB"/>
              </w:rPr>
              <w:lastRenderedPageBreak/>
              <w:tab/>
            </w:r>
            <w:r w:rsidR="00D04AA7" w:rsidRPr="00B42196">
              <w:rPr>
                <w:rFonts w:eastAsia="Times New Roman"/>
                <w:b/>
                <w:lang w:val="en-GB"/>
              </w:rPr>
              <w:t>b)</w:t>
            </w:r>
            <w:r w:rsidR="00D04AA7" w:rsidRPr="00B42196">
              <w:rPr>
                <w:rFonts w:eastAsia="Times New Roman"/>
                <w:b/>
                <w:lang w:val="en-GB"/>
              </w:rPr>
              <w:tab/>
              <w:t>Suivre l</w:t>
            </w:r>
            <w:r w:rsidR="00D90C3E" w:rsidRPr="00B42196">
              <w:rPr>
                <w:rFonts w:eastAsia="Times New Roman"/>
                <w:b/>
                <w:lang w:val="en-GB"/>
              </w:rPr>
              <w:t>’</w:t>
            </w:r>
            <w:r w:rsidR="00D04AA7" w:rsidRPr="00B42196">
              <w:rPr>
                <w:rFonts w:eastAsia="Times New Roman"/>
                <w:b/>
                <w:lang w:val="en-GB"/>
              </w:rPr>
              <w:t>état de l</w:t>
            </w:r>
            <w:r w:rsidR="00D90C3E" w:rsidRPr="00B42196">
              <w:rPr>
                <w:rFonts w:eastAsia="Times New Roman"/>
                <w:b/>
                <w:lang w:val="en-GB"/>
              </w:rPr>
              <w:t>’</w:t>
            </w:r>
            <w:r w:rsidR="00D04AA7" w:rsidRPr="00B42196">
              <w:rPr>
                <w:rFonts w:eastAsia="Times New Roman"/>
                <w:b/>
                <w:lang w:val="en-GB"/>
              </w:rPr>
              <w:t>environnement dans la région paneuropéenne</w:t>
            </w:r>
            <w:r>
              <w:rPr>
                <w:rFonts w:eastAsia="Times New Roman"/>
                <w:b/>
                <w:lang w:val="en-GB"/>
              </w:rPr>
              <w:t xml:space="preserve"> </w:t>
            </w:r>
            <w:r w:rsidR="00D04AA7" w:rsidRPr="00B42196">
              <w:rPr>
                <w:rFonts w:eastAsia="Times New Roman"/>
                <w:b/>
                <w:lang w:val="en-GB"/>
              </w:rPr>
              <w:br/>
            </w:r>
            <w:r w:rsidR="00D04AA7" w:rsidRPr="00B42196">
              <w:rPr>
                <w:rFonts w:eastAsia="Times New Roman"/>
                <w:lang w:val="en-GB"/>
              </w:rPr>
              <w:t>(</w:t>
            </w:r>
            <w:r w:rsidR="00D04AA7" w:rsidRPr="00B42196">
              <w:rPr>
                <w:rFonts w:eastAsia="Times New Roman"/>
                <w:i/>
                <w:lang w:val="en-GB"/>
              </w:rPr>
              <w:t>débat, 15 heures-16 h 30</w:t>
            </w:r>
            <w:r w:rsidR="00D04AA7" w:rsidRPr="00B42196">
              <w:rPr>
                <w:rFonts w:eastAsia="Times New Roman"/>
                <w:lang w:val="en-GB"/>
              </w:rPr>
              <w:t>)</w:t>
            </w:r>
          </w:p>
          <w:p w:rsidR="00D04AA7" w:rsidRPr="00665C3C" w:rsidRDefault="00B42196" w:rsidP="00B42196">
            <w:pPr>
              <w:keepNext/>
              <w:tabs>
                <w:tab w:val="left" w:pos="217"/>
                <w:tab w:val="left" w:pos="300"/>
              </w:tabs>
              <w:suppressAutoHyphens w:val="0"/>
              <w:kinsoku/>
              <w:overflowPunct/>
              <w:autoSpaceDE/>
              <w:autoSpaceDN/>
              <w:adjustRightInd/>
              <w:snapToGrid/>
              <w:spacing w:before="40" w:after="80" w:line="240" w:lineRule="auto"/>
              <w:ind w:left="567" w:right="113" w:hanging="567"/>
              <w:rPr>
                <w:lang w:val="fr-FR"/>
              </w:rPr>
            </w:pPr>
            <w:r>
              <w:rPr>
                <w:lang w:val="fr-FR"/>
              </w:rPr>
              <w:tab/>
              <w:t>–</w:t>
            </w:r>
            <w:r>
              <w:rPr>
                <w:lang w:val="fr-FR"/>
              </w:rPr>
              <w:tab/>
            </w:r>
            <w:r w:rsidR="00D04AA7" w:rsidRPr="00665C3C">
              <w:rPr>
                <w:lang w:val="fr-FR"/>
              </w:rPr>
              <w:t>Progrès dans le SEIS</w:t>
            </w:r>
          </w:p>
          <w:p w:rsidR="00D04AA7" w:rsidRPr="00665C3C" w:rsidRDefault="00B42196" w:rsidP="00B42196">
            <w:pPr>
              <w:keepNext/>
              <w:tabs>
                <w:tab w:val="left" w:pos="217"/>
                <w:tab w:val="left" w:pos="300"/>
              </w:tabs>
              <w:suppressAutoHyphens w:val="0"/>
              <w:kinsoku/>
              <w:overflowPunct/>
              <w:autoSpaceDE/>
              <w:autoSpaceDN/>
              <w:adjustRightInd/>
              <w:snapToGrid/>
              <w:spacing w:before="40" w:after="80" w:line="240" w:lineRule="auto"/>
              <w:ind w:left="567" w:right="113" w:hanging="567"/>
              <w:rPr>
                <w:lang w:val="fr-FR"/>
              </w:rPr>
            </w:pPr>
            <w:r>
              <w:rPr>
                <w:lang w:val="fr-FR"/>
              </w:rPr>
              <w:tab/>
              <w:t>–</w:t>
            </w:r>
            <w:r>
              <w:rPr>
                <w:lang w:val="fr-FR"/>
              </w:rPr>
              <w:tab/>
            </w:r>
            <w:r w:rsidR="00D04AA7" w:rsidRPr="00665C3C">
              <w:rPr>
                <w:lang w:val="fr-FR"/>
              </w:rPr>
              <w:t>Lancement de l</w:t>
            </w:r>
            <w:r w:rsidR="00D90C3E" w:rsidRPr="00665C3C">
              <w:rPr>
                <w:lang w:val="fr-FR"/>
              </w:rPr>
              <w:t>’</w:t>
            </w:r>
            <w:r w:rsidR="00D04AA7" w:rsidRPr="00665C3C">
              <w:rPr>
                <w:lang w:val="fr-FR"/>
              </w:rPr>
              <w:t>évaluation régionale européenne de la sixième édition du rapport sur l</w:t>
            </w:r>
            <w:r w:rsidR="00D90C3E" w:rsidRPr="00665C3C">
              <w:rPr>
                <w:lang w:val="fr-FR"/>
              </w:rPr>
              <w:t>’</w:t>
            </w:r>
            <w:r w:rsidR="00D04AA7" w:rsidRPr="00665C3C">
              <w:rPr>
                <w:lang w:val="fr-FR"/>
              </w:rPr>
              <w:t>avenir de l</w:t>
            </w:r>
            <w:r w:rsidR="00D90C3E" w:rsidRPr="00665C3C">
              <w:rPr>
                <w:lang w:val="fr-FR"/>
              </w:rPr>
              <w:t>’</w:t>
            </w:r>
            <w:r w:rsidR="00D04AA7" w:rsidRPr="00665C3C">
              <w:rPr>
                <w:lang w:val="fr-FR"/>
              </w:rPr>
              <w:t xml:space="preserve">environnement mondial </w:t>
            </w:r>
          </w:p>
          <w:p w:rsidR="00D04AA7" w:rsidRPr="00665C3C" w:rsidRDefault="00D04AA7" w:rsidP="00B42196">
            <w:pPr>
              <w:tabs>
                <w:tab w:val="left" w:pos="217"/>
              </w:tabs>
              <w:suppressAutoHyphens w:val="0"/>
              <w:kinsoku/>
              <w:overflowPunct/>
              <w:autoSpaceDE/>
              <w:autoSpaceDN/>
              <w:adjustRightInd/>
              <w:snapToGrid/>
              <w:spacing w:before="40" w:after="80" w:line="240" w:lineRule="auto"/>
              <w:ind w:left="217" w:right="113" w:hanging="217"/>
              <w:rPr>
                <w:lang w:val="fr-FR"/>
              </w:rPr>
            </w:pPr>
            <w:r w:rsidRPr="00B42196">
              <w:rPr>
                <w:rFonts w:eastAsia="Times New Roman"/>
                <w:b/>
                <w:lang w:val="en-GB"/>
              </w:rPr>
              <w:t>3.</w:t>
            </w:r>
            <w:r w:rsidRPr="00B42196">
              <w:rPr>
                <w:rFonts w:eastAsia="Times New Roman"/>
                <w:b/>
                <w:lang w:val="en-GB"/>
              </w:rPr>
              <w:tab/>
              <w:t xml:space="preserve">Vers une nouvelle société : </w:t>
            </w:r>
            <w:r w:rsidRPr="00B42196">
              <w:rPr>
                <w:rFonts w:eastAsia="Times New Roman"/>
                <w:b/>
                <w:lang w:val="en-GB"/>
              </w:rPr>
              <w:br/>
              <w:t>dix ans d</w:t>
            </w:r>
            <w:r w:rsidR="00D90C3E" w:rsidRPr="00B42196">
              <w:rPr>
                <w:rFonts w:eastAsia="Times New Roman"/>
                <w:b/>
                <w:lang w:val="en-GB"/>
              </w:rPr>
              <w:t>’</w:t>
            </w:r>
            <w:r w:rsidRPr="00B42196">
              <w:rPr>
                <w:rFonts w:eastAsia="Times New Roman"/>
                <w:b/>
                <w:lang w:val="en-GB"/>
              </w:rPr>
              <w:t xml:space="preserve">éducation en vue </w:t>
            </w:r>
            <w:r w:rsidRPr="00B42196">
              <w:rPr>
                <w:rFonts w:eastAsia="Times New Roman"/>
                <w:b/>
                <w:lang w:val="en-GB"/>
              </w:rPr>
              <w:br/>
              <w:t>du développement durable</w:t>
            </w:r>
            <w:r w:rsidRPr="00665C3C">
              <w:rPr>
                <w:lang w:val="fr-FR"/>
              </w:rPr>
              <w:t xml:space="preserve"> </w:t>
            </w:r>
            <w:r w:rsidRPr="00665C3C">
              <w:rPr>
                <w:lang w:val="fr-FR"/>
              </w:rPr>
              <w:br/>
              <w:t>(</w:t>
            </w:r>
            <w:r w:rsidRPr="00B42196">
              <w:rPr>
                <w:i/>
                <w:lang w:val="fr-FR"/>
              </w:rPr>
              <w:t xml:space="preserve">séance plénière et débat, </w:t>
            </w:r>
            <w:r w:rsidR="00B42196">
              <w:rPr>
                <w:i/>
                <w:lang w:val="fr-FR"/>
              </w:rPr>
              <w:br/>
            </w:r>
            <w:r w:rsidRPr="00B42196">
              <w:rPr>
                <w:i/>
                <w:lang w:val="fr-FR"/>
              </w:rPr>
              <w:t>16 h 30-18 heures</w:t>
            </w:r>
            <w:r w:rsidRPr="00665C3C">
              <w:rPr>
                <w:lang w:val="fr-FR"/>
              </w:rPr>
              <w:t>)</w:t>
            </w:r>
          </w:p>
        </w:tc>
        <w:tc>
          <w:tcPr>
            <w:tcW w:w="3276" w:type="dxa"/>
            <w:shd w:val="clear" w:color="auto" w:fill="auto"/>
          </w:tcPr>
          <w:p w:rsidR="00D04AA7" w:rsidRPr="00665C3C" w:rsidRDefault="00D04AA7" w:rsidP="00B42196">
            <w:pPr>
              <w:tabs>
                <w:tab w:val="left" w:pos="217"/>
              </w:tabs>
              <w:suppressAutoHyphens w:val="0"/>
              <w:kinsoku/>
              <w:overflowPunct/>
              <w:autoSpaceDE/>
              <w:autoSpaceDN/>
              <w:adjustRightInd/>
              <w:snapToGrid/>
              <w:spacing w:before="40" w:after="80" w:line="240" w:lineRule="auto"/>
              <w:ind w:left="217" w:right="113" w:hanging="217"/>
              <w:rPr>
                <w:lang w:val="fr-FR"/>
              </w:rPr>
            </w:pPr>
            <w:r w:rsidRPr="00B42196">
              <w:rPr>
                <w:rFonts w:eastAsia="Times New Roman"/>
                <w:b/>
                <w:lang w:val="en-GB"/>
              </w:rPr>
              <w:t>5.</w:t>
            </w:r>
            <w:r w:rsidRPr="00B42196">
              <w:rPr>
                <w:rFonts w:eastAsia="Times New Roman"/>
                <w:b/>
                <w:lang w:val="en-GB"/>
              </w:rPr>
              <w:tab/>
              <w:t>Améliorer la qualité de l</w:t>
            </w:r>
            <w:r w:rsidR="00D90C3E" w:rsidRPr="00B42196">
              <w:rPr>
                <w:rFonts w:eastAsia="Times New Roman"/>
                <w:b/>
                <w:lang w:val="en-GB"/>
              </w:rPr>
              <w:t>’</w:t>
            </w:r>
            <w:r w:rsidRPr="00B42196">
              <w:rPr>
                <w:rFonts w:eastAsia="Times New Roman"/>
                <w:b/>
                <w:lang w:val="en-GB"/>
              </w:rPr>
              <w:t xml:space="preserve">air </w:t>
            </w:r>
            <w:r w:rsidRPr="00B42196">
              <w:rPr>
                <w:rFonts w:eastAsia="Times New Roman"/>
                <w:b/>
                <w:lang w:val="en-GB"/>
              </w:rPr>
              <w:br/>
              <w:t xml:space="preserve">pour un environnement plus sain </w:t>
            </w:r>
            <w:r w:rsidRPr="00B42196">
              <w:rPr>
                <w:rFonts w:eastAsia="Times New Roman"/>
                <w:b/>
                <w:lang w:val="en-GB"/>
              </w:rPr>
              <w:br/>
              <w:t xml:space="preserve">et une meilleure santé </w:t>
            </w:r>
            <w:r w:rsidRPr="00B42196">
              <w:rPr>
                <w:rFonts w:eastAsia="Times New Roman"/>
                <w:b/>
                <w:lang w:val="en-GB"/>
              </w:rPr>
              <w:br/>
            </w:r>
            <w:r w:rsidRPr="00B42196">
              <w:rPr>
                <w:rFonts w:eastAsia="Times New Roman"/>
                <w:lang w:val="en-GB"/>
              </w:rPr>
              <w:t>(</w:t>
            </w:r>
            <w:r w:rsidRPr="00B42196">
              <w:rPr>
                <w:rFonts w:eastAsia="Times New Roman"/>
                <w:i/>
                <w:lang w:val="en-GB"/>
              </w:rPr>
              <w:t xml:space="preserve">séance plénière et débat, </w:t>
            </w:r>
            <w:r w:rsidRPr="00B42196">
              <w:rPr>
                <w:rFonts w:eastAsia="Times New Roman"/>
                <w:i/>
                <w:lang w:val="en-GB"/>
              </w:rPr>
              <w:br/>
              <w:t>15 heures-18 heures</w:t>
            </w:r>
            <w:r w:rsidRPr="00B42196">
              <w:rPr>
                <w:rFonts w:eastAsia="Times New Roman"/>
                <w:lang w:val="en-GB"/>
              </w:rPr>
              <w:t>)</w:t>
            </w:r>
          </w:p>
          <w:p w:rsidR="00D04AA7" w:rsidRPr="00665C3C" w:rsidRDefault="00D04AA7" w:rsidP="00B42196">
            <w:pPr>
              <w:keepNext/>
              <w:tabs>
                <w:tab w:val="left" w:pos="217"/>
                <w:tab w:val="left" w:pos="432"/>
              </w:tabs>
              <w:suppressAutoHyphens w:val="0"/>
              <w:kinsoku/>
              <w:overflowPunct/>
              <w:autoSpaceDE/>
              <w:autoSpaceDN/>
              <w:adjustRightInd/>
              <w:snapToGrid/>
              <w:spacing w:before="40" w:after="80" w:line="240" w:lineRule="auto"/>
              <w:rPr>
                <w:lang w:val="fr-FR"/>
              </w:rPr>
            </w:pPr>
            <w:r w:rsidRPr="00B42196">
              <w:rPr>
                <w:rFonts w:eastAsia="Times New Roman"/>
                <w:bCs/>
                <w:i/>
                <w:iCs/>
                <w:lang w:val="en-GB"/>
              </w:rPr>
              <w:t>Questions à examiner</w:t>
            </w:r>
            <w:r w:rsidRPr="00665C3C">
              <w:rPr>
                <w:lang w:val="fr-FR"/>
              </w:rPr>
              <w:t> :</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a)</w:t>
            </w:r>
            <w:r w:rsidRPr="00665C3C">
              <w:rPr>
                <w:lang w:val="fr-FR"/>
              </w:rPr>
              <w:tab/>
            </w:r>
            <w:r w:rsidRPr="00B42196">
              <w:rPr>
                <w:rFonts w:eastAsia="Times New Roman"/>
                <w:lang w:val="en-GB"/>
              </w:rPr>
              <w:t>Polluants</w:t>
            </w:r>
            <w:r w:rsidRPr="00665C3C">
              <w:rPr>
                <w:lang w:val="fr-FR"/>
              </w:rPr>
              <w:t xml:space="preserve"> et politiques </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b)</w:t>
            </w:r>
            <w:r w:rsidRPr="00665C3C">
              <w:rPr>
                <w:lang w:val="fr-FR"/>
              </w:rPr>
              <w:tab/>
            </w:r>
            <w:r w:rsidRPr="00B42196">
              <w:rPr>
                <w:rFonts w:eastAsia="Times New Roman"/>
                <w:lang w:val="en-GB"/>
              </w:rPr>
              <w:t>Secteurs</w:t>
            </w:r>
            <w:r w:rsidRPr="00665C3C">
              <w:rPr>
                <w:lang w:val="fr-FR"/>
              </w:rPr>
              <w:t xml:space="preserve"> et financement </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c)</w:t>
            </w:r>
            <w:r w:rsidRPr="00665C3C">
              <w:rPr>
                <w:lang w:val="fr-FR"/>
              </w:rPr>
              <w:tab/>
            </w:r>
            <w:r w:rsidRPr="00B42196">
              <w:rPr>
                <w:rFonts w:eastAsia="Times New Roman"/>
                <w:lang w:val="en-GB"/>
              </w:rPr>
              <w:t>Sensibilisation</w:t>
            </w:r>
            <w:r w:rsidRPr="00665C3C">
              <w:rPr>
                <w:lang w:val="fr-FR"/>
              </w:rPr>
              <w:t xml:space="preserve"> et participation </w:t>
            </w:r>
            <w:r w:rsidR="005D471F">
              <w:rPr>
                <w:lang w:val="fr-FR"/>
              </w:rPr>
              <w:t>du </w:t>
            </w:r>
            <w:r w:rsidRPr="00665C3C">
              <w:rPr>
                <w:lang w:val="fr-FR"/>
              </w:rPr>
              <w:t>public</w:t>
            </w:r>
          </w:p>
          <w:p w:rsidR="00D04AA7" w:rsidRPr="00665C3C" w:rsidRDefault="00D04AA7" w:rsidP="00CD5BC0">
            <w:pPr>
              <w:keepNext/>
              <w:tabs>
                <w:tab w:val="left" w:pos="217"/>
                <w:tab w:val="left" w:pos="463"/>
              </w:tabs>
              <w:suppressAutoHyphens w:val="0"/>
              <w:kinsoku/>
              <w:overflowPunct/>
              <w:snapToGrid/>
              <w:spacing w:before="40" w:after="80" w:line="240" w:lineRule="auto"/>
              <w:ind w:left="425" w:right="113" w:hanging="325"/>
              <w:rPr>
                <w:lang w:val="fr-FR"/>
              </w:rPr>
            </w:pPr>
            <w:r w:rsidRPr="00665C3C">
              <w:rPr>
                <w:lang w:val="fr-FR"/>
              </w:rPr>
              <w:tab/>
              <w:t>d)</w:t>
            </w:r>
            <w:r w:rsidRPr="00665C3C">
              <w:rPr>
                <w:lang w:val="fr-FR"/>
              </w:rPr>
              <w:tab/>
            </w:r>
            <w:r w:rsidRPr="00CD5BC0">
              <w:rPr>
                <w:rFonts w:eastAsia="Times New Roman"/>
                <w:lang w:val="en-GB"/>
              </w:rPr>
              <w:t>Coopération</w:t>
            </w:r>
          </w:p>
        </w:tc>
        <w:tc>
          <w:tcPr>
            <w:tcW w:w="3094" w:type="dxa"/>
            <w:shd w:val="clear" w:color="auto" w:fill="auto"/>
          </w:tcPr>
          <w:p w:rsidR="00D04AA7" w:rsidRPr="00665C3C" w:rsidRDefault="00D04AA7" w:rsidP="00665C3C">
            <w:pPr>
              <w:spacing w:before="40" w:after="120"/>
              <w:ind w:right="113"/>
              <w:rPr>
                <w:lang w:val="fr-FR"/>
              </w:rPr>
            </w:pPr>
          </w:p>
        </w:tc>
      </w:tr>
      <w:tr w:rsidR="00D04AA7" w:rsidRPr="00665C3C" w:rsidTr="001013C6">
        <w:tc>
          <w:tcPr>
            <w:tcW w:w="3247" w:type="dxa"/>
            <w:tcBorders>
              <w:bottom w:val="single" w:sz="12" w:space="0" w:color="auto"/>
            </w:tcBorders>
            <w:shd w:val="clear" w:color="auto" w:fill="auto"/>
          </w:tcPr>
          <w:p w:rsidR="00D04AA7" w:rsidRPr="00665C3C" w:rsidRDefault="00D04AA7" w:rsidP="00B42196">
            <w:pPr>
              <w:kinsoku/>
              <w:overflowPunct/>
              <w:autoSpaceDE/>
              <w:autoSpaceDN/>
              <w:adjustRightInd/>
              <w:snapToGrid/>
              <w:spacing w:before="40" w:after="120" w:line="240" w:lineRule="auto"/>
              <w:ind w:right="113"/>
              <w:rPr>
                <w:lang w:val="fr-FR"/>
              </w:rPr>
            </w:pPr>
            <w:r w:rsidRPr="00B42196">
              <w:rPr>
                <w:rFonts w:eastAsia="Times New Roman"/>
                <w:b/>
                <w:lang w:val="en-GB"/>
              </w:rPr>
              <w:t>Réunions officielles/</w:t>
            </w:r>
            <w:r w:rsidR="005D471F">
              <w:rPr>
                <w:rFonts w:eastAsia="Times New Roman"/>
                <w:b/>
                <w:lang w:val="en-GB"/>
              </w:rPr>
              <w:br/>
            </w:r>
            <w:r w:rsidRPr="00B42196">
              <w:rPr>
                <w:rFonts w:eastAsia="Times New Roman"/>
                <w:b/>
                <w:lang w:val="en-GB"/>
              </w:rPr>
              <w:t>réunions parallèles</w:t>
            </w:r>
            <w:r w:rsidRPr="00665C3C">
              <w:rPr>
                <w:lang w:val="fr-FR"/>
              </w:rPr>
              <w:t xml:space="preserve"> </w:t>
            </w:r>
            <w:r w:rsidR="005D471F">
              <w:rPr>
                <w:lang w:val="fr-FR"/>
              </w:rPr>
              <w:br/>
            </w:r>
            <w:r w:rsidRPr="00665C3C">
              <w:rPr>
                <w:lang w:val="fr-FR"/>
              </w:rPr>
              <w:t>(</w:t>
            </w:r>
            <w:r w:rsidR="00914F43">
              <w:rPr>
                <w:i/>
                <w:lang w:val="fr-FR"/>
              </w:rPr>
              <w:t>18 h 15-20 h </w:t>
            </w:r>
            <w:r w:rsidRPr="00B42196">
              <w:rPr>
                <w:i/>
                <w:lang w:val="fr-FR"/>
              </w:rPr>
              <w:t>15</w:t>
            </w:r>
            <w:r w:rsidRPr="00665C3C">
              <w:rPr>
                <w:lang w:val="fr-FR"/>
              </w:rPr>
              <w:t>)</w:t>
            </w:r>
          </w:p>
        </w:tc>
        <w:tc>
          <w:tcPr>
            <w:tcW w:w="3276" w:type="dxa"/>
            <w:tcBorders>
              <w:bottom w:val="single" w:sz="12" w:space="0" w:color="auto"/>
            </w:tcBorders>
            <w:shd w:val="clear" w:color="auto" w:fill="auto"/>
          </w:tcPr>
          <w:p w:rsidR="00D04AA7" w:rsidRPr="00665C3C" w:rsidRDefault="00D04AA7" w:rsidP="00B42196">
            <w:pPr>
              <w:kinsoku/>
              <w:overflowPunct/>
              <w:autoSpaceDE/>
              <w:autoSpaceDN/>
              <w:adjustRightInd/>
              <w:snapToGrid/>
              <w:spacing w:before="40" w:after="120" w:line="240" w:lineRule="auto"/>
              <w:ind w:right="113"/>
              <w:rPr>
                <w:lang w:val="fr-FR"/>
              </w:rPr>
            </w:pPr>
            <w:r w:rsidRPr="00B42196">
              <w:rPr>
                <w:rFonts w:eastAsia="Times New Roman"/>
                <w:b/>
                <w:lang w:val="en-GB"/>
              </w:rPr>
              <w:t>Réunions officielles/</w:t>
            </w:r>
            <w:r w:rsidR="005D471F">
              <w:rPr>
                <w:rFonts w:eastAsia="Times New Roman"/>
                <w:b/>
                <w:lang w:val="en-GB"/>
              </w:rPr>
              <w:br/>
            </w:r>
            <w:r w:rsidRPr="00B42196">
              <w:rPr>
                <w:rFonts w:eastAsia="Times New Roman"/>
                <w:b/>
                <w:lang w:val="en-GB"/>
              </w:rPr>
              <w:t>réunions parallèles</w:t>
            </w:r>
            <w:r w:rsidRPr="00665C3C">
              <w:rPr>
                <w:lang w:val="fr-FR"/>
              </w:rPr>
              <w:t xml:space="preserve"> </w:t>
            </w:r>
            <w:r w:rsidR="005D471F">
              <w:rPr>
                <w:lang w:val="fr-FR"/>
              </w:rPr>
              <w:br/>
            </w:r>
            <w:r w:rsidRPr="00665C3C">
              <w:rPr>
                <w:lang w:val="fr-FR"/>
              </w:rPr>
              <w:t>(</w:t>
            </w:r>
            <w:r w:rsidR="00914F43">
              <w:rPr>
                <w:i/>
                <w:lang w:val="fr-FR"/>
              </w:rPr>
              <w:t>18 h 15-20 h </w:t>
            </w:r>
            <w:r w:rsidRPr="00B42196">
              <w:rPr>
                <w:i/>
                <w:lang w:val="fr-FR"/>
              </w:rPr>
              <w:t>15</w:t>
            </w:r>
            <w:r w:rsidRPr="00665C3C">
              <w:rPr>
                <w:lang w:val="fr-FR"/>
              </w:rPr>
              <w:t>)</w:t>
            </w:r>
          </w:p>
        </w:tc>
        <w:tc>
          <w:tcPr>
            <w:tcW w:w="3094" w:type="dxa"/>
            <w:tcBorders>
              <w:bottom w:val="single" w:sz="12" w:space="0" w:color="auto"/>
            </w:tcBorders>
            <w:shd w:val="clear" w:color="auto" w:fill="auto"/>
          </w:tcPr>
          <w:p w:rsidR="00D04AA7" w:rsidRPr="00665C3C" w:rsidRDefault="00D04AA7" w:rsidP="00665C3C">
            <w:pPr>
              <w:spacing w:before="40" w:after="120"/>
              <w:ind w:right="113"/>
              <w:rPr>
                <w:lang w:val="fr-FR"/>
              </w:rPr>
            </w:pPr>
          </w:p>
        </w:tc>
      </w:tr>
    </w:tbl>
    <w:p w:rsidR="00C16EC6" w:rsidRPr="00914F43" w:rsidRDefault="00914F43" w:rsidP="00914F43">
      <w:pPr>
        <w:pStyle w:val="SingleTxtG"/>
        <w:spacing w:before="240" w:after="0"/>
        <w:jc w:val="center"/>
        <w:rPr>
          <w:u w:val="single"/>
        </w:rPr>
      </w:pPr>
      <w:r>
        <w:rPr>
          <w:u w:val="single"/>
        </w:rPr>
        <w:tab/>
      </w:r>
      <w:r>
        <w:rPr>
          <w:u w:val="single"/>
        </w:rPr>
        <w:tab/>
      </w:r>
      <w:r>
        <w:rPr>
          <w:u w:val="single"/>
        </w:rPr>
        <w:tab/>
      </w:r>
    </w:p>
    <w:sectPr w:rsidR="00C16EC6" w:rsidRPr="00914F43" w:rsidSect="00E33AE8">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9A" w:rsidRDefault="00282C9A"/>
  </w:endnote>
  <w:endnote w:type="continuationSeparator" w:id="0">
    <w:p w:rsidR="00282C9A" w:rsidRDefault="00282C9A"/>
  </w:endnote>
  <w:endnote w:type="continuationNotice" w:id="1">
    <w:p w:rsidR="00282C9A" w:rsidRPr="008365F0" w:rsidRDefault="00282C9A"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Default="00282C9A" w:rsidP="006D598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Pr="00E33AE8" w:rsidRDefault="00282C9A" w:rsidP="00E33AE8">
    <w:pPr>
      <w:pStyle w:val="Footer"/>
      <w:tabs>
        <w:tab w:val="right" w:pos="9638"/>
      </w:tabs>
    </w:pPr>
    <w:r w:rsidRPr="00E33AE8">
      <w:rPr>
        <w:b/>
        <w:sz w:val="18"/>
      </w:rPr>
      <w:fldChar w:fldCharType="begin"/>
    </w:r>
    <w:r w:rsidRPr="00E33AE8">
      <w:rPr>
        <w:b/>
        <w:sz w:val="18"/>
      </w:rPr>
      <w:instrText xml:space="preserve"> PAGE  \* MERGEFORMAT </w:instrText>
    </w:r>
    <w:r w:rsidRPr="00E33AE8">
      <w:rPr>
        <w:b/>
        <w:sz w:val="18"/>
      </w:rPr>
      <w:fldChar w:fldCharType="separate"/>
    </w:r>
    <w:r w:rsidR="00476645">
      <w:rPr>
        <w:b/>
        <w:noProof/>
        <w:sz w:val="18"/>
      </w:rPr>
      <w:t>2</w:t>
    </w:r>
    <w:r w:rsidRPr="00E33AE8">
      <w:rPr>
        <w:b/>
        <w:sz w:val="18"/>
      </w:rPr>
      <w:fldChar w:fldCharType="end"/>
    </w:r>
    <w:r>
      <w:rPr>
        <w:b/>
        <w:sz w:val="18"/>
      </w:rPr>
      <w:tab/>
    </w:r>
    <w:r>
      <w:t>GE.16-04188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Pr="00E33AE8" w:rsidRDefault="00282C9A" w:rsidP="00E33AE8">
    <w:pPr>
      <w:pStyle w:val="Footer"/>
      <w:tabs>
        <w:tab w:val="right" w:pos="9638"/>
      </w:tabs>
      <w:rPr>
        <w:b/>
        <w:sz w:val="18"/>
      </w:rPr>
    </w:pPr>
    <w:r>
      <w:t>GE.16-04188</w:t>
    </w:r>
    <w:r>
      <w:tab/>
    </w:r>
    <w:r w:rsidRPr="00E33AE8">
      <w:rPr>
        <w:b/>
        <w:sz w:val="18"/>
      </w:rPr>
      <w:fldChar w:fldCharType="begin"/>
    </w:r>
    <w:r w:rsidRPr="00E33AE8">
      <w:rPr>
        <w:b/>
        <w:sz w:val="18"/>
      </w:rPr>
      <w:instrText xml:space="preserve"> PAGE  \* MERGEFORMAT </w:instrText>
    </w:r>
    <w:r w:rsidRPr="00E33AE8">
      <w:rPr>
        <w:b/>
        <w:sz w:val="18"/>
      </w:rPr>
      <w:fldChar w:fldCharType="separate"/>
    </w:r>
    <w:r w:rsidR="00476645">
      <w:rPr>
        <w:b/>
        <w:noProof/>
        <w:sz w:val="18"/>
      </w:rPr>
      <w:t>3</w:t>
    </w:r>
    <w:r w:rsidRPr="00E33AE8">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Pr="00E33AE8" w:rsidRDefault="00282C9A" w:rsidP="00E33AE8">
    <w:pPr>
      <w:pStyle w:val="Footer"/>
      <w:spacing w:before="120"/>
      <w:rPr>
        <w:sz w:val="20"/>
      </w:rPr>
    </w:pPr>
    <w:r>
      <w:rPr>
        <w:sz w:val="20"/>
      </w:rPr>
      <w:t>GE.</w:t>
    </w:r>
    <w:r>
      <w:rPr>
        <w:noProof/>
        <w:lang w:val="en-GB" w:eastAsia="en-GB"/>
      </w:rPr>
      <w:drawing>
        <wp:anchor distT="0" distB="0" distL="114300" distR="114300" simplePos="0" relativeHeight="251657728" behindDoc="0" locked="0" layoutInCell="1" allowOverlap="1" wp14:anchorId="2DCB8F77" wp14:editId="754BA656">
          <wp:simplePos x="0" y="0"/>
          <wp:positionH relativeFrom="margin">
            <wp:posOffset>4319905</wp:posOffset>
          </wp:positionH>
          <wp:positionV relativeFrom="margin">
            <wp:posOffset>8279765</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16-04188  (F)</w:t>
    </w:r>
    <w:r w:rsidR="002B7DBC">
      <w:rPr>
        <w:sz w:val="20"/>
      </w:rPr>
      <w:t xml:space="preserve">    250416    270416</w:t>
    </w:r>
    <w:r>
      <w:rPr>
        <w:sz w:val="20"/>
      </w:rPr>
      <w:br/>
    </w:r>
    <w:r w:rsidRPr="00E33AE8">
      <w:rPr>
        <w:rFonts w:ascii="C39T30Lfz" w:hAnsi="C39T30Lfz"/>
        <w:sz w:val="56"/>
      </w:rPr>
      <w:t></w:t>
    </w:r>
    <w:r w:rsidRPr="00E33AE8">
      <w:rPr>
        <w:rFonts w:ascii="C39T30Lfz" w:hAnsi="C39T30Lfz"/>
        <w:sz w:val="56"/>
      </w:rPr>
      <w:t></w:t>
    </w:r>
    <w:r w:rsidRPr="00E33AE8">
      <w:rPr>
        <w:rFonts w:ascii="C39T30Lfz" w:hAnsi="C39T30Lfz"/>
        <w:sz w:val="56"/>
      </w:rPr>
      <w:t></w:t>
    </w:r>
    <w:r w:rsidRPr="00E33AE8">
      <w:rPr>
        <w:rFonts w:ascii="C39T30Lfz" w:hAnsi="C39T30Lfz"/>
        <w:sz w:val="56"/>
      </w:rPr>
      <w:t></w:t>
    </w:r>
    <w:r w:rsidRPr="00E33AE8">
      <w:rPr>
        <w:rFonts w:ascii="C39T30Lfz" w:hAnsi="C39T30Lfz"/>
        <w:sz w:val="56"/>
      </w:rPr>
      <w:t></w:t>
    </w:r>
    <w:r w:rsidRPr="00E33AE8">
      <w:rPr>
        <w:rFonts w:ascii="C39T30Lfz" w:hAnsi="C39T30Lfz"/>
        <w:sz w:val="56"/>
      </w:rPr>
      <w:t></w:t>
    </w:r>
    <w:r w:rsidRPr="00E33AE8">
      <w:rPr>
        <w:rFonts w:ascii="C39T30Lfz" w:hAnsi="C39T30Lfz"/>
        <w:sz w:val="56"/>
      </w:rPr>
      <w:t></w:t>
    </w:r>
    <w:r w:rsidRPr="00E33AE8">
      <w:rPr>
        <w:rFonts w:ascii="C39T30Lfz" w:hAnsi="C39T30Lfz"/>
        <w:sz w:val="56"/>
      </w:rPr>
      <w:t></w:t>
    </w:r>
    <w:r w:rsidRPr="00E33AE8">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723936D6" wp14:editId="17F9AADA">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BATUMI.CONF/201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9A" w:rsidRPr="00D27D5E" w:rsidRDefault="00282C9A" w:rsidP="00D27D5E">
      <w:pPr>
        <w:tabs>
          <w:tab w:val="right" w:pos="2155"/>
        </w:tabs>
        <w:spacing w:after="80"/>
        <w:ind w:left="680"/>
        <w:rPr>
          <w:u w:val="single"/>
        </w:rPr>
      </w:pPr>
      <w:r>
        <w:rPr>
          <w:u w:val="single"/>
        </w:rPr>
        <w:tab/>
      </w:r>
    </w:p>
  </w:footnote>
  <w:footnote w:type="continuationSeparator" w:id="0">
    <w:p w:rsidR="00282C9A" w:rsidRPr="00CD13C4" w:rsidRDefault="00282C9A" w:rsidP="00CD13C4">
      <w:pPr>
        <w:tabs>
          <w:tab w:val="right" w:pos="2155"/>
        </w:tabs>
        <w:spacing w:after="80"/>
        <w:ind w:left="680"/>
        <w:rPr>
          <w:u w:val="single"/>
        </w:rPr>
      </w:pPr>
      <w:r w:rsidRPr="00CD13C4">
        <w:rPr>
          <w:u w:val="single"/>
        </w:rPr>
        <w:tab/>
      </w:r>
    </w:p>
  </w:footnote>
  <w:footnote w:type="continuationNotice" w:id="1">
    <w:p w:rsidR="00282C9A" w:rsidRPr="008365F0" w:rsidRDefault="00282C9A" w:rsidP="008365F0">
      <w:pPr>
        <w:spacing w:line="240" w:lineRule="auto"/>
        <w:rPr>
          <w:sz w:val="2"/>
          <w:szCs w:val="2"/>
        </w:rPr>
      </w:pPr>
    </w:p>
  </w:footnote>
  <w:footnote w:id="2">
    <w:p w:rsidR="00282C9A" w:rsidRDefault="00282C9A">
      <w:pPr>
        <w:pStyle w:val="FootnoteText"/>
      </w:pPr>
      <w:r>
        <w:tab/>
      </w:r>
      <w:r>
        <w:rPr>
          <w:rStyle w:val="FootnoteReference"/>
        </w:rPr>
        <w:footnoteRef/>
      </w:r>
      <w:r>
        <w:tab/>
        <w:t xml:space="preserve">Voir </w:t>
      </w:r>
      <w:r w:rsidRPr="00C957A8">
        <w:t>www.unece.org/env/efe/batumi/welcome</w:t>
      </w:r>
      <w:r w:rsidR="00516304">
        <w:t>.</w:t>
      </w:r>
    </w:p>
  </w:footnote>
  <w:footnote w:id="3">
    <w:p w:rsidR="00282C9A" w:rsidRDefault="00282C9A" w:rsidP="00D04AA7">
      <w:pPr>
        <w:pStyle w:val="FootnoteText"/>
      </w:pPr>
      <w:r>
        <w:tab/>
      </w:r>
      <w:r w:rsidRPr="00EE3312">
        <w:rPr>
          <w:rStyle w:val="FootnoteReference"/>
        </w:rPr>
        <w:footnoteRef/>
      </w:r>
      <w:r>
        <w:tab/>
        <w:t xml:space="preserve">Voir </w:t>
      </w:r>
      <w:r w:rsidRPr="00C957A8">
        <w:t>http://efebatumi.com/en/conference/batumi-ministerial-2016</w:t>
      </w:r>
      <w:r w:rsidR="00516304">
        <w:t>.</w:t>
      </w:r>
    </w:p>
  </w:footnote>
  <w:footnote w:id="4">
    <w:p w:rsidR="00282C9A" w:rsidRDefault="00282C9A" w:rsidP="00D04AA7">
      <w:pPr>
        <w:pStyle w:val="FootnoteText"/>
      </w:pPr>
      <w:r>
        <w:tab/>
      </w:r>
      <w:r w:rsidRPr="00EE3312">
        <w:rPr>
          <w:rStyle w:val="FootnoteReference"/>
        </w:rPr>
        <w:footnoteRef/>
      </w:r>
      <w:r>
        <w:tab/>
        <w:t>La version définitive des principales conclusions sera disponible avant la mi-avril 2016. On pourra y accéder sur le site web de la CEE.</w:t>
      </w:r>
    </w:p>
  </w:footnote>
  <w:footnote w:id="5">
    <w:p w:rsidR="00282C9A" w:rsidRDefault="00282C9A">
      <w:pPr>
        <w:pStyle w:val="FootnoteText"/>
      </w:pPr>
      <w:r>
        <w:tab/>
      </w:r>
      <w:r>
        <w:rPr>
          <w:rStyle w:val="FootnoteReference"/>
        </w:rPr>
        <w:footnoteRef/>
      </w:r>
      <w:r>
        <w:tab/>
      </w:r>
      <w:r w:rsidRPr="005549E7">
        <w:t>Le modèle de formulaire pour la présentation d</w:t>
      </w:r>
      <w:r>
        <w:t>’</w:t>
      </w:r>
      <w:r w:rsidRPr="005549E7">
        <w:t>engagements par les pays et organisations intéressés figure dans l</w:t>
      </w:r>
      <w:r>
        <w:t>’</w:t>
      </w:r>
      <w:r w:rsidRPr="005549E7">
        <w:t xml:space="preserve">appendice au document présentant le Cadre stratégique. Les engagements doivent être </w:t>
      </w:r>
      <w:r>
        <w:t>soumis, si possible, avant le 9 </w:t>
      </w:r>
      <w:r w:rsidRPr="005549E7">
        <w:t>mai 2016 afin de faciliter les préparatifs de la cérémonie (cependant, les engagements peuvent être soumis jusqu</w:t>
      </w:r>
      <w:r>
        <w:t>’</w:t>
      </w:r>
      <w:r w:rsidRPr="005549E7">
        <w:t>au début de la Conférence</w:t>
      </w:r>
      <w:r>
        <w:t>).</w:t>
      </w:r>
    </w:p>
  </w:footnote>
  <w:footnote w:id="6">
    <w:p w:rsidR="00314F97" w:rsidRDefault="00314F97">
      <w:pPr>
        <w:pStyle w:val="FootnoteText"/>
      </w:pPr>
      <w:r>
        <w:tab/>
      </w:r>
      <w:r>
        <w:rPr>
          <w:rStyle w:val="FootnoteReference"/>
        </w:rPr>
        <w:footnoteRef/>
      </w:r>
      <w:r>
        <w:tab/>
      </w:r>
      <w:r w:rsidRPr="005549E7">
        <w:t>Le modèle de formulaire pour la présentation d</w:t>
      </w:r>
      <w:r>
        <w:t>’</w:t>
      </w:r>
      <w:r w:rsidRPr="005549E7">
        <w:t>engagements par les pays et organisations intéressés figure dans l</w:t>
      </w:r>
      <w:r>
        <w:t>’</w:t>
      </w:r>
      <w:r w:rsidRPr="005549E7">
        <w:t>annexe au document présentant l</w:t>
      </w:r>
      <w:r>
        <w:t>’I</w:t>
      </w:r>
      <w:r w:rsidRPr="005549E7">
        <w:t xml:space="preserve">nitiative. Les initiatives doivent être soumises, si possible, avant le 9 mai 2016 afin de faciliter les préparatifs de la cérémonie (cependant, les </w:t>
      </w:r>
      <w:r w:rsidR="0066314C">
        <w:t>engagements peuvent être soumi</w:t>
      </w:r>
      <w:r w:rsidRPr="005549E7">
        <w:t>s jusqu</w:t>
      </w:r>
      <w:r>
        <w:t>’</w:t>
      </w:r>
      <w:r w:rsidRPr="005549E7">
        <w:t>au début de la Conférence).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Pr="00E33AE8" w:rsidRDefault="00282C9A">
    <w:pPr>
      <w:pStyle w:val="Header"/>
    </w:pPr>
    <w:r>
      <w:t>ECE/BATUMI.CONF/2016/1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Pr="00E33AE8" w:rsidRDefault="00282C9A" w:rsidP="00E33AE8">
    <w:pPr>
      <w:pStyle w:val="Header"/>
      <w:jc w:val="right"/>
    </w:pPr>
    <w:r>
      <w:t>ECE/BATUMI.CONF/2016/1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A" w:rsidRDefault="00282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65"/>
    <w:rsid w:val="00016AC5"/>
    <w:rsid w:val="000211DB"/>
    <w:rsid w:val="000219A2"/>
    <w:rsid w:val="00030ADE"/>
    <w:rsid w:val="000312C0"/>
    <w:rsid w:val="00093723"/>
    <w:rsid w:val="000F41F2"/>
    <w:rsid w:val="001013C6"/>
    <w:rsid w:val="00106AB0"/>
    <w:rsid w:val="00110AF7"/>
    <w:rsid w:val="00135C0D"/>
    <w:rsid w:val="00160540"/>
    <w:rsid w:val="0017182C"/>
    <w:rsid w:val="00177007"/>
    <w:rsid w:val="00184F98"/>
    <w:rsid w:val="00186EE9"/>
    <w:rsid w:val="00192EEB"/>
    <w:rsid w:val="001A09A0"/>
    <w:rsid w:val="001A20FB"/>
    <w:rsid w:val="001A7E72"/>
    <w:rsid w:val="001B403A"/>
    <w:rsid w:val="001B6F40"/>
    <w:rsid w:val="001C0261"/>
    <w:rsid w:val="001C5F5D"/>
    <w:rsid w:val="001D2918"/>
    <w:rsid w:val="001D5C41"/>
    <w:rsid w:val="001D7F8A"/>
    <w:rsid w:val="001E3FEB"/>
    <w:rsid w:val="001E4A02"/>
    <w:rsid w:val="00223B89"/>
    <w:rsid w:val="00225A8C"/>
    <w:rsid w:val="00232F12"/>
    <w:rsid w:val="0024230B"/>
    <w:rsid w:val="00257F1B"/>
    <w:rsid w:val="002659F1"/>
    <w:rsid w:val="00266618"/>
    <w:rsid w:val="00271C7C"/>
    <w:rsid w:val="00273A37"/>
    <w:rsid w:val="00282C9A"/>
    <w:rsid w:val="00287E79"/>
    <w:rsid w:val="00290A9D"/>
    <w:rsid w:val="002928F9"/>
    <w:rsid w:val="00293522"/>
    <w:rsid w:val="002A3CFD"/>
    <w:rsid w:val="002A5D07"/>
    <w:rsid w:val="002B7DBC"/>
    <w:rsid w:val="002D73FE"/>
    <w:rsid w:val="003016B7"/>
    <w:rsid w:val="00314F97"/>
    <w:rsid w:val="00330F9C"/>
    <w:rsid w:val="003374BD"/>
    <w:rsid w:val="00340C35"/>
    <w:rsid w:val="00350715"/>
    <w:rsid w:val="003515AA"/>
    <w:rsid w:val="00370E0F"/>
    <w:rsid w:val="00374106"/>
    <w:rsid w:val="003976D5"/>
    <w:rsid w:val="003C4610"/>
    <w:rsid w:val="003D1DF3"/>
    <w:rsid w:val="003D46A7"/>
    <w:rsid w:val="003D6C68"/>
    <w:rsid w:val="0040463D"/>
    <w:rsid w:val="004159D0"/>
    <w:rsid w:val="004249E7"/>
    <w:rsid w:val="004323CE"/>
    <w:rsid w:val="00446F3A"/>
    <w:rsid w:val="00463E86"/>
    <w:rsid w:val="00476645"/>
    <w:rsid w:val="004C5198"/>
    <w:rsid w:val="004E5975"/>
    <w:rsid w:val="00516304"/>
    <w:rsid w:val="00543D5E"/>
    <w:rsid w:val="005461BB"/>
    <w:rsid w:val="00565FAE"/>
    <w:rsid w:val="00571F41"/>
    <w:rsid w:val="00580572"/>
    <w:rsid w:val="00585F87"/>
    <w:rsid w:val="005B76A3"/>
    <w:rsid w:val="005C7CE1"/>
    <w:rsid w:val="005D471F"/>
    <w:rsid w:val="005E45EA"/>
    <w:rsid w:val="005E5D1F"/>
    <w:rsid w:val="005E781A"/>
    <w:rsid w:val="00603391"/>
    <w:rsid w:val="00611D43"/>
    <w:rsid w:val="00612D48"/>
    <w:rsid w:val="00616B45"/>
    <w:rsid w:val="00630D9B"/>
    <w:rsid w:val="00631953"/>
    <w:rsid w:val="00633E1A"/>
    <w:rsid w:val="00634946"/>
    <w:rsid w:val="006428AD"/>
    <w:rsid w:val="006439EC"/>
    <w:rsid w:val="00647FB5"/>
    <w:rsid w:val="0066314C"/>
    <w:rsid w:val="00665C3C"/>
    <w:rsid w:val="00673A16"/>
    <w:rsid w:val="006A0641"/>
    <w:rsid w:val="006B0C09"/>
    <w:rsid w:val="006B4590"/>
    <w:rsid w:val="006B47E0"/>
    <w:rsid w:val="006C29A7"/>
    <w:rsid w:val="006C340C"/>
    <w:rsid w:val="006D5980"/>
    <w:rsid w:val="006E5FC7"/>
    <w:rsid w:val="0070347C"/>
    <w:rsid w:val="007176C1"/>
    <w:rsid w:val="00725B05"/>
    <w:rsid w:val="0077334F"/>
    <w:rsid w:val="007745E1"/>
    <w:rsid w:val="00774A15"/>
    <w:rsid w:val="00790F2F"/>
    <w:rsid w:val="00794B72"/>
    <w:rsid w:val="007A4C68"/>
    <w:rsid w:val="007E64F2"/>
    <w:rsid w:val="007F248F"/>
    <w:rsid w:val="007F5077"/>
    <w:rsid w:val="007F55CB"/>
    <w:rsid w:val="00812C1A"/>
    <w:rsid w:val="0081570B"/>
    <w:rsid w:val="00826B30"/>
    <w:rsid w:val="008317F6"/>
    <w:rsid w:val="008323C2"/>
    <w:rsid w:val="008365F0"/>
    <w:rsid w:val="00844750"/>
    <w:rsid w:val="00845747"/>
    <w:rsid w:val="008503E2"/>
    <w:rsid w:val="00856BDA"/>
    <w:rsid w:val="008A3CD9"/>
    <w:rsid w:val="008B44C4"/>
    <w:rsid w:val="008B7879"/>
    <w:rsid w:val="008C1EE5"/>
    <w:rsid w:val="008C5E21"/>
    <w:rsid w:val="008E7FAE"/>
    <w:rsid w:val="00911BF7"/>
    <w:rsid w:val="00914F43"/>
    <w:rsid w:val="009703B0"/>
    <w:rsid w:val="00977EC8"/>
    <w:rsid w:val="009D3A8C"/>
    <w:rsid w:val="009E7956"/>
    <w:rsid w:val="00A2492E"/>
    <w:rsid w:val="00A34885"/>
    <w:rsid w:val="00A50B5F"/>
    <w:rsid w:val="00A51B41"/>
    <w:rsid w:val="00A6313E"/>
    <w:rsid w:val="00A64042"/>
    <w:rsid w:val="00A70163"/>
    <w:rsid w:val="00A92431"/>
    <w:rsid w:val="00AA41E6"/>
    <w:rsid w:val="00AC67A1"/>
    <w:rsid w:val="00AC7381"/>
    <w:rsid w:val="00AC7977"/>
    <w:rsid w:val="00AE352C"/>
    <w:rsid w:val="00B32E2D"/>
    <w:rsid w:val="00B40903"/>
    <w:rsid w:val="00B42196"/>
    <w:rsid w:val="00B4466B"/>
    <w:rsid w:val="00B61990"/>
    <w:rsid w:val="00B76E66"/>
    <w:rsid w:val="00B85D99"/>
    <w:rsid w:val="00B934F0"/>
    <w:rsid w:val="00B955D7"/>
    <w:rsid w:val="00BB2E94"/>
    <w:rsid w:val="00BD04A0"/>
    <w:rsid w:val="00BF0556"/>
    <w:rsid w:val="00BF3224"/>
    <w:rsid w:val="00C16EC6"/>
    <w:rsid w:val="00C261F8"/>
    <w:rsid w:val="00C33100"/>
    <w:rsid w:val="00C372E1"/>
    <w:rsid w:val="00C940E9"/>
    <w:rsid w:val="00CA3027"/>
    <w:rsid w:val="00CC53C9"/>
    <w:rsid w:val="00CD13C4"/>
    <w:rsid w:val="00CD1A71"/>
    <w:rsid w:val="00CD1FBB"/>
    <w:rsid w:val="00CD5BC0"/>
    <w:rsid w:val="00CE1566"/>
    <w:rsid w:val="00D016B5"/>
    <w:rsid w:val="00D034F1"/>
    <w:rsid w:val="00D04AA7"/>
    <w:rsid w:val="00D11B17"/>
    <w:rsid w:val="00D16897"/>
    <w:rsid w:val="00D27D5E"/>
    <w:rsid w:val="00D62E5A"/>
    <w:rsid w:val="00D6419E"/>
    <w:rsid w:val="00D847CD"/>
    <w:rsid w:val="00D90C3E"/>
    <w:rsid w:val="00DA43D5"/>
    <w:rsid w:val="00DA57D4"/>
    <w:rsid w:val="00DB4793"/>
    <w:rsid w:val="00DB69AB"/>
    <w:rsid w:val="00DE01E3"/>
    <w:rsid w:val="00DE6D90"/>
    <w:rsid w:val="00DF002F"/>
    <w:rsid w:val="00E0244D"/>
    <w:rsid w:val="00E03565"/>
    <w:rsid w:val="00E33AE8"/>
    <w:rsid w:val="00E55D71"/>
    <w:rsid w:val="00E81E94"/>
    <w:rsid w:val="00E82607"/>
    <w:rsid w:val="00EA31C2"/>
    <w:rsid w:val="00EE16FD"/>
    <w:rsid w:val="00EE2EA3"/>
    <w:rsid w:val="00F01516"/>
    <w:rsid w:val="00F179F7"/>
    <w:rsid w:val="00F21725"/>
    <w:rsid w:val="00F320A1"/>
    <w:rsid w:val="00F3415D"/>
    <w:rsid w:val="00F56368"/>
    <w:rsid w:val="00F57129"/>
    <w:rsid w:val="00F74C28"/>
    <w:rsid w:val="00F7751C"/>
    <w:rsid w:val="00F966EA"/>
    <w:rsid w:val="00FA5A79"/>
    <w:rsid w:val="00FB0BFE"/>
    <w:rsid w:val="00FB1A53"/>
    <w:rsid w:val="00FB4C51"/>
    <w:rsid w:val="00FE3803"/>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198"/>
    <w:pPr>
      <w:suppressAutoHyphens/>
      <w:kinsoku w:val="0"/>
      <w:overflowPunct w:val="0"/>
      <w:autoSpaceDE w:val="0"/>
      <w:autoSpaceDN w:val="0"/>
      <w:adjustRightInd w:val="0"/>
      <w:snapToGrid w:val="0"/>
      <w:spacing w:line="240" w:lineRule="atLeast"/>
    </w:pPr>
    <w:rPr>
      <w:rFonts w:eastAsiaTheme="minorHAnsi"/>
      <w:lang w:eastAsia="en-US"/>
    </w:rPr>
  </w:style>
  <w:style w:type="paragraph" w:styleId="Heading1">
    <w:name w:val="heading 1"/>
    <w:aliases w:val="Table_G"/>
    <w:basedOn w:val="SingleTxtG"/>
    <w:next w:val="SingleTxtG"/>
    <w:link w:val="Heading1Char"/>
    <w:qFormat/>
    <w:rsid w:val="004C5198"/>
    <w:pPr>
      <w:keepNext/>
      <w:keepLines/>
      <w:spacing w:after="0" w:line="240" w:lineRule="auto"/>
      <w:ind w:right="0"/>
      <w:jc w:val="left"/>
      <w:outlineLvl w:val="0"/>
    </w:pPr>
  </w:style>
  <w:style w:type="paragraph" w:styleId="Heading2">
    <w:name w:val="heading 2"/>
    <w:basedOn w:val="Normal"/>
    <w:next w:val="Normal"/>
    <w:link w:val="Heading2Char"/>
    <w:qFormat/>
    <w:rsid w:val="004C5198"/>
    <w:pPr>
      <w:outlineLvl w:val="1"/>
    </w:pPr>
  </w:style>
  <w:style w:type="paragraph" w:styleId="Heading3">
    <w:name w:val="heading 3"/>
    <w:basedOn w:val="Normal"/>
    <w:next w:val="Normal"/>
    <w:link w:val="Heading3Char"/>
    <w:qFormat/>
    <w:rsid w:val="004C5198"/>
    <w:pPr>
      <w:outlineLvl w:val="2"/>
    </w:pPr>
  </w:style>
  <w:style w:type="paragraph" w:styleId="Heading4">
    <w:name w:val="heading 4"/>
    <w:basedOn w:val="Normal"/>
    <w:next w:val="Normal"/>
    <w:link w:val="Heading4Char"/>
    <w:qFormat/>
    <w:rsid w:val="004C5198"/>
    <w:pPr>
      <w:outlineLvl w:val="3"/>
    </w:pPr>
  </w:style>
  <w:style w:type="paragraph" w:styleId="Heading5">
    <w:name w:val="heading 5"/>
    <w:basedOn w:val="Normal"/>
    <w:next w:val="Normal"/>
    <w:link w:val="Heading5Char"/>
    <w:qFormat/>
    <w:rsid w:val="004C5198"/>
    <w:pPr>
      <w:outlineLvl w:val="4"/>
    </w:pPr>
  </w:style>
  <w:style w:type="paragraph" w:styleId="Heading6">
    <w:name w:val="heading 6"/>
    <w:basedOn w:val="Normal"/>
    <w:next w:val="Normal"/>
    <w:link w:val="Heading6Char"/>
    <w:qFormat/>
    <w:rsid w:val="004C5198"/>
    <w:pPr>
      <w:outlineLvl w:val="5"/>
    </w:pPr>
  </w:style>
  <w:style w:type="paragraph" w:styleId="Heading7">
    <w:name w:val="heading 7"/>
    <w:basedOn w:val="Normal"/>
    <w:next w:val="Normal"/>
    <w:link w:val="Heading7Char"/>
    <w:qFormat/>
    <w:rsid w:val="004C5198"/>
    <w:pPr>
      <w:outlineLvl w:val="6"/>
    </w:pPr>
  </w:style>
  <w:style w:type="paragraph" w:styleId="Heading8">
    <w:name w:val="heading 8"/>
    <w:basedOn w:val="Normal"/>
    <w:next w:val="Normal"/>
    <w:link w:val="Heading8Char"/>
    <w:qFormat/>
    <w:rsid w:val="004C5198"/>
    <w:pPr>
      <w:outlineLvl w:val="7"/>
    </w:pPr>
  </w:style>
  <w:style w:type="paragraph" w:styleId="Heading9">
    <w:name w:val="heading 9"/>
    <w:basedOn w:val="Normal"/>
    <w:next w:val="Normal"/>
    <w:link w:val="Heading9Char"/>
    <w:qFormat/>
    <w:rsid w:val="004C51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4C51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C51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C51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C51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C51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C519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C5198"/>
    <w:pPr>
      <w:spacing w:after="120"/>
      <w:ind w:left="1134" w:right="1134"/>
      <w:jc w:val="both"/>
    </w:pPr>
  </w:style>
  <w:style w:type="paragraph" w:customStyle="1" w:styleId="SLG">
    <w:name w:val="__S_L_G"/>
    <w:basedOn w:val="Normal"/>
    <w:next w:val="Normal"/>
    <w:rsid w:val="004C5198"/>
    <w:pPr>
      <w:keepNext/>
      <w:keepLines/>
      <w:spacing w:before="240" w:after="240" w:line="580" w:lineRule="exact"/>
      <w:ind w:left="1134" w:right="1134"/>
    </w:pPr>
    <w:rPr>
      <w:b/>
      <w:sz w:val="56"/>
    </w:rPr>
  </w:style>
  <w:style w:type="paragraph" w:customStyle="1" w:styleId="SMG">
    <w:name w:val="__S_M_G"/>
    <w:basedOn w:val="Normal"/>
    <w:next w:val="Normal"/>
    <w:rsid w:val="004C5198"/>
    <w:pPr>
      <w:keepNext/>
      <w:keepLines/>
      <w:spacing w:before="240" w:after="240" w:line="420" w:lineRule="exact"/>
      <w:ind w:left="1134" w:right="1134"/>
    </w:pPr>
    <w:rPr>
      <w:b/>
      <w:sz w:val="40"/>
    </w:rPr>
  </w:style>
  <w:style w:type="paragraph" w:customStyle="1" w:styleId="SSG">
    <w:name w:val="__S_S_G"/>
    <w:basedOn w:val="Normal"/>
    <w:next w:val="Normal"/>
    <w:rsid w:val="004C5198"/>
    <w:pPr>
      <w:keepNext/>
      <w:keepLines/>
      <w:spacing w:before="240" w:after="240" w:line="300" w:lineRule="exact"/>
      <w:ind w:left="1134" w:right="1134"/>
    </w:pPr>
    <w:rPr>
      <w:b/>
      <w:sz w:val="28"/>
    </w:rPr>
  </w:style>
  <w:style w:type="paragraph" w:customStyle="1" w:styleId="XLargeG">
    <w:name w:val="__XLarge_G"/>
    <w:basedOn w:val="Normal"/>
    <w:next w:val="Normal"/>
    <w:rsid w:val="004C5198"/>
    <w:pPr>
      <w:keepNext/>
      <w:keepLines/>
      <w:spacing w:before="240" w:after="240" w:line="420" w:lineRule="exact"/>
      <w:ind w:left="1134" w:right="1134"/>
    </w:pPr>
    <w:rPr>
      <w:b/>
      <w:sz w:val="40"/>
    </w:rPr>
  </w:style>
  <w:style w:type="paragraph" w:customStyle="1" w:styleId="Bullet1G">
    <w:name w:val="_Bullet 1_G"/>
    <w:basedOn w:val="Normal"/>
    <w:qFormat/>
    <w:rsid w:val="004C5198"/>
    <w:pPr>
      <w:numPr>
        <w:numId w:val="1"/>
      </w:numPr>
      <w:spacing w:after="120"/>
      <w:ind w:right="1134"/>
      <w:jc w:val="both"/>
    </w:pPr>
  </w:style>
  <w:style w:type="paragraph" w:customStyle="1" w:styleId="Bullet2G">
    <w:name w:val="_Bullet 2_G"/>
    <w:basedOn w:val="Normal"/>
    <w:qFormat/>
    <w:rsid w:val="004C5198"/>
    <w:pPr>
      <w:numPr>
        <w:numId w:val="2"/>
      </w:numPr>
      <w:spacing w:after="120"/>
      <w:ind w:right="1134"/>
      <w:jc w:val="both"/>
    </w:pPr>
  </w:style>
  <w:style w:type="character" w:styleId="FootnoteReference">
    <w:name w:val="footnote reference"/>
    <w:aliases w:val="4_G"/>
    <w:basedOn w:val="DefaultParagraphFont"/>
    <w:qFormat/>
    <w:rsid w:val="004C5198"/>
    <w:rPr>
      <w:rFonts w:ascii="Times New Roman" w:hAnsi="Times New Roman"/>
      <w:sz w:val="18"/>
      <w:vertAlign w:val="superscript"/>
      <w:lang w:val="fr-CH"/>
    </w:rPr>
  </w:style>
  <w:style w:type="character" w:styleId="EndnoteReference">
    <w:name w:val="endnote reference"/>
    <w:aliases w:val="1_G"/>
    <w:basedOn w:val="FootnoteReference"/>
    <w:qFormat/>
    <w:rsid w:val="004C5198"/>
    <w:rPr>
      <w:rFonts w:ascii="Times New Roman" w:hAnsi="Times New Roman"/>
      <w:sz w:val="18"/>
      <w:vertAlign w:val="superscript"/>
      <w:lang w:val="fr-CH"/>
    </w:rPr>
  </w:style>
  <w:style w:type="paragraph" w:styleId="Header">
    <w:name w:val="header"/>
    <w:aliases w:val="6_G"/>
    <w:basedOn w:val="Normal"/>
    <w:next w:val="Normal"/>
    <w:link w:val="HeaderChar"/>
    <w:qFormat/>
    <w:rsid w:val="004C5198"/>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4C519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4C5198"/>
  </w:style>
  <w:style w:type="character" w:styleId="PageNumber">
    <w:name w:val="page number"/>
    <w:aliases w:val="7_G"/>
    <w:basedOn w:val="DefaultParagraphFont"/>
    <w:qFormat/>
    <w:rsid w:val="004C5198"/>
    <w:rPr>
      <w:rFonts w:ascii="Times New Roman" w:hAnsi="Times New Roman"/>
      <w:b/>
      <w:sz w:val="18"/>
      <w:lang w:val="fr-CH"/>
    </w:rPr>
  </w:style>
  <w:style w:type="paragraph" w:styleId="Footer">
    <w:name w:val="footer"/>
    <w:aliases w:val="3_G"/>
    <w:basedOn w:val="Normal"/>
    <w:next w:val="Normal"/>
    <w:link w:val="FooterChar"/>
    <w:qFormat/>
    <w:rsid w:val="004C5198"/>
    <w:pPr>
      <w:spacing w:line="240" w:lineRule="auto"/>
    </w:pPr>
    <w:rPr>
      <w:sz w:val="16"/>
    </w:rPr>
  </w:style>
  <w:style w:type="character" w:styleId="Hyperlink">
    <w:name w:val="Hyperlink"/>
    <w:basedOn w:val="DefaultParagraphFont"/>
    <w:unhideWhenUsed/>
    <w:rsid w:val="004C5198"/>
    <w:rPr>
      <w:color w:val="0000FF"/>
      <w:u w:val="none"/>
    </w:rPr>
  </w:style>
  <w:style w:type="character" w:styleId="FollowedHyperlink">
    <w:name w:val="FollowedHyperlink"/>
    <w:basedOn w:val="DefaultParagraphFont"/>
    <w:unhideWhenUsed/>
    <w:rsid w:val="004C5198"/>
    <w:rPr>
      <w:color w:val="0000FF"/>
      <w:u w:val="none"/>
    </w:rPr>
  </w:style>
  <w:style w:type="paragraph" w:customStyle="1" w:styleId="ParNoG">
    <w:name w:val="_ParNo_G"/>
    <w:basedOn w:val="Normal"/>
    <w:qFormat/>
    <w:rsid w:val="004C5198"/>
    <w:pPr>
      <w:numPr>
        <w:numId w:val="3"/>
      </w:numPr>
      <w:spacing w:after="120"/>
      <w:ind w:right="1134"/>
      <w:jc w:val="both"/>
    </w:pPr>
  </w:style>
  <w:style w:type="table" w:styleId="TableGrid">
    <w:name w:val="Table Grid"/>
    <w:basedOn w:val="TableNormal"/>
    <w:rsid w:val="004C5198"/>
    <w:pPr>
      <w:suppressAutoHyphens/>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4C51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519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4C5198"/>
    <w:rPr>
      <w:rFonts w:eastAsiaTheme="minorHAnsi"/>
      <w:sz w:val="18"/>
      <w:lang w:eastAsia="en-US"/>
    </w:rPr>
  </w:style>
  <w:style w:type="character" w:customStyle="1" w:styleId="EndnoteTextChar">
    <w:name w:val="Endnote Text Char"/>
    <w:aliases w:val="2_G Char"/>
    <w:basedOn w:val="DefaultParagraphFont"/>
    <w:link w:val="EndnoteText"/>
    <w:rsid w:val="004C5198"/>
    <w:rPr>
      <w:rFonts w:eastAsiaTheme="minorHAnsi"/>
      <w:sz w:val="18"/>
      <w:lang w:eastAsia="en-US"/>
    </w:rPr>
  </w:style>
  <w:style w:type="character" w:customStyle="1" w:styleId="HeaderChar">
    <w:name w:val="Header Char"/>
    <w:aliases w:val="6_G Char"/>
    <w:basedOn w:val="DefaultParagraphFont"/>
    <w:link w:val="Header"/>
    <w:rsid w:val="004C5198"/>
    <w:rPr>
      <w:rFonts w:eastAsiaTheme="minorHAnsi"/>
      <w:b/>
      <w:sz w:val="18"/>
      <w:lang w:eastAsia="en-US"/>
    </w:rPr>
  </w:style>
  <w:style w:type="character" w:customStyle="1" w:styleId="FooterChar">
    <w:name w:val="Footer Char"/>
    <w:aliases w:val="3_G Char"/>
    <w:basedOn w:val="DefaultParagraphFont"/>
    <w:link w:val="Footer"/>
    <w:rsid w:val="004C5198"/>
    <w:rPr>
      <w:rFonts w:eastAsiaTheme="minorHAnsi"/>
      <w:sz w:val="16"/>
      <w:lang w:eastAsia="en-US"/>
    </w:rPr>
  </w:style>
  <w:style w:type="character" w:customStyle="1" w:styleId="Heading1Char">
    <w:name w:val="Heading 1 Char"/>
    <w:aliases w:val="Table_G Char"/>
    <w:basedOn w:val="DefaultParagraphFont"/>
    <w:link w:val="Heading1"/>
    <w:rsid w:val="004C5198"/>
    <w:rPr>
      <w:rFonts w:eastAsiaTheme="minorHAnsi"/>
      <w:lang w:eastAsia="en-US"/>
    </w:rPr>
  </w:style>
  <w:style w:type="character" w:customStyle="1" w:styleId="Heading2Char">
    <w:name w:val="Heading 2 Char"/>
    <w:basedOn w:val="DefaultParagraphFont"/>
    <w:link w:val="Heading2"/>
    <w:rsid w:val="004C5198"/>
    <w:rPr>
      <w:rFonts w:eastAsiaTheme="minorHAnsi"/>
      <w:lang w:eastAsia="en-US"/>
    </w:rPr>
  </w:style>
  <w:style w:type="character" w:customStyle="1" w:styleId="Heading3Char">
    <w:name w:val="Heading 3 Char"/>
    <w:basedOn w:val="DefaultParagraphFont"/>
    <w:link w:val="Heading3"/>
    <w:rsid w:val="004C5198"/>
    <w:rPr>
      <w:rFonts w:eastAsiaTheme="minorHAnsi"/>
      <w:lang w:eastAsia="en-US"/>
    </w:rPr>
  </w:style>
  <w:style w:type="character" w:customStyle="1" w:styleId="Heading4Char">
    <w:name w:val="Heading 4 Char"/>
    <w:basedOn w:val="DefaultParagraphFont"/>
    <w:link w:val="Heading4"/>
    <w:rsid w:val="004C5198"/>
    <w:rPr>
      <w:rFonts w:eastAsiaTheme="minorHAnsi"/>
      <w:lang w:eastAsia="en-US"/>
    </w:rPr>
  </w:style>
  <w:style w:type="character" w:customStyle="1" w:styleId="Heading5Char">
    <w:name w:val="Heading 5 Char"/>
    <w:basedOn w:val="DefaultParagraphFont"/>
    <w:link w:val="Heading5"/>
    <w:rsid w:val="004C5198"/>
    <w:rPr>
      <w:rFonts w:eastAsiaTheme="minorHAnsi"/>
      <w:lang w:eastAsia="en-US"/>
    </w:rPr>
  </w:style>
  <w:style w:type="character" w:customStyle="1" w:styleId="Heading6Char">
    <w:name w:val="Heading 6 Char"/>
    <w:basedOn w:val="DefaultParagraphFont"/>
    <w:link w:val="Heading6"/>
    <w:rsid w:val="004C5198"/>
    <w:rPr>
      <w:rFonts w:eastAsiaTheme="minorHAnsi"/>
      <w:lang w:eastAsia="en-US"/>
    </w:rPr>
  </w:style>
  <w:style w:type="character" w:customStyle="1" w:styleId="Heading7Char">
    <w:name w:val="Heading 7 Char"/>
    <w:basedOn w:val="DefaultParagraphFont"/>
    <w:link w:val="Heading7"/>
    <w:rsid w:val="004C5198"/>
    <w:rPr>
      <w:rFonts w:eastAsiaTheme="minorHAnsi"/>
      <w:lang w:eastAsia="en-US"/>
    </w:rPr>
  </w:style>
  <w:style w:type="character" w:customStyle="1" w:styleId="Heading8Char">
    <w:name w:val="Heading 8 Char"/>
    <w:basedOn w:val="DefaultParagraphFont"/>
    <w:link w:val="Heading8"/>
    <w:rsid w:val="004C5198"/>
    <w:rPr>
      <w:rFonts w:eastAsiaTheme="minorHAnsi"/>
      <w:lang w:eastAsia="en-US"/>
    </w:rPr>
  </w:style>
  <w:style w:type="character" w:customStyle="1" w:styleId="Heading9Char">
    <w:name w:val="Heading 9 Char"/>
    <w:basedOn w:val="DefaultParagraphFont"/>
    <w:link w:val="Heading9"/>
    <w:rsid w:val="004C519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198"/>
    <w:pPr>
      <w:suppressAutoHyphens/>
      <w:kinsoku w:val="0"/>
      <w:overflowPunct w:val="0"/>
      <w:autoSpaceDE w:val="0"/>
      <w:autoSpaceDN w:val="0"/>
      <w:adjustRightInd w:val="0"/>
      <w:snapToGrid w:val="0"/>
      <w:spacing w:line="240" w:lineRule="atLeast"/>
    </w:pPr>
    <w:rPr>
      <w:rFonts w:eastAsiaTheme="minorHAnsi"/>
      <w:lang w:eastAsia="en-US"/>
    </w:rPr>
  </w:style>
  <w:style w:type="paragraph" w:styleId="Heading1">
    <w:name w:val="heading 1"/>
    <w:aliases w:val="Table_G"/>
    <w:basedOn w:val="SingleTxtG"/>
    <w:next w:val="SingleTxtG"/>
    <w:link w:val="Heading1Char"/>
    <w:qFormat/>
    <w:rsid w:val="004C5198"/>
    <w:pPr>
      <w:keepNext/>
      <w:keepLines/>
      <w:spacing w:after="0" w:line="240" w:lineRule="auto"/>
      <w:ind w:right="0"/>
      <w:jc w:val="left"/>
      <w:outlineLvl w:val="0"/>
    </w:pPr>
  </w:style>
  <w:style w:type="paragraph" w:styleId="Heading2">
    <w:name w:val="heading 2"/>
    <w:basedOn w:val="Normal"/>
    <w:next w:val="Normal"/>
    <w:link w:val="Heading2Char"/>
    <w:qFormat/>
    <w:rsid w:val="004C5198"/>
    <w:pPr>
      <w:outlineLvl w:val="1"/>
    </w:pPr>
  </w:style>
  <w:style w:type="paragraph" w:styleId="Heading3">
    <w:name w:val="heading 3"/>
    <w:basedOn w:val="Normal"/>
    <w:next w:val="Normal"/>
    <w:link w:val="Heading3Char"/>
    <w:qFormat/>
    <w:rsid w:val="004C5198"/>
    <w:pPr>
      <w:outlineLvl w:val="2"/>
    </w:pPr>
  </w:style>
  <w:style w:type="paragraph" w:styleId="Heading4">
    <w:name w:val="heading 4"/>
    <w:basedOn w:val="Normal"/>
    <w:next w:val="Normal"/>
    <w:link w:val="Heading4Char"/>
    <w:qFormat/>
    <w:rsid w:val="004C5198"/>
    <w:pPr>
      <w:outlineLvl w:val="3"/>
    </w:pPr>
  </w:style>
  <w:style w:type="paragraph" w:styleId="Heading5">
    <w:name w:val="heading 5"/>
    <w:basedOn w:val="Normal"/>
    <w:next w:val="Normal"/>
    <w:link w:val="Heading5Char"/>
    <w:qFormat/>
    <w:rsid w:val="004C5198"/>
    <w:pPr>
      <w:outlineLvl w:val="4"/>
    </w:pPr>
  </w:style>
  <w:style w:type="paragraph" w:styleId="Heading6">
    <w:name w:val="heading 6"/>
    <w:basedOn w:val="Normal"/>
    <w:next w:val="Normal"/>
    <w:link w:val="Heading6Char"/>
    <w:qFormat/>
    <w:rsid w:val="004C5198"/>
    <w:pPr>
      <w:outlineLvl w:val="5"/>
    </w:pPr>
  </w:style>
  <w:style w:type="paragraph" w:styleId="Heading7">
    <w:name w:val="heading 7"/>
    <w:basedOn w:val="Normal"/>
    <w:next w:val="Normal"/>
    <w:link w:val="Heading7Char"/>
    <w:qFormat/>
    <w:rsid w:val="004C5198"/>
    <w:pPr>
      <w:outlineLvl w:val="6"/>
    </w:pPr>
  </w:style>
  <w:style w:type="paragraph" w:styleId="Heading8">
    <w:name w:val="heading 8"/>
    <w:basedOn w:val="Normal"/>
    <w:next w:val="Normal"/>
    <w:link w:val="Heading8Char"/>
    <w:qFormat/>
    <w:rsid w:val="004C5198"/>
    <w:pPr>
      <w:outlineLvl w:val="7"/>
    </w:pPr>
  </w:style>
  <w:style w:type="paragraph" w:styleId="Heading9">
    <w:name w:val="heading 9"/>
    <w:basedOn w:val="Normal"/>
    <w:next w:val="Normal"/>
    <w:link w:val="Heading9Char"/>
    <w:qFormat/>
    <w:rsid w:val="004C51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4C51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C51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C51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C51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C51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C519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C5198"/>
    <w:pPr>
      <w:spacing w:after="120"/>
      <w:ind w:left="1134" w:right="1134"/>
      <w:jc w:val="both"/>
    </w:pPr>
  </w:style>
  <w:style w:type="paragraph" w:customStyle="1" w:styleId="SLG">
    <w:name w:val="__S_L_G"/>
    <w:basedOn w:val="Normal"/>
    <w:next w:val="Normal"/>
    <w:rsid w:val="004C5198"/>
    <w:pPr>
      <w:keepNext/>
      <w:keepLines/>
      <w:spacing w:before="240" w:after="240" w:line="580" w:lineRule="exact"/>
      <w:ind w:left="1134" w:right="1134"/>
    </w:pPr>
    <w:rPr>
      <w:b/>
      <w:sz w:val="56"/>
    </w:rPr>
  </w:style>
  <w:style w:type="paragraph" w:customStyle="1" w:styleId="SMG">
    <w:name w:val="__S_M_G"/>
    <w:basedOn w:val="Normal"/>
    <w:next w:val="Normal"/>
    <w:rsid w:val="004C5198"/>
    <w:pPr>
      <w:keepNext/>
      <w:keepLines/>
      <w:spacing w:before="240" w:after="240" w:line="420" w:lineRule="exact"/>
      <w:ind w:left="1134" w:right="1134"/>
    </w:pPr>
    <w:rPr>
      <w:b/>
      <w:sz w:val="40"/>
    </w:rPr>
  </w:style>
  <w:style w:type="paragraph" w:customStyle="1" w:styleId="SSG">
    <w:name w:val="__S_S_G"/>
    <w:basedOn w:val="Normal"/>
    <w:next w:val="Normal"/>
    <w:rsid w:val="004C5198"/>
    <w:pPr>
      <w:keepNext/>
      <w:keepLines/>
      <w:spacing w:before="240" w:after="240" w:line="300" w:lineRule="exact"/>
      <w:ind w:left="1134" w:right="1134"/>
    </w:pPr>
    <w:rPr>
      <w:b/>
      <w:sz w:val="28"/>
    </w:rPr>
  </w:style>
  <w:style w:type="paragraph" w:customStyle="1" w:styleId="XLargeG">
    <w:name w:val="__XLarge_G"/>
    <w:basedOn w:val="Normal"/>
    <w:next w:val="Normal"/>
    <w:rsid w:val="004C5198"/>
    <w:pPr>
      <w:keepNext/>
      <w:keepLines/>
      <w:spacing w:before="240" w:after="240" w:line="420" w:lineRule="exact"/>
      <w:ind w:left="1134" w:right="1134"/>
    </w:pPr>
    <w:rPr>
      <w:b/>
      <w:sz w:val="40"/>
    </w:rPr>
  </w:style>
  <w:style w:type="paragraph" w:customStyle="1" w:styleId="Bullet1G">
    <w:name w:val="_Bullet 1_G"/>
    <w:basedOn w:val="Normal"/>
    <w:qFormat/>
    <w:rsid w:val="004C5198"/>
    <w:pPr>
      <w:numPr>
        <w:numId w:val="1"/>
      </w:numPr>
      <w:spacing w:after="120"/>
      <w:ind w:right="1134"/>
      <w:jc w:val="both"/>
    </w:pPr>
  </w:style>
  <w:style w:type="paragraph" w:customStyle="1" w:styleId="Bullet2G">
    <w:name w:val="_Bullet 2_G"/>
    <w:basedOn w:val="Normal"/>
    <w:qFormat/>
    <w:rsid w:val="004C5198"/>
    <w:pPr>
      <w:numPr>
        <w:numId w:val="2"/>
      </w:numPr>
      <w:spacing w:after="120"/>
      <w:ind w:right="1134"/>
      <w:jc w:val="both"/>
    </w:pPr>
  </w:style>
  <w:style w:type="character" w:styleId="FootnoteReference">
    <w:name w:val="footnote reference"/>
    <w:aliases w:val="4_G"/>
    <w:basedOn w:val="DefaultParagraphFont"/>
    <w:qFormat/>
    <w:rsid w:val="004C5198"/>
    <w:rPr>
      <w:rFonts w:ascii="Times New Roman" w:hAnsi="Times New Roman"/>
      <w:sz w:val="18"/>
      <w:vertAlign w:val="superscript"/>
      <w:lang w:val="fr-CH"/>
    </w:rPr>
  </w:style>
  <w:style w:type="character" w:styleId="EndnoteReference">
    <w:name w:val="endnote reference"/>
    <w:aliases w:val="1_G"/>
    <w:basedOn w:val="FootnoteReference"/>
    <w:qFormat/>
    <w:rsid w:val="004C5198"/>
    <w:rPr>
      <w:rFonts w:ascii="Times New Roman" w:hAnsi="Times New Roman"/>
      <w:sz w:val="18"/>
      <w:vertAlign w:val="superscript"/>
      <w:lang w:val="fr-CH"/>
    </w:rPr>
  </w:style>
  <w:style w:type="paragraph" w:styleId="Header">
    <w:name w:val="header"/>
    <w:aliases w:val="6_G"/>
    <w:basedOn w:val="Normal"/>
    <w:next w:val="Normal"/>
    <w:link w:val="HeaderChar"/>
    <w:qFormat/>
    <w:rsid w:val="004C5198"/>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4C519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4C5198"/>
  </w:style>
  <w:style w:type="character" w:styleId="PageNumber">
    <w:name w:val="page number"/>
    <w:aliases w:val="7_G"/>
    <w:basedOn w:val="DefaultParagraphFont"/>
    <w:qFormat/>
    <w:rsid w:val="004C5198"/>
    <w:rPr>
      <w:rFonts w:ascii="Times New Roman" w:hAnsi="Times New Roman"/>
      <w:b/>
      <w:sz w:val="18"/>
      <w:lang w:val="fr-CH"/>
    </w:rPr>
  </w:style>
  <w:style w:type="paragraph" w:styleId="Footer">
    <w:name w:val="footer"/>
    <w:aliases w:val="3_G"/>
    <w:basedOn w:val="Normal"/>
    <w:next w:val="Normal"/>
    <w:link w:val="FooterChar"/>
    <w:qFormat/>
    <w:rsid w:val="004C5198"/>
    <w:pPr>
      <w:spacing w:line="240" w:lineRule="auto"/>
    </w:pPr>
    <w:rPr>
      <w:sz w:val="16"/>
    </w:rPr>
  </w:style>
  <w:style w:type="character" w:styleId="Hyperlink">
    <w:name w:val="Hyperlink"/>
    <w:basedOn w:val="DefaultParagraphFont"/>
    <w:unhideWhenUsed/>
    <w:rsid w:val="004C5198"/>
    <w:rPr>
      <w:color w:val="0000FF"/>
      <w:u w:val="none"/>
    </w:rPr>
  </w:style>
  <w:style w:type="character" w:styleId="FollowedHyperlink">
    <w:name w:val="FollowedHyperlink"/>
    <w:basedOn w:val="DefaultParagraphFont"/>
    <w:unhideWhenUsed/>
    <w:rsid w:val="004C5198"/>
    <w:rPr>
      <w:color w:val="0000FF"/>
      <w:u w:val="none"/>
    </w:rPr>
  </w:style>
  <w:style w:type="paragraph" w:customStyle="1" w:styleId="ParNoG">
    <w:name w:val="_ParNo_G"/>
    <w:basedOn w:val="Normal"/>
    <w:qFormat/>
    <w:rsid w:val="004C5198"/>
    <w:pPr>
      <w:numPr>
        <w:numId w:val="3"/>
      </w:numPr>
      <w:spacing w:after="120"/>
      <w:ind w:right="1134"/>
      <w:jc w:val="both"/>
    </w:pPr>
  </w:style>
  <w:style w:type="table" w:styleId="TableGrid">
    <w:name w:val="Table Grid"/>
    <w:basedOn w:val="TableNormal"/>
    <w:rsid w:val="004C5198"/>
    <w:pPr>
      <w:suppressAutoHyphens/>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4C51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C519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4C5198"/>
    <w:rPr>
      <w:rFonts w:eastAsiaTheme="minorHAnsi"/>
      <w:sz w:val="18"/>
      <w:lang w:eastAsia="en-US"/>
    </w:rPr>
  </w:style>
  <w:style w:type="character" w:customStyle="1" w:styleId="EndnoteTextChar">
    <w:name w:val="Endnote Text Char"/>
    <w:aliases w:val="2_G Char"/>
    <w:basedOn w:val="DefaultParagraphFont"/>
    <w:link w:val="EndnoteText"/>
    <w:rsid w:val="004C5198"/>
    <w:rPr>
      <w:rFonts w:eastAsiaTheme="minorHAnsi"/>
      <w:sz w:val="18"/>
      <w:lang w:eastAsia="en-US"/>
    </w:rPr>
  </w:style>
  <w:style w:type="character" w:customStyle="1" w:styleId="HeaderChar">
    <w:name w:val="Header Char"/>
    <w:aliases w:val="6_G Char"/>
    <w:basedOn w:val="DefaultParagraphFont"/>
    <w:link w:val="Header"/>
    <w:rsid w:val="004C5198"/>
    <w:rPr>
      <w:rFonts w:eastAsiaTheme="minorHAnsi"/>
      <w:b/>
      <w:sz w:val="18"/>
      <w:lang w:eastAsia="en-US"/>
    </w:rPr>
  </w:style>
  <w:style w:type="character" w:customStyle="1" w:styleId="FooterChar">
    <w:name w:val="Footer Char"/>
    <w:aliases w:val="3_G Char"/>
    <w:basedOn w:val="DefaultParagraphFont"/>
    <w:link w:val="Footer"/>
    <w:rsid w:val="004C5198"/>
    <w:rPr>
      <w:rFonts w:eastAsiaTheme="minorHAnsi"/>
      <w:sz w:val="16"/>
      <w:lang w:eastAsia="en-US"/>
    </w:rPr>
  </w:style>
  <w:style w:type="character" w:customStyle="1" w:styleId="Heading1Char">
    <w:name w:val="Heading 1 Char"/>
    <w:aliases w:val="Table_G Char"/>
    <w:basedOn w:val="DefaultParagraphFont"/>
    <w:link w:val="Heading1"/>
    <w:rsid w:val="004C5198"/>
    <w:rPr>
      <w:rFonts w:eastAsiaTheme="minorHAnsi"/>
      <w:lang w:eastAsia="en-US"/>
    </w:rPr>
  </w:style>
  <w:style w:type="character" w:customStyle="1" w:styleId="Heading2Char">
    <w:name w:val="Heading 2 Char"/>
    <w:basedOn w:val="DefaultParagraphFont"/>
    <w:link w:val="Heading2"/>
    <w:rsid w:val="004C5198"/>
    <w:rPr>
      <w:rFonts w:eastAsiaTheme="minorHAnsi"/>
      <w:lang w:eastAsia="en-US"/>
    </w:rPr>
  </w:style>
  <w:style w:type="character" w:customStyle="1" w:styleId="Heading3Char">
    <w:name w:val="Heading 3 Char"/>
    <w:basedOn w:val="DefaultParagraphFont"/>
    <w:link w:val="Heading3"/>
    <w:rsid w:val="004C5198"/>
    <w:rPr>
      <w:rFonts w:eastAsiaTheme="minorHAnsi"/>
      <w:lang w:eastAsia="en-US"/>
    </w:rPr>
  </w:style>
  <w:style w:type="character" w:customStyle="1" w:styleId="Heading4Char">
    <w:name w:val="Heading 4 Char"/>
    <w:basedOn w:val="DefaultParagraphFont"/>
    <w:link w:val="Heading4"/>
    <w:rsid w:val="004C5198"/>
    <w:rPr>
      <w:rFonts w:eastAsiaTheme="minorHAnsi"/>
      <w:lang w:eastAsia="en-US"/>
    </w:rPr>
  </w:style>
  <w:style w:type="character" w:customStyle="1" w:styleId="Heading5Char">
    <w:name w:val="Heading 5 Char"/>
    <w:basedOn w:val="DefaultParagraphFont"/>
    <w:link w:val="Heading5"/>
    <w:rsid w:val="004C5198"/>
    <w:rPr>
      <w:rFonts w:eastAsiaTheme="minorHAnsi"/>
      <w:lang w:eastAsia="en-US"/>
    </w:rPr>
  </w:style>
  <w:style w:type="character" w:customStyle="1" w:styleId="Heading6Char">
    <w:name w:val="Heading 6 Char"/>
    <w:basedOn w:val="DefaultParagraphFont"/>
    <w:link w:val="Heading6"/>
    <w:rsid w:val="004C5198"/>
    <w:rPr>
      <w:rFonts w:eastAsiaTheme="minorHAnsi"/>
      <w:lang w:eastAsia="en-US"/>
    </w:rPr>
  </w:style>
  <w:style w:type="character" w:customStyle="1" w:styleId="Heading7Char">
    <w:name w:val="Heading 7 Char"/>
    <w:basedOn w:val="DefaultParagraphFont"/>
    <w:link w:val="Heading7"/>
    <w:rsid w:val="004C5198"/>
    <w:rPr>
      <w:rFonts w:eastAsiaTheme="minorHAnsi"/>
      <w:lang w:eastAsia="en-US"/>
    </w:rPr>
  </w:style>
  <w:style w:type="character" w:customStyle="1" w:styleId="Heading8Char">
    <w:name w:val="Heading 8 Char"/>
    <w:basedOn w:val="DefaultParagraphFont"/>
    <w:link w:val="Heading8"/>
    <w:rsid w:val="004C5198"/>
    <w:rPr>
      <w:rFonts w:eastAsiaTheme="minorHAnsi"/>
      <w:lang w:eastAsia="en-US"/>
    </w:rPr>
  </w:style>
  <w:style w:type="character" w:customStyle="1" w:styleId="Heading9Char">
    <w:name w:val="Heading 9 Char"/>
    <w:basedOn w:val="DefaultParagraphFont"/>
    <w:link w:val="Heading9"/>
    <w:rsid w:val="004C519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D7FB-12A4-4893-9530-3141B50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4026</Words>
  <Characters>22952</Characters>
  <Application>Microsoft Office Word</Application>
  <DocSecurity>4</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ECE/BATUMI.CONF/2016/1</vt:lpstr>
      <vt:lpstr>ECE/BATUMI.CONF/2016/1</vt:lpstr>
    </vt:vector>
  </TitlesOfParts>
  <Company>CSD</Company>
  <LinksUpToDate>false</LinksUpToDate>
  <CharactersWithSpaces>26925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ECE/BATUMI.CONF/2016/1</dc:title>
  <dc:subject>Final</dc:subject>
  <dc:creator>Julien Okrzesik</dc:creator>
  <cp:lastModifiedBy>Maricar De_La_Cruz</cp:lastModifiedBy>
  <cp:revision>2</cp:revision>
  <cp:lastPrinted>2011-07-18T08:02:00Z</cp:lastPrinted>
  <dcterms:created xsi:type="dcterms:W3CDTF">2016-05-19T14:33:00Z</dcterms:created>
  <dcterms:modified xsi:type="dcterms:W3CDTF">2016-05-19T14:33:00Z</dcterms:modified>
</cp:coreProperties>
</file>