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519AAF22" w14:textId="77777777" w:rsidTr="006476E1">
        <w:trPr>
          <w:trHeight w:val="851"/>
        </w:trPr>
        <w:tc>
          <w:tcPr>
            <w:tcW w:w="1259" w:type="dxa"/>
            <w:tcBorders>
              <w:top w:val="nil"/>
              <w:left w:val="nil"/>
              <w:bottom w:val="single" w:sz="4" w:space="0" w:color="auto"/>
              <w:right w:val="nil"/>
            </w:tcBorders>
          </w:tcPr>
          <w:p w14:paraId="647E745D" w14:textId="77777777" w:rsidR="00E52109" w:rsidRPr="002A32CB" w:rsidRDefault="00E52109" w:rsidP="004858F5"/>
        </w:tc>
        <w:tc>
          <w:tcPr>
            <w:tcW w:w="2236" w:type="dxa"/>
            <w:tcBorders>
              <w:top w:val="nil"/>
              <w:left w:val="nil"/>
              <w:bottom w:val="single" w:sz="4" w:space="0" w:color="auto"/>
              <w:right w:val="nil"/>
            </w:tcBorders>
            <w:vAlign w:val="bottom"/>
          </w:tcPr>
          <w:p w14:paraId="624303CD"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FF5BE84" w14:textId="6CD82DBD" w:rsidR="00E52109" w:rsidRDefault="00E87CEA" w:rsidP="00E87CEA">
            <w:pPr>
              <w:jc w:val="right"/>
            </w:pPr>
            <w:r w:rsidRPr="00E87CEA">
              <w:rPr>
                <w:sz w:val="40"/>
              </w:rPr>
              <w:t>ST</w:t>
            </w:r>
            <w:r>
              <w:t>/SG/AC.10/C.3/2024/10</w:t>
            </w:r>
          </w:p>
        </w:tc>
      </w:tr>
      <w:tr w:rsidR="00E52109" w14:paraId="698C6ABD" w14:textId="77777777" w:rsidTr="006476E1">
        <w:trPr>
          <w:trHeight w:val="2835"/>
        </w:trPr>
        <w:tc>
          <w:tcPr>
            <w:tcW w:w="1259" w:type="dxa"/>
            <w:tcBorders>
              <w:top w:val="single" w:sz="4" w:space="0" w:color="auto"/>
              <w:left w:val="nil"/>
              <w:bottom w:val="single" w:sz="12" w:space="0" w:color="auto"/>
              <w:right w:val="nil"/>
            </w:tcBorders>
          </w:tcPr>
          <w:p w14:paraId="363D9BBF" w14:textId="77777777" w:rsidR="00E52109" w:rsidRDefault="00E52109" w:rsidP="006476E1">
            <w:pPr>
              <w:spacing w:before="120"/>
              <w:jc w:val="center"/>
            </w:pPr>
            <w:r>
              <w:rPr>
                <w:noProof/>
                <w:lang w:val="fr-CH" w:eastAsia="fr-CH"/>
              </w:rPr>
              <w:drawing>
                <wp:inline distT="0" distB="0" distL="0" distR="0" wp14:anchorId="3737BDFD" wp14:editId="708068E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48CB38B"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5F9464AD" w14:textId="77777777" w:rsidR="00D94B05" w:rsidRDefault="00E87CEA" w:rsidP="00E87CEA">
            <w:pPr>
              <w:spacing w:before="240" w:line="240" w:lineRule="exact"/>
            </w:pPr>
            <w:r>
              <w:t>Distr.: General</w:t>
            </w:r>
          </w:p>
          <w:p w14:paraId="6FC96FD5" w14:textId="67B6797A" w:rsidR="00E87CEA" w:rsidRDefault="006D450A" w:rsidP="00E87CEA">
            <w:pPr>
              <w:spacing w:line="240" w:lineRule="exact"/>
            </w:pPr>
            <w:r>
              <w:t>3 April</w:t>
            </w:r>
            <w:r w:rsidR="00E87CEA">
              <w:t xml:space="preserve"> 2024</w:t>
            </w:r>
          </w:p>
          <w:p w14:paraId="73352314" w14:textId="77777777" w:rsidR="00E87CEA" w:rsidRDefault="00E87CEA" w:rsidP="00E87CEA">
            <w:pPr>
              <w:spacing w:line="240" w:lineRule="exact"/>
            </w:pPr>
          </w:p>
          <w:p w14:paraId="54D0CE6F" w14:textId="588FB14C" w:rsidR="00E87CEA" w:rsidRDefault="00E87CEA" w:rsidP="00E87CEA">
            <w:pPr>
              <w:spacing w:line="240" w:lineRule="exact"/>
            </w:pPr>
            <w:r>
              <w:t>Original: English</w:t>
            </w:r>
          </w:p>
        </w:tc>
      </w:tr>
    </w:tbl>
    <w:p w14:paraId="4E22BD83" w14:textId="77777777" w:rsidR="00E87CEA" w:rsidRPr="006500BA" w:rsidRDefault="00E87CEA"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25CD2A6D" w14:textId="77777777" w:rsidR="00E87CEA" w:rsidRPr="006500BA" w:rsidRDefault="00E87CEA" w:rsidP="004858F5">
      <w:pPr>
        <w:spacing w:before="120"/>
        <w:rPr>
          <w:rFonts w:ascii="Helv" w:hAnsi="Helv" w:cs="Helv"/>
          <w:b/>
          <w:color w:val="000000"/>
        </w:rPr>
      </w:pPr>
      <w:r w:rsidRPr="006500BA">
        <w:rPr>
          <w:b/>
        </w:rPr>
        <w:t xml:space="preserve">Sub-Committee of Experts on the </w:t>
      </w:r>
      <w:r>
        <w:rPr>
          <w:b/>
        </w:rPr>
        <w:t>Transport of Dangerous Goods</w:t>
      </w:r>
    </w:p>
    <w:p w14:paraId="4AE15749" w14:textId="4DEF6485" w:rsidR="00E87CEA" w:rsidRPr="006500BA" w:rsidRDefault="00E87CEA" w:rsidP="004858F5">
      <w:pPr>
        <w:spacing w:before="120"/>
        <w:rPr>
          <w:b/>
        </w:rPr>
      </w:pPr>
      <w:r>
        <w:rPr>
          <w:b/>
        </w:rPr>
        <w:t xml:space="preserve">Sixty-fourth </w:t>
      </w:r>
      <w:r w:rsidRPr="006500BA">
        <w:rPr>
          <w:b/>
        </w:rPr>
        <w:t>session</w:t>
      </w:r>
    </w:p>
    <w:p w14:paraId="41DE747F" w14:textId="3BED3758" w:rsidR="00E87CEA" w:rsidRPr="006500BA" w:rsidRDefault="00E87CEA" w:rsidP="004858F5">
      <w:r w:rsidRPr="006500BA">
        <w:t xml:space="preserve">Geneva, </w:t>
      </w:r>
      <w:r>
        <w:t>24 June-3 July 2024</w:t>
      </w:r>
    </w:p>
    <w:p w14:paraId="0E27F1F9" w14:textId="6D24CE6B" w:rsidR="00E87CEA" w:rsidRPr="006500BA" w:rsidRDefault="00E87CEA" w:rsidP="004858F5">
      <w:r w:rsidRPr="006500BA">
        <w:t xml:space="preserve">Item </w:t>
      </w:r>
      <w:r w:rsidR="009265EC">
        <w:t>3</w:t>
      </w:r>
      <w:r w:rsidRPr="006500BA">
        <w:t xml:space="preserve"> of the provisional agenda</w:t>
      </w:r>
    </w:p>
    <w:p w14:paraId="1082791B" w14:textId="191CFF76" w:rsidR="00AF5DE1" w:rsidRDefault="00916CC1" w:rsidP="004858F5">
      <w:pPr>
        <w:rPr>
          <w:b/>
          <w:bCs/>
        </w:rPr>
      </w:pPr>
      <w:r>
        <w:rPr>
          <w:b/>
          <w:bCs/>
        </w:rPr>
        <w:t xml:space="preserve">Listing, </w:t>
      </w:r>
      <w:proofErr w:type="gramStart"/>
      <w:r>
        <w:rPr>
          <w:b/>
          <w:bCs/>
        </w:rPr>
        <w:t>classification</w:t>
      </w:r>
      <w:proofErr w:type="gramEnd"/>
      <w:r>
        <w:rPr>
          <w:b/>
          <w:bCs/>
        </w:rPr>
        <w:t xml:space="preserve"> and packing</w:t>
      </w:r>
    </w:p>
    <w:p w14:paraId="24603D97" w14:textId="398AAFE7" w:rsidR="00A16522" w:rsidRPr="003B4AF6" w:rsidRDefault="00A16522" w:rsidP="00A54F00">
      <w:pPr>
        <w:pStyle w:val="HChG"/>
        <w:rPr>
          <w:lang w:eastAsia="ja-JP"/>
        </w:rPr>
      </w:pPr>
      <w:r>
        <w:tab/>
      </w:r>
      <w:r>
        <w:tab/>
      </w:r>
      <w:r>
        <w:rPr>
          <w:lang w:eastAsia="ja-JP"/>
        </w:rPr>
        <w:t>Entries for Seed Cake, UN</w:t>
      </w:r>
      <w:r w:rsidR="00A54F00">
        <w:rPr>
          <w:lang w:eastAsia="ja-JP"/>
        </w:rPr>
        <w:t> </w:t>
      </w:r>
      <w:proofErr w:type="gramStart"/>
      <w:r w:rsidRPr="00A54F00">
        <w:t>1386</w:t>
      </w:r>
      <w:proofErr w:type="gramEnd"/>
      <w:r>
        <w:rPr>
          <w:lang w:eastAsia="ja-JP"/>
        </w:rPr>
        <w:t xml:space="preserve"> and UN</w:t>
      </w:r>
      <w:r w:rsidR="00A54F00">
        <w:rPr>
          <w:lang w:eastAsia="ja-JP"/>
        </w:rPr>
        <w:t> </w:t>
      </w:r>
      <w:r>
        <w:rPr>
          <w:lang w:eastAsia="ja-JP"/>
        </w:rPr>
        <w:t>2217</w:t>
      </w:r>
    </w:p>
    <w:p w14:paraId="1B279C34" w14:textId="2D7EC970" w:rsidR="00A16522" w:rsidRDefault="00A16522" w:rsidP="00A54F00">
      <w:pPr>
        <w:pStyle w:val="H1G"/>
      </w:pPr>
      <w:r>
        <w:rPr>
          <w:lang w:val="en-US"/>
        </w:rPr>
        <w:tab/>
      </w:r>
      <w:r>
        <w:rPr>
          <w:lang w:val="en-US"/>
        </w:rPr>
        <w:tab/>
      </w:r>
      <w:r>
        <w:t xml:space="preserve">Submitted by </w:t>
      </w:r>
      <w:r w:rsidRPr="00A54F00">
        <w:t>the</w:t>
      </w:r>
      <w:r>
        <w:t xml:space="preserve"> Grain and Feed Trade Association (GAFTA)</w:t>
      </w:r>
      <w:r w:rsidR="002F6BA8" w:rsidRPr="00217CB7">
        <w:rPr>
          <w:rStyle w:val="FootnoteReference"/>
          <w:color w:val="000000" w:themeColor="text1"/>
          <w:sz w:val="20"/>
          <w:vertAlign w:val="baseline"/>
          <w:lang w:val="en-US"/>
        </w:rPr>
        <w:footnoteReference w:customMarkFollows="1" w:id="2"/>
        <w:t>*</w:t>
      </w:r>
    </w:p>
    <w:p w14:paraId="7B4E4455" w14:textId="64FFE040" w:rsidR="00241FBB" w:rsidRPr="00241FBB" w:rsidRDefault="00241FBB" w:rsidP="00241FBB">
      <w:pPr>
        <w:pStyle w:val="HChG"/>
      </w:pPr>
      <w:r>
        <w:tab/>
        <w:t>I.</w:t>
      </w:r>
      <w:r>
        <w:tab/>
        <w:t>Introduction</w:t>
      </w:r>
    </w:p>
    <w:p w14:paraId="59A04244" w14:textId="1ADDFEFB" w:rsidR="00A16522" w:rsidRDefault="00A16522" w:rsidP="00A54F00">
      <w:pPr>
        <w:pStyle w:val="SingleTxtG"/>
        <w:rPr>
          <w:lang w:val="en-US"/>
        </w:rPr>
      </w:pPr>
      <w:r w:rsidRPr="00BF3831">
        <w:rPr>
          <w:lang w:val="en-US"/>
        </w:rPr>
        <w:t>1.</w:t>
      </w:r>
      <w:r>
        <w:rPr>
          <w:lang w:val="en-US"/>
        </w:rPr>
        <w:tab/>
        <w:t>Seed cake is transported in significant quantities by sea worldwide. O</w:t>
      </w:r>
      <w:r w:rsidRPr="006C6631">
        <w:rPr>
          <w:lang w:val="en-US"/>
        </w:rPr>
        <w:t>ver 3</w:t>
      </w:r>
      <w:r>
        <w:rPr>
          <w:lang w:val="en-US"/>
        </w:rPr>
        <w:t>50</w:t>
      </w:r>
      <w:r w:rsidRPr="006C6631">
        <w:rPr>
          <w:lang w:val="en-US"/>
        </w:rPr>
        <w:t xml:space="preserve"> million tons of seed cakes are</w:t>
      </w:r>
      <w:r>
        <w:rPr>
          <w:lang w:val="en-US"/>
        </w:rPr>
        <w:t xml:space="preserve"> </w:t>
      </w:r>
      <w:r w:rsidRPr="006C6631">
        <w:rPr>
          <w:lang w:val="en-US"/>
        </w:rPr>
        <w:t>transported globally each year.</w:t>
      </w:r>
      <w:r>
        <w:rPr>
          <w:lang w:val="en-US"/>
        </w:rPr>
        <w:t xml:space="preserve"> </w:t>
      </w:r>
      <w:r w:rsidRPr="00E25188">
        <w:rPr>
          <w:lang w:val="en-US"/>
        </w:rPr>
        <w:t xml:space="preserve">The entries for seed cake includes both mechanically and solvent expelled products and a wide variety of inputs, including rape seed meal, rape seed pellets, soybean meal, cotton seed meal, and sunflower seed meal. </w:t>
      </w:r>
      <w:r>
        <w:rPr>
          <w:lang w:val="en-US"/>
        </w:rPr>
        <w:t>Seed cake has long been considered a dangerous good going back to the origins of the U</w:t>
      </w:r>
      <w:r w:rsidR="00604C19">
        <w:rPr>
          <w:lang w:val="en-US"/>
        </w:rPr>
        <w:t xml:space="preserve">nited </w:t>
      </w:r>
      <w:r>
        <w:rPr>
          <w:lang w:val="en-US"/>
        </w:rPr>
        <w:t>N</w:t>
      </w:r>
      <w:r w:rsidR="00604C19">
        <w:rPr>
          <w:lang w:val="en-US"/>
        </w:rPr>
        <w:t>ations</w:t>
      </w:r>
      <w:r>
        <w:rPr>
          <w:lang w:val="en-US"/>
        </w:rPr>
        <w:t xml:space="preserve"> </w:t>
      </w:r>
      <w:r w:rsidRPr="00386441">
        <w:rPr>
          <w:i/>
          <w:iCs/>
          <w:lang w:val="en-US"/>
        </w:rPr>
        <w:t>Model Regulations</w:t>
      </w:r>
      <w:r>
        <w:rPr>
          <w:lang w:val="en-US"/>
        </w:rPr>
        <w:t xml:space="preserve"> based on its self-heating hazard. </w:t>
      </w:r>
      <w:r w:rsidRPr="00F402FC">
        <w:rPr>
          <w:lang w:val="en-US"/>
        </w:rPr>
        <w:t>The moisture content of a seedcake cargo is relevant since high moisture content promotes microbiological activity, which may be responsible for the initial rise in temperature up to about 70</w:t>
      </w:r>
      <w:r w:rsidR="00604C19">
        <w:rPr>
          <w:lang w:val="en-US"/>
        </w:rPr>
        <w:t> </w:t>
      </w:r>
      <w:r w:rsidRPr="00F402FC">
        <w:rPr>
          <w:lang w:val="en-US"/>
        </w:rPr>
        <w:t xml:space="preserve">ºC and deterioration in the quality of the seedcake. This activity alone will not cause the seedcake to ignite, but it will accelerate oxidation of the residual oil, which in turn can cause the temperature to rise sufficiently to the point at which the seedcake will spontaneously ignite. </w:t>
      </w:r>
      <w:r w:rsidRPr="00BF3831">
        <w:rPr>
          <w:lang w:val="en-US"/>
        </w:rPr>
        <w:t>UN numbers were introduced in the second edition</w:t>
      </w:r>
      <w:r>
        <w:rPr>
          <w:lang w:val="en-US"/>
        </w:rPr>
        <w:t xml:space="preserve"> of the </w:t>
      </w:r>
      <w:r w:rsidRPr="003E0033">
        <w:rPr>
          <w:i/>
          <w:iCs/>
          <w:lang w:val="en-US"/>
        </w:rPr>
        <w:t>Model</w:t>
      </w:r>
      <w:r>
        <w:rPr>
          <w:lang w:val="en-US"/>
        </w:rPr>
        <w:t xml:space="preserve"> </w:t>
      </w:r>
      <w:r w:rsidRPr="003E0033">
        <w:rPr>
          <w:i/>
          <w:iCs/>
          <w:lang w:val="en-US"/>
        </w:rPr>
        <w:t>Regulations</w:t>
      </w:r>
      <w:r>
        <w:rPr>
          <w:lang w:val="en-US"/>
        </w:rPr>
        <w:t xml:space="preserve"> </w:t>
      </w:r>
      <w:r w:rsidRPr="00BF3831">
        <w:rPr>
          <w:lang w:val="en-US"/>
        </w:rPr>
        <w:t xml:space="preserve">at </w:t>
      </w:r>
      <w:r>
        <w:rPr>
          <w:lang w:val="en-US"/>
        </w:rPr>
        <w:t xml:space="preserve">which time the current two </w:t>
      </w:r>
      <w:r w:rsidRPr="00BF3831">
        <w:rPr>
          <w:lang w:val="en-US"/>
        </w:rPr>
        <w:t>entries for seed cake were introduced, with very similar</w:t>
      </w:r>
      <w:r>
        <w:rPr>
          <w:lang w:val="en-US"/>
        </w:rPr>
        <w:t xml:space="preserve"> requirements. The two</w:t>
      </w:r>
      <w:r w:rsidRPr="0066367B">
        <w:rPr>
          <w:rFonts w:hint="eastAsia"/>
          <w:lang w:val="en-US"/>
        </w:rPr>
        <w:t xml:space="preserve"> entries </w:t>
      </w:r>
      <w:r>
        <w:rPr>
          <w:lang w:val="en-US"/>
        </w:rPr>
        <w:t xml:space="preserve">differ because </w:t>
      </w:r>
      <w:r w:rsidRPr="0066367B">
        <w:rPr>
          <w:rFonts w:hint="eastAsia"/>
          <w:lang w:val="en-US"/>
        </w:rPr>
        <w:t>UN</w:t>
      </w:r>
      <w:r w:rsidR="00C13F25">
        <w:rPr>
          <w:lang w:val="en-US"/>
        </w:rPr>
        <w:t> </w:t>
      </w:r>
      <w:r w:rsidRPr="0066367B">
        <w:rPr>
          <w:rFonts w:hint="eastAsia"/>
          <w:lang w:val="en-US"/>
        </w:rPr>
        <w:t xml:space="preserve">1386 </w:t>
      </w:r>
      <w:r>
        <w:rPr>
          <w:lang w:val="en-US"/>
        </w:rPr>
        <w:t>is assigned to seed cake with more than 1.5</w:t>
      </w:r>
      <w:r w:rsidR="007A354E">
        <w:rPr>
          <w:lang w:val="en-US"/>
        </w:rPr>
        <w:t xml:space="preserve"> </w:t>
      </w:r>
      <w:r w:rsidR="001906CA">
        <w:rPr>
          <w:lang w:val="en-US"/>
        </w:rPr>
        <w:t>%</w:t>
      </w:r>
      <w:r>
        <w:rPr>
          <w:lang w:val="en-US"/>
        </w:rPr>
        <w:t xml:space="preserve"> </w:t>
      </w:r>
      <w:r w:rsidRPr="0066367B">
        <w:rPr>
          <w:rFonts w:hint="eastAsia"/>
          <w:lang w:val="en-US"/>
        </w:rPr>
        <w:t>oil</w:t>
      </w:r>
      <w:r>
        <w:rPr>
          <w:lang w:val="en-US"/>
        </w:rPr>
        <w:t xml:space="preserve"> and not more than 11</w:t>
      </w:r>
      <w:r w:rsidR="007A354E">
        <w:rPr>
          <w:lang w:val="en-US"/>
        </w:rPr>
        <w:t xml:space="preserve"> </w:t>
      </w:r>
      <w:r w:rsidR="00AF0077">
        <w:rPr>
          <w:lang w:val="en-US"/>
        </w:rPr>
        <w:t>%</w:t>
      </w:r>
      <w:r>
        <w:rPr>
          <w:lang w:val="en-US"/>
        </w:rPr>
        <w:t xml:space="preserve"> moisture </w:t>
      </w:r>
      <w:r w:rsidRPr="0066367B">
        <w:rPr>
          <w:rFonts w:hint="eastAsia"/>
          <w:lang w:val="en-US"/>
        </w:rPr>
        <w:t>whereas UN</w:t>
      </w:r>
      <w:r w:rsidR="00C13F25">
        <w:rPr>
          <w:lang w:val="en-US"/>
        </w:rPr>
        <w:t> </w:t>
      </w:r>
      <w:r w:rsidRPr="0066367B">
        <w:rPr>
          <w:rFonts w:hint="eastAsia"/>
          <w:lang w:val="en-US"/>
        </w:rPr>
        <w:t xml:space="preserve">2217 </w:t>
      </w:r>
      <w:r>
        <w:rPr>
          <w:lang w:val="en-US"/>
        </w:rPr>
        <w:t xml:space="preserve">is assigned to seed cake with not more than </w:t>
      </w:r>
      <w:r w:rsidRPr="0066367B">
        <w:rPr>
          <w:rFonts w:hint="eastAsia"/>
          <w:lang w:val="en-US"/>
        </w:rPr>
        <w:t>1.5</w:t>
      </w:r>
      <w:r w:rsidR="007A354E">
        <w:rPr>
          <w:lang w:val="en-US"/>
        </w:rPr>
        <w:t xml:space="preserve"> </w:t>
      </w:r>
      <w:r w:rsidR="00AF0077">
        <w:rPr>
          <w:lang w:val="en-US"/>
        </w:rPr>
        <w:t>%</w:t>
      </w:r>
      <w:r w:rsidRPr="0066367B">
        <w:rPr>
          <w:rFonts w:hint="eastAsia"/>
          <w:lang w:val="en-US"/>
        </w:rPr>
        <w:t xml:space="preserve"> oil</w:t>
      </w:r>
      <w:r>
        <w:rPr>
          <w:lang w:val="en-US"/>
        </w:rPr>
        <w:t xml:space="preserve"> and not more than 11</w:t>
      </w:r>
      <w:r w:rsidR="007A354E">
        <w:rPr>
          <w:lang w:val="en-US"/>
        </w:rPr>
        <w:t> </w:t>
      </w:r>
      <w:r w:rsidR="00AF0077">
        <w:rPr>
          <w:lang w:val="en-US"/>
        </w:rPr>
        <w:t>%</w:t>
      </w:r>
      <w:r>
        <w:rPr>
          <w:lang w:val="en-US"/>
        </w:rPr>
        <w:t xml:space="preserve"> moisture.</w:t>
      </w:r>
    </w:p>
    <w:p w14:paraId="741B2090" w14:textId="765FD854" w:rsidR="00A16522" w:rsidRDefault="001A4F0F" w:rsidP="00A54F00">
      <w:pPr>
        <w:pStyle w:val="SingleTxtG"/>
        <w:rPr>
          <w:lang w:val="en-US"/>
        </w:rPr>
      </w:pPr>
      <w:r>
        <w:rPr>
          <w:lang w:val="en-US"/>
        </w:rPr>
        <w:t>2.</w:t>
      </w:r>
      <w:r w:rsidR="00604C19">
        <w:rPr>
          <w:lang w:val="en-US"/>
        </w:rPr>
        <w:tab/>
      </w:r>
      <w:r w:rsidR="00A16522">
        <w:rPr>
          <w:lang w:val="en-US"/>
        </w:rPr>
        <w:t xml:space="preserve">The following illustrates changes </w:t>
      </w:r>
      <w:r w:rsidR="00A16522" w:rsidRPr="00A54F00">
        <w:t>over</w:t>
      </w:r>
      <w:r w:rsidR="00A16522">
        <w:rPr>
          <w:lang w:val="en-US"/>
        </w:rPr>
        <w:t xml:space="preserve"> the years for </w:t>
      </w:r>
      <w:r w:rsidR="00A16522" w:rsidRPr="0066367B">
        <w:rPr>
          <w:lang w:val="en-US"/>
        </w:rPr>
        <w:t>comparison. Note that UN</w:t>
      </w:r>
      <w:r w:rsidR="00DB728A">
        <w:rPr>
          <w:lang w:val="en-US"/>
        </w:rPr>
        <w:t> </w:t>
      </w:r>
      <w:r w:rsidR="00A16522" w:rsidRPr="0066367B">
        <w:rPr>
          <w:lang w:val="en-US"/>
        </w:rPr>
        <w:t xml:space="preserve">2217 had a special provision which it no longer has and that special provision 29 has </w:t>
      </w:r>
      <w:r w:rsidR="00A16522">
        <w:rPr>
          <w:lang w:val="en-US"/>
        </w:rPr>
        <w:t>changed.</w:t>
      </w:r>
    </w:p>
    <w:p w14:paraId="4FBD29CD" w14:textId="20930EED" w:rsidR="00093053" w:rsidRDefault="00093053">
      <w:pPr>
        <w:rPr>
          <w:lang w:val="en-US"/>
        </w:rPr>
      </w:pPr>
      <w:r>
        <w:rPr>
          <w:lang w:val="en-US"/>
        </w:rPr>
        <w:br w:type="page"/>
      </w:r>
    </w:p>
    <w:p w14:paraId="44B06A45" w14:textId="77777777" w:rsidR="00A16522" w:rsidRDefault="00A16522" w:rsidP="00A16522">
      <w:pPr>
        <w:pStyle w:val="SingleTxtG"/>
        <w:spacing w:after="0" w:line="240" w:lineRule="auto"/>
        <w:ind w:left="562" w:right="1138"/>
        <w:jc w:val="left"/>
        <w:rPr>
          <w:lang w:val="en-US"/>
        </w:rPr>
      </w:pPr>
    </w:p>
    <w:tbl>
      <w:tblPr>
        <w:tblStyle w:val="TableGrid"/>
        <w:tblW w:w="0" w:type="auto"/>
        <w:tblInd w:w="562" w:type="dxa"/>
        <w:tblLook w:val="04A0" w:firstRow="1" w:lastRow="0" w:firstColumn="1" w:lastColumn="0" w:noHBand="0" w:noVBand="1"/>
      </w:tblPr>
      <w:tblGrid>
        <w:gridCol w:w="2943"/>
        <w:gridCol w:w="1440"/>
        <w:gridCol w:w="2400"/>
        <w:gridCol w:w="2284"/>
      </w:tblGrid>
      <w:tr w:rsidR="00A16522" w14:paraId="5711952E" w14:textId="77777777" w:rsidTr="00397DC3">
        <w:tc>
          <w:tcPr>
            <w:tcW w:w="6783" w:type="dxa"/>
            <w:gridSpan w:val="3"/>
          </w:tcPr>
          <w:p w14:paraId="26F9701F" w14:textId="3FCC2471" w:rsidR="00A16522" w:rsidRPr="00705C3D" w:rsidRDefault="003A7622" w:rsidP="00397DC3">
            <w:pPr>
              <w:pStyle w:val="SingleTxtG"/>
              <w:spacing w:after="0" w:line="240" w:lineRule="auto"/>
              <w:ind w:left="0" w:right="1138"/>
              <w:jc w:val="left"/>
              <w:rPr>
                <w:b/>
                <w:bCs/>
              </w:rPr>
            </w:pPr>
            <w:r w:rsidRPr="00385F6C">
              <w:rPr>
                <w:b/>
                <w:bCs/>
                <w:i/>
                <w:iCs/>
              </w:rPr>
              <w:t>Model Regulations</w:t>
            </w:r>
            <w:r w:rsidR="00385F6C" w:rsidRPr="003B1AA8">
              <w:rPr>
                <w:b/>
                <w:bCs/>
              </w:rPr>
              <w:t>, fourth</w:t>
            </w:r>
            <w:r w:rsidR="003B1AA8" w:rsidRPr="003B1AA8">
              <w:rPr>
                <w:b/>
                <w:bCs/>
              </w:rPr>
              <w:t xml:space="preserve"> revised edition</w:t>
            </w:r>
          </w:p>
        </w:tc>
        <w:tc>
          <w:tcPr>
            <w:tcW w:w="2284" w:type="dxa"/>
          </w:tcPr>
          <w:p w14:paraId="4A4F1626" w14:textId="77777777" w:rsidR="00A16522" w:rsidRPr="00705C3D" w:rsidRDefault="00A16522" w:rsidP="00397DC3">
            <w:pPr>
              <w:pStyle w:val="SingleTxtG"/>
              <w:spacing w:after="0" w:line="240" w:lineRule="auto"/>
              <w:ind w:left="0" w:right="1138"/>
              <w:jc w:val="left"/>
              <w:rPr>
                <w:b/>
                <w:bCs/>
              </w:rPr>
            </w:pPr>
          </w:p>
        </w:tc>
      </w:tr>
      <w:tr w:rsidR="00A16522" w14:paraId="75942124" w14:textId="77777777" w:rsidTr="00397DC3">
        <w:tc>
          <w:tcPr>
            <w:tcW w:w="2943" w:type="dxa"/>
          </w:tcPr>
          <w:p w14:paraId="5894FCB2" w14:textId="77777777" w:rsidR="00A16522" w:rsidRPr="00236A28" w:rsidRDefault="00A16522" w:rsidP="00397DC3">
            <w:pPr>
              <w:pStyle w:val="SingleTxtG"/>
              <w:spacing w:after="0" w:line="240" w:lineRule="auto"/>
              <w:ind w:left="0" w:right="1138"/>
              <w:jc w:val="left"/>
              <w:rPr>
                <w:i/>
                <w:iCs/>
                <w:sz w:val="18"/>
                <w:szCs w:val="18"/>
              </w:rPr>
            </w:pPr>
            <w:r w:rsidRPr="00236A28">
              <w:rPr>
                <w:sz w:val="18"/>
                <w:szCs w:val="18"/>
              </w:rPr>
              <w:t xml:space="preserve">1386 Seed Cake </w:t>
            </w:r>
            <w:r w:rsidRPr="00236A28">
              <w:rPr>
                <w:i/>
                <w:iCs/>
                <w:sz w:val="18"/>
                <w:szCs w:val="18"/>
              </w:rPr>
              <w:t>with more than 1.5% oil and not more than 11% moisture</w:t>
            </w:r>
          </w:p>
        </w:tc>
        <w:tc>
          <w:tcPr>
            <w:tcW w:w="1440" w:type="dxa"/>
          </w:tcPr>
          <w:p w14:paraId="66AF2396" w14:textId="77777777" w:rsidR="00A16522" w:rsidRPr="00236A28" w:rsidRDefault="00A16522" w:rsidP="00397DC3">
            <w:pPr>
              <w:pStyle w:val="SingleTxtG"/>
              <w:spacing w:after="0" w:line="240" w:lineRule="auto"/>
              <w:ind w:left="0" w:right="1138"/>
              <w:jc w:val="left"/>
              <w:rPr>
                <w:sz w:val="18"/>
                <w:szCs w:val="18"/>
              </w:rPr>
            </w:pPr>
            <w:r w:rsidRPr="00236A28">
              <w:rPr>
                <w:sz w:val="18"/>
                <w:szCs w:val="18"/>
              </w:rPr>
              <w:t>4.2</w:t>
            </w:r>
          </w:p>
        </w:tc>
        <w:tc>
          <w:tcPr>
            <w:tcW w:w="2400" w:type="dxa"/>
          </w:tcPr>
          <w:p w14:paraId="67F5130C" w14:textId="77777777" w:rsidR="00A16522" w:rsidRPr="00236A28" w:rsidRDefault="00A16522" w:rsidP="00397DC3">
            <w:pPr>
              <w:pStyle w:val="SingleTxtG"/>
              <w:spacing w:after="0" w:line="240" w:lineRule="auto"/>
              <w:ind w:left="0" w:right="1138"/>
              <w:jc w:val="left"/>
              <w:rPr>
                <w:sz w:val="18"/>
                <w:szCs w:val="18"/>
              </w:rPr>
            </w:pPr>
            <w:r w:rsidRPr="00236A28">
              <w:rPr>
                <w:sz w:val="18"/>
                <w:szCs w:val="18"/>
              </w:rPr>
              <w:t>III</w:t>
            </w:r>
          </w:p>
        </w:tc>
        <w:tc>
          <w:tcPr>
            <w:tcW w:w="2284" w:type="dxa"/>
          </w:tcPr>
          <w:p w14:paraId="3FE8A03B" w14:textId="77777777" w:rsidR="00A16522" w:rsidRPr="00236A28" w:rsidRDefault="00A16522" w:rsidP="00397DC3">
            <w:pPr>
              <w:pStyle w:val="SingleTxtG"/>
              <w:spacing w:after="0" w:line="240" w:lineRule="auto"/>
              <w:ind w:left="0" w:right="1138"/>
              <w:jc w:val="left"/>
              <w:rPr>
                <w:sz w:val="18"/>
                <w:szCs w:val="18"/>
              </w:rPr>
            </w:pPr>
            <w:r w:rsidRPr="00236A28">
              <w:rPr>
                <w:sz w:val="18"/>
                <w:szCs w:val="18"/>
              </w:rPr>
              <w:t>29</w:t>
            </w:r>
          </w:p>
          <w:p w14:paraId="5A57CE59" w14:textId="77777777" w:rsidR="00A16522" w:rsidRPr="00236A28" w:rsidRDefault="00A16522" w:rsidP="00397DC3">
            <w:pPr>
              <w:pStyle w:val="SingleTxtG"/>
              <w:spacing w:after="0" w:line="240" w:lineRule="auto"/>
              <w:ind w:left="0" w:right="1138"/>
              <w:jc w:val="left"/>
              <w:rPr>
                <w:sz w:val="18"/>
                <w:szCs w:val="18"/>
              </w:rPr>
            </w:pPr>
            <w:r w:rsidRPr="00236A28">
              <w:rPr>
                <w:sz w:val="18"/>
                <w:szCs w:val="18"/>
              </w:rPr>
              <w:t>36</w:t>
            </w:r>
          </w:p>
        </w:tc>
      </w:tr>
      <w:tr w:rsidR="00A16522" w14:paraId="30241CAB" w14:textId="77777777" w:rsidTr="00397DC3">
        <w:tc>
          <w:tcPr>
            <w:tcW w:w="2943" w:type="dxa"/>
          </w:tcPr>
          <w:p w14:paraId="4EC86919" w14:textId="77777777" w:rsidR="00A16522" w:rsidRPr="00236A28" w:rsidRDefault="00A16522" w:rsidP="00397DC3">
            <w:pPr>
              <w:pStyle w:val="SingleTxtG"/>
              <w:spacing w:after="0" w:line="240" w:lineRule="auto"/>
              <w:ind w:left="0" w:right="1138"/>
              <w:jc w:val="left"/>
              <w:rPr>
                <w:sz w:val="18"/>
                <w:szCs w:val="18"/>
              </w:rPr>
            </w:pPr>
            <w:r w:rsidRPr="00236A28">
              <w:rPr>
                <w:sz w:val="18"/>
                <w:szCs w:val="18"/>
              </w:rPr>
              <w:t xml:space="preserve">2217 Seed Cake </w:t>
            </w:r>
            <w:r w:rsidRPr="00236A28">
              <w:rPr>
                <w:i/>
                <w:iCs/>
                <w:sz w:val="18"/>
                <w:szCs w:val="18"/>
              </w:rPr>
              <w:t>with not more than 1.5% oil and not more than 11% moisture</w:t>
            </w:r>
          </w:p>
        </w:tc>
        <w:tc>
          <w:tcPr>
            <w:tcW w:w="1440" w:type="dxa"/>
          </w:tcPr>
          <w:p w14:paraId="7974CA35" w14:textId="77777777" w:rsidR="00A16522" w:rsidRPr="00236A28" w:rsidRDefault="00A16522" w:rsidP="00397DC3">
            <w:pPr>
              <w:pStyle w:val="SingleTxtG"/>
              <w:spacing w:after="0" w:line="240" w:lineRule="auto"/>
              <w:ind w:left="0" w:right="1138"/>
              <w:jc w:val="left"/>
              <w:rPr>
                <w:sz w:val="18"/>
                <w:szCs w:val="18"/>
              </w:rPr>
            </w:pPr>
            <w:r w:rsidRPr="00236A28">
              <w:rPr>
                <w:sz w:val="18"/>
                <w:szCs w:val="18"/>
              </w:rPr>
              <w:t>4.2</w:t>
            </w:r>
          </w:p>
        </w:tc>
        <w:tc>
          <w:tcPr>
            <w:tcW w:w="2400" w:type="dxa"/>
          </w:tcPr>
          <w:p w14:paraId="107E4333" w14:textId="77777777" w:rsidR="00A16522" w:rsidRPr="00236A28" w:rsidRDefault="00A16522" w:rsidP="00397DC3">
            <w:pPr>
              <w:pStyle w:val="SingleTxtG"/>
              <w:spacing w:after="0" w:line="240" w:lineRule="auto"/>
              <w:ind w:left="0" w:right="1138"/>
              <w:jc w:val="left"/>
              <w:rPr>
                <w:sz w:val="18"/>
                <w:szCs w:val="18"/>
              </w:rPr>
            </w:pPr>
            <w:r w:rsidRPr="00236A28">
              <w:rPr>
                <w:sz w:val="18"/>
                <w:szCs w:val="18"/>
              </w:rPr>
              <w:t>III</w:t>
            </w:r>
          </w:p>
        </w:tc>
        <w:tc>
          <w:tcPr>
            <w:tcW w:w="2284" w:type="dxa"/>
          </w:tcPr>
          <w:p w14:paraId="56E4BD63" w14:textId="77777777" w:rsidR="00A16522" w:rsidRPr="00236A28" w:rsidRDefault="00A16522" w:rsidP="00397DC3">
            <w:pPr>
              <w:pStyle w:val="SingleTxtG"/>
              <w:spacing w:after="0" w:line="240" w:lineRule="auto"/>
              <w:ind w:left="0" w:right="1138"/>
              <w:jc w:val="left"/>
              <w:rPr>
                <w:sz w:val="18"/>
                <w:szCs w:val="18"/>
              </w:rPr>
            </w:pPr>
            <w:r w:rsidRPr="00236A28">
              <w:rPr>
                <w:sz w:val="18"/>
                <w:szCs w:val="18"/>
              </w:rPr>
              <w:t>29</w:t>
            </w:r>
          </w:p>
          <w:p w14:paraId="20427235" w14:textId="77777777" w:rsidR="00A16522" w:rsidRPr="00236A28" w:rsidRDefault="00A16522" w:rsidP="00397DC3">
            <w:pPr>
              <w:pStyle w:val="SingleTxtG"/>
              <w:spacing w:after="0" w:line="240" w:lineRule="auto"/>
              <w:ind w:left="0" w:right="1138"/>
              <w:jc w:val="left"/>
              <w:rPr>
                <w:sz w:val="18"/>
                <w:szCs w:val="18"/>
              </w:rPr>
            </w:pPr>
            <w:r w:rsidRPr="00236A28">
              <w:rPr>
                <w:sz w:val="18"/>
                <w:szCs w:val="18"/>
              </w:rPr>
              <w:t>142</w:t>
            </w:r>
          </w:p>
        </w:tc>
      </w:tr>
      <w:tr w:rsidR="00A16522" w14:paraId="7D70ECDE" w14:textId="77777777" w:rsidTr="00397DC3">
        <w:tc>
          <w:tcPr>
            <w:tcW w:w="9067" w:type="dxa"/>
            <w:gridSpan w:val="4"/>
          </w:tcPr>
          <w:p w14:paraId="746C958C" w14:textId="77777777" w:rsidR="00A16522" w:rsidRPr="00236A28" w:rsidRDefault="00A16522" w:rsidP="00397DC3">
            <w:pPr>
              <w:pStyle w:val="SingleTxtG"/>
              <w:spacing w:after="0" w:line="240" w:lineRule="auto"/>
              <w:ind w:left="0" w:right="1138"/>
              <w:jc w:val="left"/>
              <w:rPr>
                <w:sz w:val="18"/>
                <w:szCs w:val="18"/>
              </w:rPr>
            </w:pPr>
            <w:r w:rsidRPr="00236A28">
              <w:rPr>
                <w:sz w:val="18"/>
                <w:szCs w:val="18"/>
              </w:rPr>
              <w:t>29 This substance is exempt from labelling and packaging tests but should be marked with the class and group number.</w:t>
            </w:r>
          </w:p>
          <w:p w14:paraId="04B21C5E" w14:textId="18BE1689" w:rsidR="00A16522" w:rsidRDefault="00A16522" w:rsidP="00397DC3">
            <w:pPr>
              <w:pStyle w:val="SingleTxtG"/>
              <w:spacing w:after="0" w:line="240" w:lineRule="auto"/>
              <w:ind w:left="0" w:right="1138"/>
              <w:jc w:val="left"/>
              <w:rPr>
                <w:sz w:val="18"/>
                <w:szCs w:val="18"/>
              </w:rPr>
            </w:pPr>
            <w:r w:rsidRPr="00236A28">
              <w:rPr>
                <w:sz w:val="18"/>
                <w:szCs w:val="18"/>
              </w:rPr>
              <w:t>36 This substance is to be classified under UN 1373 if it contains more than 5% animal or vegetable oil.</w:t>
            </w:r>
          </w:p>
          <w:p w14:paraId="3FF6E30B" w14:textId="43EBFAC3" w:rsidR="00A16522" w:rsidRPr="00236A28" w:rsidRDefault="00A16522" w:rsidP="00397DC3">
            <w:pPr>
              <w:pStyle w:val="SingleTxtG"/>
              <w:spacing w:after="0" w:line="240" w:lineRule="auto"/>
              <w:ind w:left="0" w:right="1138"/>
              <w:jc w:val="left"/>
              <w:rPr>
                <w:sz w:val="18"/>
                <w:szCs w:val="18"/>
              </w:rPr>
            </w:pPr>
            <w:r w:rsidRPr="00236A28">
              <w:rPr>
                <w:sz w:val="18"/>
                <w:szCs w:val="18"/>
              </w:rPr>
              <w:t>142 Solvent extracted soya bean meal containing not more than 1.5</w:t>
            </w:r>
            <w:r w:rsidR="00F75CBF">
              <w:rPr>
                <w:sz w:val="18"/>
                <w:szCs w:val="18"/>
              </w:rPr>
              <w:t xml:space="preserve"> </w:t>
            </w:r>
            <w:r w:rsidRPr="00236A28">
              <w:rPr>
                <w:sz w:val="18"/>
                <w:szCs w:val="18"/>
              </w:rPr>
              <w:t>% oil and 11</w:t>
            </w:r>
            <w:r w:rsidR="00F75CBF">
              <w:rPr>
                <w:sz w:val="18"/>
                <w:szCs w:val="18"/>
              </w:rPr>
              <w:t xml:space="preserve"> </w:t>
            </w:r>
            <w:r w:rsidRPr="00236A28">
              <w:rPr>
                <w:sz w:val="18"/>
                <w:szCs w:val="18"/>
              </w:rPr>
              <w:t>% moisture, which is substantially free of inflammable solvent, is considered non-dangerous.</w:t>
            </w:r>
          </w:p>
        </w:tc>
      </w:tr>
    </w:tbl>
    <w:p w14:paraId="703BF29D" w14:textId="77777777" w:rsidR="00A16522" w:rsidRPr="00236A28" w:rsidRDefault="00A16522" w:rsidP="00A16522">
      <w:pPr>
        <w:pStyle w:val="SingleTxtG"/>
        <w:spacing w:after="0" w:line="240" w:lineRule="auto"/>
        <w:ind w:left="562" w:right="1138"/>
        <w:jc w:val="left"/>
        <w:rPr>
          <w:b/>
          <w:bCs/>
          <w:lang w:val="en-US"/>
        </w:rPr>
      </w:pPr>
    </w:p>
    <w:tbl>
      <w:tblPr>
        <w:tblStyle w:val="TableGrid"/>
        <w:tblW w:w="9104" w:type="dxa"/>
        <w:tblInd w:w="562" w:type="dxa"/>
        <w:tblLayout w:type="fixed"/>
        <w:tblLook w:val="04A0" w:firstRow="1" w:lastRow="0" w:firstColumn="1" w:lastColumn="0" w:noHBand="0" w:noVBand="1"/>
      </w:tblPr>
      <w:tblGrid>
        <w:gridCol w:w="900"/>
        <w:gridCol w:w="1530"/>
        <w:gridCol w:w="1350"/>
        <w:gridCol w:w="1040"/>
        <w:gridCol w:w="709"/>
        <w:gridCol w:w="425"/>
        <w:gridCol w:w="423"/>
        <w:gridCol w:w="995"/>
        <w:gridCol w:w="850"/>
        <w:gridCol w:w="882"/>
      </w:tblGrid>
      <w:tr w:rsidR="00A16522" w:rsidRPr="00236A28" w14:paraId="4DF872C2" w14:textId="77777777" w:rsidTr="00AD4F59">
        <w:tc>
          <w:tcPr>
            <w:tcW w:w="9104" w:type="dxa"/>
            <w:gridSpan w:val="10"/>
          </w:tcPr>
          <w:p w14:paraId="46D75584" w14:textId="7815F273" w:rsidR="00A16522" w:rsidRPr="00236A28" w:rsidRDefault="00A16522" w:rsidP="00397DC3">
            <w:pPr>
              <w:pStyle w:val="SingleTxtG"/>
              <w:spacing w:after="0" w:line="240" w:lineRule="auto"/>
              <w:ind w:left="0" w:right="1138"/>
              <w:jc w:val="left"/>
              <w:rPr>
                <w:b/>
                <w:bCs/>
              </w:rPr>
            </w:pPr>
            <w:r w:rsidRPr="00385F6C">
              <w:rPr>
                <w:b/>
                <w:bCs/>
                <w:i/>
                <w:iCs/>
              </w:rPr>
              <w:t>Model Regulations</w:t>
            </w:r>
            <w:r w:rsidR="003B1AA8">
              <w:rPr>
                <w:b/>
                <w:bCs/>
                <w:i/>
                <w:iCs/>
              </w:rPr>
              <w:t>,</w:t>
            </w:r>
            <w:r w:rsidRPr="00236A28">
              <w:rPr>
                <w:b/>
                <w:bCs/>
              </w:rPr>
              <w:t xml:space="preserve"> </w:t>
            </w:r>
            <w:r w:rsidR="003B1AA8">
              <w:rPr>
                <w:b/>
                <w:bCs/>
              </w:rPr>
              <w:t>twenty-third revised edition</w:t>
            </w:r>
          </w:p>
        </w:tc>
      </w:tr>
      <w:tr w:rsidR="00A16522" w:rsidRPr="00720908" w14:paraId="5794BFC4" w14:textId="77777777" w:rsidTr="00AD4F59">
        <w:trPr>
          <w:trHeight w:val="859"/>
        </w:trPr>
        <w:tc>
          <w:tcPr>
            <w:tcW w:w="900" w:type="dxa"/>
          </w:tcPr>
          <w:p w14:paraId="4F575318" w14:textId="77777777" w:rsidR="00A16522" w:rsidRPr="00D83E5E" w:rsidRDefault="00A16522" w:rsidP="0097288D">
            <w:pPr>
              <w:pStyle w:val="SingleTxtG"/>
              <w:spacing w:after="0" w:line="240" w:lineRule="auto"/>
              <w:ind w:left="0" w:right="108"/>
              <w:jc w:val="left"/>
              <w:rPr>
                <w:sz w:val="14"/>
                <w:szCs w:val="14"/>
              </w:rPr>
            </w:pPr>
            <w:r w:rsidRPr="00D83E5E">
              <w:rPr>
                <w:sz w:val="14"/>
                <w:szCs w:val="14"/>
              </w:rPr>
              <w:t>1386</w:t>
            </w:r>
          </w:p>
        </w:tc>
        <w:tc>
          <w:tcPr>
            <w:tcW w:w="1530" w:type="dxa"/>
          </w:tcPr>
          <w:p w14:paraId="641B98A8" w14:textId="43657071" w:rsidR="00A16522" w:rsidRPr="00D83E5E" w:rsidRDefault="00D07AD7" w:rsidP="003B1AA8">
            <w:pPr>
              <w:pStyle w:val="SingleTxtG"/>
              <w:spacing w:after="0" w:line="240" w:lineRule="auto"/>
              <w:ind w:left="0" w:right="108"/>
              <w:jc w:val="left"/>
              <w:rPr>
                <w:sz w:val="14"/>
                <w:szCs w:val="14"/>
              </w:rPr>
            </w:pPr>
            <w:r w:rsidRPr="00D83E5E">
              <w:rPr>
                <w:sz w:val="14"/>
                <w:szCs w:val="14"/>
              </w:rPr>
              <w:t xml:space="preserve">SEED CAKE </w:t>
            </w:r>
            <w:r w:rsidR="00A16522" w:rsidRPr="00D83E5E">
              <w:rPr>
                <w:sz w:val="14"/>
                <w:szCs w:val="14"/>
              </w:rPr>
              <w:t>with more than 1.5</w:t>
            </w:r>
            <w:r w:rsidR="00EC6F38">
              <w:rPr>
                <w:sz w:val="14"/>
                <w:szCs w:val="14"/>
              </w:rPr>
              <w:t xml:space="preserve"> </w:t>
            </w:r>
            <w:r w:rsidR="00A16522" w:rsidRPr="00D83E5E">
              <w:rPr>
                <w:sz w:val="14"/>
                <w:szCs w:val="14"/>
              </w:rPr>
              <w:t>% oil and not more than 11</w:t>
            </w:r>
            <w:r w:rsidR="00EC6F38">
              <w:rPr>
                <w:sz w:val="14"/>
                <w:szCs w:val="14"/>
              </w:rPr>
              <w:t xml:space="preserve"> </w:t>
            </w:r>
            <w:r w:rsidR="00A16522" w:rsidRPr="00D83E5E">
              <w:rPr>
                <w:sz w:val="14"/>
                <w:szCs w:val="14"/>
              </w:rPr>
              <w:t>% moisture</w:t>
            </w:r>
          </w:p>
        </w:tc>
        <w:tc>
          <w:tcPr>
            <w:tcW w:w="1350" w:type="dxa"/>
          </w:tcPr>
          <w:p w14:paraId="11BC562D" w14:textId="77777777" w:rsidR="00A16522" w:rsidRPr="00236A28" w:rsidRDefault="00A16522" w:rsidP="00397DC3">
            <w:pPr>
              <w:pStyle w:val="SingleTxtG"/>
              <w:spacing w:after="0" w:line="240" w:lineRule="auto"/>
              <w:ind w:left="0" w:right="1138"/>
              <w:jc w:val="left"/>
              <w:rPr>
                <w:sz w:val="14"/>
                <w:szCs w:val="14"/>
              </w:rPr>
            </w:pPr>
            <w:r w:rsidRPr="00236A28">
              <w:rPr>
                <w:sz w:val="14"/>
                <w:szCs w:val="14"/>
              </w:rPr>
              <w:t>4.2</w:t>
            </w:r>
          </w:p>
        </w:tc>
        <w:tc>
          <w:tcPr>
            <w:tcW w:w="1040" w:type="dxa"/>
          </w:tcPr>
          <w:p w14:paraId="0142BA78" w14:textId="77777777" w:rsidR="00A16522" w:rsidRPr="00A163EC" w:rsidRDefault="00A16522" w:rsidP="0097288D">
            <w:pPr>
              <w:pStyle w:val="SingleTxtG"/>
              <w:spacing w:after="0" w:line="240" w:lineRule="auto"/>
              <w:ind w:left="0" w:right="108"/>
              <w:jc w:val="left"/>
              <w:rPr>
                <w:sz w:val="14"/>
                <w:szCs w:val="14"/>
              </w:rPr>
            </w:pPr>
            <w:r w:rsidRPr="00A163EC">
              <w:rPr>
                <w:sz w:val="14"/>
                <w:szCs w:val="14"/>
              </w:rPr>
              <w:t>III</w:t>
            </w:r>
          </w:p>
        </w:tc>
        <w:tc>
          <w:tcPr>
            <w:tcW w:w="709" w:type="dxa"/>
          </w:tcPr>
          <w:p w14:paraId="77F830F5" w14:textId="77777777" w:rsidR="00A16522" w:rsidRPr="0097288D" w:rsidRDefault="00A16522" w:rsidP="0097288D">
            <w:pPr>
              <w:pStyle w:val="SingleTxtG"/>
              <w:spacing w:after="0" w:line="240" w:lineRule="auto"/>
              <w:ind w:left="0" w:right="108"/>
              <w:jc w:val="left"/>
              <w:rPr>
                <w:sz w:val="14"/>
                <w:szCs w:val="14"/>
              </w:rPr>
            </w:pPr>
            <w:r w:rsidRPr="0097288D">
              <w:rPr>
                <w:sz w:val="14"/>
                <w:szCs w:val="14"/>
              </w:rPr>
              <w:t>29</w:t>
            </w:r>
          </w:p>
        </w:tc>
        <w:tc>
          <w:tcPr>
            <w:tcW w:w="425" w:type="dxa"/>
          </w:tcPr>
          <w:p w14:paraId="077B1D05" w14:textId="77777777" w:rsidR="00A16522" w:rsidRPr="00236A28" w:rsidRDefault="00A16522" w:rsidP="00397DC3">
            <w:pPr>
              <w:pStyle w:val="SingleTxtG"/>
              <w:spacing w:after="0" w:line="240" w:lineRule="auto"/>
              <w:ind w:left="0" w:right="1138"/>
              <w:jc w:val="left"/>
              <w:rPr>
                <w:sz w:val="14"/>
                <w:szCs w:val="14"/>
              </w:rPr>
            </w:pPr>
            <w:r>
              <w:rPr>
                <w:sz w:val="14"/>
                <w:szCs w:val="14"/>
              </w:rPr>
              <w:t>0</w:t>
            </w:r>
          </w:p>
        </w:tc>
        <w:tc>
          <w:tcPr>
            <w:tcW w:w="423" w:type="dxa"/>
          </w:tcPr>
          <w:p w14:paraId="19150B21" w14:textId="6172BEEB" w:rsidR="00A16522" w:rsidRPr="00720908" w:rsidRDefault="00A16522" w:rsidP="00720908">
            <w:pPr>
              <w:pStyle w:val="SingleTxtG"/>
              <w:spacing w:after="0" w:line="240" w:lineRule="auto"/>
              <w:ind w:left="0" w:right="108"/>
              <w:jc w:val="left"/>
              <w:rPr>
                <w:sz w:val="14"/>
                <w:szCs w:val="14"/>
              </w:rPr>
            </w:pPr>
            <w:r w:rsidRPr="00720908">
              <w:rPr>
                <w:sz w:val="14"/>
                <w:szCs w:val="14"/>
              </w:rPr>
              <w:t>E</w:t>
            </w:r>
            <w:r w:rsidR="007D3955">
              <w:rPr>
                <w:sz w:val="14"/>
                <w:szCs w:val="14"/>
              </w:rPr>
              <w:t>0</w:t>
            </w:r>
          </w:p>
        </w:tc>
        <w:tc>
          <w:tcPr>
            <w:tcW w:w="995" w:type="dxa"/>
          </w:tcPr>
          <w:p w14:paraId="5758C14F" w14:textId="77777777" w:rsidR="00A16522" w:rsidRPr="00720908" w:rsidRDefault="00A16522" w:rsidP="00720908">
            <w:pPr>
              <w:pStyle w:val="SingleTxtG"/>
              <w:spacing w:after="0" w:line="240" w:lineRule="auto"/>
              <w:ind w:left="0" w:right="108"/>
              <w:jc w:val="left"/>
              <w:rPr>
                <w:sz w:val="14"/>
                <w:szCs w:val="14"/>
              </w:rPr>
            </w:pPr>
            <w:r w:rsidRPr="00720908">
              <w:rPr>
                <w:sz w:val="14"/>
                <w:szCs w:val="14"/>
              </w:rPr>
              <w:t>P003</w:t>
            </w:r>
          </w:p>
          <w:p w14:paraId="71997F77" w14:textId="77777777" w:rsidR="00720908" w:rsidRDefault="00A16522" w:rsidP="00720908">
            <w:pPr>
              <w:pStyle w:val="SingleTxtG"/>
              <w:spacing w:after="0" w:line="240" w:lineRule="auto"/>
              <w:ind w:left="0" w:right="108"/>
              <w:jc w:val="left"/>
              <w:rPr>
                <w:sz w:val="14"/>
                <w:szCs w:val="14"/>
              </w:rPr>
            </w:pPr>
            <w:r w:rsidRPr="00720908">
              <w:rPr>
                <w:sz w:val="14"/>
                <w:szCs w:val="14"/>
              </w:rPr>
              <w:t>IBC08</w:t>
            </w:r>
          </w:p>
          <w:p w14:paraId="02FCE91E" w14:textId="15E79DB2" w:rsidR="00A16522" w:rsidRPr="00720908" w:rsidRDefault="00A16522" w:rsidP="00720908">
            <w:pPr>
              <w:pStyle w:val="SingleTxtG"/>
              <w:spacing w:after="0" w:line="240" w:lineRule="auto"/>
              <w:ind w:left="0" w:right="108"/>
              <w:jc w:val="left"/>
              <w:rPr>
                <w:sz w:val="14"/>
                <w:szCs w:val="14"/>
              </w:rPr>
            </w:pPr>
            <w:r w:rsidRPr="00720908">
              <w:rPr>
                <w:sz w:val="14"/>
                <w:szCs w:val="14"/>
              </w:rPr>
              <w:t>LP02</w:t>
            </w:r>
          </w:p>
        </w:tc>
        <w:tc>
          <w:tcPr>
            <w:tcW w:w="850" w:type="dxa"/>
          </w:tcPr>
          <w:p w14:paraId="3B87C937" w14:textId="5ECC78A1" w:rsidR="00A16522" w:rsidRPr="00720908" w:rsidRDefault="00A16522" w:rsidP="00720908">
            <w:pPr>
              <w:pStyle w:val="SingleTxtG"/>
              <w:spacing w:after="0" w:line="240" w:lineRule="auto"/>
              <w:ind w:left="0" w:right="108"/>
              <w:jc w:val="left"/>
              <w:rPr>
                <w:sz w:val="14"/>
                <w:szCs w:val="14"/>
              </w:rPr>
            </w:pPr>
            <w:r w:rsidRPr="00720908">
              <w:rPr>
                <w:sz w:val="14"/>
                <w:szCs w:val="14"/>
              </w:rPr>
              <w:t>P</w:t>
            </w:r>
            <w:r w:rsidR="007D3955">
              <w:rPr>
                <w:sz w:val="14"/>
                <w:szCs w:val="14"/>
              </w:rPr>
              <w:t>P</w:t>
            </w:r>
            <w:r w:rsidRPr="00720908">
              <w:rPr>
                <w:sz w:val="14"/>
                <w:szCs w:val="14"/>
              </w:rPr>
              <w:t>20</w:t>
            </w:r>
          </w:p>
          <w:p w14:paraId="633F07FD" w14:textId="77777777" w:rsidR="00A16522" w:rsidRPr="00720908" w:rsidRDefault="00A16522" w:rsidP="00720908">
            <w:pPr>
              <w:pStyle w:val="SingleTxtG"/>
              <w:spacing w:after="0" w:line="240" w:lineRule="auto"/>
              <w:ind w:left="0" w:right="108"/>
              <w:jc w:val="left"/>
              <w:rPr>
                <w:sz w:val="14"/>
                <w:szCs w:val="14"/>
              </w:rPr>
            </w:pPr>
            <w:r w:rsidRPr="00720908">
              <w:rPr>
                <w:sz w:val="14"/>
                <w:szCs w:val="14"/>
              </w:rPr>
              <w:t>B3</w:t>
            </w:r>
          </w:p>
          <w:p w14:paraId="042270EC" w14:textId="77777777" w:rsidR="00A16522" w:rsidRPr="00720908" w:rsidRDefault="00A16522" w:rsidP="00720908">
            <w:pPr>
              <w:pStyle w:val="SingleTxtG"/>
              <w:spacing w:after="0" w:line="240" w:lineRule="auto"/>
              <w:ind w:left="0" w:right="108"/>
              <w:jc w:val="left"/>
              <w:rPr>
                <w:sz w:val="14"/>
                <w:szCs w:val="14"/>
              </w:rPr>
            </w:pPr>
            <w:r w:rsidRPr="00720908">
              <w:rPr>
                <w:sz w:val="14"/>
                <w:szCs w:val="14"/>
              </w:rPr>
              <w:t>B6</w:t>
            </w:r>
          </w:p>
        </w:tc>
        <w:tc>
          <w:tcPr>
            <w:tcW w:w="879" w:type="dxa"/>
          </w:tcPr>
          <w:p w14:paraId="3852B273" w14:textId="77777777" w:rsidR="00A16522" w:rsidRPr="00720908" w:rsidRDefault="00A16522" w:rsidP="00720908">
            <w:pPr>
              <w:pStyle w:val="SingleTxtG"/>
              <w:spacing w:after="0" w:line="240" w:lineRule="auto"/>
              <w:ind w:left="0" w:right="108"/>
              <w:jc w:val="left"/>
              <w:rPr>
                <w:sz w:val="14"/>
                <w:szCs w:val="14"/>
              </w:rPr>
            </w:pPr>
            <w:r w:rsidRPr="00720908">
              <w:rPr>
                <w:sz w:val="14"/>
                <w:szCs w:val="14"/>
              </w:rPr>
              <w:t>BK2</w:t>
            </w:r>
          </w:p>
        </w:tc>
      </w:tr>
      <w:tr w:rsidR="00A16522" w14:paraId="22C5595E" w14:textId="77777777" w:rsidTr="00AD4F59">
        <w:tc>
          <w:tcPr>
            <w:tcW w:w="900" w:type="dxa"/>
          </w:tcPr>
          <w:p w14:paraId="008DA1D1" w14:textId="77777777" w:rsidR="00A16522" w:rsidRPr="00D83E5E" w:rsidRDefault="00A16522" w:rsidP="0097288D">
            <w:pPr>
              <w:pStyle w:val="SingleTxtG"/>
              <w:spacing w:after="0" w:line="240" w:lineRule="auto"/>
              <w:ind w:left="0" w:right="108"/>
              <w:jc w:val="left"/>
              <w:rPr>
                <w:sz w:val="14"/>
                <w:szCs w:val="14"/>
              </w:rPr>
            </w:pPr>
            <w:r w:rsidRPr="00D83E5E">
              <w:rPr>
                <w:sz w:val="14"/>
                <w:szCs w:val="14"/>
              </w:rPr>
              <w:t>2217</w:t>
            </w:r>
          </w:p>
        </w:tc>
        <w:tc>
          <w:tcPr>
            <w:tcW w:w="1530" w:type="dxa"/>
          </w:tcPr>
          <w:p w14:paraId="548579B5" w14:textId="3DEEC10C" w:rsidR="00A16522" w:rsidRPr="00D83E5E" w:rsidRDefault="00D07AD7" w:rsidP="003B1AA8">
            <w:pPr>
              <w:pStyle w:val="SingleTxtG"/>
              <w:spacing w:after="0" w:line="240" w:lineRule="auto"/>
              <w:ind w:left="0" w:right="108"/>
              <w:jc w:val="left"/>
              <w:rPr>
                <w:sz w:val="14"/>
                <w:szCs w:val="14"/>
              </w:rPr>
            </w:pPr>
            <w:r w:rsidRPr="00D83E5E">
              <w:rPr>
                <w:sz w:val="14"/>
                <w:szCs w:val="14"/>
              </w:rPr>
              <w:t xml:space="preserve">SEED CAKE </w:t>
            </w:r>
            <w:r w:rsidR="00A16522" w:rsidRPr="00D83E5E">
              <w:rPr>
                <w:sz w:val="14"/>
                <w:szCs w:val="14"/>
              </w:rPr>
              <w:t>with not more than 1.5</w:t>
            </w:r>
            <w:r w:rsidR="00EC6F38">
              <w:rPr>
                <w:sz w:val="14"/>
                <w:szCs w:val="14"/>
              </w:rPr>
              <w:t xml:space="preserve"> </w:t>
            </w:r>
            <w:r w:rsidR="00A16522" w:rsidRPr="00D83E5E">
              <w:rPr>
                <w:sz w:val="14"/>
                <w:szCs w:val="14"/>
              </w:rPr>
              <w:t>% oil and not more than 11</w:t>
            </w:r>
            <w:r w:rsidR="00EC6F38">
              <w:rPr>
                <w:sz w:val="14"/>
                <w:szCs w:val="14"/>
              </w:rPr>
              <w:t xml:space="preserve"> </w:t>
            </w:r>
            <w:r w:rsidR="00A16522" w:rsidRPr="00D83E5E">
              <w:rPr>
                <w:sz w:val="14"/>
                <w:szCs w:val="14"/>
              </w:rPr>
              <w:t>% moisture</w:t>
            </w:r>
          </w:p>
        </w:tc>
        <w:tc>
          <w:tcPr>
            <w:tcW w:w="1350" w:type="dxa"/>
          </w:tcPr>
          <w:p w14:paraId="1F9B0A18" w14:textId="77777777" w:rsidR="00A16522" w:rsidRPr="00236A28" w:rsidRDefault="00A16522" w:rsidP="00397DC3">
            <w:pPr>
              <w:pStyle w:val="SingleTxtG"/>
              <w:spacing w:after="0" w:line="240" w:lineRule="auto"/>
              <w:ind w:left="0" w:right="1138"/>
              <w:jc w:val="left"/>
              <w:rPr>
                <w:sz w:val="14"/>
                <w:szCs w:val="14"/>
              </w:rPr>
            </w:pPr>
            <w:r w:rsidRPr="00236A28">
              <w:rPr>
                <w:sz w:val="14"/>
                <w:szCs w:val="14"/>
              </w:rPr>
              <w:t>4.2</w:t>
            </w:r>
          </w:p>
        </w:tc>
        <w:tc>
          <w:tcPr>
            <w:tcW w:w="1040" w:type="dxa"/>
          </w:tcPr>
          <w:p w14:paraId="19DF0AE5" w14:textId="77777777" w:rsidR="00A16522" w:rsidRPr="00236A28" w:rsidRDefault="00A16522" w:rsidP="00AD4F59">
            <w:pPr>
              <w:pStyle w:val="SingleTxtG"/>
              <w:spacing w:after="0" w:line="240" w:lineRule="auto"/>
              <w:ind w:left="0" w:right="108"/>
              <w:jc w:val="left"/>
              <w:rPr>
                <w:sz w:val="14"/>
                <w:szCs w:val="14"/>
              </w:rPr>
            </w:pPr>
            <w:r w:rsidRPr="00236A28">
              <w:rPr>
                <w:sz w:val="14"/>
                <w:szCs w:val="14"/>
              </w:rPr>
              <w:t>III</w:t>
            </w:r>
          </w:p>
        </w:tc>
        <w:tc>
          <w:tcPr>
            <w:tcW w:w="709" w:type="dxa"/>
          </w:tcPr>
          <w:p w14:paraId="0B84D3D8" w14:textId="77777777" w:rsidR="00A16522" w:rsidRDefault="00970A51" w:rsidP="000457F7">
            <w:pPr>
              <w:pStyle w:val="SingleTxtG"/>
              <w:spacing w:after="0" w:line="240" w:lineRule="auto"/>
              <w:ind w:left="0" w:right="108"/>
              <w:jc w:val="left"/>
              <w:rPr>
                <w:sz w:val="14"/>
                <w:szCs w:val="14"/>
              </w:rPr>
            </w:pPr>
            <w:r>
              <w:rPr>
                <w:sz w:val="14"/>
                <w:szCs w:val="14"/>
              </w:rPr>
              <w:t>29</w:t>
            </w:r>
          </w:p>
          <w:p w14:paraId="1CB1B44E" w14:textId="7718158F" w:rsidR="001144A2" w:rsidRPr="00236A28" w:rsidRDefault="001144A2" w:rsidP="000457F7">
            <w:pPr>
              <w:pStyle w:val="SingleTxtG"/>
              <w:spacing w:after="0" w:line="240" w:lineRule="auto"/>
              <w:ind w:left="0" w:right="108"/>
              <w:jc w:val="left"/>
              <w:rPr>
                <w:sz w:val="14"/>
                <w:szCs w:val="14"/>
              </w:rPr>
            </w:pPr>
            <w:r>
              <w:rPr>
                <w:sz w:val="14"/>
                <w:szCs w:val="14"/>
              </w:rPr>
              <w:t>142</w:t>
            </w:r>
          </w:p>
        </w:tc>
        <w:tc>
          <w:tcPr>
            <w:tcW w:w="425" w:type="dxa"/>
          </w:tcPr>
          <w:p w14:paraId="685EE841" w14:textId="77777777" w:rsidR="00A16522" w:rsidRPr="00236A28" w:rsidRDefault="00A16522" w:rsidP="00397DC3">
            <w:pPr>
              <w:pStyle w:val="SingleTxtG"/>
              <w:spacing w:after="0" w:line="240" w:lineRule="auto"/>
              <w:ind w:left="0" w:right="1138"/>
              <w:jc w:val="left"/>
              <w:rPr>
                <w:sz w:val="14"/>
                <w:szCs w:val="14"/>
              </w:rPr>
            </w:pPr>
            <w:r>
              <w:rPr>
                <w:sz w:val="14"/>
                <w:szCs w:val="14"/>
              </w:rPr>
              <w:t>0</w:t>
            </w:r>
          </w:p>
        </w:tc>
        <w:tc>
          <w:tcPr>
            <w:tcW w:w="423" w:type="dxa"/>
          </w:tcPr>
          <w:p w14:paraId="1C00F03D" w14:textId="19546575" w:rsidR="00A16522" w:rsidRPr="00236A28" w:rsidRDefault="00A16522" w:rsidP="00720908">
            <w:pPr>
              <w:pStyle w:val="SingleTxtG"/>
              <w:spacing w:after="0" w:line="240" w:lineRule="auto"/>
              <w:ind w:left="0" w:right="108"/>
              <w:jc w:val="left"/>
              <w:rPr>
                <w:sz w:val="16"/>
                <w:szCs w:val="16"/>
              </w:rPr>
            </w:pPr>
            <w:r w:rsidRPr="00236A28">
              <w:rPr>
                <w:sz w:val="16"/>
                <w:szCs w:val="16"/>
              </w:rPr>
              <w:t>E</w:t>
            </w:r>
            <w:r w:rsidR="007D3955">
              <w:rPr>
                <w:sz w:val="16"/>
                <w:szCs w:val="16"/>
              </w:rPr>
              <w:t>0</w:t>
            </w:r>
          </w:p>
        </w:tc>
        <w:tc>
          <w:tcPr>
            <w:tcW w:w="995" w:type="dxa"/>
          </w:tcPr>
          <w:p w14:paraId="6B0D19D7" w14:textId="77777777" w:rsidR="00A16522" w:rsidRPr="00720908" w:rsidRDefault="00A16522" w:rsidP="00720908">
            <w:pPr>
              <w:pStyle w:val="SingleTxtG"/>
              <w:spacing w:after="0" w:line="240" w:lineRule="auto"/>
              <w:ind w:left="0" w:right="108"/>
              <w:jc w:val="left"/>
              <w:rPr>
                <w:sz w:val="14"/>
                <w:szCs w:val="14"/>
              </w:rPr>
            </w:pPr>
            <w:r w:rsidRPr="00720908">
              <w:rPr>
                <w:sz w:val="14"/>
                <w:szCs w:val="14"/>
              </w:rPr>
              <w:t>P002</w:t>
            </w:r>
          </w:p>
          <w:p w14:paraId="70A54A75" w14:textId="77777777" w:rsidR="00A16522" w:rsidRPr="00720908" w:rsidRDefault="00A16522" w:rsidP="00720908">
            <w:pPr>
              <w:pStyle w:val="SingleTxtG"/>
              <w:spacing w:after="0" w:line="240" w:lineRule="auto"/>
              <w:ind w:left="0" w:right="108"/>
              <w:jc w:val="left"/>
              <w:rPr>
                <w:sz w:val="14"/>
                <w:szCs w:val="14"/>
              </w:rPr>
            </w:pPr>
            <w:r w:rsidRPr="00720908">
              <w:rPr>
                <w:sz w:val="14"/>
                <w:szCs w:val="14"/>
              </w:rPr>
              <w:t>IBC08</w:t>
            </w:r>
          </w:p>
          <w:p w14:paraId="1026665D" w14:textId="77777777" w:rsidR="00A16522" w:rsidRPr="00720908" w:rsidRDefault="00A16522" w:rsidP="00720908">
            <w:pPr>
              <w:pStyle w:val="SingleTxtG"/>
              <w:spacing w:after="0" w:line="240" w:lineRule="auto"/>
              <w:ind w:left="0" w:right="108"/>
              <w:jc w:val="left"/>
              <w:rPr>
                <w:sz w:val="14"/>
                <w:szCs w:val="14"/>
              </w:rPr>
            </w:pPr>
            <w:r w:rsidRPr="00720908">
              <w:rPr>
                <w:sz w:val="14"/>
                <w:szCs w:val="14"/>
              </w:rPr>
              <w:t>LP02</w:t>
            </w:r>
          </w:p>
        </w:tc>
        <w:tc>
          <w:tcPr>
            <w:tcW w:w="850" w:type="dxa"/>
          </w:tcPr>
          <w:p w14:paraId="2C31BB01" w14:textId="77777777" w:rsidR="00A16522" w:rsidRPr="00720908" w:rsidRDefault="00A16522" w:rsidP="00720908">
            <w:pPr>
              <w:pStyle w:val="SingleTxtG"/>
              <w:spacing w:after="0" w:line="240" w:lineRule="auto"/>
              <w:ind w:left="0" w:right="108"/>
              <w:jc w:val="left"/>
              <w:rPr>
                <w:sz w:val="14"/>
                <w:szCs w:val="14"/>
              </w:rPr>
            </w:pPr>
            <w:r w:rsidRPr="00720908">
              <w:rPr>
                <w:sz w:val="14"/>
                <w:szCs w:val="14"/>
              </w:rPr>
              <w:t>PP20</w:t>
            </w:r>
          </w:p>
          <w:p w14:paraId="0ADFD834" w14:textId="77777777" w:rsidR="00A16522" w:rsidRPr="00720908" w:rsidRDefault="00A16522" w:rsidP="00720908">
            <w:pPr>
              <w:pStyle w:val="SingleTxtG"/>
              <w:spacing w:after="0" w:line="240" w:lineRule="auto"/>
              <w:ind w:left="0" w:right="108"/>
              <w:jc w:val="left"/>
              <w:rPr>
                <w:sz w:val="14"/>
                <w:szCs w:val="14"/>
              </w:rPr>
            </w:pPr>
            <w:r w:rsidRPr="00720908">
              <w:rPr>
                <w:sz w:val="14"/>
                <w:szCs w:val="14"/>
              </w:rPr>
              <w:t>B3</w:t>
            </w:r>
          </w:p>
          <w:p w14:paraId="4875F744" w14:textId="77777777" w:rsidR="00A16522" w:rsidRPr="00720908" w:rsidRDefault="00A16522" w:rsidP="00720908">
            <w:pPr>
              <w:pStyle w:val="SingleTxtG"/>
              <w:spacing w:after="0" w:line="240" w:lineRule="auto"/>
              <w:ind w:left="0" w:right="108"/>
              <w:jc w:val="left"/>
              <w:rPr>
                <w:sz w:val="14"/>
                <w:szCs w:val="14"/>
              </w:rPr>
            </w:pPr>
            <w:r w:rsidRPr="00720908">
              <w:rPr>
                <w:sz w:val="14"/>
                <w:szCs w:val="14"/>
              </w:rPr>
              <w:t>B6</w:t>
            </w:r>
          </w:p>
        </w:tc>
        <w:tc>
          <w:tcPr>
            <w:tcW w:w="879" w:type="dxa"/>
          </w:tcPr>
          <w:p w14:paraId="709BC444" w14:textId="77777777" w:rsidR="00A16522" w:rsidRPr="00720908" w:rsidRDefault="00A16522" w:rsidP="00720908">
            <w:pPr>
              <w:pStyle w:val="SingleTxtG"/>
              <w:spacing w:after="0" w:line="240" w:lineRule="auto"/>
              <w:ind w:left="0" w:right="108"/>
              <w:jc w:val="left"/>
              <w:rPr>
                <w:sz w:val="14"/>
                <w:szCs w:val="14"/>
              </w:rPr>
            </w:pPr>
            <w:r w:rsidRPr="00720908">
              <w:rPr>
                <w:sz w:val="14"/>
                <w:szCs w:val="14"/>
              </w:rPr>
              <w:t>BK2</w:t>
            </w:r>
          </w:p>
        </w:tc>
      </w:tr>
      <w:tr w:rsidR="00A16522" w14:paraId="38739ECC" w14:textId="77777777" w:rsidTr="00AD4F59">
        <w:tc>
          <w:tcPr>
            <w:tcW w:w="9104" w:type="dxa"/>
            <w:gridSpan w:val="10"/>
          </w:tcPr>
          <w:p w14:paraId="08023DF3" w14:textId="77777777" w:rsidR="00A16522" w:rsidRPr="00E105A5" w:rsidRDefault="00A16522" w:rsidP="00397DC3">
            <w:pPr>
              <w:pStyle w:val="SingleTxtG"/>
              <w:spacing w:line="240" w:lineRule="auto"/>
              <w:ind w:left="0" w:right="1138"/>
              <w:rPr>
                <w:sz w:val="18"/>
                <w:szCs w:val="18"/>
              </w:rPr>
            </w:pPr>
            <w:r w:rsidRPr="00E105A5">
              <w:rPr>
                <w:sz w:val="18"/>
                <w:szCs w:val="18"/>
              </w:rPr>
              <w:t xml:space="preserve">29       This substance is exempt from </w:t>
            </w:r>
            <w:proofErr w:type="gramStart"/>
            <w:r w:rsidRPr="00E105A5">
              <w:rPr>
                <w:sz w:val="18"/>
                <w:szCs w:val="18"/>
              </w:rPr>
              <w:t>labelling, but</w:t>
            </w:r>
            <w:proofErr w:type="gramEnd"/>
            <w:r w:rsidRPr="00E105A5">
              <w:rPr>
                <w:sz w:val="18"/>
                <w:szCs w:val="18"/>
              </w:rPr>
              <w:t xml:space="preserve"> shall be marked with the appropriate class or division.</w:t>
            </w:r>
          </w:p>
          <w:p w14:paraId="590F3BBD" w14:textId="77777777" w:rsidR="00A16522" w:rsidRPr="00E105A5" w:rsidRDefault="00A16522" w:rsidP="00397DC3">
            <w:pPr>
              <w:pStyle w:val="SingleTxtG"/>
              <w:spacing w:after="0" w:line="240" w:lineRule="auto"/>
              <w:ind w:left="0" w:right="1138"/>
              <w:jc w:val="left"/>
              <w:rPr>
                <w:b/>
                <w:bCs/>
              </w:rPr>
            </w:pPr>
            <w:r w:rsidRPr="00E105A5">
              <w:rPr>
                <w:sz w:val="18"/>
                <w:szCs w:val="18"/>
              </w:rPr>
              <w:t>142     Solvent extracted soya bean meal containing not more than 1.5 % oil and 11 % moisture, which is substantially free of flammable solvent, is not subject to these Regulations.</w:t>
            </w:r>
          </w:p>
        </w:tc>
      </w:tr>
    </w:tbl>
    <w:p w14:paraId="469FC97B" w14:textId="77777777" w:rsidR="00A16522" w:rsidRDefault="00A16522" w:rsidP="00A16522">
      <w:pPr>
        <w:pStyle w:val="SingleTxtG"/>
        <w:spacing w:after="0" w:line="240" w:lineRule="auto"/>
        <w:ind w:left="562" w:right="1138"/>
        <w:jc w:val="left"/>
        <w:rPr>
          <w:lang w:val="en-US"/>
        </w:rPr>
      </w:pPr>
    </w:p>
    <w:p w14:paraId="7B01578F" w14:textId="5754BD9F" w:rsidR="00A16522" w:rsidRDefault="001A4F0F" w:rsidP="00A54F00">
      <w:pPr>
        <w:pStyle w:val="SingleTxtG"/>
        <w:rPr>
          <w:lang w:val="en-US"/>
        </w:rPr>
      </w:pPr>
      <w:r>
        <w:rPr>
          <w:lang w:val="en-US"/>
        </w:rPr>
        <w:t>3.</w:t>
      </w:r>
      <w:r>
        <w:rPr>
          <w:lang w:val="en-US"/>
        </w:rPr>
        <w:tab/>
      </w:r>
      <w:r w:rsidR="00A16522">
        <w:rPr>
          <w:lang w:val="en-US"/>
        </w:rPr>
        <w:t xml:space="preserve">Special provision 142 was added specifically for </w:t>
      </w:r>
      <w:r w:rsidR="00363744">
        <w:rPr>
          <w:lang w:val="en-US"/>
        </w:rPr>
        <w:t>s</w:t>
      </w:r>
      <w:r w:rsidR="00A16522">
        <w:rPr>
          <w:lang w:val="en-US"/>
        </w:rPr>
        <w:t>oybean meal.</w:t>
      </w:r>
    </w:p>
    <w:p w14:paraId="7D890E05" w14:textId="0CD46805" w:rsidR="00A16522" w:rsidRDefault="001A4F0F" w:rsidP="00A54F00">
      <w:pPr>
        <w:pStyle w:val="SingleTxtG"/>
        <w:rPr>
          <w:lang w:val="en-US"/>
        </w:rPr>
      </w:pPr>
      <w:r>
        <w:rPr>
          <w:lang w:val="en-US"/>
        </w:rPr>
        <w:t>4</w:t>
      </w:r>
      <w:r w:rsidR="00A16522">
        <w:rPr>
          <w:lang w:val="en-US"/>
        </w:rPr>
        <w:t>.</w:t>
      </w:r>
      <w:r w:rsidR="00A16522">
        <w:rPr>
          <w:lang w:val="en-US"/>
        </w:rPr>
        <w:tab/>
        <w:t>When the entries were introduced</w:t>
      </w:r>
      <w:r w:rsidR="00A16522" w:rsidRPr="00BF3831">
        <w:rPr>
          <w:lang w:val="en-US"/>
        </w:rPr>
        <w:t xml:space="preserve">, the </w:t>
      </w:r>
      <w:r w:rsidR="00A16522" w:rsidRPr="00D52B4D">
        <w:rPr>
          <w:i/>
          <w:iCs/>
          <w:lang w:val="en-US"/>
        </w:rPr>
        <w:t>Model Regulations</w:t>
      </w:r>
      <w:r w:rsidR="00A16522">
        <w:rPr>
          <w:lang w:val="en-US"/>
        </w:rPr>
        <w:t xml:space="preserve"> </w:t>
      </w:r>
      <w:r w:rsidR="00A16522" w:rsidRPr="00BF3831">
        <w:rPr>
          <w:lang w:val="en-US"/>
        </w:rPr>
        <w:t xml:space="preserve">did not have packing instructions. These were introduced in </w:t>
      </w:r>
      <w:r w:rsidR="00FF72B8">
        <w:rPr>
          <w:lang w:val="en-US"/>
        </w:rPr>
        <w:t>eleventh revised edition (</w:t>
      </w:r>
      <w:r w:rsidR="00A16522">
        <w:rPr>
          <w:lang w:val="en-US"/>
        </w:rPr>
        <w:t>Re</w:t>
      </w:r>
      <w:r w:rsidR="00A16522" w:rsidRPr="00BF3831">
        <w:rPr>
          <w:lang w:val="en-US"/>
        </w:rPr>
        <w:t>v.11</w:t>
      </w:r>
      <w:r w:rsidR="00FF72B8">
        <w:rPr>
          <w:lang w:val="en-US"/>
        </w:rPr>
        <w:t>)</w:t>
      </w:r>
      <w:r w:rsidR="00A16522" w:rsidRPr="00BF3831">
        <w:rPr>
          <w:lang w:val="en-US"/>
        </w:rPr>
        <w:t xml:space="preserve">. </w:t>
      </w:r>
      <w:r w:rsidR="00A16522">
        <w:rPr>
          <w:lang w:val="en-US"/>
        </w:rPr>
        <w:t>Currently P</w:t>
      </w:r>
      <w:r w:rsidR="00A16522" w:rsidRPr="00BF3831">
        <w:rPr>
          <w:lang w:val="en-US"/>
        </w:rPr>
        <w:t xml:space="preserve">003 </w:t>
      </w:r>
      <w:r w:rsidR="00A16522">
        <w:rPr>
          <w:lang w:val="en-US"/>
        </w:rPr>
        <w:t xml:space="preserve">(less restrictive) is </w:t>
      </w:r>
      <w:r w:rsidR="00A16522" w:rsidRPr="00BF3831">
        <w:rPr>
          <w:lang w:val="en-US"/>
        </w:rPr>
        <w:t>assigned to UN</w:t>
      </w:r>
      <w:r w:rsidR="008F6F3F">
        <w:rPr>
          <w:lang w:val="en-US"/>
        </w:rPr>
        <w:t> </w:t>
      </w:r>
      <w:r w:rsidR="00A16522" w:rsidRPr="00BF3831">
        <w:rPr>
          <w:lang w:val="en-US"/>
        </w:rPr>
        <w:t xml:space="preserve">1386 and P002 </w:t>
      </w:r>
      <w:r w:rsidR="00A16522">
        <w:rPr>
          <w:lang w:val="en-US"/>
        </w:rPr>
        <w:t xml:space="preserve">(slightly more restrictive) </w:t>
      </w:r>
      <w:r w:rsidR="00A16522" w:rsidRPr="00BF3831">
        <w:rPr>
          <w:lang w:val="en-US"/>
        </w:rPr>
        <w:t>to UN</w:t>
      </w:r>
      <w:r w:rsidR="008F6F3F">
        <w:rPr>
          <w:lang w:val="en-US"/>
        </w:rPr>
        <w:t> </w:t>
      </w:r>
      <w:r w:rsidR="00A16522" w:rsidRPr="00BF3831">
        <w:rPr>
          <w:lang w:val="en-US"/>
        </w:rPr>
        <w:t xml:space="preserve">2217. </w:t>
      </w:r>
      <w:r w:rsidR="00A16522">
        <w:rPr>
          <w:lang w:val="en-US"/>
        </w:rPr>
        <w:t xml:space="preserve">The rationale for assigning P002 and P003 is also difficult to justify considering the similarities of the entries and since most of the seed cake is shipped in bulk or BK containers as opposed to small </w:t>
      </w:r>
      <w:proofErr w:type="spellStart"/>
      <w:r w:rsidR="00A16522">
        <w:rPr>
          <w:lang w:val="en-US"/>
        </w:rPr>
        <w:t>packagings</w:t>
      </w:r>
      <w:proofErr w:type="spellEnd"/>
      <w:r w:rsidR="00A16522">
        <w:rPr>
          <w:lang w:val="en-US"/>
        </w:rPr>
        <w:t>.</w:t>
      </w:r>
    </w:p>
    <w:p w14:paraId="0DEBC670" w14:textId="52DAC888" w:rsidR="00A16522" w:rsidRPr="00BE42E6" w:rsidRDefault="00A16522" w:rsidP="00A54F00">
      <w:pPr>
        <w:pStyle w:val="SingleTxtG"/>
        <w:rPr>
          <w:lang w:val="en-US"/>
        </w:rPr>
      </w:pPr>
      <w:r w:rsidRPr="00A54F00">
        <w:rPr>
          <w:i/>
          <w:iCs/>
          <w:lang w:val="en-US"/>
        </w:rPr>
        <w:t>Note: When the rationale for assignment of packing instructions was introduced (ST/SG/AC.10/C.3/1997/52 and ST/SG/AC.10/C.3/28), Division 4.2, packing group III goods were assigned P002. When the first detailed list of assignments was proposed (ST/SG/AC.10/C.3/1998/22 and ST/SG/AC.10/C.3/30) UN 1386 was assigned P409 and UN</w:t>
      </w:r>
      <w:r w:rsidR="00FE140F">
        <w:rPr>
          <w:i/>
          <w:iCs/>
          <w:lang w:val="en-US"/>
        </w:rPr>
        <w:t> </w:t>
      </w:r>
      <w:r w:rsidRPr="00A54F00">
        <w:rPr>
          <w:i/>
          <w:iCs/>
          <w:lang w:val="en-US"/>
        </w:rPr>
        <w:t>2217 was assigned P002. When the final list was published (ST/SG/AC.10/25 and ST/SG/AC.10/25/Add.3) UN</w:t>
      </w:r>
      <w:r w:rsidR="0041033A">
        <w:rPr>
          <w:i/>
          <w:iCs/>
          <w:lang w:val="en-US"/>
        </w:rPr>
        <w:t> </w:t>
      </w:r>
      <w:r w:rsidRPr="00A54F00">
        <w:rPr>
          <w:i/>
          <w:iCs/>
          <w:lang w:val="en-US"/>
        </w:rPr>
        <w:t>1386 was assigned P003 and UN</w:t>
      </w:r>
      <w:r w:rsidR="0041033A">
        <w:rPr>
          <w:i/>
          <w:iCs/>
          <w:lang w:val="en-US"/>
        </w:rPr>
        <w:t> </w:t>
      </w:r>
      <w:r w:rsidRPr="00A54F00">
        <w:rPr>
          <w:i/>
          <w:iCs/>
          <w:lang w:val="en-US"/>
        </w:rPr>
        <w:t>2217 was assigned P002.</w:t>
      </w:r>
    </w:p>
    <w:p w14:paraId="0E891E6A" w14:textId="37DADA65" w:rsidR="00A16522" w:rsidRPr="00BF3831" w:rsidRDefault="001A4F0F" w:rsidP="005736AE">
      <w:pPr>
        <w:pStyle w:val="SingleTxtG"/>
        <w:rPr>
          <w:lang w:val="en-US"/>
        </w:rPr>
      </w:pPr>
      <w:r>
        <w:rPr>
          <w:lang w:val="en-US"/>
        </w:rPr>
        <w:t>5</w:t>
      </w:r>
      <w:r w:rsidR="00A16522">
        <w:rPr>
          <w:lang w:val="en-US"/>
        </w:rPr>
        <w:t>.</w:t>
      </w:r>
      <w:r w:rsidR="00A16522">
        <w:rPr>
          <w:lang w:val="en-US"/>
        </w:rPr>
        <w:tab/>
        <w:t>There was an attempt by Germany to address the seed cake entries. The expert from Germany p</w:t>
      </w:r>
      <w:r w:rsidR="00A16522" w:rsidRPr="00BF3831">
        <w:rPr>
          <w:lang w:val="en-US"/>
        </w:rPr>
        <w:t xml:space="preserve">resented an initial proposal for amendment in 2014 (ST/SG/AC.10/C.3/2014/80). In view of the </w:t>
      </w:r>
      <w:proofErr w:type="gramStart"/>
      <w:r w:rsidR="00A16522" w:rsidRPr="00BF3831">
        <w:rPr>
          <w:lang w:val="en-US"/>
        </w:rPr>
        <w:t>comments</w:t>
      </w:r>
      <w:proofErr w:type="gramEnd"/>
      <w:r w:rsidR="00A16522" w:rsidRPr="00BF3831">
        <w:rPr>
          <w:lang w:val="en-US"/>
        </w:rPr>
        <w:t xml:space="preserve"> they received (ST/SG/AC.10/C.3/92)</w:t>
      </w:r>
      <w:r w:rsidR="00EC105E">
        <w:rPr>
          <w:lang w:val="en-US"/>
        </w:rPr>
        <w:t>,</w:t>
      </w:r>
      <w:r w:rsidR="00A16522" w:rsidRPr="00BF3831">
        <w:rPr>
          <w:lang w:val="en-US"/>
        </w:rPr>
        <w:t xml:space="preserve"> they came back with a </w:t>
      </w:r>
      <w:r w:rsidR="00A16522">
        <w:rPr>
          <w:lang w:val="en-US"/>
        </w:rPr>
        <w:t>revised</w:t>
      </w:r>
      <w:r w:rsidR="00A16522" w:rsidRPr="00BF3831">
        <w:rPr>
          <w:lang w:val="en-US"/>
        </w:rPr>
        <w:t xml:space="preserve"> proposal (ST/SG/AC.10/C.3/2015/7) which was also rejected as it was deemed too broad (ST/SG/AC.10/C.3/94). </w:t>
      </w:r>
      <w:r w:rsidR="00A16522">
        <w:rPr>
          <w:lang w:val="en-US"/>
        </w:rPr>
        <w:t xml:space="preserve">In 2016, Spain submitted </w:t>
      </w:r>
      <w:r w:rsidR="0041033A">
        <w:rPr>
          <w:lang w:val="en-US"/>
        </w:rPr>
        <w:t>informal document</w:t>
      </w:r>
      <w:r w:rsidR="00A16522">
        <w:rPr>
          <w:lang w:val="en-US"/>
        </w:rPr>
        <w:t xml:space="preserve"> </w:t>
      </w:r>
      <w:r w:rsidR="00A16522" w:rsidRPr="000039F1">
        <w:rPr>
          <w:lang w:val="en-US"/>
        </w:rPr>
        <w:t>INF.4</w:t>
      </w:r>
      <w:r w:rsidR="00A16522">
        <w:rPr>
          <w:lang w:val="en-US"/>
        </w:rPr>
        <w:t xml:space="preserve"> </w:t>
      </w:r>
      <w:r w:rsidR="00EC105E">
        <w:rPr>
          <w:lang w:val="en-US"/>
        </w:rPr>
        <w:t>to the</w:t>
      </w:r>
      <w:r w:rsidR="00262CEB">
        <w:rPr>
          <w:lang w:val="en-US"/>
        </w:rPr>
        <w:t xml:space="preserve"> </w:t>
      </w:r>
      <w:r w:rsidR="005370AF">
        <w:rPr>
          <w:lang w:val="en-US"/>
        </w:rPr>
        <w:t>fift</w:t>
      </w:r>
      <w:r w:rsidR="00427F5C">
        <w:rPr>
          <w:lang w:val="en-US"/>
        </w:rPr>
        <w:t>ieth</w:t>
      </w:r>
      <w:r w:rsidR="00196763">
        <w:rPr>
          <w:lang w:val="en-US"/>
        </w:rPr>
        <w:t xml:space="preserve"> session </w:t>
      </w:r>
      <w:r w:rsidR="00427F5C">
        <w:rPr>
          <w:lang w:val="en-US"/>
        </w:rPr>
        <w:t xml:space="preserve">of the </w:t>
      </w:r>
      <w:r w:rsidR="00C60BDA">
        <w:rPr>
          <w:lang w:val="en-US"/>
        </w:rPr>
        <w:t xml:space="preserve">TDG </w:t>
      </w:r>
      <w:r w:rsidR="00427F5C">
        <w:rPr>
          <w:lang w:val="en-US"/>
        </w:rPr>
        <w:t>Sub</w:t>
      </w:r>
      <w:r w:rsidR="00427F5C">
        <w:rPr>
          <w:lang w:val="en-US"/>
        </w:rPr>
        <w:noBreakHyphen/>
        <w:t xml:space="preserve">Committee </w:t>
      </w:r>
      <w:r w:rsidR="00A16522">
        <w:rPr>
          <w:lang w:val="en-US"/>
        </w:rPr>
        <w:t>highlighting d</w:t>
      </w:r>
      <w:r w:rsidR="00A16522" w:rsidRPr="000039F1">
        <w:rPr>
          <w:lang w:val="en-US"/>
        </w:rPr>
        <w:t>ifferences as related to UN</w:t>
      </w:r>
      <w:r w:rsidR="0049528C">
        <w:rPr>
          <w:lang w:val="en-US"/>
        </w:rPr>
        <w:t> </w:t>
      </w:r>
      <w:r w:rsidR="00A16522" w:rsidRPr="000039F1">
        <w:rPr>
          <w:lang w:val="en-US"/>
        </w:rPr>
        <w:t xml:space="preserve">1386 in the </w:t>
      </w:r>
      <w:r w:rsidR="00B91231" w:rsidRPr="00B91231">
        <w:rPr>
          <w:lang w:val="en-US"/>
        </w:rPr>
        <w:t xml:space="preserve">International Maritime Solid Bulk Cargoes (IMSBC) </w:t>
      </w:r>
      <w:r w:rsidR="00A16522" w:rsidRPr="000039F1">
        <w:rPr>
          <w:lang w:val="en-US"/>
        </w:rPr>
        <w:t xml:space="preserve">and </w:t>
      </w:r>
      <w:r w:rsidR="00FE62EC">
        <w:rPr>
          <w:lang w:val="en-US"/>
        </w:rPr>
        <w:t>I</w:t>
      </w:r>
      <w:r w:rsidR="00FE62EC" w:rsidRPr="00FE62EC">
        <w:rPr>
          <w:lang w:val="en-US"/>
        </w:rPr>
        <w:t>nternational</w:t>
      </w:r>
      <w:r w:rsidR="001508A5">
        <w:rPr>
          <w:lang w:val="en-US"/>
        </w:rPr>
        <w:t xml:space="preserve"> M</w:t>
      </w:r>
      <w:r w:rsidR="00FE62EC" w:rsidRPr="00FE62EC">
        <w:rPr>
          <w:lang w:val="en-US"/>
        </w:rPr>
        <w:t xml:space="preserve">aritime </w:t>
      </w:r>
      <w:r w:rsidR="001508A5">
        <w:rPr>
          <w:lang w:val="en-US"/>
        </w:rPr>
        <w:t>D</w:t>
      </w:r>
      <w:r w:rsidR="00FE62EC" w:rsidRPr="00FE62EC">
        <w:rPr>
          <w:lang w:val="en-US"/>
        </w:rPr>
        <w:t xml:space="preserve">angerous </w:t>
      </w:r>
      <w:r w:rsidR="001508A5">
        <w:rPr>
          <w:lang w:val="en-US"/>
        </w:rPr>
        <w:t>G</w:t>
      </w:r>
      <w:r w:rsidR="00FE62EC" w:rsidRPr="00FE62EC">
        <w:rPr>
          <w:lang w:val="en-US"/>
        </w:rPr>
        <w:t xml:space="preserve">oods </w:t>
      </w:r>
      <w:r w:rsidR="001508A5">
        <w:rPr>
          <w:lang w:val="en-US"/>
        </w:rPr>
        <w:t>(</w:t>
      </w:r>
      <w:r w:rsidR="00A16522" w:rsidRPr="000039F1">
        <w:rPr>
          <w:lang w:val="en-US"/>
        </w:rPr>
        <w:t>IMDG</w:t>
      </w:r>
      <w:r w:rsidR="001508A5">
        <w:rPr>
          <w:lang w:val="en-US"/>
        </w:rPr>
        <w:t>)</w:t>
      </w:r>
      <w:r w:rsidR="00A16522" w:rsidRPr="000039F1">
        <w:rPr>
          <w:lang w:val="en-US"/>
        </w:rPr>
        <w:t xml:space="preserve"> Codes and the </w:t>
      </w:r>
      <w:r w:rsidR="00A16522" w:rsidRPr="00E22423">
        <w:rPr>
          <w:i/>
          <w:iCs/>
          <w:lang w:val="en-US"/>
        </w:rPr>
        <w:t>Model Regulations</w:t>
      </w:r>
      <w:r w:rsidR="00A16522">
        <w:rPr>
          <w:lang w:val="en-US"/>
        </w:rPr>
        <w:t>.</w:t>
      </w:r>
      <w:r w:rsidR="00A16522" w:rsidRPr="000039F1">
        <w:rPr>
          <w:lang w:val="en-US"/>
        </w:rPr>
        <w:cr/>
      </w:r>
      <w:r w:rsidR="004B2109">
        <w:rPr>
          <w:lang w:val="en-US"/>
        </w:rPr>
        <w:t>6</w:t>
      </w:r>
      <w:r w:rsidR="00A16522">
        <w:rPr>
          <w:lang w:val="en-US"/>
        </w:rPr>
        <w:t>.</w:t>
      </w:r>
      <w:r w:rsidR="00A16522">
        <w:rPr>
          <w:lang w:val="en-US"/>
        </w:rPr>
        <w:tab/>
      </w:r>
      <w:r w:rsidR="00A16522" w:rsidRPr="00A54F00">
        <w:t>During</w:t>
      </w:r>
      <w:r w:rsidR="00A16522">
        <w:rPr>
          <w:lang w:val="en-US"/>
        </w:rPr>
        <w:t xml:space="preserve"> recent meetings of the I</w:t>
      </w:r>
      <w:r w:rsidR="00BE2694">
        <w:rPr>
          <w:lang w:val="en-US"/>
        </w:rPr>
        <w:t xml:space="preserve">nternational </w:t>
      </w:r>
      <w:r w:rsidR="00A16522">
        <w:rPr>
          <w:lang w:val="en-US"/>
        </w:rPr>
        <w:t>M</w:t>
      </w:r>
      <w:r w:rsidR="00BE2694">
        <w:rPr>
          <w:lang w:val="en-US"/>
        </w:rPr>
        <w:t>aritime Organization (IMO)</w:t>
      </w:r>
      <w:r w:rsidR="00A16522">
        <w:rPr>
          <w:lang w:val="en-US"/>
        </w:rPr>
        <w:t xml:space="preserve"> </w:t>
      </w:r>
      <w:r w:rsidR="00A92AB1" w:rsidRPr="00BE2694">
        <w:rPr>
          <w:rStyle w:val="Emphasis"/>
          <w:i w:val="0"/>
          <w:iCs w:val="0"/>
        </w:rPr>
        <w:t>Sub</w:t>
      </w:r>
      <w:r w:rsidR="00A92AB1" w:rsidRPr="00BE2694">
        <w:rPr>
          <w:i/>
          <w:iCs/>
        </w:rPr>
        <w:t>-</w:t>
      </w:r>
      <w:r w:rsidR="00A92AB1" w:rsidRPr="00BE2694">
        <w:rPr>
          <w:rStyle w:val="Emphasis"/>
          <w:i w:val="0"/>
          <w:iCs w:val="0"/>
        </w:rPr>
        <w:t>Committee</w:t>
      </w:r>
      <w:r w:rsidR="00A92AB1" w:rsidRPr="00BE2694">
        <w:rPr>
          <w:i/>
          <w:iCs/>
        </w:rPr>
        <w:t xml:space="preserve"> </w:t>
      </w:r>
      <w:r w:rsidR="00A92AB1">
        <w:t xml:space="preserve">on Carriage of Cargoes and Containers </w:t>
      </w:r>
      <w:r w:rsidR="00A92AB1" w:rsidRPr="008C51AE">
        <w:rPr>
          <w:i/>
          <w:iCs/>
        </w:rPr>
        <w:t>(</w:t>
      </w:r>
      <w:r w:rsidR="00A92AB1" w:rsidRPr="008C51AE">
        <w:rPr>
          <w:rStyle w:val="Emphasis"/>
          <w:i w:val="0"/>
          <w:iCs w:val="0"/>
        </w:rPr>
        <w:t>CCC</w:t>
      </w:r>
      <w:r w:rsidR="00A92AB1" w:rsidRPr="008C51AE">
        <w:rPr>
          <w:i/>
          <w:iCs/>
        </w:rPr>
        <w:t>)</w:t>
      </w:r>
      <w:r w:rsidR="00A92AB1">
        <w:t xml:space="preserve"> </w:t>
      </w:r>
      <w:r w:rsidR="00A16522">
        <w:rPr>
          <w:lang w:val="en-US"/>
        </w:rPr>
        <w:t xml:space="preserve">the issue of seed cake has been raised. There have been several proposals from China during CCC8, CCC9 and CCC10. The IMO </w:t>
      </w:r>
      <w:r w:rsidR="00214517">
        <w:t xml:space="preserve">Editorial </w:t>
      </w:r>
      <w:r w:rsidR="008C51AE">
        <w:t>and</w:t>
      </w:r>
      <w:r w:rsidR="00214517">
        <w:t xml:space="preserve"> Technical Group</w:t>
      </w:r>
      <w:r w:rsidR="00214517">
        <w:rPr>
          <w:lang w:val="en-US"/>
        </w:rPr>
        <w:t xml:space="preserve"> (</w:t>
      </w:r>
      <w:r w:rsidR="00A16522">
        <w:rPr>
          <w:lang w:val="en-US"/>
        </w:rPr>
        <w:t>E&amp;T</w:t>
      </w:r>
      <w:r w:rsidR="00214517">
        <w:rPr>
          <w:lang w:val="en-US"/>
        </w:rPr>
        <w:t>)</w:t>
      </w:r>
      <w:r w:rsidR="00A16522">
        <w:rPr>
          <w:lang w:val="en-US"/>
        </w:rPr>
        <w:t xml:space="preserve"> group </w:t>
      </w:r>
      <w:r w:rsidR="00A16522" w:rsidRPr="00616A28">
        <w:rPr>
          <w:lang w:val="en-US"/>
        </w:rPr>
        <w:t>of the CCC</w:t>
      </w:r>
      <w:r w:rsidR="00905A37">
        <w:rPr>
          <w:lang w:val="en-US"/>
        </w:rPr>
        <w:t xml:space="preserve"> Sub-Committee</w:t>
      </w:r>
      <w:r w:rsidR="00A16522" w:rsidRPr="00616A28">
        <w:rPr>
          <w:lang w:val="en-US"/>
        </w:rPr>
        <w:t xml:space="preserve"> </w:t>
      </w:r>
      <w:r w:rsidR="00A16522">
        <w:rPr>
          <w:lang w:val="en-US"/>
        </w:rPr>
        <w:t xml:space="preserve">concluded that any issue related to the classification of seed cake especially with respect to the entries should be addressed by the TDG Sub-Committee. </w:t>
      </w:r>
      <w:r w:rsidR="00A16522" w:rsidRPr="00BF3831">
        <w:rPr>
          <w:lang w:val="en-US"/>
        </w:rPr>
        <w:t xml:space="preserve">The IMO E&amp;T group recently considered the differences between the </w:t>
      </w:r>
      <w:r w:rsidR="00A16522" w:rsidRPr="00E22423">
        <w:rPr>
          <w:i/>
          <w:iCs/>
          <w:lang w:val="en-US"/>
        </w:rPr>
        <w:t>Model Regulations</w:t>
      </w:r>
      <w:r w:rsidR="00A16522" w:rsidRPr="00BF3831">
        <w:rPr>
          <w:lang w:val="en-US"/>
        </w:rPr>
        <w:t xml:space="preserve"> and the IMDG Code for seed cake.</w:t>
      </w:r>
    </w:p>
    <w:p w14:paraId="3D60916A" w14:textId="2EF6AF07" w:rsidR="00A16522" w:rsidRDefault="004B2109" w:rsidP="00F82480">
      <w:pPr>
        <w:pStyle w:val="SingleTxtG"/>
        <w:rPr>
          <w:lang w:val="en-US"/>
        </w:rPr>
      </w:pPr>
      <w:r>
        <w:rPr>
          <w:lang w:val="en-US"/>
        </w:rPr>
        <w:t>7</w:t>
      </w:r>
      <w:r w:rsidR="001A4F0F">
        <w:rPr>
          <w:lang w:val="en-US"/>
        </w:rPr>
        <w:t>.</w:t>
      </w:r>
      <w:r w:rsidR="006A1CEB">
        <w:rPr>
          <w:lang w:val="en-US"/>
        </w:rPr>
        <w:tab/>
      </w:r>
      <w:r w:rsidR="00A16522" w:rsidRPr="00BF3831">
        <w:rPr>
          <w:lang w:val="en-US"/>
        </w:rPr>
        <w:t>The subdivision of UN</w:t>
      </w:r>
      <w:r w:rsidR="005736AE">
        <w:rPr>
          <w:lang w:val="en-US"/>
        </w:rPr>
        <w:t> </w:t>
      </w:r>
      <w:r w:rsidR="00A16522" w:rsidRPr="00F82480">
        <w:t>1386</w:t>
      </w:r>
      <w:r w:rsidR="00A16522" w:rsidRPr="00BF3831">
        <w:rPr>
          <w:lang w:val="en-US"/>
        </w:rPr>
        <w:t xml:space="preserve"> in a) and b) </w:t>
      </w:r>
      <w:r w:rsidR="00A16522">
        <w:rPr>
          <w:lang w:val="en-US"/>
        </w:rPr>
        <w:t xml:space="preserve">that exists in the IMDG Code </w:t>
      </w:r>
      <w:r w:rsidR="00A16522" w:rsidRPr="00BF3831">
        <w:rPr>
          <w:lang w:val="en-US"/>
        </w:rPr>
        <w:t xml:space="preserve">does not exist in the </w:t>
      </w:r>
      <w:r w:rsidR="00A16522" w:rsidRPr="00E22423">
        <w:rPr>
          <w:i/>
          <w:iCs/>
          <w:lang w:val="en-US"/>
        </w:rPr>
        <w:t>Model Regulations</w:t>
      </w:r>
      <w:r w:rsidR="00A16522" w:rsidRPr="00BF3831">
        <w:rPr>
          <w:lang w:val="en-US"/>
        </w:rPr>
        <w:t>.</w:t>
      </w:r>
    </w:p>
    <w:p w14:paraId="3CB75F3B" w14:textId="02AF519B" w:rsidR="00A16522" w:rsidRDefault="00815608" w:rsidP="00B3259D">
      <w:pPr>
        <w:pStyle w:val="SingleTxtG"/>
        <w:rPr>
          <w:lang w:val="en-US"/>
        </w:rPr>
      </w:pPr>
      <w:r>
        <w:rPr>
          <w:lang w:val="en-US"/>
        </w:rPr>
        <w:lastRenderedPageBreak/>
        <w:tab/>
      </w:r>
      <w:r w:rsidR="00A16522">
        <w:rPr>
          <w:lang w:val="en-US"/>
        </w:rPr>
        <w:t>In t</w:t>
      </w:r>
      <w:r w:rsidR="00A16522" w:rsidRPr="00BF3831">
        <w:rPr>
          <w:lang w:val="en-US"/>
        </w:rPr>
        <w:t xml:space="preserve">he </w:t>
      </w:r>
      <w:r w:rsidR="00A16522" w:rsidRPr="00E22423">
        <w:rPr>
          <w:i/>
          <w:iCs/>
          <w:lang w:val="en-US"/>
        </w:rPr>
        <w:t>Model Regulations</w:t>
      </w:r>
      <w:r w:rsidR="00A16522">
        <w:rPr>
          <w:lang w:val="en-US"/>
        </w:rPr>
        <w:t xml:space="preserve">, the oil and </w:t>
      </w:r>
      <w:r w:rsidR="00A16522" w:rsidRPr="00F82480">
        <w:t>moisture</w:t>
      </w:r>
      <w:r w:rsidR="00A16522">
        <w:rPr>
          <w:lang w:val="en-US"/>
        </w:rPr>
        <w:t xml:space="preserve"> content for UN</w:t>
      </w:r>
      <w:r w:rsidR="00B3259D">
        <w:rPr>
          <w:lang w:val="en-US"/>
        </w:rPr>
        <w:t> </w:t>
      </w:r>
      <w:r w:rsidR="00A16522">
        <w:rPr>
          <w:lang w:val="en-US"/>
        </w:rPr>
        <w:t xml:space="preserve">1386 </w:t>
      </w:r>
      <w:r w:rsidR="00A16522" w:rsidRPr="00BF3831">
        <w:rPr>
          <w:lang w:val="en-US"/>
        </w:rPr>
        <w:t>d</w:t>
      </w:r>
      <w:r w:rsidR="00A16522">
        <w:rPr>
          <w:lang w:val="en-US"/>
        </w:rPr>
        <w:t>iffers from those in the IMDG Code. In the Code, UN 1386 entry is divided into:</w:t>
      </w:r>
    </w:p>
    <w:p w14:paraId="61CD3E76" w14:textId="4829C80D" w:rsidR="00A16522" w:rsidRDefault="00432295" w:rsidP="00F82480">
      <w:pPr>
        <w:pStyle w:val="SingleTxtG"/>
        <w:rPr>
          <w:lang w:val="en-US"/>
        </w:rPr>
      </w:pPr>
      <w:r>
        <w:rPr>
          <w:lang w:val="en-US"/>
        </w:rPr>
        <w:tab/>
      </w:r>
      <w:r w:rsidR="00F82480">
        <w:rPr>
          <w:lang w:val="en-US"/>
        </w:rPr>
        <w:t>a)</w:t>
      </w:r>
      <w:r w:rsidR="00F82480">
        <w:rPr>
          <w:lang w:val="en-US"/>
        </w:rPr>
        <w:tab/>
      </w:r>
      <w:r w:rsidR="00A16522">
        <w:rPr>
          <w:lang w:val="en-US"/>
        </w:rPr>
        <w:t xml:space="preserve">“Mechanically expelled seeds containing </w:t>
      </w:r>
      <w:r w:rsidR="00A16522" w:rsidRPr="00F82480">
        <w:t>more</w:t>
      </w:r>
      <w:r w:rsidR="00A16522">
        <w:rPr>
          <w:lang w:val="en-US"/>
        </w:rPr>
        <w:t xml:space="preserve"> than 10</w:t>
      </w:r>
      <w:r w:rsidR="00815608">
        <w:rPr>
          <w:lang w:val="en-US"/>
        </w:rPr>
        <w:t xml:space="preserve"> </w:t>
      </w:r>
      <w:r w:rsidR="00EA50B9">
        <w:rPr>
          <w:lang w:val="en-US"/>
        </w:rPr>
        <w:t>%</w:t>
      </w:r>
      <w:r w:rsidR="00A16522">
        <w:rPr>
          <w:lang w:val="en-US"/>
        </w:rPr>
        <w:t xml:space="preserve"> oil or more than 20</w:t>
      </w:r>
      <w:r w:rsidR="00815608">
        <w:rPr>
          <w:lang w:val="en-US"/>
        </w:rPr>
        <w:t xml:space="preserve"> </w:t>
      </w:r>
      <w:r w:rsidR="0084157C">
        <w:rPr>
          <w:lang w:val="en-US"/>
        </w:rPr>
        <w:t>%</w:t>
      </w:r>
      <w:r w:rsidR="00A16522">
        <w:rPr>
          <w:lang w:val="en-US"/>
        </w:rPr>
        <w:t xml:space="preserve"> oil and moisture combined” and:</w:t>
      </w:r>
    </w:p>
    <w:p w14:paraId="19E22184" w14:textId="109D963F" w:rsidR="00A16522" w:rsidRDefault="00432295" w:rsidP="00F82480">
      <w:pPr>
        <w:pStyle w:val="SingleTxtG"/>
        <w:rPr>
          <w:lang w:val="en-US"/>
        </w:rPr>
      </w:pPr>
      <w:r>
        <w:rPr>
          <w:lang w:val="en-US"/>
        </w:rPr>
        <w:tab/>
      </w:r>
      <w:r w:rsidR="00F82480">
        <w:rPr>
          <w:lang w:val="en-US"/>
        </w:rPr>
        <w:t>b)</w:t>
      </w:r>
      <w:r w:rsidR="00F82480">
        <w:rPr>
          <w:lang w:val="en-US"/>
        </w:rPr>
        <w:tab/>
      </w:r>
      <w:r w:rsidR="00A16522">
        <w:rPr>
          <w:lang w:val="en-US"/>
        </w:rPr>
        <w:t>“</w:t>
      </w:r>
      <w:r w:rsidR="00A16522" w:rsidRPr="00F82480">
        <w:t>Solvent</w:t>
      </w:r>
      <w:r w:rsidR="00A16522">
        <w:rPr>
          <w:lang w:val="en-US"/>
        </w:rPr>
        <w:t xml:space="preserve"> extraction and expelled seeds containing more than 10</w:t>
      </w:r>
      <w:r w:rsidR="00815608">
        <w:rPr>
          <w:lang w:val="en-US"/>
        </w:rPr>
        <w:t xml:space="preserve"> </w:t>
      </w:r>
      <w:r w:rsidR="00344824">
        <w:rPr>
          <w:lang w:val="en-US"/>
        </w:rPr>
        <w:t>%</w:t>
      </w:r>
      <w:r w:rsidR="00A16522">
        <w:rPr>
          <w:lang w:val="en-US"/>
        </w:rPr>
        <w:t xml:space="preserve"> oil and when the amount of moisture is higher than 10</w:t>
      </w:r>
      <w:r w:rsidR="00815608">
        <w:rPr>
          <w:lang w:val="en-US"/>
        </w:rPr>
        <w:t xml:space="preserve"> </w:t>
      </w:r>
      <w:r w:rsidR="00344824">
        <w:rPr>
          <w:lang w:val="en-US"/>
        </w:rPr>
        <w:t>%</w:t>
      </w:r>
      <w:r w:rsidR="00A16522">
        <w:rPr>
          <w:lang w:val="en-US"/>
        </w:rPr>
        <w:t>, not more than 20</w:t>
      </w:r>
      <w:r w:rsidR="00815608">
        <w:rPr>
          <w:lang w:val="en-US"/>
        </w:rPr>
        <w:t xml:space="preserve"> </w:t>
      </w:r>
      <w:r w:rsidR="00344824">
        <w:rPr>
          <w:lang w:val="en-US"/>
        </w:rPr>
        <w:t>%</w:t>
      </w:r>
      <w:r w:rsidR="00A16522">
        <w:rPr>
          <w:lang w:val="en-US"/>
        </w:rPr>
        <w:t xml:space="preserve"> of oil and moisture combined.</w:t>
      </w:r>
    </w:p>
    <w:p w14:paraId="132C86F8" w14:textId="0B7DA3B5" w:rsidR="00A16522" w:rsidRDefault="006D43C5" w:rsidP="00432295">
      <w:pPr>
        <w:pStyle w:val="SingleTxtG"/>
        <w:rPr>
          <w:lang w:val="en-US"/>
        </w:rPr>
      </w:pPr>
      <w:r>
        <w:rPr>
          <w:lang w:val="en-US"/>
        </w:rPr>
        <w:t>8</w:t>
      </w:r>
      <w:r w:rsidR="00A16522">
        <w:rPr>
          <w:lang w:val="en-US"/>
        </w:rPr>
        <w:t>.</w:t>
      </w:r>
      <w:r w:rsidR="00A16522">
        <w:rPr>
          <w:lang w:val="en-US"/>
        </w:rPr>
        <w:tab/>
        <w:t xml:space="preserve">At the </w:t>
      </w:r>
      <w:r w:rsidR="00A16522" w:rsidRPr="00616A28">
        <w:rPr>
          <w:lang w:val="en-US"/>
        </w:rPr>
        <w:t>thirty-ninth session of the E&amp;T</w:t>
      </w:r>
      <w:r w:rsidR="00A16522">
        <w:rPr>
          <w:lang w:val="en-US"/>
        </w:rPr>
        <w:t xml:space="preserve"> group</w:t>
      </w:r>
      <w:r w:rsidR="00A16522" w:rsidRPr="00616A28">
        <w:rPr>
          <w:lang w:val="en-US"/>
        </w:rPr>
        <w:t xml:space="preserve"> </w:t>
      </w:r>
      <w:r w:rsidR="00A16522">
        <w:rPr>
          <w:lang w:val="en-US"/>
        </w:rPr>
        <w:t xml:space="preserve">which </w:t>
      </w:r>
      <w:r w:rsidR="00A16522" w:rsidRPr="00616A28">
        <w:rPr>
          <w:lang w:val="en-US"/>
        </w:rPr>
        <w:t xml:space="preserve">met from 2 to 6 October 2023 </w:t>
      </w:r>
      <w:r w:rsidR="00A16522">
        <w:rPr>
          <w:lang w:val="en-US"/>
        </w:rPr>
        <w:t>they concluded that:</w:t>
      </w:r>
    </w:p>
    <w:p w14:paraId="2E428C8C" w14:textId="234E8B5F" w:rsidR="00A16522" w:rsidRDefault="00A16522" w:rsidP="00432295">
      <w:pPr>
        <w:pStyle w:val="SingleTxtG"/>
        <w:rPr>
          <w:lang w:val="en-US"/>
        </w:rPr>
      </w:pPr>
      <w:r>
        <w:rPr>
          <w:lang w:val="en-US"/>
        </w:rPr>
        <w:t>“</w:t>
      </w:r>
      <w:r w:rsidRPr="00BF3831">
        <w:rPr>
          <w:lang w:val="en-US"/>
        </w:rPr>
        <w:t xml:space="preserve">The intermodal transport of a </w:t>
      </w:r>
      <w:r w:rsidR="00AD2599">
        <w:rPr>
          <w:lang w:val="en-US"/>
        </w:rPr>
        <w:t xml:space="preserve">cargo </w:t>
      </w:r>
      <w:r w:rsidR="00B01576">
        <w:rPr>
          <w:lang w:val="en-US"/>
        </w:rPr>
        <w:t>transport</w:t>
      </w:r>
      <w:r w:rsidR="00AD2599">
        <w:rPr>
          <w:lang w:val="en-US"/>
        </w:rPr>
        <w:t xml:space="preserve"> unit </w:t>
      </w:r>
      <w:r w:rsidR="00B01576">
        <w:rPr>
          <w:lang w:val="en-US"/>
        </w:rPr>
        <w:t>(</w:t>
      </w:r>
      <w:r w:rsidRPr="00BF3831">
        <w:rPr>
          <w:lang w:val="en-US"/>
        </w:rPr>
        <w:t>CTU</w:t>
      </w:r>
      <w:r w:rsidR="00B01576">
        <w:rPr>
          <w:lang w:val="en-US"/>
        </w:rPr>
        <w:t>)</w:t>
      </w:r>
      <w:r w:rsidRPr="00BF3831">
        <w:rPr>
          <w:lang w:val="en-US"/>
        </w:rPr>
        <w:t xml:space="preserve"> containing UN</w:t>
      </w:r>
      <w:r w:rsidR="00FC022B">
        <w:rPr>
          <w:lang w:val="en-US"/>
        </w:rPr>
        <w:t> </w:t>
      </w:r>
      <w:r w:rsidRPr="00BF3831">
        <w:rPr>
          <w:lang w:val="en-US"/>
        </w:rPr>
        <w:t>1386 a) is therefore not possible. Consequently, UN</w:t>
      </w:r>
      <w:r w:rsidR="00FC022B">
        <w:rPr>
          <w:lang w:val="en-US"/>
        </w:rPr>
        <w:t> </w:t>
      </w:r>
      <w:r w:rsidRPr="00BF3831">
        <w:rPr>
          <w:lang w:val="en-US"/>
        </w:rPr>
        <w:t xml:space="preserve">1386 a) should be deleted from </w:t>
      </w:r>
      <w:r w:rsidRPr="00432295">
        <w:t>the</w:t>
      </w:r>
      <w:r w:rsidRPr="00BF3831">
        <w:rPr>
          <w:lang w:val="en-US"/>
        </w:rPr>
        <w:t xml:space="preserve"> IMDG Code. In addition, the requirements for maximum oil and moisture content for UN</w:t>
      </w:r>
      <w:r w:rsidR="00FC022B">
        <w:rPr>
          <w:lang w:val="en-US"/>
        </w:rPr>
        <w:t> </w:t>
      </w:r>
      <w:r w:rsidRPr="00BF3831">
        <w:rPr>
          <w:lang w:val="en-US"/>
        </w:rPr>
        <w:t xml:space="preserve">1386 b) are different between the IMDG Code and the UN </w:t>
      </w:r>
      <w:r w:rsidRPr="00E22423">
        <w:rPr>
          <w:i/>
          <w:iCs/>
          <w:lang w:val="en-US"/>
        </w:rPr>
        <w:t>Model Regulations</w:t>
      </w:r>
      <w:r w:rsidRPr="00BF3831">
        <w:rPr>
          <w:lang w:val="en-US"/>
        </w:rPr>
        <w:t>. The difference between UN</w:t>
      </w:r>
      <w:r w:rsidR="00FC022B">
        <w:rPr>
          <w:lang w:val="en-US"/>
        </w:rPr>
        <w:t> </w:t>
      </w:r>
      <w:r w:rsidRPr="00BF3831">
        <w:rPr>
          <w:lang w:val="en-US"/>
        </w:rPr>
        <w:t>1386 b) and UN</w:t>
      </w:r>
      <w:r w:rsidR="001F64E0">
        <w:rPr>
          <w:lang w:val="en-US"/>
        </w:rPr>
        <w:t> </w:t>
      </w:r>
      <w:r w:rsidRPr="00BF3831">
        <w:rPr>
          <w:lang w:val="en-US"/>
        </w:rPr>
        <w:t>2217 is only the oil content; however, transport requirements are identical for both UN numbers. Therefore, the distinction based on oil content is not useful.</w:t>
      </w:r>
    </w:p>
    <w:p w14:paraId="4A169008" w14:textId="263293A2" w:rsidR="00A16522" w:rsidRDefault="00A16522" w:rsidP="00432295">
      <w:pPr>
        <w:pStyle w:val="SingleTxtG"/>
        <w:rPr>
          <w:lang w:val="en-US"/>
        </w:rPr>
      </w:pPr>
      <w:r>
        <w:rPr>
          <w:lang w:val="en-US"/>
        </w:rPr>
        <w:t xml:space="preserve">IMO recognized that solid bulk cargo shipments of seed cake require different regulatory requirements as opposed to </w:t>
      </w:r>
      <w:r w:rsidRPr="00471C6A">
        <w:rPr>
          <w:lang w:val="en-US"/>
        </w:rPr>
        <w:t>dangerous goods in packaged form</w:t>
      </w:r>
      <w:r>
        <w:rPr>
          <w:lang w:val="en-US"/>
        </w:rPr>
        <w:t xml:space="preserve"> </w:t>
      </w:r>
      <w:r w:rsidRPr="00471C6A">
        <w:rPr>
          <w:lang w:val="en-US"/>
        </w:rPr>
        <w:t>(</w:t>
      </w:r>
      <w:proofErr w:type="gramStart"/>
      <w:r w:rsidRPr="00471C6A">
        <w:rPr>
          <w:lang w:val="en-US"/>
        </w:rPr>
        <w:t>e.g.</w:t>
      </w:r>
      <w:proofErr w:type="gramEnd"/>
      <w:r w:rsidRPr="00471C6A">
        <w:rPr>
          <w:lang w:val="en-US"/>
        </w:rPr>
        <w:t xml:space="preserve"> classification as </w:t>
      </w:r>
      <w:r w:rsidR="00E66963">
        <w:rPr>
          <w:lang w:val="en-US"/>
        </w:rPr>
        <w:t>m</w:t>
      </w:r>
      <w:r w:rsidR="008C1624" w:rsidRPr="008C1624">
        <w:rPr>
          <w:lang w:val="en-US"/>
        </w:rPr>
        <w:t xml:space="preserve">aterials hazardous only in bulk </w:t>
      </w:r>
      <w:r w:rsidR="008C1624">
        <w:rPr>
          <w:lang w:val="en-US"/>
        </w:rPr>
        <w:t>(</w:t>
      </w:r>
      <w:r w:rsidRPr="00471C6A">
        <w:rPr>
          <w:lang w:val="en-US"/>
        </w:rPr>
        <w:t>MHB</w:t>
      </w:r>
      <w:r w:rsidR="008C1624">
        <w:rPr>
          <w:lang w:val="en-US"/>
        </w:rPr>
        <w:t>)</w:t>
      </w:r>
      <w:r w:rsidRPr="00471C6A">
        <w:rPr>
          <w:lang w:val="en-US"/>
        </w:rPr>
        <w:t xml:space="preserve"> which only exists in IMSBC not in IMDG)</w:t>
      </w:r>
      <w:r>
        <w:rPr>
          <w:lang w:val="en-US"/>
        </w:rPr>
        <w:t xml:space="preserve">. Bulk solid cargoes are therefore addressed </w:t>
      </w:r>
      <w:r w:rsidRPr="00471C6A">
        <w:rPr>
          <w:lang w:val="en-US"/>
        </w:rPr>
        <w:t>in the IMSBC Code</w:t>
      </w:r>
      <w:r>
        <w:rPr>
          <w:lang w:val="en-US"/>
        </w:rPr>
        <w:t xml:space="preserve"> since</w:t>
      </w:r>
      <w:r w:rsidRPr="00471C6A">
        <w:rPr>
          <w:lang w:val="en-US"/>
        </w:rPr>
        <w:t xml:space="preserve"> the IMDG Code, and the UN </w:t>
      </w:r>
      <w:r w:rsidRPr="00E22423">
        <w:rPr>
          <w:i/>
          <w:iCs/>
          <w:lang w:val="en-US"/>
        </w:rPr>
        <w:t>Model Regulations</w:t>
      </w:r>
      <w:r w:rsidRPr="00471C6A">
        <w:rPr>
          <w:lang w:val="en-US"/>
        </w:rPr>
        <w:t xml:space="preserve"> are both applicable to dangerous goods in packaged form. </w:t>
      </w:r>
      <w:r>
        <w:rPr>
          <w:lang w:val="en-US"/>
        </w:rPr>
        <w:t>D</w:t>
      </w:r>
      <w:r w:rsidRPr="00471C6A">
        <w:rPr>
          <w:lang w:val="en-US"/>
        </w:rPr>
        <w:t>ifferent classification regimes in the IMSBC</w:t>
      </w:r>
      <w:r>
        <w:rPr>
          <w:lang w:val="en-US"/>
        </w:rPr>
        <w:t xml:space="preserve"> </w:t>
      </w:r>
      <w:r w:rsidRPr="00471C6A">
        <w:rPr>
          <w:lang w:val="en-US"/>
        </w:rPr>
        <w:t>Code and the IMDG Code do not cause any problems. However, dangerous goods in packaged form are transported by various modes (</w:t>
      </w:r>
      <w:proofErr w:type="gramStart"/>
      <w:r w:rsidRPr="00471C6A">
        <w:rPr>
          <w:lang w:val="en-US"/>
        </w:rPr>
        <w:t>e.g.</w:t>
      </w:r>
      <w:proofErr w:type="gramEnd"/>
      <w:r w:rsidRPr="00471C6A">
        <w:rPr>
          <w:lang w:val="en-US"/>
        </w:rPr>
        <w:t xml:space="preserve"> road</w:t>
      </w:r>
      <w:r>
        <w:rPr>
          <w:lang w:val="en-US"/>
        </w:rPr>
        <w:t>, rail</w:t>
      </w:r>
      <w:r w:rsidRPr="00471C6A">
        <w:rPr>
          <w:lang w:val="en-US"/>
        </w:rPr>
        <w:t xml:space="preserve"> and sea) where the classification should not differ from mode to mode. Harmonization</w:t>
      </w:r>
      <w:r>
        <w:rPr>
          <w:lang w:val="en-US"/>
        </w:rPr>
        <w:t xml:space="preserve"> </w:t>
      </w:r>
      <w:r w:rsidRPr="00471C6A">
        <w:rPr>
          <w:lang w:val="en-US"/>
        </w:rPr>
        <w:t>of classification criteria for UN</w:t>
      </w:r>
      <w:r w:rsidR="001F64E0">
        <w:rPr>
          <w:lang w:val="en-US"/>
        </w:rPr>
        <w:t> </w:t>
      </w:r>
      <w:r w:rsidRPr="00471C6A">
        <w:rPr>
          <w:lang w:val="en-US"/>
        </w:rPr>
        <w:t xml:space="preserve">1386 and 2217 with the UN </w:t>
      </w:r>
      <w:r w:rsidRPr="00E22423">
        <w:rPr>
          <w:i/>
          <w:iCs/>
          <w:lang w:val="en-US"/>
        </w:rPr>
        <w:t>Model Regulations</w:t>
      </w:r>
      <w:r w:rsidRPr="00471C6A">
        <w:rPr>
          <w:lang w:val="en-US"/>
        </w:rPr>
        <w:t xml:space="preserve"> would facilitate the intermodal transport of these goods when in packaged form and therefore might be considered.</w:t>
      </w:r>
      <w:r w:rsidR="005B1F90">
        <w:rPr>
          <w:lang w:val="en-US"/>
        </w:rPr>
        <w:t>”</w:t>
      </w:r>
    </w:p>
    <w:p w14:paraId="5EA04D15" w14:textId="450C546B" w:rsidR="00A16522" w:rsidRDefault="006D43C5" w:rsidP="00432295">
      <w:pPr>
        <w:pStyle w:val="SingleTxtG"/>
        <w:rPr>
          <w:lang w:val="en-US"/>
        </w:rPr>
      </w:pPr>
      <w:r>
        <w:rPr>
          <w:lang w:val="en-US"/>
        </w:rPr>
        <w:t>9</w:t>
      </w:r>
      <w:r w:rsidR="00A16522">
        <w:rPr>
          <w:lang w:val="en-US"/>
        </w:rPr>
        <w:t>.</w:t>
      </w:r>
      <w:r w:rsidR="00A16522">
        <w:rPr>
          <w:lang w:val="en-US"/>
        </w:rPr>
        <w:tab/>
        <w:t xml:space="preserve">The </w:t>
      </w:r>
      <w:r w:rsidR="00A16522" w:rsidRPr="00432295">
        <w:t>processing</w:t>
      </w:r>
      <w:r w:rsidR="00A16522">
        <w:rPr>
          <w:lang w:val="en-US"/>
        </w:rPr>
        <w:t xml:space="preserve"> of seed cakes has progressed significantly since UN</w:t>
      </w:r>
      <w:r w:rsidR="00E339EE">
        <w:rPr>
          <w:lang w:val="en-US"/>
        </w:rPr>
        <w:t> </w:t>
      </w:r>
      <w:r w:rsidR="00A16522">
        <w:rPr>
          <w:lang w:val="en-US"/>
        </w:rPr>
        <w:t>1386 and UN</w:t>
      </w:r>
      <w:r w:rsidR="00E339EE">
        <w:rPr>
          <w:lang w:val="en-US"/>
        </w:rPr>
        <w:t> </w:t>
      </w:r>
      <w:r w:rsidR="00A16522">
        <w:rPr>
          <w:lang w:val="en-US"/>
        </w:rPr>
        <w:t xml:space="preserve">2217 entries were introduced into the </w:t>
      </w:r>
      <w:r w:rsidR="00A16522" w:rsidRPr="00E22423">
        <w:rPr>
          <w:i/>
          <w:iCs/>
          <w:lang w:val="en-US"/>
        </w:rPr>
        <w:t>Model Regulations</w:t>
      </w:r>
      <w:r w:rsidR="00A16522">
        <w:rPr>
          <w:lang w:val="en-US"/>
        </w:rPr>
        <w:t>. Seedcakes are created from the processing of oil-bearing seeds, including soybean, rape, cotton, and sunflower seed. Processing these seeds produces two products – seed cakes (also referred to as protein meals) and vegetable oil. Seed cakes are high in protein and generally used as animal feeds. Vegetable oils derived from oil bearing seeds, including soybean oil, rapeseed oil, cottonseed oil and sunflower seed oil, are valuable commodities with uses in food and increasingly fuel production. Because of the value of these oils, producers are incentivized to remove as much oil from the seed as possible during processing, leaving the seed cake co-product with low oil levels.</w:t>
      </w:r>
    </w:p>
    <w:p w14:paraId="46BA1816" w14:textId="59FE90C4" w:rsidR="00A16522" w:rsidRDefault="006D43C5" w:rsidP="00432295">
      <w:pPr>
        <w:pStyle w:val="SingleTxtG"/>
        <w:rPr>
          <w:lang w:val="en-US"/>
        </w:rPr>
      </w:pPr>
      <w:r>
        <w:rPr>
          <w:lang w:val="en-US"/>
        </w:rPr>
        <w:t>10.</w:t>
      </w:r>
      <w:r>
        <w:rPr>
          <w:lang w:val="en-US"/>
        </w:rPr>
        <w:tab/>
      </w:r>
      <w:r w:rsidR="00A16522">
        <w:rPr>
          <w:lang w:val="en-US"/>
        </w:rPr>
        <w:t xml:space="preserve">Furthermore, processors </w:t>
      </w:r>
      <w:r w:rsidR="00A16522" w:rsidRPr="00432295">
        <w:t>seek</w:t>
      </w:r>
      <w:r w:rsidR="00A16522">
        <w:rPr>
          <w:lang w:val="en-US"/>
        </w:rPr>
        <w:t xml:space="preserve"> to limit moisture content to increase the marketability of their product. Widely used industry contracts, including the </w:t>
      </w:r>
      <w:r w:rsidR="00A16522" w:rsidRPr="008413D3">
        <w:rPr>
          <w:i/>
          <w:iCs/>
          <w:lang w:val="en-US"/>
        </w:rPr>
        <w:t xml:space="preserve">GAFTA Contract No. 97 North American </w:t>
      </w:r>
      <w:proofErr w:type="spellStart"/>
      <w:r w:rsidR="00A16522" w:rsidRPr="008413D3">
        <w:rPr>
          <w:i/>
          <w:iCs/>
          <w:lang w:val="en-US"/>
        </w:rPr>
        <w:t>Soybeanmeal</w:t>
      </w:r>
      <w:proofErr w:type="spellEnd"/>
      <w:r w:rsidR="00A16522" w:rsidRPr="008413D3">
        <w:rPr>
          <w:i/>
          <w:iCs/>
          <w:lang w:val="en-US"/>
        </w:rPr>
        <w:t>, ANEC (</w:t>
      </w:r>
      <w:r w:rsidR="00A16522" w:rsidRPr="008413D3">
        <w:rPr>
          <w:i/>
          <w:iCs/>
          <w:color w:val="000000"/>
          <w:spacing w:val="-13"/>
          <w:shd w:val="clear" w:color="auto" w:fill="FFFFFF"/>
        </w:rPr>
        <w:t xml:space="preserve">Brazilian Grain Exporters Association) </w:t>
      </w:r>
      <w:r w:rsidR="00A16522" w:rsidRPr="008413D3">
        <w:rPr>
          <w:i/>
          <w:iCs/>
          <w:lang w:val="en-US"/>
        </w:rPr>
        <w:t xml:space="preserve">contract 71 </w:t>
      </w:r>
      <w:r w:rsidR="00A16522" w:rsidRPr="008413D3">
        <w:rPr>
          <w:i/>
          <w:iCs/>
          <w:color w:val="000000"/>
          <w:spacing w:val="-13"/>
          <w:shd w:val="clear" w:color="auto" w:fill="FFFFFF"/>
        </w:rPr>
        <w:t>for sales of Brazilian soyabean meal</w:t>
      </w:r>
      <w:r w:rsidR="00A16522">
        <w:rPr>
          <w:i/>
          <w:iCs/>
          <w:color w:val="000000"/>
          <w:spacing w:val="-13"/>
          <w:shd w:val="clear" w:color="auto" w:fill="FFFFFF"/>
        </w:rPr>
        <w:t xml:space="preserve"> </w:t>
      </w:r>
      <w:r w:rsidR="00A16522" w:rsidRPr="008429BB">
        <w:rPr>
          <w:lang w:val="en-US"/>
        </w:rPr>
        <w:t>and the</w:t>
      </w:r>
      <w:r w:rsidR="00A16522" w:rsidRPr="008413D3">
        <w:rPr>
          <w:i/>
          <w:iCs/>
          <w:lang w:val="en-US"/>
        </w:rPr>
        <w:t xml:space="preserve"> National Oilseed </w:t>
      </w:r>
      <w:r w:rsidR="00A16522">
        <w:rPr>
          <w:i/>
          <w:iCs/>
          <w:lang w:val="en-US"/>
        </w:rPr>
        <w:t>Processors</w:t>
      </w:r>
      <w:r w:rsidR="00A16522" w:rsidRPr="008413D3">
        <w:rPr>
          <w:i/>
          <w:iCs/>
          <w:lang w:val="en-US"/>
        </w:rPr>
        <w:t xml:space="preserve"> Association (NOPA) Trading Rules for the Purchase and Sale of Soybean Meal</w:t>
      </w:r>
      <w:r w:rsidR="00A16522">
        <w:rPr>
          <w:lang w:val="en-US"/>
        </w:rPr>
        <w:t xml:space="preserve"> (for products from the U</w:t>
      </w:r>
      <w:r w:rsidR="00E52EB0">
        <w:rPr>
          <w:lang w:val="en-US"/>
        </w:rPr>
        <w:t xml:space="preserve">nited </w:t>
      </w:r>
      <w:r w:rsidR="00A16522">
        <w:rPr>
          <w:lang w:val="en-US"/>
        </w:rPr>
        <w:t>S</w:t>
      </w:r>
      <w:r w:rsidR="00E52EB0">
        <w:rPr>
          <w:lang w:val="en-US"/>
        </w:rPr>
        <w:t xml:space="preserve">tates of </w:t>
      </w:r>
      <w:r w:rsidR="00A16522">
        <w:rPr>
          <w:lang w:val="en-US"/>
        </w:rPr>
        <w:t>A</w:t>
      </w:r>
      <w:r w:rsidR="00E52EB0">
        <w:rPr>
          <w:lang w:val="en-US"/>
        </w:rPr>
        <w:t>merica</w:t>
      </w:r>
      <w:r w:rsidR="00A16522">
        <w:rPr>
          <w:lang w:val="en-US"/>
        </w:rPr>
        <w:t>) limit the moisture content in their contract terms to between 12-13 percent. For counterparties using these contracts, products delivered out of these specifications may be subject to a discount.</w:t>
      </w:r>
    </w:p>
    <w:p w14:paraId="6C3AEEB0" w14:textId="79533319" w:rsidR="00A16522" w:rsidRDefault="006D43C5" w:rsidP="00432295">
      <w:pPr>
        <w:pStyle w:val="SingleTxtG"/>
        <w:rPr>
          <w:lang w:val="en-US"/>
        </w:rPr>
      </w:pPr>
      <w:r>
        <w:rPr>
          <w:lang w:val="en-US"/>
        </w:rPr>
        <w:t>11.</w:t>
      </w:r>
      <w:r>
        <w:rPr>
          <w:lang w:val="en-US"/>
        </w:rPr>
        <w:tab/>
      </w:r>
      <w:r w:rsidR="00A16522">
        <w:rPr>
          <w:lang w:val="en-US"/>
        </w:rPr>
        <w:t xml:space="preserve">As a result of both dynamics, producers and shippers strive to limit the oil and moisture content of seed cake shipments to minimize costs and maximize the value of their products. Buyers demand uniform products with consistent </w:t>
      </w:r>
      <w:r w:rsidR="00A16522" w:rsidRPr="00432295">
        <w:t>specifications</w:t>
      </w:r>
      <w:r w:rsidR="00A16522">
        <w:rPr>
          <w:lang w:val="en-US"/>
        </w:rPr>
        <w:t>, and producers seek to meet these requirements to maximize the value they receive from the processing of the oil-bearing seed.</w:t>
      </w:r>
    </w:p>
    <w:p w14:paraId="2BE3C8F4" w14:textId="7453ADD3" w:rsidR="00A16522" w:rsidRDefault="006D43C5" w:rsidP="00432295">
      <w:pPr>
        <w:pStyle w:val="SingleTxtG"/>
        <w:rPr>
          <w:lang w:val="en-US"/>
        </w:rPr>
      </w:pPr>
      <w:r>
        <w:rPr>
          <w:lang w:val="en-US"/>
        </w:rPr>
        <w:t>12</w:t>
      </w:r>
      <w:r w:rsidR="00A16522">
        <w:rPr>
          <w:lang w:val="en-US"/>
        </w:rPr>
        <w:t>.</w:t>
      </w:r>
      <w:r w:rsidR="00A16522">
        <w:rPr>
          <w:lang w:val="en-US"/>
        </w:rPr>
        <w:tab/>
        <w:t>T</w:t>
      </w:r>
      <w:r w:rsidR="00A16522" w:rsidRPr="00957AA9">
        <w:rPr>
          <w:lang w:val="en-US"/>
        </w:rPr>
        <w:t xml:space="preserve">here is strong evidence that not all products meet the definition of a </w:t>
      </w:r>
      <w:proofErr w:type="gramStart"/>
      <w:r w:rsidR="00A16522" w:rsidRPr="00957AA9">
        <w:rPr>
          <w:lang w:val="en-US"/>
        </w:rPr>
        <w:t>Division</w:t>
      </w:r>
      <w:proofErr w:type="gramEnd"/>
      <w:r w:rsidR="00A16522" w:rsidRPr="00957AA9">
        <w:rPr>
          <w:lang w:val="en-US"/>
        </w:rPr>
        <w:t xml:space="preserve"> 4.2 </w:t>
      </w:r>
      <w:r w:rsidR="00A16522">
        <w:rPr>
          <w:lang w:val="en-US"/>
        </w:rPr>
        <w:t xml:space="preserve">self-heating </w:t>
      </w:r>
      <w:r w:rsidR="00A16522" w:rsidRPr="00957AA9">
        <w:rPr>
          <w:lang w:val="en-US"/>
        </w:rPr>
        <w:t>hazardous material</w:t>
      </w:r>
      <w:r w:rsidR="00A16522">
        <w:rPr>
          <w:lang w:val="en-US"/>
        </w:rPr>
        <w:t xml:space="preserve">. For instance, seed cake producers, such as those producing </w:t>
      </w:r>
      <w:r w:rsidR="00A16522" w:rsidRPr="00957AA9">
        <w:rPr>
          <w:lang w:val="en-US"/>
        </w:rPr>
        <w:t>soybean meal</w:t>
      </w:r>
      <w:r w:rsidR="00A16522">
        <w:rPr>
          <w:lang w:val="en-US"/>
        </w:rPr>
        <w:t>, use</w:t>
      </w:r>
      <w:r w:rsidR="00A16522" w:rsidRPr="00957AA9">
        <w:rPr>
          <w:lang w:val="en-US"/>
        </w:rPr>
        <w:t xml:space="preserve"> a solvent-extraction process. The </w:t>
      </w:r>
      <w:r w:rsidR="00A16522">
        <w:rPr>
          <w:lang w:val="en-US"/>
        </w:rPr>
        <w:t>U.S.</w:t>
      </w:r>
      <w:r w:rsidR="00A16522" w:rsidRPr="00957AA9">
        <w:rPr>
          <w:lang w:val="en-US"/>
        </w:rPr>
        <w:t xml:space="preserve"> Soybean Export Council (USSEC) conducted tests on forty (40) representative samples</w:t>
      </w:r>
      <w:r w:rsidR="00A16522">
        <w:rPr>
          <w:lang w:val="en-US"/>
        </w:rPr>
        <w:t xml:space="preserve"> from production sites across the United States.</w:t>
      </w:r>
      <w:r w:rsidR="00A16522" w:rsidRPr="00957AA9">
        <w:rPr>
          <w:lang w:val="en-US"/>
        </w:rPr>
        <w:t xml:space="preserve"> </w:t>
      </w:r>
      <w:r w:rsidR="00A16522">
        <w:rPr>
          <w:lang w:val="en-US"/>
        </w:rPr>
        <w:t>I</w:t>
      </w:r>
      <w:r w:rsidR="00A16522" w:rsidRPr="00957AA9">
        <w:rPr>
          <w:lang w:val="en-US"/>
        </w:rPr>
        <w:t>n all samples</w:t>
      </w:r>
      <w:r w:rsidR="00A16522">
        <w:rPr>
          <w:lang w:val="en-US"/>
        </w:rPr>
        <w:t>,</w:t>
      </w:r>
      <w:r w:rsidR="00A16522" w:rsidRPr="00957AA9">
        <w:rPr>
          <w:lang w:val="en-US"/>
        </w:rPr>
        <w:t xml:space="preserve"> the </w:t>
      </w:r>
      <w:r w:rsidR="00A16522">
        <w:rPr>
          <w:lang w:val="en-US"/>
        </w:rPr>
        <w:t>N.4 Test method for self-heating substances</w:t>
      </w:r>
      <w:r w:rsidR="00A16522" w:rsidRPr="00957AA9">
        <w:rPr>
          <w:lang w:val="en-US"/>
        </w:rPr>
        <w:t xml:space="preserve"> was negative. Test results are included in </w:t>
      </w:r>
      <w:r w:rsidR="007E2C20">
        <w:rPr>
          <w:lang w:val="en-US"/>
        </w:rPr>
        <w:t>the Annex</w:t>
      </w:r>
      <w:r w:rsidR="00A16522" w:rsidRPr="00957AA9">
        <w:rPr>
          <w:lang w:val="en-US"/>
        </w:rPr>
        <w:t xml:space="preserve"> of this document.</w:t>
      </w:r>
    </w:p>
    <w:p w14:paraId="5CA10B96" w14:textId="01FBB452" w:rsidR="00A16522" w:rsidRDefault="006D43C5" w:rsidP="008549FA">
      <w:pPr>
        <w:pStyle w:val="SingleTxtG"/>
        <w:rPr>
          <w:lang w:val="en-US"/>
        </w:rPr>
      </w:pPr>
      <w:r>
        <w:rPr>
          <w:lang w:val="en-US"/>
        </w:rPr>
        <w:lastRenderedPageBreak/>
        <w:t>13</w:t>
      </w:r>
      <w:r w:rsidR="00A16522">
        <w:rPr>
          <w:lang w:val="en-US"/>
        </w:rPr>
        <w:t>.</w:t>
      </w:r>
      <w:r w:rsidR="00A16522">
        <w:rPr>
          <w:lang w:val="en-US"/>
        </w:rPr>
        <w:tab/>
      </w:r>
      <w:r w:rsidR="00A16522" w:rsidRPr="00974627">
        <w:rPr>
          <w:lang w:val="en-US"/>
        </w:rPr>
        <w:t xml:space="preserve">Both the </w:t>
      </w:r>
      <w:r w:rsidR="00A16522" w:rsidRPr="003E0033">
        <w:rPr>
          <w:i/>
          <w:iCs/>
          <w:lang w:val="en-US"/>
        </w:rPr>
        <w:t>Model Regulations</w:t>
      </w:r>
      <w:r w:rsidR="00A16522" w:rsidRPr="00974627">
        <w:rPr>
          <w:lang w:val="en-US"/>
        </w:rPr>
        <w:t xml:space="preserve"> and </w:t>
      </w:r>
      <w:r w:rsidR="00A16522" w:rsidRPr="008549FA">
        <w:t>IMDG</w:t>
      </w:r>
      <w:r w:rsidR="00A16522" w:rsidRPr="00974627">
        <w:rPr>
          <w:lang w:val="en-US"/>
        </w:rPr>
        <w:t xml:space="preserve"> Code contain </w:t>
      </w:r>
      <w:r w:rsidR="00630B20">
        <w:rPr>
          <w:lang w:val="en-US"/>
        </w:rPr>
        <w:t>s</w:t>
      </w:r>
      <w:r w:rsidR="00A16522" w:rsidRPr="00974627">
        <w:rPr>
          <w:lang w:val="en-US"/>
        </w:rPr>
        <w:t xml:space="preserve">pecial </w:t>
      </w:r>
      <w:r w:rsidR="00630B20">
        <w:rPr>
          <w:lang w:val="en-US"/>
        </w:rPr>
        <w:t>p</w:t>
      </w:r>
      <w:r w:rsidR="00A16522" w:rsidRPr="00974627">
        <w:rPr>
          <w:lang w:val="en-US"/>
        </w:rPr>
        <w:t xml:space="preserve">rovision 142 (below) that directly addresses soybean meals. </w:t>
      </w:r>
      <w:r w:rsidR="00A16522">
        <w:rPr>
          <w:lang w:val="en-US"/>
        </w:rPr>
        <w:t xml:space="preserve">Additionally, </w:t>
      </w:r>
      <w:r w:rsidR="00630B20">
        <w:rPr>
          <w:lang w:val="en-US"/>
        </w:rPr>
        <w:t>GAFTA</w:t>
      </w:r>
      <w:r w:rsidR="00A16522">
        <w:rPr>
          <w:lang w:val="en-US"/>
        </w:rPr>
        <w:t xml:space="preserve"> </w:t>
      </w:r>
      <w:r w:rsidR="00630B20">
        <w:rPr>
          <w:lang w:val="en-US"/>
        </w:rPr>
        <w:t>is</w:t>
      </w:r>
      <w:r w:rsidR="00A16522">
        <w:rPr>
          <w:lang w:val="en-US"/>
        </w:rPr>
        <w:t xml:space="preserve"> of the opinion that the limits should not only be applicable to soybean meals. While China has proposed various limits depending on the source of the seed, </w:t>
      </w:r>
      <w:r w:rsidR="00EE7141">
        <w:rPr>
          <w:lang w:val="en-US"/>
        </w:rPr>
        <w:t xml:space="preserve">GAFTA </w:t>
      </w:r>
      <w:r w:rsidR="00A16522">
        <w:rPr>
          <w:lang w:val="en-US"/>
        </w:rPr>
        <w:t>favor</w:t>
      </w:r>
      <w:r w:rsidR="00EE7141">
        <w:rPr>
          <w:lang w:val="en-US"/>
        </w:rPr>
        <w:t>s</w:t>
      </w:r>
      <w:r w:rsidR="00A16522">
        <w:rPr>
          <w:lang w:val="en-US"/>
        </w:rPr>
        <w:t xml:space="preserve"> a more simplistic and conservative approach for all </w:t>
      </w:r>
      <w:r w:rsidR="00A97832">
        <w:rPr>
          <w:lang w:val="en-US"/>
        </w:rPr>
        <w:t>s</w:t>
      </w:r>
      <w:r w:rsidR="00A16522">
        <w:rPr>
          <w:lang w:val="en-US"/>
        </w:rPr>
        <w:t xml:space="preserve">eed </w:t>
      </w:r>
      <w:r w:rsidR="00A97832">
        <w:rPr>
          <w:lang w:val="en-US"/>
        </w:rPr>
        <w:t>c</w:t>
      </w:r>
      <w:r w:rsidR="00A16522">
        <w:rPr>
          <w:lang w:val="en-US"/>
        </w:rPr>
        <w:t xml:space="preserve">akes. The oil and moisture limits differ significantly between the </w:t>
      </w:r>
      <w:r w:rsidR="00A16522" w:rsidRPr="00D52B4D">
        <w:rPr>
          <w:i/>
          <w:iCs/>
          <w:lang w:val="en-US"/>
        </w:rPr>
        <w:t>Model</w:t>
      </w:r>
      <w:r w:rsidR="00A16522">
        <w:rPr>
          <w:lang w:val="en-US"/>
        </w:rPr>
        <w:t xml:space="preserve"> </w:t>
      </w:r>
      <w:r w:rsidR="00A16522" w:rsidRPr="003E0033">
        <w:rPr>
          <w:i/>
          <w:iCs/>
          <w:lang w:val="en-US"/>
        </w:rPr>
        <w:t>Regulations</w:t>
      </w:r>
      <w:r w:rsidR="00A16522">
        <w:rPr>
          <w:lang w:val="en-US"/>
        </w:rPr>
        <w:t xml:space="preserve"> and the IMDG Code. Based on shipping experience and data from conducting the N.4 test on various seed cakes, GAFTA believes that the limits for oil and moisture content should be harmonized. </w:t>
      </w:r>
      <w:r w:rsidR="00DF5AA1">
        <w:rPr>
          <w:lang w:val="en-US"/>
        </w:rPr>
        <w:t xml:space="preserve">GAFTA </w:t>
      </w:r>
      <w:r w:rsidR="00A16522">
        <w:rPr>
          <w:lang w:val="en-US"/>
        </w:rPr>
        <w:t>suggest</w:t>
      </w:r>
      <w:r w:rsidR="00DF5AA1">
        <w:rPr>
          <w:lang w:val="en-US"/>
        </w:rPr>
        <w:t>s</w:t>
      </w:r>
      <w:r w:rsidR="00A16522">
        <w:rPr>
          <w:lang w:val="en-US"/>
        </w:rPr>
        <w:t xml:space="preserve"> that the oil and moisture content limits be consistent regardless of whether the seed cake is solvent or mechanically extracted. The propensity for self-heating is limited to only the cakes of oil-bearing seeds. Therefore, </w:t>
      </w:r>
      <w:r w:rsidR="004F2334">
        <w:rPr>
          <w:lang w:val="en-US"/>
        </w:rPr>
        <w:t>GAFTA is</w:t>
      </w:r>
      <w:r w:rsidR="00A16522">
        <w:rPr>
          <w:lang w:val="en-US"/>
        </w:rPr>
        <w:t xml:space="preserve"> proposing to define the term “Seed Cake” in 1.2.1 and are proposing an oil and moisture content criteria of maximum 4</w:t>
      </w:r>
      <w:r w:rsidR="000E6995">
        <w:rPr>
          <w:lang w:val="en-US"/>
        </w:rPr>
        <w:t xml:space="preserve"> </w:t>
      </w:r>
      <w:r w:rsidR="00AF0077">
        <w:rPr>
          <w:lang w:val="en-US"/>
        </w:rPr>
        <w:t>%</w:t>
      </w:r>
      <w:r w:rsidR="00A16522">
        <w:rPr>
          <w:lang w:val="en-US"/>
        </w:rPr>
        <w:t xml:space="preserve"> oil and maximum 15</w:t>
      </w:r>
      <w:r w:rsidR="000E6995">
        <w:rPr>
          <w:lang w:val="en-US"/>
        </w:rPr>
        <w:t xml:space="preserve"> </w:t>
      </w:r>
      <w:r w:rsidR="00AF0077">
        <w:rPr>
          <w:lang w:val="en-US"/>
        </w:rPr>
        <w:t>%</w:t>
      </w:r>
      <w:r w:rsidR="00A16522">
        <w:rPr>
          <w:lang w:val="en-US"/>
        </w:rPr>
        <w:t xml:space="preserve"> oil and moisture combined for </w:t>
      </w:r>
      <w:r w:rsidR="00A16522" w:rsidRPr="0040362E">
        <w:rPr>
          <w:lang w:val="en-US"/>
        </w:rPr>
        <w:t>rape seed</w:t>
      </w:r>
      <w:r w:rsidR="00A16522">
        <w:rPr>
          <w:lang w:val="en-US"/>
        </w:rPr>
        <w:t xml:space="preserve"> meal, </w:t>
      </w:r>
      <w:r w:rsidR="00A16522" w:rsidRPr="0040362E">
        <w:rPr>
          <w:lang w:val="en-US"/>
        </w:rPr>
        <w:t xml:space="preserve">soybean </w:t>
      </w:r>
      <w:r w:rsidR="00A16522">
        <w:rPr>
          <w:lang w:val="en-US"/>
        </w:rPr>
        <w:t>meal</w:t>
      </w:r>
      <w:r w:rsidR="00A16522" w:rsidRPr="0040362E">
        <w:rPr>
          <w:lang w:val="en-US"/>
        </w:rPr>
        <w:t xml:space="preserve">, cotton seed </w:t>
      </w:r>
      <w:r w:rsidR="00A16522">
        <w:rPr>
          <w:lang w:val="en-US"/>
        </w:rPr>
        <w:t xml:space="preserve">meal </w:t>
      </w:r>
      <w:r w:rsidR="00A16522" w:rsidRPr="0040362E">
        <w:rPr>
          <w:lang w:val="en-US"/>
        </w:rPr>
        <w:t>and sunflower seed</w:t>
      </w:r>
      <w:r w:rsidR="00A16522">
        <w:rPr>
          <w:lang w:val="en-US"/>
        </w:rPr>
        <w:t xml:space="preserve"> meal.</w:t>
      </w:r>
    </w:p>
    <w:p w14:paraId="29465641" w14:textId="60B80C16" w:rsidR="00A16522" w:rsidRDefault="006D43C5" w:rsidP="008549FA">
      <w:pPr>
        <w:pStyle w:val="SingleTxtG"/>
        <w:rPr>
          <w:lang w:val="en-US"/>
        </w:rPr>
      </w:pPr>
      <w:r>
        <w:rPr>
          <w:lang w:val="en-US"/>
        </w:rPr>
        <w:t>14.</w:t>
      </w:r>
      <w:r>
        <w:rPr>
          <w:lang w:val="en-US"/>
        </w:rPr>
        <w:tab/>
      </w:r>
      <w:r w:rsidR="00A16522">
        <w:rPr>
          <w:lang w:val="en-US"/>
        </w:rPr>
        <w:t xml:space="preserve">Furthermore, </w:t>
      </w:r>
      <w:r w:rsidR="00772D97">
        <w:rPr>
          <w:lang w:val="en-US"/>
        </w:rPr>
        <w:t xml:space="preserve">GAFTA </w:t>
      </w:r>
      <w:r w:rsidR="00A16522">
        <w:rPr>
          <w:lang w:val="en-US"/>
        </w:rPr>
        <w:t>do</w:t>
      </w:r>
      <w:r w:rsidR="00772D97">
        <w:rPr>
          <w:lang w:val="en-US"/>
        </w:rPr>
        <w:t>es</w:t>
      </w:r>
      <w:r w:rsidR="00A16522">
        <w:rPr>
          <w:lang w:val="en-US"/>
        </w:rPr>
        <w:t xml:space="preserve"> not see the need for two separate seed</w:t>
      </w:r>
      <w:r w:rsidR="005D6807">
        <w:rPr>
          <w:lang w:val="en-US"/>
        </w:rPr>
        <w:t xml:space="preserve"> </w:t>
      </w:r>
      <w:r w:rsidR="00A16522">
        <w:rPr>
          <w:lang w:val="en-US"/>
        </w:rPr>
        <w:t xml:space="preserve">cake entries in the </w:t>
      </w:r>
      <w:r w:rsidR="00A16522" w:rsidRPr="003E0033">
        <w:rPr>
          <w:i/>
          <w:iCs/>
          <w:lang w:val="en-US"/>
        </w:rPr>
        <w:t>Model Regulations</w:t>
      </w:r>
      <w:r w:rsidR="00A16522">
        <w:rPr>
          <w:lang w:val="en-US"/>
        </w:rPr>
        <w:t>.</w:t>
      </w:r>
    </w:p>
    <w:p w14:paraId="0A67D083" w14:textId="66975BF5" w:rsidR="00A16522" w:rsidRDefault="008549FA" w:rsidP="008D6C57">
      <w:pPr>
        <w:pStyle w:val="HChG"/>
        <w:rPr>
          <w:lang w:val="en-US"/>
        </w:rPr>
      </w:pPr>
      <w:r>
        <w:rPr>
          <w:lang w:val="en-US"/>
        </w:rPr>
        <w:tab/>
      </w:r>
      <w:r w:rsidR="008D6C57">
        <w:rPr>
          <w:lang w:val="en-US"/>
        </w:rPr>
        <w:t>II.</w:t>
      </w:r>
      <w:r w:rsidR="008D6C57">
        <w:rPr>
          <w:lang w:val="en-US"/>
        </w:rPr>
        <w:tab/>
      </w:r>
      <w:r w:rsidR="00A16522">
        <w:rPr>
          <w:lang w:val="en-US"/>
        </w:rPr>
        <w:t>Proposal</w:t>
      </w:r>
    </w:p>
    <w:p w14:paraId="4BB6DD59" w14:textId="670B3E7F" w:rsidR="00A16522" w:rsidRDefault="006D43C5" w:rsidP="008549FA">
      <w:pPr>
        <w:pStyle w:val="SingleTxtG"/>
        <w:rPr>
          <w:lang w:val="en-US"/>
        </w:rPr>
      </w:pPr>
      <w:r>
        <w:rPr>
          <w:lang w:val="en-US"/>
        </w:rPr>
        <w:t>15</w:t>
      </w:r>
      <w:r w:rsidR="00A16522">
        <w:rPr>
          <w:lang w:val="en-US"/>
        </w:rPr>
        <w:t>.</w:t>
      </w:r>
      <w:r w:rsidR="00A16522">
        <w:rPr>
          <w:lang w:val="en-US"/>
        </w:rPr>
        <w:tab/>
        <w:t xml:space="preserve">In this </w:t>
      </w:r>
      <w:r w:rsidR="00367B2B">
        <w:t>document</w:t>
      </w:r>
      <w:r w:rsidR="00A16522">
        <w:rPr>
          <w:lang w:val="en-US"/>
        </w:rPr>
        <w:t xml:space="preserve"> </w:t>
      </w:r>
      <w:r w:rsidR="005D6807">
        <w:rPr>
          <w:lang w:val="en-US"/>
        </w:rPr>
        <w:t>it is</w:t>
      </w:r>
      <w:r w:rsidR="00A16522">
        <w:rPr>
          <w:lang w:val="en-US"/>
        </w:rPr>
        <w:t xml:space="preserve"> propos</w:t>
      </w:r>
      <w:r w:rsidR="005D6807">
        <w:rPr>
          <w:lang w:val="en-US"/>
        </w:rPr>
        <w:t>ed</w:t>
      </w:r>
      <w:r w:rsidR="00A16522">
        <w:rPr>
          <w:lang w:val="en-US"/>
        </w:rPr>
        <w:t xml:space="preserve"> to:</w:t>
      </w:r>
    </w:p>
    <w:p w14:paraId="41567C2B" w14:textId="404CCDDB" w:rsidR="00A16522" w:rsidRDefault="003507E4" w:rsidP="008549FA">
      <w:pPr>
        <w:pStyle w:val="SingleTxtG"/>
        <w:rPr>
          <w:lang w:val="en-US"/>
        </w:rPr>
      </w:pPr>
      <w:r>
        <w:rPr>
          <w:lang w:val="en-US"/>
        </w:rPr>
        <w:tab/>
      </w:r>
      <w:r w:rsidR="00A16522">
        <w:rPr>
          <w:lang w:val="en-US"/>
        </w:rPr>
        <w:t>(a)</w:t>
      </w:r>
      <w:r>
        <w:rPr>
          <w:lang w:val="en-US"/>
        </w:rPr>
        <w:tab/>
      </w:r>
      <w:r w:rsidR="00A16522">
        <w:rPr>
          <w:lang w:val="en-US"/>
        </w:rPr>
        <w:t xml:space="preserve">Add a definition for </w:t>
      </w:r>
      <w:r w:rsidR="00043B0E">
        <w:rPr>
          <w:lang w:val="en-US"/>
        </w:rPr>
        <w:t>“</w:t>
      </w:r>
      <w:r w:rsidR="00A16522">
        <w:rPr>
          <w:lang w:val="en-US"/>
        </w:rPr>
        <w:t>Seed Cake</w:t>
      </w:r>
      <w:r w:rsidR="00043B0E">
        <w:rPr>
          <w:lang w:val="en-US"/>
        </w:rPr>
        <w:t>”</w:t>
      </w:r>
      <w:r w:rsidR="00A16522">
        <w:rPr>
          <w:lang w:val="en-US"/>
        </w:rPr>
        <w:t xml:space="preserve"> </w:t>
      </w:r>
      <w:r w:rsidR="00A16522" w:rsidRPr="008549FA">
        <w:t>in</w:t>
      </w:r>
      <w:r w:rsidR="00A16522">
        <w:rPr>
          <w:lang w:val="en-US"/>
        </w:rPr>
        <w:t xml:space="preserve"> 1.2.1 as follows:</w:t>
      </w:r>
    </w:p>
    <w:p w14:paraId="2DE6597C" w14:textId="17B331E9" w:rsidR="00A16522" w:rsidRDefault="007031C7" w:rsidP="00C9320D">
      <w:pPr>
        <w:pStyle w:val="SingleTxtG"/>
        <w:ind w:left="1701"/>
        <w:rPr>
          <w:lang w:val="en-US"/>
        </w:rPr>
      </w:pPr>
      <w:r w:rsidRPr="007031C7">
        <w:rPr>
          <w:lang w:val="en-US"/>
        </w:rPr>
        <w:t>“</w:t>
      </w:r>
      <w:r w:rsidR="00A16522">
        <w:rPr>
          <w:i/>
          <w:iCs/>
          <w:lang w:val="en-US"/>
        </w:rPr>
        <w:t>Seed Cake</w:t>
      </w:r>
      <w:r w:rsidR="00A16522">
        <w:rPr>
          <w:lang w:val="en-US"/>
        </w:rPr>
        <w:t xml:space="preserve"> means </w:t>
      </w:r>
      <w:r w:rsidR="00A16522" w:rsidRPr="00EB11DB">
        <w:rPr>
          <w:lang w:val="en-US"/>
        </w:rPr>
        <w:t xml:space="preserve">the residue remaining after oil </w:t>
      </w:r>
      <w:r w:rsidR="00A16522">
        <w:rPr>
          <w:lang w:val="en-US"/>
        </w:rPr>
        <w:t xml:space="preserve">and moisture have </w:t>
      </w:r>
      <w:r w:rsidR="00A16522" w:rsidRPr="00EB11DB">
        <w:rPr>
          <w:lang w:val="en-US"/>
        </w:rPr>
        <w:t>been ex</w:t>
      </w:r>
      <w:r w:rsidR="00A16522">
        <w:rPr>
          <w:lang w:val="en-US"/>
        </w:rPr>
        <w:t xml:space="preserve">tracted </w:t>
      </w:r>
      <w:r w:rsidR="00A16522" w:rsidRPr="00EB11DB">
        <w:rPr>
          <w:lang w:val="en-US"/>
        </w:rPr>
        <w:t>mechanically or by a solvent process from oil-bearing seeds</w:t>
      </w:r>
      <w:r w:rsidR="00A16522">
        <w:rPr>
          <w:lang w:val="en-US"/>
        </w:rPr>
        <w:t xml:space="preserve"> such as </w:t>
      </w:r>
      <w:r w:rsidR="00A16522" w:rsidRPr="0040362E">
        <w:rPr>
          <w:lang w:val="en-US"/>
        </w:rPr>
        <w:t>rape seed</w:t>
      </w:r>
      <w:r w:rsidR="00A16522">
        <w:rPr>
          <w:lang w:val="en-US"/>
        </w:rPr>
        <w:t xml:space="preserve">, </w:t>
      </w:r>
      <w:r w:rsidR="00A16522" w:rsidRPr="0040362E">
        <w:rPr>
          <w:lang w:val="en-US"/>
        </w:rPr>
        <w:t>soybean</w:t>
      </w:r>
      <w:r w:rsidR="00A16522">
        <w:rPr>
          <w:lang w:val="en-US"/>
        </w:rPr>
        <w:t xml:space="preserve">, </w:t>
      </w:r>
      <w:r w:rsidR="00A16522" w:rsidRPr="0040362E">
        <w:rPr>
          <w:lang w:val="en-US"/>
        </w:rPr>
        <w:t>cotton seed and sunflower seed</w:t>
      </w:r>
      <w:r w:rsidR="00A16522">
        <w:rPr>
          <w:lang w:val="en-US"/>
        </w:rPr>
        <w:t>.</w:t>
      </w:r>
      <w:r>
        <w:rPr>
          <w:lang w:val="en-US"/>
        </w:rPr>
        <w:t>”</w:t>
      </w:r>
    </w:p>
    <w:p w14:paraId="1EB88193" w14:textId="78BC54F3" w:rsidR="00A16522" w:rsidRDefault="003507E4" w:rsidP="003507E4">
      <w:pPr>
        <w:pStyle w:val="SingleTxtG"/>
        <w:rPr>
          <w:lang w:val="en-US"/>
        </w:rPr>
      </w:pPr>
      <w:r>
        <w:rPr>
          <w:lang w:val="en-US"/>
        </w:rPr>
        <w:tab/>
      </w:r>
      <w:r w:rsidR="00A16522" w:rsidRPr="00BA77F9">
        <w:rPr>
          <w:lang w:val="en-US"/>
        </w:rPr>
        <w:t>(b</w:t>
      </w:r>
      <w:r w:rsidR="00A16522">
        <w:rPr>
          <w:lang w:val="en-US"/>
        </w:rPr>
        <w:t>)</w:t>
      </w:r>
      <w:r>
        <w:rPr>
          <w:lang w:val="en-US"/>
        </w:rPr>
        <w:tab/>
      </w:r>
      <w:r w:rsidR="00C9320D">
        <w:rPr>
          <w:lang w:val="en-US"/>
        </w:rPr>
        <w:t>I</w:t>
      </w:r>
      <w:r w:rsidR="00A16522">
        <w:rPr>
          <w:lang w:val="en-US"/>
        </w:rPr>
        <w:t>n the Dangerous Goods List and the Index, remove the entry for UN</w:t>
      </w:r>
      <w:r w:rsidR="00A75EEC">
        <w:rPr>
          <w:lang w:val="en-US"/>
        </w:rPr>
        <w:t> </w:t>
      </w:r>
      <w:r w:rsidR="00A16522">
        <w:rPr>
          <w:lang w:val="en-US"/>
        </w:rPr>
        <w:t>2217.</w:t>
      </w:r>
    </w:p>
    <w:p w14:paraId="3348E6FF" w14:textId="7D457D0E" w:rsidR="00A16522" w:rsidRDefault="003507E4" w:rsidP="003507E4">
      <w:pPr>
        <w:pStyle w:val="SingleTxtG"/>
        <w:rPr>
          <w:lang w:val="en-US"/>
        </w:rPr>
      </w:pPr>
      <w:r>
        <w:rPr>
          <w:lang w:val="en-US"/>
        </w:rPr>
        <w:tab/>
      </w:r>
      <w:r w:rsidR="00A16522">
        <w:rPr>
          <w:lang w:val="en-US"/>
        </w:rPr>
        <w:t>(c)</w:t>
      </w:r>
      <w:r>
        <w:rPr>
          <w:lang w:val="en-US"/>
        </w:rPr>
        <w:tab/>
      </w:r>
      <w:r w:rsidR="00A16522">
        <w:rPr>
          <w:lang w:val="en-US"/>
        </w:rPr>
        <w:t xml:space="preserve">In the Dangerous Goods List and the Index, delete the light </w:t>
      </w:r>
      <w:proofErr w:type="gramStart"/>
      <w:r w:rsidR="00A16522">
        <w:rPr>
          <w:lang w:val="en-US"/>
        </w:rPr>
        <w:t>type</w:t>
      </w:r>
      <w:proofErr w:type="gramEnd"/>
      <w:r w:rsidR="00A16522">
        <w:rPr>
          <w:lang w:val="en-US"/>
        </w:rPr>
        <w:t xml:space="preserve"> text associated with the UN</w:t>
      </w:r>
      <w:r w:rsidR="00A75EEC">
        <w:rPr>
          <w:lang w:val="en-US"/>
        </w:rPr>
        <w:t> </w:t>
      </w:r>
      <w:r w:rsidR="00A16522">
        <w:rPr>
          <w:lang w:val="en-US"/>
        </w:rPr>
        <w:t>1386 entry “with more than 1.5</w:t>
      </w:r>
      <w:r w:rsidR="00E16F32">
        <w:rPr>
          <w:lang w:val="en-US"/>
        </w:rPr>
        <w:t xml:space="preserve"> </w:t>
      </w:r>
      <w:r w:rsidR="00BA2D5C">
        <w:rPr>
          <w:lang w:val="en-US"/>
        </w:rPr>
        <w:t>%</w:t>
      </w:r>
      <w:r w:rsidR="00A16522">
        <w:rPr>
          <w:lang w:val="en-US"/>
        </w:rPr>
        <w:t xml:space="preserve"> oil and not more than 11</w:t>
      </w:r>
      <w:r w:rsidR="00E16F32">
        <w:rPr>
          <w:lang w:val="en-US"/>
        </w:rPr>
        <w:t xml:space="preserve"> </w:t>
      </w:r>
      <w:r w:rsidR="00BA2D5C">
        <w:rPr>
          <w:lang w:val="en-US"/>
        </w:rPr>
        <w:t>%</w:t>
      </w:r>
      <w:r w:rsidR="00A16522">
        <w:rPr>
          <w:lang w:val="en-US"/>
        </w:rPr>
        <w:t xml:space="preserve"> moisture</w:t>
      </w:r>
      <w:r w:rsidR="00E409EE">
        <w:rPr>
          <w:lang w:val="en-US"/>
        </w:rPr>
        <w:t>”</w:t>
      </w:r>
      <w:r w:rsidR="00A16522">
        <w:rPr>
          <w:lang w:val="en-US"/>
        </w:rPr>
        <w:t xml:space="preserve"> for UN</w:t>
      </w:r>
      <w:r w:rsidR="00C13F25">
        <w:rPr>
          <w:lang w:val="en-US"/>
        </w:rPr>
        <w:t> </w:t>
      </w:r>
      <w:r w:rsidR="00A16522">
        <w:rPr>
          <w:lang w:val="en-US"/>
        </w:rPr>
        <w:t>1386.</w:t>
      </w:r>
    </w:p>
    <w:p w14:paraId="41DFB6F1" w14:textId="3DCF9BAF" w:rsidR="00A16522" w:rsidRDefault="002A4AF9" w:rsidP="003507E4">
      <w:pPr>
        <w:pStyle w:val="SingleTxtG"/>
        <w:rPr>
          <w:lang w:val="en-US"/>
        </w:rPr>
      </w:pPr>
      <w:r>
        <w:rPr>
          <w:lang w:val="en-US"/>
        </w:rPr>
        <w:tab/>
      </w:r>
      <w:r w:rsidR="00A16522">
        <w:rPr>
          <w:lang w:val="en-US"/>
        </w:rPr>
        <w:t>(d)</w:t>
      </w:r>
      <w:r w:rsidR="003507E4">
        <w:rPr>
          <w:lang w:val="en-US"/>
        </w:rPr>
        <w:tab/>
      </w:r>
      <w:r w:rsidR="00A16522" w:rsidRPr="003507E4">
        <w:t>Revise</w:t>
      </w:r>
      <w:r w:rsidR="00A16522">
        <w:rPr>
          <w:lang w:val="en-US"/>
        </w:rPr>
        <w:t xml:space="preserve"> Special Provision 142 and assign it to UN</w:t>
      </w:r>
      <w:r w:rsidR="00C13F25">
        <w:rPr>
          <w:lang w:val="en-US"/>
        </w:rPr>
        <w:t> </w:t>
      </w:r>
      <w:r w:rsidR="00A16522">
        <w:rPr>
          <w:lang w:val="en-US"/>
        </w:rPr>
        <w:t>1386</w:t>
      </w:r>
      <w:r w:rsidR="000D123C">
        <w:rPr>
          <w:lang w:val="en-US"/>
        </w:rPr>
        <w:t xml:space="preserve"> as follows</w:t>
      </w:r>
      <w:r w:rsidR="00A16522">
        <w:rPr>
          <w:lang w:val="en-US"/>
        </w:rPr>
        <w:t>:</w:t>
      </w:r>
    </w:p>
    <w:p w14:paraId="3E7A0102" w14:textId="61A5CEA9" w:rsidR="00A16522" w:rsidRDefault="000D123C" w:rsidP="00C9320D">
      <w:pPr>
        <w:pStyle w:val="SingleTxtG"/>
        <w:ind w:left="1701"/>
        <w:rPr>
          <w:lang w:val="en-US"/>
        </w:rPr>
      </w:pPr>
      <w:r>
        <w:rPr>
          <w:lang w:val="en-US"/>
        </w:rPr>
        <w:t>“</w:t>
      </w:r>
      <w:r w:rsidR="00A16522">
        <w:rPr>
          <w:lang w:val="en-US"/>
        </w:rPr>
        <w:t>SP142 Seed Cake containing not more than 4</w:t>
      </w:r>
      <w:r w:rsidR="00085B21">
        <w:rPr>
          <w:lang w:val="en-US"/>
        </w:rPr>
        <w:t xml:space="preserve"> </w:t>
      </w:r>
      <w:r w:rsidR="00E47963">
        <w:rPr>
          <w:lang w:val="en-US"/>
        </w:rPr>
        <w:t>%</w:t>
      </w:r>
      <w:r w:rsidR="00A16522">
        <w:rPr>
          <w:lang w:val="en-US"/>
        </w:rPr>
        <w:t xml:space="preserve"> oil and 15</w:t>
      </w:r>
      <w:r w:rsidR="00085B21">
        <w:rPr>
          <w:lang w:val="en-US"/>
        </w:rPr>
        <w:t xml:space="preserve"> </w:t>
      </w:r>
      <w:r w:rsidR="00E47963">
        <w:rPr>
          <w:lang w:val="en-US"/>
        </w:rPr>
        <w:t>%</w:t>
      </w:r>
      <w:r w:rsidR="00A16522">
        <w:rPr>
          <w:lang w:val="en-US"/>
        </w:rPr>
        <w:t xml:space="preserve"> oil and moisture combined which is substantially free of flammable solvent, is not subject to these Regulations.</w:t>
      </w:r>
      <w:r>
        <w:rPr>
          <w:lang w:val="en-US"/>
        </w:rPr>
        <w:t>”</w:t>
      </w:r>
    </w:p>
    <w:p w14:paraId="6985922D" w14:textId="77777777" w:rsidR="00A16522" w:rsidRPr="003507E4" w:rsidRDefault="00A16522" w:rsidP="003507E4">
      <w:pPr>
        <w:pStyle w:val="SingleTxtG"/>
        <w:rPr>
          <w:i/>
          <w:iCs/>
          <w:lang w:val="en-US"/>
        </w:rPr>
      </w:pPr>
      <w:r w:rsidRPr="003507E4">
        <w:rPr>
          <w:i/>
          <w:iCs/>
          <w:lang w:val="en-US"/>
        </w:rPr>
        <w:t xml:space="preserve">Note: these limits are consistent with </w:t>
      </w:r>
      <w:r w:rsidRPr="003507E4">
        <w:rPr>
          <w:i/>
          <w:iCs/>
        </w:rPr>
        <w:t>the</w:t>
      </w:r>
      <w:r w:rsidRPr="003507E4">
        <w:rPr>
          <w:i/>
          <w:iCs/>
          <w:lang w:val="en-US"/>
        </w:rPr>
        <w:t xml:space="preserve"> ISMBC Code.</w:t>
      </w:r>
    </w:p>
    <w:p w14:paraId="3F9C8F67" w14:textId="51256BE7" w:rsidR="00A16522" w:rsidRPr="006B6AE1" w:rsidRDefault="003507E4" w:rsidP="003507E4">
      <w:pPr>
        <w:pStyle w:val="SingleTxtG"/>
      </w:pPr>
      <w:r>
        <w:rPr>
          <w:lang w:val="de-DE"/>
        </w:rPr>
        <w:tab/>
      </w:r>
      <w:r w:rsidR="00A16522" w:rsidRPr="008413D3">
        <w:rPr>
          <w:lang w:val="de-DE"/>
        </w:rPr>
        <w:t>(e)</w:t>
      </w:r>
      <w:r>
        <w:rPr>
          <w:lang w:val="de-DE"/>
        </w:rPr>
        <w:tab/>
      </w:r>
      <w:r w:rsidR="00A16522" w:rsidRPr="006B6AE1">
        <w:t xml:space="preserve">In </w:t>
      </w:r>
      <w:r w:rsidR="00902F15" w:rsidRPr="006B6AE1">
        <w:t xml:space="preserve">packing instruction </w:t>
      </w:r>
      <w:r w:rsidR="00A16522" w:rsidRPr="006B6AE1">
        <w:t>P002 delete PP20.</w:t>
      </w:r>
    </w:p>
    <w:p w14:paraId="06C5B975" w14:textId="6A6874E0" w:rsidR="007C3869" w:rsidRDefault="007C3869">
      <w:pPr>
        <w:rPr>
          <w:lang w:val="de-DE"/>
        </w:rPr>
      </w:pPr>
      <w:r>
        <w:rPr>
          <w:lang w:val="de-DE"/>
        </w:rPr>
        <w:br w:type="page"/>
      </w:r>
    </w:p>
    <w:p w14:paraId="0B1F77DB" w14:textId="4965CDA6" w:rsidR="0005280B" w:rsidRDefault="00E93122" w:rsidP="003507E4">
      <w:pPr>
        <w:pStyle w:val="HChG"/>
      </w:pPr>
      <w:r w:rsidRPr="00974627">
        <w:lastRenderedPageBreak/>
        <w:t>A</w:t>
      </w:r>
      <w:r w:rsidR="00CD30B9">
        <w:t>nnex</w:t>
      </w:r>
    </w:p>
    <w:p w14:paraId="2301989A" w14:textId="1B5012E3" w:rsidR="002A4AF9" w:rsidRPr="00F6400B" w:rsidRDefault="00A72563" w:rsidP="002A4AF9">
      <w:pPr>
        <w:jc w:val="right"/>
      </w:pPr>
      <w:r w:rsidRPr="00F6400B">
        <w:t>[English only]</w:t>
      </w:r>
    </w:p>
    <w:p w14:paraId="0EAAB6FD" w14:textId="67DC68FC" w:rsidR="00E93122" w:rsidRPr="00974627" w:rsidRDefault="0005280B" w:rsidP="0005280B">
      <w:pPr>
        <w:pStyle w:val="HChG"/>
        <w:rPr>
          <w:lang w:val="en-US"/>
        </w:rPr>
      </w:pPr>
      <w:r>
        <w:tab/>
      </w:r>
      <w:r>
        <w:tab/>
      </w:r>
      <w:r w:rsidR="00E93122" w:rsidRPr="00974627">
        <w:t>Soybean Meal Test Results</w:t>
      </w:r>
    </w:p>
    <w:p w14:paraId="463AC07B" w14:textId="77777777" w:rsidR="00E93122" w:rsidRDefault="00E93122" w:rsidP="00E93122">
      <w:pPr>
        <w:pStyle w:val="SingleTxtG"/>
        <w:ind w:left="567"/>
        <w:rPr>
          <w:lang w:val="en-US"/>
        </w:rPr>
      </w:pPr>
      <w:r w:rsidRPr="009C4FF1">
        <w:rPr>
          <w:noProof/>
        </w:rPr>
        <w:drawing>
          <wp:inline distT="0" distB="0" distL="0" distR="0" wp14:anchorId="5EDAE52B" wp14:editId="0E968A53">
            <wp:extent cx="5701798" cy="7277100"/>
            <wp:effectExtent l="0" t="0" r="0" b="0"/>
            <wp:docPr id="796113462" name="Picture 1" descr="A document with a number of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113462" name="Picture 1" descr="A document with a number of text&#10;&#10;Description automatically generated with medium confidence"/>
                    <pic:cNvPicPr/>
                  </pic:nvPicPr>
                  <pic:blipFill>
                    <a:blip r:embed="rId12"/>
                    <a:stretch>
                      <a:fillRect/>
                    </a:stretch>
                  </pic:blipFill>
                  <pic:spPr>
                    <a:xfrm>
                      <a:off x="0" y="0"/>
                      <a:ext cx="5721675" cy="7302469"/>
                    </a:xfrm>
                    <a:prstGeom prst="rect">
                      <a:avLst/>
                    </a:prstGeom>
                  </pic:spPr>
                </pic:pic>
              </a:graphicData>
            </a:graphic>
          </wp:inline>
        </w:drawing>
      </w:r>
    </w:p>
    <w:p w14:paraId="74362CF8" w14:textId="79F7EEE0" w:rsidR="00A16522" w:rsidRDefault="00E93122" w:rsidP="007D4D10">
      <w:pPr>
        <w:pStyle w:val="SingleTxtG"/>
        <w:ind w:left="567"/>
        <w:rPr>
          <w:lang w:val="en-US"/>
        </w:rPr>
      </w:pPr>
      <w:r w:rsidRPr="009C4FF1">
        <w:rPr>
          <w:noProof/>
        </w:rPr>
        <w:lastRenderedPageBreak/>
        <w:drawing>
          <wp:inline distT="0" distB="0" distL="0" distR="0" wp14:anchorId="4045549D" wp14:editId="3ECBE94C">
            <wp:extent cx="5943600" cy="3625555"/>
            <wp:effectExtent l="0" t="0" r="0" b="0"/>
            <wp:docPr id="376151859" name="Picture 1" descr="A certificate of quality testing resul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151859" name="Picture 1" descr="A certificate of quality testing results&#10;&#10;Description automatically generated"/>
                    <pic:cNvPicPr/>
                  </pic:nvPicPr>
                  <pic:blipFill rotWithShape="1">
                    <a:blip r:embed="rId13"/>
                    <a:srcRect t="1730"/>
                    <a:stretch/>
                  </pic:blipFill>
                  <pic:spPr bwMode="auto">
                    <a:xfrm>
                      <a:off x="0" y="0"/>
                      <a:ext cx="5943600" cy="3625555"/>
                    </a:xfrm>
                    <a:prstGeom prst="rect">
                      <a:avLst/>
                    </a:prstGeom>
                    <a:ln>
                      <a:noFill/>
                    </a:ln>
                    <a:extLst>
                      <a:ext uri="{53640926-AAD7-44D8-BBD7-CCE9431645EC}">
                        <a14:shadowObscured xmlns:a14="http://schemas.microsoft.com/office/drawing/2010/main"/>
                      </a:ext>
                    </a:extLst>
                  </pic:spPr>
                </pic:pic>
              </a:graphicData>
            </a:graphic>
          </wp:inline>
        </w:drawing>
      </w:r>
      <w:bookmarkStart w:id="0" w:name="_Toc158186915"/>
    </w:p>
    <w:p w14:paraId="3FE44BFE" w14:textId="344417F4" w:rsidR="007D4D10" w:rsidRPr="007D4D10" w:rsidRDefault="007D4D10" w:rsidP="007D4D10">
      <w:pPr>
        <w:spacing w:before="240"/>
        <w:jc w:val="center"/>
        <w:rPr>
          <w:u w:val="single"/>
          <w:lang w:val="en-US"/>
        </w:rPr>
      </w:pPr>
      <w:r>
        <w:rPr>
          <w:u w:val="single"/>
          <w:lang w:val="en-US"/>
        </w:rPr>
        <w:tab/>
      </w:r>
      <w:r>
        <w:rPr>
          <w:u w:val="single"/>
          <w:lang w:val="en-US"/>
        </w:rPr>
        <w:tab/>
      </w:r>
      <w:r>
        <w:rPr>
          <w:u w:val="single"/>
          <w:lang w:val="en-US"/>
        </w:rPr>
        <w:tab/>
      </w:r>
      <w:bookmarkEnd w:id="0"/>
    </w:p>
    <w:sectPr w:rsidR="007D4D10" w:rsidRPr="007D4D10" w:rsidSect="00E87CEA">
      <w:headerReference w:type="even" r:id="rId14"/>
      <w:headerReference w:type="default" r:id="rId15"/>
      <w:footerReference w:type="even" r:id="rId16"/>
      <w:footerReference w:type="default" r:id="rId17"/>
      <w:footerReference w:type="first" r:id="rId18"/>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31FD6" w14:textId="77777777" w:rsidR="007955F7" w:rsidRPr="00C47B2E" w:rsidRDefault="007955F7" w:rsidP="00C47B2E">
      <w:pPr>
        <w:pStyle w:val="Footer"/>
      </w:pPr>
    </w:p>
  </w:endnote>
  <w:endnote w:type="continuationSeparator" w:id="0">
    <w:p w14:paraId="697E3A61" w14:textId="77777777" w:rsidR="007955F7" w:rsidRPr="00C47B2E" w:rsidRDefault="007955F7" w:rsidP="00C47B2E">
      <w:pPr>
        <w:pStyle w:val="Footer"/>
      </w:pPr>
    </w:p>
  </w:endnote>
  <w:endnote w:type="continuationNotice" w:id="1">
    <w:p w14:paraId="54BE4E19" w14:textId="77777777" w:rsidR="007955F7" w:rsidRPr="00C47B2E" w:rsidRDefault="007955F7"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0367" w14:textId="0188B346" w:rsidR="00D94B05" w:rsidRPr="00E87CEA" w:rsidRDefault="00E87CEA" w:rsidP="00D85308">
    <w:pPr>
      <w:pStyle w:val="Footer"/>
      <w:tabs>
        <w:tab w:val="right" w:pos="9639"/>
      </w:tabs>
      <w:rPr>
        <w:sz w:val="18"/>
      </w:rPr>
    </w:pPr>
    <w:r w:rsidRPr="00E87CEA">
      <w:rPr>
        <w:b/>
        <w:sz w:val="18"/>
      </w:rPr>
      <w:fldChar w:fldCharType="begin"/>
    </w:r>
    <w:r w:rsidRPr="00E87CEA">
      <w:rPr>
        <w:b/>
        <w:sz w:val="18"/>
      </w:rPr>
      <w:instrText xml:space="preserve"> PAGE  \* MERGEFORMAT </w:instrText>
    </w:r>
    <w:r w:rsidRPr="00E87CEA">
      <w:rPr>
        <w:b/>
        <w:sz w:val="18"/>
      </w:rPr>
      <w:fldChar w:fldCharType="separate"/>
    </w:r>
    <w:r w:rsidRPr="00E87CEA">
      <w:rPr>
        <w:b/>
        <w:noProof/>
        <w:sz w:val="18"/>
      </w:rPr>
      <w:t>2</w:t>
    </w:r>
    <w:r w:rsidRPr="00E87CE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7D2B1" w14:textId="12632313" w:rsidR="00D94B05" w:rsidRPr="00E87CEA" w:rsidRDefault="00E87CEA" w:rsidP="00D85308">
    <w:pPr>
      <w:pStyle w:val="Footer"/>
      <w:tabs>
        <w:tab w:val="right" w:pos="9639"/>
      </w:tabs>
      <w:rPr>
        <w:b/>
        <w:bCs/>
        <w:sz w:val="18"/>
      </w:rPr>
    </w:pPr>
    <w:r>
      <w:rPr>
        <w:bCs/>
        <w:sz w:val="18"/>
      </w:rPr>
      <w:tab/>
    </w:r>
    <w:r w:rsidRPr="00E87CEA">
      <w:rPr>
        <w:b/>
        <w:bCs/>
        <w:sz w:val="18"/>
      </w:rPr>
      <w:fldChar w:fldCharType="begin"/>
    </w:r>
    <w:r w:rsidRPr="00E87CEA">
      <w:rPr>
        <w:b/>
        <w:bCs/>
        <w:sz w:val="18"/>
      </w:rPr>
      <w:instrText xml:space="preserve"> PAGE  \* MERGEFORMAT </w:instrText>
    </w:r>
    <w:r w:rsidRPr="00E87CEA">
      <w:rPr>
        <w:b/>
        <w:bCs/>
        <w:sz w:val="18"/>
      </w:rPr>
      <w:fldChar w:fldCharType="separate"/>
    </w:r>
    <w:r w:rsidRPr="00E87CEA">
      <w:rPr>
        <w:b/>
        <w:bCs/>
        <w:noProof/>
        <w:sz w:val="18"/>
      </w:rPr>
      <w:t>3</w:t>
    </w:r>
    <w:r w:rsidRPr="00E87CE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CD2F" w14:textId="0A1BD836" w:rsidR="00D94B05" w:rsidRDefault="002B1C2E" w:rsidP="002B1C2E">
    <w:pPr>
      <w:pStyle w:val="Footer"/>
      <w:rPr>
        <w:rFonts w:asciiTheme="majorBidi" w:hAnsiTheme="majorBidi" w:cstheme="majorBidi"/>
        <w:sz w:val="20"/>
      </w:rPr>
    </w:pPr>
    <w:r w:rsidRPr="002B1C2E">
      <w:rPr>
        <w:rFonts w:asciiTheme="majorBidi" w:hAnsiTheme="majorBidi" w:cstheme="majorBidi"/>
        <w:noProof/>
        <w:sz w:val="20"/>
        <w:lang w:val="en-US"/>
      </w:rPr>
      <w:drawing>
        <wp:anchor distT="0" distB="0" distL="114300" distR="114300" simplePos="0" relativeHeight="251661312" behindDoc="0" locked="1" layoutInCell="1" allowOverlap="1" wp14:anchorId="444B6437" wp14:editId="1B505E8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492081B" w14:textId="3BA97572" w:rsidR="002B1C2E" w:rsidRPr="002B1C2E" w:rsidRDefault="002B1C2E" w:rsidP="002B1C2E">
    <w:pPr>
      <w:pStyle w:val="Footer"/>
      <w:ind w:right="1134"/>
      <w:rPr>
        <w:rFonts w:asciiTheme="majorBidi" w:hAnsiTheme="majorBidi" w:cstheme="majorBidi"/>
        <w:sz w:val="20"/>
      </w:rPr>
    </w:pPr>
    <w:r>
      <w:rPr>
        <w:rFonts w:asciiTheme="majorBidi" w:hAnsiTheme="majorBidi" w:cstheme="majorBidi"/>
        <w:sz w:val="20"/>
      </w:rPr>
      <w:t>GE.24-</w:t>
    </w:r>
    <w:proofErr w:type="gramStart"/>
    <w:r>
      <w:rPr>
        <w:rFonts w:asciiTheme="majorBidi" w:hAnsiTheme="majorBidi" w:cstheme="majorBidi"/>
        <w:sz w:val="20"/>
      </w:rPr>
      <w:t>06097  (</w:t>
    </w:r>
    <w:proofErr w:type="gramEnd"/>
    <w:r>
      <w:rPr>
        <w:rFonts w:asciiTheme="majorBidi" w:hAnsiTheme="majorBidi" w:cstheme="majorBidi"/>
        <w:sz w:val="20"/>
      </w:rPr>
      <w:t>E)</w:t>
    </w:r>
    <w:r>
      <w:rPr>
        <w:rFonts w:asciiTheme="majorBidi" w:hAnsiTheme="majorBidi" w:cstheme="majorBidi"/>
        <w:noProof/>
        <w:sz w:val="20"/>
      </w:rPr>
      <w:drawing>
        <wp:anchor distT="0" distB="0" distL="114300" distR="114300" simplePos="0" relativeHeight="251662336" behindDoc="0" locked="0" layoutInCell="1" allowOverlap="1" wp14:anchorId="0EFFB8A7" wp14:editId="06C3F5A6">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6DD6A" w14:textId="77777777" w:rsidR="007955F7" w:rsidRPr="00C47B2E" w:rsidRDefault="007955F7" w:rsidP="00C47B2E">
      <w:pPr>
        <w:tabs>
          <w:tab w:val="right" w:pos="2155"/>
        </w:tabs>
        <w:spacing w:after="80" w:line="240" w:lineRule="auto"/>
        <w:ind w:left="680"/>
      </w:pPr>
      <w:r>
        <w:rPr>
          <w:u w:val="single"/>
        </w:rPr>
        <w:tab/>
      </w:r>
    </w:p>
  </w:footnote>
  <w:footnote w:type="continuationSeparator" w:id="0">
    <w:p w14:paraId="5C89966F" w14:textId="77777777" w:rsidR="007955F7" w:rsidRPr="00C47B2E" w:rsidRDefault="007955F7" w:rsidP="005E716E">
      <w:pPr>
        <w:tabs>
          <w:tab w:val="right" w:pos="2155"/>
        </w:tabs>
        <w:spacing w:after="80" w:line="240" w:lineRule="auto"/>
        <w:ind w:left="680"/>
      </w:pPr>
      <w:r>
        <w:rPr>
          <w:u w:val="single"/>
        </w:rPr>
        <w:tab/>
      </w:r>
    </w:p>
  </w:footnote>
  <w:footnote w:type="continuationNotice" w:id="1">
    <w:p w14:paraId="7B0A0E05" w14:textId="77777777" w:rsidR="007955F7" w:rsidRPr="00C47B2E" w:rsidRDefault="007955F7" w:rsidP="00C47B2E">
      <w:pPr>
        <w:pStyle w:val="Footer"/>
      </w:pPr>
    </w:p>
  </w:footnote>
  <w:footnote w:id="2">
    <w:p w14:paraId="5E10BF71" w14:textId="77777777" w:rsidR="002F6BA8" w:rsidRPr="006F75C7" w:rsidRDefault="002F6BA8" w:rsidP="002F6BA8">
      <w:r>
        <w:rPr>
          <w:rStyle w:val="FootnoteReference"/>
        </w:rPr>
        <w:tab/>
      </w:r>
      <w:r w:rsidRPr="00217CB7">
        <w:rPr>
          <w:rStyle w:val="FootnoteReference"/>
          <w:sz w:val="20"/>
          <w:vertAlign w:val="baseline"/>
        </w:rPr>
        <w:t>*</w:t>
      </w:r>
      <w:r>
        <w:rPr>
          <w:rStyle w:val="FootnoteReference"/>
          <w:sz w:val="20"/>
          <w:vertAlign w:val="baseline"/>
        </w:rPr>
        <w:tab/>
      </w:r>
      <w:r w:rsidRPr="0082113E">
        <w:t>A/78/6 (Sect. 20), table 20.5</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E21C1" w14:textId="0936D614" w:rsidR="00E87CEA" w:rsidRPr="00E87CEA" w:rsidRDefault="007E2C20">
    <w:pPr>
      <w:pStyle w:val="Header"/>
    </w:pPr>
    <w:fldSimple w:instr=" TITLE  \* MERGEFORMAT ">
      <w:r w:rsidR="00E87CEA">
        <w:t>ST/SG/AC.10/C.3/2024/10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74E66" w14:textId="6D5D9A79" w:rsidR="00D94B05" w:rsidRPr="00E87CEA" w:rsidRDefault="007E2C20" w:rsidP="00E87CEA">
    <w:pPr>
      <w:pStyle w:val="Header"/>
      <w:jc w:val="right"/>
    </w:pPr>
    <w:fldSimple w:instr=" TITLE  \* MERGEFORMAT ">
      <w:r w:rsidR="00E87CEA">
        <w:t>ST/SG/AC.10/C.3/2024/10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9300B2"/>
    <w:multiLevelType w:val="hybridMultilevel"/>
    <w:tmpl w:val="2752EF7E"/>
    <w:lvl w:ilvl="0" w:tplc="BD46A7F6">
      <w:start w:val="1"/>
      <w:numFmt w:val="lowerLetter"/>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16172172">
    <w:abstractNumId w:val="5"/>
  </w:num>
  <w:num w:numId="2" w16cid:durableId="1073159890">
    <w:abstractNumId w:val="4"/>
  </w:num>
  <w:num w:numId="3" w16cid:durableId="551188904">
    <w:abstractNumId w:val="0"/>
  </w:num>
  <w:num w:numId="4" w16cid:durableId="44254624">
    <w:abstractNumId w:val="7"/>
  </w:num>
  <w:num w:numId="5" w16cid:durableId="1816027029">
    <w:abstractNumId w:val="8"/>
  </w:num>
  <w:num w:numId="6" w16cid:durableId="1836190579">
    <w:abstractNumId w:val="10"/>
  </w:num>
  <w:num w:numId="7" w16cid:durableId="634676252">
    <w:abstractNumId w:val="3"/>
  </w:num>
  <w:num w:numId="8" w16cid:durableId="1039166836">
    <w:abstractNumId w:val="1"/>
  </w:num>
  <w:num w:numId="9" w16cid:durableId="644969981">
    <w:abstractNumId w:val="9"/>
  </w:num>
  <w:num w:numId="10" w16cid:durableId="525103391">
    <w:abstractNumId w:val="1"/>
  </w:num>
  <w:num w:numId="11" w16cid:durableId="297342166">
    <w:abstractNumId w:val="9"/>
  </w:num>
  <w:num w:numId="12" w16cid:durableId="1280380300">
    <w:abstractNumId w:val="2"/>
  </w:num>
  <w:num w:numId="13" w16cid:durableId="1988699530">
    <w:abstractNumId w:val="2"/>
  </w:num>
  <w:num w:numId="14" w16cid:durableId="15694160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CEA"/>
    <w:rsid w:val="00043B0E"/>
    <w:rsid w:val="000457F7"/>
    <w:rsid w:val="00046E92"/>
    <w:rsid w:val="0005280B"/>
    <w:rsid w:val="00063C90"/>
    <w:rsid w:val="00070000"/>
    <w:rsid w:val="00085B21"/>
    <w:rsid w:val="00093053"/>
    <w:rsid w:val="0009442D"/>
    <w:rsid w:val="000B3572"/>
    <w:rsid w:val="000B61ED"/>
    <w:rsid w:val="000D123C"/>
    <w:rsid w:val="000E2A2A"/>
    <w:rsid w:val="000E6995"/>
    <w:rsid w:val="00101B98"/>
    <w:rsid w:val="00111EA0"/>
    <w:rsid w:val="001144A2"/>
    <w:rsid w:val="00143D07"/>
    <w:rsid w:val="001508A5"/>
    <w:rsid w:val="001514D1"/>
    <w:rsid w:val="001567CF"/>
    <w:rsid w:val="001906CA"/>
    <w:rsid w:val="00196763"/>
    <w:rsid w:val="001A4F0F"/>
    <w:rsid w:val="001D20CA"/>
    <w:rsid w:val="001F1B0E"/>
    <w:rsid w:val="001F64E0"/>
    <w:rsid w:val="00214517"/>
    <w:rsid w:val="00241FBB"/>
    <w:rsid w:val="00247E2C"/>
    <w:rsid w:val="00262CEB"/>
    <w:rsid w:val="002A32CB"/>
    <w:rsid w:val="002A4AF9"/>
    <w:rsid w:val="002B1C2E"/>
    <w:rsid w:val="002D5B2C"/>
    <w:rsid w:val="002D6C53"/>
    <w:rsid w:val="002F5595"/>
    <w:rsid w:val="002F6BA8"/>
    <w:rsid w:val="00334F6A"/>
    <w:rsid w:val="00342AC8"/>
    <w:rsid w:val="00343302"/>
    <w:rsid w:val="00344824"/>
    <w:rsid w:val="003507E4"/>
    <w:rsid w:val="00363744"/>
    <w:rsid w:val="00367B2B"/>
    <w:rsid w:val="00374688"/>
    <w:rsid w:val="00385F6C"/>
    <w:rsid w:val="00386441"/>
    <w:rsid w:val="003966A6"/>
    <w:rsid w:val="003979DE"/>
    <w:rsid w:val="003A7622"/>
    <w:rsid w:val="003A7E5F"/>
    <w:rsid w:val="003B1248"/>
    <w:rsid w:val="003B1AA8"/>
    <w:rsid w:val="003B4550"/>
    <w:rsid w:val="003D2A18"/>
    <w:rsid w:val="003E0033"/>
    <w:rsid w:val="004005CE"/>
    <w:rsid w:val="0041033A"/>
    <w:rsid w:val="00413386"/>
    <w:rsid w:val="0042743D"/>
    <w:rsid w:val="00427F5C"/>
    <w:rsid w:val="00432295"/>
    <w:rsid w:val="004376A4"/>
    <w:rsid w:val="00461253"/>
    <w:rsid w:val="00485440"/>
    <w:rsid w:val="004858F5"/>
    <w:rsid w:val="00490783"/>
    <w:rsid w:val="0049528C"/>
    <w:rsid w:val="00495748"/>
    <w:rsid w:val="004A2814"/>
    <w:rsid w:val="004B2109"/>
    <w:rsid w:val="004B7036"/>
    <w:rsid w:val="004C0622"/>
    <w:rsid w:val="004D29B8"/>
    <w:rsid w:val="004F2334"/>
    <w:rsid w:val="004F73D0"/>
    <w:rsid w:val="005042C2"/>
    <w:rsid w:val="005370AF"/>
    <w:rsid w:val="005736AE"/>
    <w:rsid w:val="005757AB"/>
    <w:rsid w:val="005B1F90"/>
    <w:rsid w:val="005B55F7"/>
    <w:rsid w:val="005B5D84"/>
    <w:rsid w:val="005D6807"/>
    <w:rsid w:val="005E716E"/>
    <w:rsid w:val="00604C19"/>
    <w:rsid w:val="00607239"/>
    <w:rsid w:val="00630B20"/>
    <w:rsid w:val="00635491"/>
    <w:rsid w:val="006476E1"/>
    <w:rsid w:val="00652C80"/>
    <w:rsid w:val="00652EC9"/>
    <w:rsid w:val="00655A2E"/>
    <w:rsid w:val="006604DF"/>
    <w:rsid w:val="00671529"/>
    <w:rsid w:val="006777B4"/>
    <w:rsid w:val="006A1CEB"/>
    <w:rsid w:val="006B14CA"/>
    <w:rsid w:val="006B2E72"/>
    <w:rsid w:val="006B6AE1"/>
    <w:rsid w:val="006D43C5"/>
    <w:rsid w:val="006D450A"/>
    <w:rsid w:val="006F1EF5"/>
    <w:rsid w:val="007031C7"/>
    <w:rsid w:val="0070489D"/>
    <w:rsid w:val="007200A1"/>
    <w:rsid w:val="00720908"/>
    <w:rsid w:val="007268F9"/>
    <w:rsid w:val="00740166"/>
    <w:rsid w:val="00750282"/>
    <w:rsid w:val="00764440"/>
    <w:rsid w:val="007700A1"/>
    <w:rsid w:val="0077101B"/>
    <w:rsid w:val="00772D97"/>
    <w:rsid w:val="007955F7"/>
    <w:rsid w:val="007A354E"/>
    <w:rsid w:val="007C3869"/>
    <w:rsid w:val="007C52B0"/>
    <w:rsid w:val="007C6033"/>
    <w:rsid w:val="007D3955"/>
    <w:rsid w:val="007D4D10"/>
    <w:rsid w:val="007E2C20"/>
    <w:rsid w:val="007F6F09"/>
    <w:rsid w:val="00806F79"/>
    <w:rsid w:val="008147C8"/>
    <w:rsid w:val="00815608"/>
    <w:rsid w:val="0081753A"/>
    <w:rsid w:val="00840371"/>
    <w:rsid w:val="0084157C"/>
    <w:rsid w:val="008549FA"/>
    <w:rsid w:val="00857D23"/>
    <w:rsid w:val="00881F2A"/>
    <w:rsid w:val="00885BF6"/>
    <w:rsid w:val="008A5C84"/>
    <w:rsid w:val="008C1624"/>
    <w:rsid w:val="008C51AE"/>
    <w:rsid w:val="008D4064"/>
    <w:rsid w:val="008D6C57"/>
    <w:rsid w:val="008F6F3F"/>
    <w:rsid w:val="00902F15"/>
    <w:rsid w:val="00905A37"/>
    <w:rsid w:val="00916CC1"/>
    <w:rsid w:val="009265EC"/>
    <w:rsid w:val="00927F8F"/>
    <w:rsid w:val="009411B4"/>
    <w:rsid w:val="00946F1D"/>
    <w:rsid w:val="00964E5C"/>
    <w:rsid w:val="00970A51"/>
    <w:rsid w:val="0097288D"/>
    <w:rsid w:val="00994A30"/>
    <w:rsid w:val="009A0A7F"/>
    <w:rsid w:val="009A626A"/>
    <w:rsid w:val="009D0139"/>
    <w:rsid w:val="009D717D"/>
    <w:rsid w:val="009F5CDC"/>
    <w:rsid w:val="00A05E54"/>
    <w:rsid w:val="00A072D7"/>
    <w:rsid w:val="00A163EC"/>
    <w:rsid w:val="00A16522"/>
    <w:rsid w:val="00A54F00"/>
    <w:rsid w:val="00A67372"/>
    <w:rsid w:val="00A72563"/>
    <w:rsid w:val="00A75EEC"/>
    <w:rsid w:val="00A775CF"/>
    <w:rsid w:val="00A820E5"/>
    <w:rsid w:val="00A92AB1"/>
    <w:rsid w:val="00A97832"/>
    <w:rsid w:val="00AD1A9C"/>
    <w:rsid w:val="00AD2599"/>
    <w:rsid w:val="00AD4F59"/>
    <w:rsid w:val="00AF0077"/>
    <w:rsid w:val="00AF5DE1"/>
    <w:rsid w:val="00B01576"/>
    <w:rsid w:val="00B06045"/>
    <w:rsid w:val="00B206DD"/>
    <w:rsid w:val="00B3259D"/>
    <w:rsid w:val="00B41C4D"/>
    <w:rsid w:val="00B505AF"/>
    <w:rsid w:val="00B52EF4"/>
    <w:rsid w:val="00B66B84"/>
    <w:rsid w:val="00B777AD"/>
    <w:rsid w:val="00B91231"/>
    <w:rsid w:val="00BA2D5C"/>
    <w:rsid w:val="00BE2694"/>
    <w:rsid w:val="00BE42E6"/>
    <w:rsid w:val="00BE6AC8"/>
    <w:rsid w:val="00C03015"/>
    <w:rsid w:val="00C0358D"/>
    <w:rsid w:val="00C04474"/>
    <w:rsid w:val="00C05837"/>
    <w:rsid w:val="00C13F25"/>
    <w:rsid w:val="00C35A27"/>
    <w:rsid w:val="00C4014E"/>
    <w:rsid w:val="00C47B2E"/>
    <w:rsid w:val="00C60BDA"/>
    <w:rsid w:val="00C65A36"/>
    <w:rsid w:val="00C837D4"/>
    <w:rsid w:val="00C9320D"/>
    <w:rsid w:val="00CD30B9"/>
    <w:rsid w:val="00D07AD7"/>
    <w:rsid w:val="00D52B4D"/>
    <w:rsid w:val="00D63CD2"/>
    <w:rsid w:val="00D71557"/>
    <w:rsid w:val="00D75094"/>
    <w:rsid w:val="00D83E5E"/>
    <w:rsid w:val="00D85308"/>
    <w:rsid w:val="00D87DC2"/>
    <w:rsid w:val="00D93887"/>
    <w:rsid w:val="00D94B05"/>
    <w:rsid w:val="00DA3DBD"/>
    <w:rsid w:val="00DB0E1F"/>
    <w:rsid w:val="00DB728A"/>
    <w:rsid w:val="00DC3F7B"/>
    <w:rsid w:val="00DC7379"/>
    <w:rsid w:val="00DD7950"/>
    <w:rsid w:val="00DF28D4"/>
    <w:rsid w:val="00DF5AA1"/>
    <w:rsid w:val="00E016D7"/>
    <w:rsid w:val="00E02C2B"/>
    <w:rsid w:val="00E16F32"/>
    <w:rsid w:val="00E21C27"/>
    <w:rsid w:val="00E22423"/>
    <w:rsid w:val="00E26BCF"/>
    <w:rsid w:val="00E339EE"/>
    <w:rsid w:val="00E409EE"/>
    <w:rsid w:val="00E47963"/>
    <w:rsid w:val="00E5182A"/>
    <w:rsid w:val="00E52109"/>
    <w:rsid w:val="00E52EB0"/>
    <w:rsid w:val="00E66963"/>
    <w:rsid w:val="00E70CA7"/>
    <w:rsid w:val="00E75317"/>
    <w:rsid w:val="00E87CEA"/>
    <w:rsid w:val="00E93122"/>
    <w:rsid w:val="00EA50B9"/>
    <w:rsid w:val="00EC0CE6"/>
    <w:rsid w:val="00EC105E"/>
    <w:rsid w:val="00EC6F38"/>
    <w:rsid w:val="00EC7C1D"/>
    <w:rsid w:val="00ED6C48"/>
    <w:rsid w:val="00EE3045"/>
    <w:rsid w:val="00EE7141"/>
    <w:rsid w:val="00F068F4"/>
    <w:rsid w:val="00F26186"/>
    <w:rsid w:val="00F41C37"/>
    <w:rsid w:val="00F6400B"/>
    <w:rsid w:val="00F65F5D"/>
    <w:rsid w:val="00F75CBF"/>
    <w:rsid w:val="00F82480"/>
    <w:rsid w:val="00F86A3A"/>
    <w:rsid w:val="00FA42DA"/>
    <w:rsid w:val="00FC022B"/>
    <w:rsid w:val="00FC0E61"/>
    <w:rsid w:val="00FE140F"/>
    <w:rsid w:val="00FE2AC5"/>
    <w:rsid w:val="00FE5F50"/>
    <w:rsid w:val="00FE62EC"/>
    <w:rsid w:val="00FF72B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48482"/>
  <w15:docId w15:val="{6706ED74-A4AC-4392-B887-AC78A408E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qFormat/>
    <w:locked/>
    <w:rsid w:val="006B14CA"/>
    <w:rPr>
      <w:b/>
      <w:sz w:val="28"/>
    </w:rPr>
  </w:style>
  <w:style w:type="character" w:customStyle="1" w:styleId="H1GChar">
    <w:name w:val="_ H_1_G Char"/>
    <w:link w:val="H1G"/>
    <w:locked/>
    <w:rsid w:val="006B14CA"/>
    <w:rPr>
      <w:b/>
      <w:sz w:val="24"/>
    </w:rPr>
  </w:style>
  <w:style w:type="character" w:customStyle="1" w:styleId="SingleTxtGChar">
    <w:name w:val="_ Single Txt_G Char"/>
    <w:basedOn w:val="DefaultParagraphFont"/>
    <w:link w:val="SingleTxtG"/>
    <w:rsid w:val="006B14CA"/>
  </w:style>
  <w:style w:type="paragraph" w:styleId="Revision">
    <w:name w:val="Revision"/>
    <w:hidden/>
    <w:uiPriority w:val="99"/>
    <w:semiHidden/>
    <w:rsid w:val="00111EA0"/>
    <w:pPr>
      <w:spacing w:line="240" w:lineRule="auto"/>
    </w:pPr>
  </w:style>
  <w:style w:type="character" w:styleId="Emphasis">
    <w:name w:val="Emphasis"/>
    <w:basedOn w:val="DefaultParagraphFont"/>
    <w:uiPriority w:val="20"/>
    <w:qFormat/>
    <w:rsid w:val="00A92A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SharedWithUsers>
  </documentManagement>
</p:properties>
</file>

<file path=customXml/itemProps1.xml><?xml version="1.0" encoding="utf-8"?>
<ds:datastoreItem xmlns:ds="http://schemas.openxmlformats.org/officeDocument/2006/customXml" ds:itemID="{0E96D6C7-A69F-4CC1-9C48-E5514C6CF912}">
  <ds:schemaRefs>
    <ds:schemaRef ds:uri="http://schemas.microsoft.com/sharepoint/v3/contenttype/forms"/>
  </ds:schemaRefs>
</ds:datastoreItem>
</file>

<file path=customXml/itemProps2.xml><?xml version="1.0" encoding="utf-8"?>
<ds:datastoreItem xmlns:ds="http://schemas.openxmlformats.org/officeDocument/2006/customXml" ds:itemID="{1691887C-3F78-4C04-B2CF-E00C2E791C7A}"/>
</file>

<file path=customXml/itemProps3.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4.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SGAC10_E.dotm</Template>
  <TotalTime>0</TotalTime>
  <Pages>6</Pages>
  <Words>1981</Words>
  <Characters>10189</Characters>
  <Application>Microsoft Office Word</Application>
  <DocSecurity>0</DocSecurity>
  <Lines>227</Lines>
  <Paragraphs>93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ST/SG/AC.10/C.3/2024/10</dc:title>
  <dc:subject>2406097</dc:subject>
  <dc:creator>Alicia DORCA-GARCIA</dc:creator>
  <cp:keywords/>
  <dc:description/>
  <cp:lastModifiedBy>Pauline Anne Escalante</cp:lastModifiedBy>
  <cp:revision>2</cp:revision>
  <dcterms:created xsi:type="dcterms:W3CDTF">2024-04-04T06:57:00Z</dcterms:created>
  <dcterms:modified xsi:type="dcterms:W3CDTF">2024-04-04T06:57:00Z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